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5BB9" w:rsidP="00885BB9" w:rsidRDefault="00885BB9" w14:paraId="38EC76C4" w14:textId="77777777">
      <w:pPr>
        <w:pStyle w:val="BEISTitle"/>
      </w:pPr>
    </w:p>
    <w:p w:rsidR="00885BB9" w:rsidP="00885BB9" w:rsidRDefault="00885BB9" w14:paraId="0A34EE9B" w14:textId="77777777">
      <w:pPr>
        <w:pStyle w:val="BEISTitle"/>
      </w:pPr>
    </w:p>
    <w:p w:rsidR="00885BB9" w:rsidP="00885BB9" w:rsidRDefault="00885BB9" w14:paraId="7C7FEA78" w14:textId="77777777">
      <w:pPr>
        <w:pStyle w:val="BEISTitle"/>
      </w:pPr>
    </w:p>
    <w:p w:rsidR="00C67FEB" w:rsidP="65DBFDDE" w:rsidRDefault="41C006DA" w14:paraId="624DAC73" w14:textId="17D8744D">
      <w:pPr>
        <w:spacing w:after="160" w:line="259" w:lineRule="auto"/>
        <w:rPr>
          <w:rFonts w:eastAsia="Arial" w:cs="Arial"/>
          <w:sz w:val="22"/>
          <w:szCs w:val="22"/>
        </w:rPr>
      </w:pPr>
      <w:r w:rsidRPr="0C1849AE">
        <w:rPr>
          <w:rFonts w:eastAsia="Arial" w:cs="Arial"/>
          <w:b/>
          <w:bCs/>
          <w:color w:val="000000" w:themeColor="text1"/>
          <w:sz w:val="96"/>
          <w:szCs w:val="96"/>
        </w:rPr>
        <w:t>Annual Review – REDD Early Movers Programme 202</w:t>
      </w:r>
      <w:r w:rsidRPr="0C1849AE" w:rsidR="217C8767">
        <w:rPr>
          <w:rFonts w:eastAsia="Arial" w:cs="Arial"/>
          <w:b/>
          <w:bCs/>
          <w:color w:val="000000" w:themeColor="text1"/>
          <w:sz w:val="96"/>
          <w:szCs w:val="96"/>
        </w:rPr>
        <w:t>3</w:t>
      </w:r>
      <w:r w:rsidRPr="0C1849AE">
        <w:rPr>
          <w:rFonts w:eastAsia="Arial" w:cs="Arial"/>
          <w:b/>
          <w:bCs/>
          <w:color w:val="000000" w:themeColor="text1"/>
          <w:sz w:val="96"/>
          <w:szCs w:val="96"/>
        </w:rPr>
        <w:t>-202</w:t>
      </w:r>
      <w:r w:rsidRPr="0C1849AE" w:rsidR="3E837E64">
        <w:rPr>
          <w:rFonts w:eastAsia="Arial" w:cs="Arial"/>
          <w:b/>
          <w:bCs/>
          <w:color w:val="000000" w:themeColor="text1"/>
          <w:sz w:val="96"/>
          <w:szCs w:val="96"/>
        </w:rPr>
        <w:t>4</w:t>
      </w:r>
    </w:p>
    <w:p w:rsidR="007D1D64" w:rsidRDefault="007D1D64" w14:paraId="4AF08E4A" w14:textId="20AFDEDA">
      <w:pPr>
        <w:spacing w:after="160" w:line="259" w:lineRule="auto"/>
        <w:rPr>
          <w:sz w:val="22"/>
          <w:szCs w:val="22"/>
        </w:rPr>
      </w:pPr>
    </w:p>
    <w:p w:rsidRPr="007D1D64" w:rsidR="007D1D64" w:rsidRDefault="007D1D64" w14:paraId="160505CC" w14:textId="77777777">
      <w:pPr>
        <w:spacing w:after="160" w:line="259" w:lineRule="auto"/>
        <w:rPr>
          <w:sz w:val="22"/>
          <w:szCs w:val="22"/>
        </w:rPr>
      </w:pPr>
    </w:p>
    <w:p w:rsidR="00090217" w:rsidP="003D222C" w:rsidRDefault="00090217" w14:paraId="6ED798D0" w14:textId="77777777">
      <w:pPr>
        <w:rPr>
          <w:sz w:val="22"/>
          <w:szCs w:val="22"/>
          <w:u w:val="single"/>
        </w:rPr>
      </w:pPr>
    </w:p>
    <w:p w:rsidR="00112E33" w:rsidP="65DBFDDE" w:rsidRDefault="00112E33" w14:paraId="59AFB796" w14:textId="4BA69616">
      <w:pPr>
        <w:spacing w:after="160" w:line="259" w:lineRule="auto"/>
        <w:rPr>
          <w:sz w:val="22"/>
          <w:szCs w:val="22"/>
        </w:rPr>
      </w:pPr>
    </w:p>
    <w:p w:rsidRPr="007D1D64" w:rsidR="007D1D64" w:rsidP="007D1D64" w:rsidRDefault="007D1D64" w14:paraId="4BBA0357" w14:textId="3A4AD185">
      <w:pPr>
        <w:spacing w:after="160" w:line="259" w:lineRule="auto"/>
        <w:rPr>
          <w:sz w:val="22"/>
          <w:szCs w:val="22"/>
        </w:rPr>
      </w:pPr>
      <w:r w:rsidRPr="007D1D64">
        <w:rPr>
          <w:sz w:val="22"/>
          <w:szCs w:val="22"/>
        </w:rPr>
        <w:t>© Crown copyright 20</w:t>
      </w:r>
      <w:r w:rsidR="00A61ACF">
        <w:rPr>
          <w:sz w:val="22"/>
          <w:szCs w:val="22"/>
        </w:rPr>
        <w:t>23</w:t>
      </w:r>
    </w:p>
    <w:p w:rsidRPr="007D1D64" w:rsidR="007D1D64" w:rsidP="007D1D64" w:rsidRDefault="007D1D64" w14:paraId="3A1EFEA4" w14:textId="779BDFEB">
      <w:pPr>
        <w:spacing w:after="16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w:history="1" r:id="rId12">
        <w:r w:rsidRPr="00D56ED4">
          <w:rPr>
            <w:rStyle w:val="Hyperlink"/>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w:history="1" r:id="rId13">
        <w:r w:rsidRPr="00236685" w:rsidR="009E1EAF">
          <w:rPr>
            <w:rStyle w:val="Hyperlink"/>
            <w:sz w:val="22"/>
            <w:szCs w:val="22"/>
          </w:rPr>
          <w:t>psi@nationalarchives.gsi.gov.uk</w:t>
        </w:r>
      </w:hyperlink>
      <w:r w:rsidRPr="007D1D64">
        <w:rPr>
          <w:sz w:val="22"/>
          <w:szCs w:val="22"/>
        </w:rPr>
        <w:t>.</w:t>
      </w:r>
      <w:r w:rsidR="009E1EAF">
        <w:rPr>
          <w:sz w:val="22"/>
          <w:szCs w:val="22"/>
        </w:rPr>
        <w:t xml:space="preserve"> </w:t>
      </w:r>
    </w:p>
    <w:p w:rsidRPr="007D1D64" w:rsidR="007D1D64" w:rsidP="007D1D64" w:rsidRDefault="007D1D64" w14:paraId="521BB1D8" w14:textId="77777777">
      <w:pPr>
        <w:spacing w:after="160" w:line="259" w:lineRule="auto"/>
        <w:rPr>
          <w:sz w:val="22"/>
          <w:szCs w:val="22"/>
        </w:rPr>
      </w:pPr>
      <w:r w:rsidRPr="007D1D64">
        <w:rPr>
          <w:sz w:val="22"/>
          <w:szCs w:val="22"/>
        </w:rPr>
        <w:t>Where we have identified any third-party copyright information you will need to obtain permission from the copyright holders concerned.</w:t>
      </w:r>
    </w:p>
    <w:p w:rsidRPr="007D1D64" w:rsidR="007D1D64" w:rsidP="007D1D64" w:rsidRDefault="007D1D64" w14:paraId="0B828443" w14:textId="77777777">
      <w:pPr>
        <w:spacing w:after="160" w:line="259" w:lineRule="auto"/>
        <w:rPr>
          <w:sz w:val="22"/>
          <w:szCs w:val="22"/>
        </w:rPr>
      </w:pPr>
      <w:r w:rsidRPr="007D1D64">
        <w:rPr>
          <w:sz w:val="22"/>
          <w:szCs w:val="22"/>
        </w:rPr>
        <w:t xml:space="preserve">Any enquiries regarding this publication should be sent to us at: </w:t>
      </w:r>
    </w:p>
    <w:p w:rsidR="007D1D64" w:rsidRDefault="00A62D44" w14:paraId="5F0B07D2" w14:textId="0E9D6D15">
      <w:pPr>
        <w:spacing w:after="160" w:line="259" w:lineRule="auto"/>
        <w:rPr>
          <w:sz w:val="22"/>
          <w:szCs w:val="22"/>
        </w:rPr>
      </w:pPr>
      <w:hyperlink w:history="1" r:id="rId14">
        <w:r w:rsidRPr="00236685">
          <w:rPr>
            <w:rStyle w:val="Hyperlink"/>
            <w:sz w:val="22"/>
            <w:szCs w:val="22"/>
          </w:rPr>
          <w:t>ODA-Transparency@beis.gov.uk</w:t>
        </w:r>
      </w:hyperlink>
      <w:r>
        <w:rPr>
          <w:sz w:val="22"/>
          <w:szCs w:val="22"/>
        </w:rPr>
        <w:t xml:space="preserve"> </w:t>
      </w:r>
      <w:r w:rsidR="007D1D64">
        <w:rPr>
          <w:sz w:val="22"/>
          <w:szCs w:val="22"/>
        </w:rPr>
        <w:br w:type="page"/>
      </w:r>
    </w:p>
    <w:sdt>
      <w:sdtPr>
        <w:rPr>
          <w:rFonts w:ascii="Arial" w:hAnsi="Arial" w:eastAsia="Times New Roman" w:cs="Times New Roman"/>
          <w:color w:val="auto"/>
          <w:sz w:val="24"/>
          <w:szCs w:val="24"/>
          <w:lang w:val="en-GB"/>
        </w:rPr>
        <w:id w:val="1250429081"/>
        <w:docPartObj>
          <w:docPartGallery w:val="Table of Contents"/>
          <w:docPartUnique/>
        </w:docPartObj>
      </w:sdtPr>
      <w:sdtContent>
        <w:p w:rsidR="001B14BA" w:rsidRDefault="2C4FF6D1" w14:paraId="52C8021F" w14:textId="7479CA6B">
          <w:pPr>
            <w:pStyle w:val="TOCHeading"/>
            <w:rPr>
              <w:rFonts w:ascii="Arial" w:hAnsi="Arial" w:cs="Arial"/>
              <w:color w:val="002060"/>
              <w:sz w:val="76"/>
              <w:szCs w:val="76"/>
            </w:rPr>
          </w:pPr>
          <w:r w:rsidRPr="51BB3CA1">
            <w:rPr>
              <w:rFonts w:ascii="Arial" w:hAnsi="Arial" w:cs="Arial"/>
              <w:color w:val="002060"/>
              <w:sz w:val="76"/>
              <w:szCs w:val="76"/>
            </w:rPr>
            <w:t>Contents</w:t>
          </w:r>
        </w:p>
        <w:p w:rsidRPr="0030176F" w:rsidR="0030176F" w:rsidP="0030176F" w:rsidRDefault="0030176F" w14:paraId="7F576620" w14:textId="77777777">
          <w:pPr>
            <w:rPr>
              <w:lang w:val="en-US"/>
            </w:rPr>
          </w:pPr>
        </w:p>
        <w:p w:rsidR="159F08A2" w:rsidP="159F08A2" w:rsidRDefault="159F08A2" w14:paraId="4A531AFB" w14:textId="7964F4C0">
          <w:pPr>
            <w:pStyle w:val="TOC1"/>
            <w:tabs>
              <w:tab w:val="right" w:leader="dot" w:pos="9016"/>
            </w:tabs>
            <w:rPr>
              <w:rFonts w:cs="Arial"/>
              <w:b/>
              <w:bCs/>
              <w:noProof/>
              <w:lang w:eastAsia="en-GB"/>
            </w:rPr>
          </w:pPr>
        </w:p>
        <w:p w:rsidR="00222248" w:rsidP="51BB3CA1" w:rsidRDefault="00222248" w14:paraId="21AC8E75" w14:textId="00A154E7">
          <w:pPr>
            <w:pStyle w:val="TOC1"/>
            <w:tabs>
              <w:tab w:val="right" w:leader="dot" w:pos="9015"/>
            </w:tabs>
            <w:rPr>
              <w:rStyle w:val="Hyperlink"/>
              <w:noProof/>
              <w:kern w:val="2"/>
              <w:lang w:eastAsia="en-GB"/>
              <w14:ligatures w14:val="standardContextual"/>
            </w:rPr>
          </w:pPr>
          <w:r>
            <w:fldChar w:fldCharType="begin"/>
          </w:r>
          <w:r w:rsidR="001B14BA">
            <w:instrText>TOC \o "1-3" \z \u \h</w:instrText>
          </w:r>
          <w:r>
            <w:fldChar w:fldCharType="separate"/>
          </w:r>
          <w:hyperlink w:anchor="_Toc991926836">
            <w:r w:rsidRPr="51BB3CA1" w:rsidR="51BB3CA1">
              <w:rPr>
                <w:rStyle w:val="Hyperlink"/>
              </w:rPr>
              <w:t>Section A: Summary and overview</w:t>
            </w:r>
            <w:r w:rsidR="001B14BA">
              <w:tab/>
            </w:r>
            <w:r w:rsidR="001B14BA">
              <w:fldChar w:fldCharType="begin"/>
            </w:r>
            <w:r w:rsidR="001B14BA">
              <w:instrText>PAGEREF _Toc991926836 \h</w:instrText>
            </w:r>
            <w:r w:rsidR="001B14BA">
              <w:fldChar w:fldCharType="separate"/>
            </w:r>
            <w:r w:rsidRPr="51BB3CA1" w:rsidR="51BB3CA1">
              <w:rPr>
                <w:rStyle w:val="Hyperlink"/>
              </w:rPr>
              <w:t>3</w:t>
            </w:r>
            <w:r w:rsidR="001B14BA">
              <w:fldChar w:fldCharType="end"/>
            </w:r>
          </w:hyperlink>
        </w:p>
        <w:p w:rsidR="00222248" w:rsidP="51BB3CA1" w:rsidRDefault="51BB3CA1" w14:paraId="73E1D473" w14:textId="547F791F">
          <w:pPr>
            <w:pStyle w:val="TOC2"/>
            <w:tabs>
              <w:tab w:val="right" w:leader="dot" w:pos="9015"/>
            </w:tabs>
            <w:rPr>
              <w:rStyle w:val="Hyperlink"/>
              <w:noProof/>
              <w:kern w:val="2"/>
              <w:lang w:eastAsia="en-GB"/>
              <w14:ligatures w14:val="standardContextual"/>
            </w:rPr>
          </w:pPr>
          <w:hyperlink w:anchor="_Toc77436948">
            <w:r w:rsidRPr="51BB3CA1">
              <w:rPr>
                <w:rStyle w:val="Hyperlink"/>
              </w:rPr>
              <w:t>Description of programme</w:t>
            </w:r>
            <w:r w:rsidR="00222248">
              <w:tab/>
            </w:r>
            <w:r w:rsidR="00222248">
              <w:fldChar w:fldCharType="begin"/>
            </w:r>
            <w:r w:rsidR="00222248">
              <w:instrText>PAGEREF _Toc77436948 \h</w:instrText>
            </w:r>
            <w:r w:rsidR="00222248">
              <w:fldChar w:fldCharType="separate"/>
            </w:r>
            <w:r w:rsidRPr="51BB3CA1">
              <w:rPr>
                <w:rStyle w:val="Hyperlink"/>
              </w:rPr>
              <w:t>3</w:t>
            </w:r>
            <w:r w:rsidR="00222248">
              <w:fldChar w:fldCharType="end"/>
            </w:r>
          </w:hyperlink>
        </w:p>
        <w:p w:rsidR="00222248" w:rsidP="51BB3CA1" w:rsidRDefault="51BB3CA1" w14:paraId="39A03797" w14:textId="17F83891">
          <w:pPr>
            <w:pStyle w:val="TOC2"/>
            <w:tabs>
              <w:tab w:val="right" w:leader="dot" w:pos="9015"/>
            </w:tabs>
            <w:rPr>
              <w:rStyle w:val="Hyperlink"/>
              <w:noProof/>
              <w:kern w:val="2"/>
              <w:lang w:eastAsia="en-GB"/>
              <w14:ligatures w14:val="standardContextual"/>
            </w:rPr>
          </w:pPr>
          <w:hyperlink w:anchor="_Toc672525775">
            <w:r w:rsidRPr="51BB3CA1">
              <w:rPr>
                <w:rStyle w:val="Hyperlink"/>
              </w:rPr>
              <w:t>Summary of progress and supporting narrative for the overall score:</w:t>
            </w:r>
            <w:r w:rsidR="00222248">
              <w:tab/>
            </w:r>
            <w:r w:rsidR="00222248">
              <w:fldChar w:fldCharType="begin"/>
            </w:r>
            <w:r w:rsidR="00222248">
              <w:instrText>PAGEREF _Toc672525775 \h</w:instrText>
            </w:r>
            <w:r w:rsidR="00222248">
              <w:fldChar w:fldCharType="separate"/>
            </w:r>
            <w:r w:rsidRPr="51BB3CA1">
              <w:rPr>
                <w:rStyle w:val="Hyperlink"/>
              </w:rPr>
              <w:t>4</w:t>
            </w:r>
            <w:r w:rsidR="00222248">
              <w:fldChar w:fldCharType="end"/>
            </w:r>
          </w:hyperlink>
        </w:p>
        <w:p w:rsidR="00222248" w:rsidP="51BB3CA1" w:rsidRDefault="51BB3CA1" w14:paraId="5281606A" w14:textId="7C9D74D3">
          <w:pPr>
            <w:pStyle w:val="TOC2"/>
            <w:tabs>
              <w:tab w:val="right" w:leader="dot" w:pos="9015"/>
            </w:tabs>
            <w:rPr>
              <w:rStyle w:val="Hyperlink"/>
              <w:noProof/>
              <w:kern w:val="2"/>
              <w:lang w:eastAsia="en-GB"/>
              <w14:ligatures w14:val="standardContextual"/>
            </w:rPr>
          </w:pPr>
          <w:hyperlink w:anchor="_Toc1208287512">
            <w:r w:rsidRPr="51BB3CA1">
              <w:rPr>
                <w:rStyle w:val="Hyperlink"/>
              </w:rPr>
              <w:t>REM 2 – developments and updates</w:t>
            </w:r>
            <w:r w:rsidR="00222248">
              <w:tab/>
            </w:r>
            <w:r w:rsidR="00222248">
              <w:fldChar w:fldCharType="begin"/>
            </w:r>
            <w:r w:rsidR="00222248">
              <w:instrText>PAGEREF _Toc1208287512 \h</w:instrText>
            </w:r>
            <w:r w:rsidR="00222248">
              <w:fldChar w:fldCharType="separate"/>
            </w:r>
            <w:r w:rsidRPr="51BB3CA1">
              <w:rPr>
                <w:rStyle w:val="Hyperlink"/>
              </w:rPr>
              <w:t>6</w:t>
            </w:r>
            <w:r w:rsidR="00222248">
              <w:fldChar w:fldCharType="end"/>
            </w:r>
          </w:hyperlink>
        </w:p>
        <w:p w:rsidR="00222248" w:rsidP="51BB3CA1" w:rsidRDefault="51BB3CA1" w14:paraId="485CA410" w14:textId="75E9624A">
          <w:pPr>
            <w:pStyle w:val="TOC2"/>
            <w:tabs>
              <w:tab w:val="right" w:leader="dot" w:pos="9015"/>
            </w:tabs>
            <w:rPr>
              <w:rStyle w:val="Hyperlink"/>
              <w:noProof/>
              <w:kern w:val="2"/>
              <w:lang w:eastAsia="en-GB"/>
              <w14:ligatures w14:val="standardContextual"/>
            </w:rPr>
          </w:pPr>
          <w:hyperlink w:anchor="_Toc1580196230">
            <w:r w:rsidRPr="51BB3CA1">
              <w:rPr>
                <w:rStyle w:val="Hyperlink"/>
              </w:rPr>
              <w:t>Progress against recommendations from the last review</w:t>
            </w:r>
            <w:r w:rsidR="00222248">
              <w:tab/>
            </w:r>
            <w:r w:rsidR="00222248">
              <w:fldChar w:fldCharType="begin"/>
            </w:r>
            <w:r w:rsidR="00222248">
              <w:instrText>PAGEREF _Toc1580196230 \h</w:instrText>
            </w:r>
            <w:r w:rsidR="00222248">
              <w:fldChar w:fldCharType="separate"/>
            </w:r>
            <w:r w:rsidRPr="51BB3CA1">
              <w:rPr>
                <w:rStyle w:val="Hyperlink"/>
              </w:rPr>
              <w:t>7</w:t>
            </w:r>
            <w:r w:rsidR="00222248">
              <w:fldChar w:fldCharType="end"/>
            </w:r>
          </w:hyperlink>
        </w:p>
        <w:p w:rsidR="00222248" w:rsidP="51BB3CA1" w:rsidRDefault="51BB3CA1" w14:paraId="250EE6AF" w14:textId="2A9E4601">
          <w:pPr>
            <w:pStyle w:val="TOC2"/>
            <w:tabs>
              <w:tab w:val="right" w:leader="dot" w:pos="9015"/>
            </w:tabs>
            <w:rPr>
              <w:rStyle w:val="Hyperlink"/>
              <w:noProof/>
              <w:kern w:val="2"/>
              <w:lang w:eastAsia="en-GB"/>
              <w14:ligatures w14:val="standardContextual"/>
            </w:rPr>
          </w:pPr>
          <w:hyperlink w:anchor="_Toc1569098174">
            <w:r w:rsidRPr="51BB3CA1">
              <w:rPr>
                <w:rStyle w:val="Hyperlink"/>
              </w:rPr>
              <w:t>Major lessons and recommendations for the year ahead</w:t>
            </w:r>
            <w:r w:rsidR="00222248">
              <w:tab/>
            </w:r>
            <w:r w:rsidR="00222248">
              <w:fldChar w:fldCharType="begin"/>
            </w:r>
            <w:r w:rsidR="00222248">
              <w:instrText>PAGEREF _Toc1569098174 \h</w:instrText>
            </w:r>
            <w:r w:rsidR="00222248">
              <w:fldChar w:fldCharType="separate"/>
            </w:r>
            <w:r w:rsidRPr="51BB3CA1">
              <w:rPr>
                <w:rStyle w:val="Hyperlink"/>
              </w:rPr>
              <w:t>8</w:t>
            </w:r>
            <w:r w:rsidR="00222248">
              <w:fldChar w:fldCharType="end"/>
            </w:r>
          </w:hyperlink>
        </w:p>
        <w:p w:rsidR="00222248" w:rsidP="51BB3CA1" w:rsidRDefault="51BB3CA1" w14:paraId="47B49E7E" w14:textId="702D85DD">
          <w:pPr>
            <w:pStyle w:val="TOC1"/>
            <w:tabs>
              <w:tab w:val="right" w:leader="dot" w:pos="9015"/>
            </w:tabs>
            <w:rPr>
              <w:rStyle w:val="Hyperlink"/>
              <w:noProof/>
              <w:kern w:val="2"/>
              <w:lang w:eastAsia="en-GB"/>
              <w14:ligatures w14:val="standardContextual"/>
            </w:rPr>
          </w:pPr>
          <w:hyperlink w:anchor="_Toc1119001166">
            <w:r w:rsidRPr="51BB3CA1">
              <w:rPr>
                <w:rStyle w:val="Hyperlink"/>
              </w:rPr>
              <w:t>Section B: Theory of change and progress towards outcomes</w:t>
            </w:r>
            <w:r w:rsidR="00222248">
              <w:tab/>
            </w:r>
            <w:r w:rsidR="00222248">
              <w:fldChar w:fldCharType="begin"/>
            </w:r>
            <w:r w:rsidR="00222248">
              <w:instrText>PAGEREF _Toc1119001166 \h</w:instrText>
            </w:r>
            <w:r w:rsidR="00222248">
              <w:fldChar w:fldCharType="separate"/>
            </w:r>
            <w:r w:rsidRPr="51BB3CA1">
              <w:rPr>
                <w:rStyle w:val="Hyperlink"/>
              </w:rPr>
              <w:t>9</w:t>
            </w:r>
            <w:r w:rsidR="00222248">
              <w:fldChar w:fldCharType="end"/>
            </w:r>
          </w:hyperlink>
        </w:p>
        <w:p w:rsidR="00222248" w:rsidP="51BB3CA1" w:rsidRDefault="51BB3CA1" w14:paraId="77311638" w14:textId="72D5B250">
          <w:pPr>
            <w:pStyle w:val="TOC2"/>
            <w:tabs>
              <w:tab w:val="right" w:leader="dot" w:pos="9015"/>
            </w:tabs>
            <w:rPr>
              <w:rStyle w:val="Hyperlink"/>
              <w:noProof/>
              <w:kern w:val="2"/>
              <w:lang w:eastAsia="en-GB"/>
              <w14:ligatures w14:val="standardContextual"/>
            </w:rPr>
          </w:pPr>
          <w:hyperlink w:anchor="_Toc1535417658">
            <w:r w:rsidRPr="51BB3CA1">
              <w:rPr>
                <w:rStyle w:val="Hyperlink"/>
              </w:rPr>
              <w:t>Progress against the expected outcomes and impact, and actions planned for the year ahead</w:t>
            </w:r>
            <w:r w:rsidR="00222248">
              <w:tab/>
            </w:r>
            <w:r w:rsidR="00222248">
              <w:fldChar w:fldCharType="begin"/>
            </w:r>
            <w:r w:rsidR="00222248">
              <w:instrText>PAGEREF _Toc1535417658 \h</w:instrText>
            </w:r>
            <w:r w:rsidR="00222248">
              <w:fldChar w:fldCharType="separate"/>
            </w:r>
            <w:r w:rsidRPr="51BB3CA1">
              <w:rPr>
                <w:rStyle w:val="Hyperlink"/>
              </w:rPr>
              <w:t>11</w:t>
            </w:r>
            <w:r w:rsidR="00222248">
              <w:fldChar w:fldCharType="end"/>
            </w:r>
          </w:hyperlink>
        </w:p>
        <w:p w:rsidR="00222248" w:rsidP="51BB3CA1" w:rsidRDefault="51BB3CA1" w14:paraId="312E695E" w14:textId="6D1DC993">
          <w:pPr>
            <w:pStyle w:val="TOC2"/>
            <w:tabs>
              <w:tab w:val="right" w:leader="dot" w:pos="9015"/>
            </w:tabs>
            <w:rPr>
              <w:rStyle w:val="Hyperlink"/>
              <w:noProof/>
              <w:kern w:val="2"/>
              <w:lang w:eastAsia="en-GB"/>
              <w14:ligatures w14:val="standardContextual"/>
            </w:rPr>
          </w:pPr>
          <w:hyperlink w:anchor="_Toc182298750">
            <w:r w:rsidRPr="51BB3CA1">
              <w:rPr>
                <w:rStyle w:val="Hyperlink"/>
              </w:rPr>
              <w:t>Log frame updates since the last review</w:t>
            </w:r>
            <w:r w:rsidR="00222248">
              <w:tab/>
            </w:r>
            <w:r w:rsidR="00222248">
              <w:fldChar w:fldCharType="begin"/>
            </w:r>
            <w:r w:rsidR="00222248">
              <w:instrText>PAGEREF _Toc182298750 \h</w:instrText>
            </w:r>
            <w:r w:rsidR="00222248">
              <w:fldChar w:fldCharType="separate"/>
            </w:r>
            <w:r w:rsidRPr="51BB3CA1">
              <w:rPr>
                <w:rStyle w:val="Hyperlink"/>
              </w:rPr>
              <w:t>14</w:t>
            </w:r>
            <w:r w:rsidR="00222248">
              <w:fldChar w:fldCharType="end"/>
            </w:r>
          </w:hyperlink>
        </w:p>
        <w:p w:rsidR="00222248" w:rsidP="51BB3CA1" w:rsidRDefault="51BB3CA1" w14:paraId="5C8CFAE9" w14:textId="1DDA0803">
          <w:pPr>
            <w:pStyle w:val="TOC1"/>
            <w:tabs>
              <w:tab w:val="right" w:leader="dot" w:pos="9015"/>
            </w:tabs>
            <w:rPr>
              <w:rStyle w:val="Hyperlink"/>
              <w:noProof/>
              <w:kern w:val="2"/>
              <w:lang w:eastAsia="en-GB"/>
              <w14:ligatures w14:val="standardContextual"/>
            </w:rPr>
          </w:pPr>
          <w:hyperlink w:anchor="_Toc808914489">
            <w:r w:rsidRPr="51BB3CA1">
              <w:rPr>
                <w:rStyle w:val="Hyperlink"/>
              </w:rPr>
              <w:t>Section C: Output scoring</w:t>
            </w:r>
            <w:r w:rsidR="00222248">
              <w:tab/>
            </w:r>
            <w:r w:rsidR="00222248">
              <w:fldChar w:fldCharType="begin"/>
            </w:r>
            <w:r w:rsidR="00222248">
              <w:instrText>PAGEREF _Toc808914489 \h</w:instrText>
            </w:r>
            <w:r w:rsidR="00222248">
              <w:fldChar w:fldCharType="separate"/>
            </w:r>
            <w:r w:rsidRPr="51BB3CA1">
              <w:rPr>
                <w:rStyle w:val="Hyperlink"/>
              </w:rPr>
              <w:t>14</w:t>
            </w:r>
            <w:r w:rsidR="00222248">
              <w:fldChar w:fldCharType="end"/>
            </w:r>
          </w:hyperlink>
        </w:p>
        <w:p w:rsidR="00222248" w:rsidP="51BB3CA1" w:rsidRDefault="51BB3CA1" w14:paraId="2782AC97" w14:textId="07D9B96B">
          <w:pPr>
            <w:pStyle w:val="TOC1"/>
            <w:tabs>
              <w:tab w:val="right" w:leader="dot" w:pos="9015"/>
            </w:tabs>
            <w:rPr>
              <w:rStyle w:val="Hyperlink"/>
              <w:noProof/>
              <w:kern w:val="2"/>
              <w:lang w:eastAsia="en-GB"/>
              <w14:ligatures w14:val="standardContextual"/>
            </w:rPr>
          </w:pPr>
          <w:hyperlink w:anchor="_Toc848071074">
            <w:r w:rsidRPr="51BB3CA1">
              <w:rPr>
                <w:rStyle w:val="Hyperlink"/>
              </w:rPr>
              <w:t>Section D: Programme performance not captured by outputs</w:t>
            </w:r>
            <w:r w:rsidR="00222248">
              <w:tab/>
            </w:r>
            <w:r w:rsidR="00222248">
              <w:fldChar w:fldCharType="begin"/>
            </w:r>
            <w:r w:rsidR="00222248">
              <w:instrText>PAGEREF _Toc848071074 \h</w:instrText>
            </w:r>
            <w:r w:rsidR="00222248">
              <w:fldChar w:fldCharType="separate"/>
            </w:r>
            <w:r w:rsidRPr="51BB3CA1">
              <w:rPr>
                <w:rStyle w:val="Hyperlink"/>
              </w:rPr>
              <w:t>20</w:t>
            </w:r>
            <w:r w:rsidR="00222248">
              <w:fldChar w:fldCharType="end"/>
            </w:r>
          </w:hyperlink>
        </w:p>
        <w:p w:rsidR="00222248" w:rsidP="51BB3CA1" w:rsidRDefault="51BB3CA1" w14:paraId="5B23DE91" w14:textId="38638217">
          <w:pPr>
            <w:pStyle w:val="TOC1"/>
            <w:tabs>
              <w:tab w:val="right" w:leader="dot" w:pos="9015"/>
            </w:tabs>
            <w:rPr>
              <w:rStyle w:val="Hyperlink"/>
              <w:noProof/>
              <w:kern w:val="2"/>
              <w:lang w:eastAsia="en-GB"/>
              <w14:ligatures w14:val="standardContextual"/>
            </w:rPr>
          </w:pPr>
          <w:hyperlink w:anchor="_Toc1461603393">
            <w:r w:rsidRPr="51BB3CA1">
              <w:rPr>
                <w:rStyle w:val="Hyperlink"/>
              </w:rPr>
              <w:t>Section E: Risk</w:t>
            </w:r>
            <w:r w:rsidR="00222248">
              <w:tab/>
            </w:r>
            <w:r w:rsidR="00222248">
              <w:fldChar w:fldCharType="begin"/>
            </w:r>
            <w:r w:rsidR="00222248">
              <w:instrText>PAGEREF _Toc1461603393 \h</w:instrText>
            </w:r>
            <w:r w:rsidR="00222248">
              <w:fldChar w:fldCharType="separate"/>
            </w:r>
            <w:r w:rsidRPr="51BB3CA1">
              <w:rPr>
                <w:rStyle w:val="Hyperlink"/>
              </w:rPr>
              <w:t>21</w:t>
            </w:r>
            <w:r w:rsidR="00222248">
              <w:fldChar w:fldCharType="end"/>
            </w:r>
          </w:hyperlink>
        </w:p>
        <w:p w:rsidR="00222248" w:rsidP="51BB3CA1" w:rsidRDefault="51BB3CA1" w14:paraId="0A1E45FC" w14:textId="32EC4E3E">
          <w:pPr>
            <w:pStyle w:val="TOC2"/>
            <w:tabs>
              <w:tab w:val="right" w:leader="dot" w:pos="9015"/>
            </w:tabs>
            <w:rPr>
              <w:rStyle w:val="Hyperlink"/>
              <w:noProof/>
              <w:kern w:val="2"/>
              <w:lang w:eastAsia="en-GB"/>
              <w14:ligatures w14:val="standardContextual"/>
            </w:rPr>
          </w:pPr>
          <w:hyperlink w:anchor="_Toc2060992056">
            <w:r w:rsidRPr="51BB3CA1">
              <w:rPr>
                <w:rStyle w:val="Hyperlink"/>
              </w:rPr>
              <w:t>Overall risk rating</w:t>
            </w:r>
            <w:r w:rsidR="00222248">
              <w:tab/>
            </w:r>
            <w:r w:rsidR="00222248">
              <w:fldChar w:fldCharType="begin"/>
            </w:r>
            <w:r w:rsidR="00222248">
              <w:instrText>PAGEREF _Toc2060992056 \h</w:instrText>
            </w:r>
            <w:r w:rsidR="00222248">
              <w:fldChar w:fldCharType="separate"/>
            </w:r>
            <w:r w:rsidRPr="51BB3CA1">
              <w:rPr>
                <w:rStyle w:val="Hyperlink"/>
              </w:rPr>
              <w:t>21</w:t>
            </w:r>
            <w:r w:rsidR="00222248">
              <w:fldChar w:fldCharType="end"/>
            </w:r>
          </w:hyperlink>
        </w:p>
        <w:p w:rsidR="00222248" w:rsidP="51BB3CA1" w:rsidRDefault="51BB3CA1" w14:paraId="466F77D7" w14:textId="19B4FEBE">
          <w:pPr>
            <w:pStyle w:val="TOC1"/>
            <w:tabs>
              <w:tab w:val="right" w:leader="dot" w:pos="9015"/>
            </w:tabs>
            <w:rPr>
              <w:rStyle w:val="Hyperlink"/>
              <w:noProof/>
              <w:kern w:val="2"/>
              <w:lang w:eastAsia="en-GB"/>
              <w14:ligatures w14:val="standardContextual"/>
            </w:rPr>
          </w:pPr>
          <w:hyperlink w:anchor="_Toc2082133812">
            <w:r w:rsidRPr="51BB3CA1">
              <w:rPr>
                <w:rStyle w:val="Hyperlink"/>
              </w:rPr>
              <w:t>Section F: Programme management: delivery, VfM, commercial and financial performance</w:t>
            </w:r>
            <w:r w:rsidR="00222248">
              <w:tab/>
            </w:r>
            <w:r w:rsidR="00222248">
              <w:fldChar w:fldCharType="begin"/>
            </w:r>
            <w:r w:rsidR="00222248">
              <w:instrText>PAGEREF _Toc2082133812 \h</w:instrText>
            </w:r>
            <w:r w:rsidR="00222248">
              <w:fldChar w:fldCharType="separate"/>
            </w:r>
            <w:r w:rsidRPr="51BB3CA1">
              <w:rPr>
                <w:rStyle w:val="Hyperlink"/>
              </w:rPr>
              <w:t>22</w:t>
            </w:r>
            <w:r w:rsidR="00222248">
              <w:fldChar w:fldCharType="end"/>
            </w:r>
          </w:hyperlink>
        </w:p>
        <w:p w:rsidR="00222248" w:rsidP="51BB3CA1" w:rsidRDefault="51BB3CA1" w14:paraId="3D553BC9" w14:textId="08A47E74">
          <w:pPr>
            <w:pStyle w:val="TOC2"/>
            <w:tabs>
              <w:tab w:val="right" w:leader="dot" w:pos="9015"/>
            </w:tabs>
            <w:rPr>
              <w:rStyle w:val="Hyperlink"/>
              <w:noProof/>
              <w:kern w:val="2"/>
              <w:lang w:eastAsia="en-GB"/>
              <w14:ligatures w14:val="standardContextual"/>
            </w:rPr>
          </w:pPr>
          <w:hyperlink w:anchor="_Toc1971678053">
            <w:r w:rsidRPr="51BB3CA1">
              <w:rPr>
                <w:rStyle w:val="Hyperlink"/>
              </w:rPr>
              <w:t>Summary of the performance of partners and DESNZ, notably on commercial and financial issues, and including consideration of VfM</w:t>
            </w:r>
            <w:r w:rsidR="00222248">
              <w:tab/>
            </w:r>
            <w:r w:rsidR="00222248">
              <w:fldChar w:fldCharType="begin"/>
            </w:r>
            <w:r w:rsidR="00222248">
              <w:instrText>PAGEREF _Toc1971678053 \h</w:instrText>
            </w:r>
            <w:r w:rsidR="00222248">
              <w:fldChar w:fldCharType="separate"/>
            </w:r>
            <w:r w:rsidRPr="51BB3CA1">
              <w:rPr>
                <w:rStyle w:val="Hyperlink"/>
              </w:rPr>
              <w:t>22</w:t>
            </w:r>
            <w:r w:rsidR="00222248">
              <w:fldChar w:fldCharType="end"/>
            </w:r>
          </w:hyperlink>
          <w:r w:rsidR="00222248">
            <w:fldChar w:fldCharType="end"/>
          </w:r>
        </w:p>
      </w:sdtContent>
      <w:sdtEndPr>
        <w:rPr>
          <w:rFonts w:ascii="Arial" w:hAnsi="Arial" w:eastAsia="Times New Roman" w:cs="Times New Roman"/>
          <w:color w:val="auto"/>
          <w:sz w:val="24"/>
          <w:szCs w:val="24"/>
          <w:lang w:val="en-GB"/>
        </w:rPr>
      </w:sdtEndPr>
    </w:sdt>
    <w:p w:rsidR="001B14BA" w:rsidP="00276517" w:rsidRDefault="001B14BA" w14:paraId="5E063C9F" w14:textId="09E36F35">
      <w:pPr>
        <w:spacing w:line="276" w:lineRule="auto"/>
      </w:pPr>
    </w:p>
    <w:p w:rsidR="008D3049" w:rsidRDefault="008D3049" w14:paraId="07D3ACBE" w14:textId="7E9E2984">
      <w:pPr>
        <w:spacing w:after="160" w:line="259" w:lineRule="auto"/>
        <w:rPr>
          <w:sz w:val="22"/>
          <w:szCs w:val="22"/>
        </w:rPr>
      </w:pPr>
      <w:r>
        <w:rPr>
          <w:sz w:val="22"/>
          <w:szCs w:val="22"/>
        </w:rPr>
        <w:br w:type="page"/>
      </w:r>
    </w:p>
    <w:p w:rsidR="004D2FC0" w:rsidP="006C516E" w:rsidRDefault="004D2FC0" w14:paraId="32718D3E" w14:textId="4C4B50DF"/>
    <w:tbl>
      <w:tblPr>
        <w:tblStyle w:val="TableGrid"/>
        <w:tblW w:w="0" w:type="auto"/>
        <w:tblLook w:val="04A0" w:firstRow="1" w:lastRow="0" w:firstColumn="1" w:lastColumn="0" w:noHBand="0" w:noVBand="1"/>
      </w:tblPr>
      <w:tblGrid>
        <w:gridCol w:w="9016"/>
      </w:tblGrid>
      <w:tr w:rsidR="00495286" w:rsidTr="51BB3CA1" w14:paraId="65DE13A0" w14:textId="77777777">
        <w:tc>
          <w:tcPr>
            <w:tcW w:w="9016" w:type="dxa"/>
            <w:shd w:val="clear" w:color="auto" w:fill="DEEAF6" w:themeFill="accent5" w:themeFillTint="33"/>
          </w:tcPr>
          <w:p w:rsidR="00495286" w:rsidP="006C516E" w:rsidRDefault="00495286" w14:paraId="7DC76797" w14:textId="53AA52D0">
            <w:bookmarkStart w:name="_Toc991926836" w:id="0"/>
            <w:r w:rsidRPr="51BB3CA1">
              <w:rPr>
                <w:rStyle w:val="Heading1Char"/>
                <w:rFonts w:ascii="Arial" w:hAnsi="Arial" w:cs="Arial"/>
                <w:b/>
                <w:bCs/>
                <w:color w:val="auto"/>
              </w:rPr>
              <w:t>Section A: Summary and overview</w:t>
            </w:r>
            <w:bookmarkEnd w:id="0"/>
            <w:r>
              <w:t xml:space="preserve"> </w:t>
            </w:r>
          </w:p>
        </w:tc>
      </w:tr>
    </w:tbl>
    <w:p w:rsidRPr="003F6641" w:rsidR="004D2FC0" w:rsidP="65DBFDDE" w:rsidRDefault="004D2FC0" w14:paraId="334BCECA" w14:textId="759C0065">
      <w:pPr>
        <w:spacing w:after="160" w:line="259"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90"/>
        <w:gridCol w:w="2400"/>
        <w:gridCol w:w="3195"/>
      </w:tblGrid>
      <w:tr w:rsidR="65DBFDDE" w:rsidTr="65A3266B" w14:paraId="2561D364" w14:textId="77777777">
        <w:trPr>
          <w:trHeight w:val="405"/>
        </w:trPr>
        <w:tc>
          <w:tcPr>
            <w:tcW w:w="8985" w:type="dxa"/>
            <w:gridSpan w:val="3"/>
            <w:tcBorders>
              <w:top w:val="single" w:color="auto" w:sz="6" w:space="0"/>
              <w:left w:val="single" w:color="auto" w:sz="6" w:space="0"/>
              <w:bottom w:val="dotted" w:color="000000" w:themeColor="text1" w:sz="6" w:space="0"/>
              <w:right w:val="single" w:color="auto" w:sz="6" w:space="0"/>
            </w:tcBorders>
            <w:tcMar>
              <w:left w:w="105" w:type="dxa"/>
              <w:right w:w="105" w:type="dxa"/>
            </w:tcMar>
          </w:tcPr>
          <w:p w:rsidRPr="002234C7" w:rsidR="65DBFDDE" w:rsidP="578D5448" w:rsidRDefault="65DBFDDE" w14:paraId="2E9E0B58" w14:textId="523A195E">
            <w:pPr>
              <w:spacing w:line="259" w:lineRule="auto"/>
              <w:rPr>
                <w:rFonts w:eastAsia="Arial" w:cs="Arial"/>
                <w:sz w:val="20"/>
                <w:szCs w:val="20"/>
              </w:rPr>
            </w:pPr>
            <w:r w:rsidRPr="65A3266B">
              <w:rPr>
                <w:rFonts w:eastAsia="Arial" w:cs="Arial"/>
                <w:b/>
                <w:bCs/>
                <w:sz w:val="20"/>
                <w:szCs w:val="20"/>
                <w:lang w:val="en-US"/>
              </w:rPr>
              <w:t xml:space="preserve">Title:  </w:t>
            </w:r>
            <w:r w:rsidRPr="65A3266B">
              <w:rPr>
                <w:rFonts w:eastAsia="Arial" w:cs="Arial"/>
                <w:sz w:val="20"/>
                <w:szCs w:val="20"/>
              </w:rPr>
              <w:t>REDD Early Movers (REM)</w:t>
            </w:r>
            <w:r w:rsidRPr="65A3266B" w:rsidR="56388695">
              <w:rPr>
                <w:rFonts w:eastAsia="Arial" w:cs="Arial"/>
                <w:sz w:val="20"/>
                <w:szCs w:val="20"/>
              </w:rPr>
              <w:t xml:space="preserve"> - Phase 1 and Phase 2</w:t>
            </w:r>
          </w:p>
        </w:tc>
      </w:tr>
      <w:tr w:rsidR="65DBFDDE" w:rsidTr="65A3266B" w14:paraId="75FB9828" w14:textId="77777777">
        <w:trPr>
          <w:trHeight w:val="405"/>
        </w:trPr>
        <w:tc>
          <w:tcPr>
            <w:tcW w:w="5790" w:type="dxa"/>
            <w:gridSpan w:val="2"/>
            <w:tcBorders>
              <w:top w:val="dotted" w:color="000000" w:themeColor="text1" w:sz="6" w:space="0"/>
              <w:left w:val="single" w:color="000000" w:themeColor="text1" w:sz="6" w:space="0"/>
              <w:bottom w:val="dotted" w:color="000000" w:themeColor="text1" w:sz="6" w:space="0"/>
              <w:right w:val="dotted" w:color="000000" w:themeColor="text1" w:sz="6" w:space="0"/>
            </w:tcBorders>
            <w:tcMar>
              <w:left w:w="105" w:type="dxa"/>
              <w:right w:w="105" w:type="dxa"/>
            </w:tcMar>
          </w:tcPr>
          <w:p w:rsidRPr="002234C7" w:rsidR="65DBFDDE" w:rsidP="578D5448" w:rsidRDefault="65DBFDDE" w14:paraId="3B56F299" w14:textId="35EAA8E0">
            <w:pPr>
              <w:spacing w:line="259" w:lineRule="auto"/>
              <w:rPr>
                <w:rFonts w:eastAsia="Arial" w:cs="Arial"/>
                <w:sz w:val="20"/>
                <w:szCs w:val="20"/>
              </w:rPr>
            </w:pPr>
            <w:r w:rsidRPr="002234C7">
              <w:rPr>
                <w:rFonts w:eastAsia="Arial" w:cs="Arial"/>
                <w:b/>
                <w:bCs/>
                <w:sz w:val="20"/>
                <w:szCs w:val="20"/>
                <w:lang w:val="en-US"/>
              </w:rPr>
              <w:t xml:space="preserve">Programme Value £ (full life): </w:t>
            </w:r>
            <w:r w:rsidRPr="002234C7">
              <w:rPr>
                <w:rFonts w:eastAsia="Arial" w:cs="Arial"/>
                <w:sz w:val="20"/>
                <w:szCs w:val="20"/>
              </w:rPr>
              <w:t>£73.3m</w:t>
            </w:r>
            <w:r w:rsidR="006861ED">
              <w:rPr>
                <w:rFonts w:eastAsia="Arial" w:cs="Arial"/>
                <w:sz w:val="20"/>
                <w:szCs w:val="20"/>
              </w:rPr>
              <w:t xml:space="preserve"> (Phase 1), £30 million (Phase 2)</w:t>
            </w:r>
          </w:p>
        </w:tc>
        <w:tc>
          <w:tcPr>
            <w:tcW w:w="3195" w:type="dxa"/>
            <w:tcBorders>
              <w:top w:val="dotted" w:color="000000" w:themeColor="text1" w:sz="6" w:space="0"/>
              <w:left w:val="dotted" w:color="000000" w:themeColor="text1" w:sz="6" w:space="0"/>
              <w:bottom w:val="dotted" w:color="000000" w:themeColor="text1" w:sz="6" w:space="0"/>
              <w:right w:val="single" w:color="000000" w:themeColor="text1" w:sz="6" w:space="0"/>
            </w:tcBorders>
            <w:tcMar>
              <w:left w:w="105" w:type="dxa"/>
              <w:right w:w="105" w:type="dxa"/>
            </w:tcMar>
          </w:tcPr>
          <w:p w:rsidRPr="002234C7" w:rsidR="65DBFDDE" w:rsidP="0C1849AE" w:rsidRDefault="65DBFDDE" w14:paraId="542C9D6D" w14:textId="79F0C235">
            <w:pPr>
              <w:spacing w:line="259" w:lineRule="auto"/>
              <w:rPr>
                <w:rFonts w:eastAsia="Arial" w:cs="Arial"/>
                <w:b/>
                <w:bCs/>
                <w:sz w:val="20"/>
                <w:szCs w:val="20"/>
              </w:rPr>
            </w:pPr>
            <w:r w:rsidRPr="3FFF59C2">
              <w:rPr>
                <w:rFonts w:eastAsia="Arial" w:cs="Arial"/>
                <w:b/>
                <w:bCs/>
                <w:sz w:val="20"/>
                <w:szCs w:val="20"/>
              </w:rPr>
              <w:t xml:space="preserve">Review date: </w:t>
            </w:r>
            <w:r w:rsidRPr="3FFF59C2" w:rsidR="4F167F3A">
              <w:rPr>
                <w:rFonts w:eastAsia="Arial" w:cs="Arial"/>
                <w:b/>
                <w:bCs/>
                <w:sz w:val="20"/>
                <w:szCs w:val="20"/>
              </w:rPr>
              <w:t>July 2024</w:t>
            </w:r>
          </w:p>
          <w:p w:rsidRPr="002234C7" w:rsidR="65DBFDDE" w:rsidP="578D5448" w:rsidRDefault="65DBFDDE" w14:paraId="5356296B" w14:textId="4A54E07D">
            <w:pPr>
              <w:spacing w:line="259" w:lineRule="auto"/>
              <w:rPr>
                <w:rFonts w:eastAsia="Arial" w:cs="Arial"/>
                <w:sz w:val="20"/>
                <w:szCs w:val="20"/>
              </w:rPr>
            </w:pPr>
            <w:r w:rsidRPr="3FFF59C2">
              <w:rPr>
                <w:rFonts w:eastAsia="Arial" w:cs="Arial"/>
                <w:b/>
                <w:bCs/>
                <w:sz w:val="20"/>
                <w:szCs w:val="20"/>
              </w:rPr>
              <w:t>Review Period:</w:t>
            </w:r>
            <w:r w:rsidRPr="3FFF59C2">
              <w:rPr>
                <w:rFonts w:eastAsia="Arial" w:cs="Arial"/>
                <w:sz w:val="20"/>
                <w:szCs w:val="20"/>
              </w:rPr>
              <w:t xml:space="preserve"> </w:t>
            </w:r>
            <w:r w:rsidR="00E43E7F">
              <w:rPr>
                <w:rFonts w:eastAsia="Arial" w:cs="Arial"/>
                <w:sz w:val="20"/>
                <w:szCs w:val="20"/>
              </w:rPr>
              <w:t>1</w:t>
            </w:r>
            <w:r w:rsidRPr="00E43E7F" w:rsidR="00E43E7F">
              <w:rPr>
                <w:rFonts w:eastAsia="Arial" w:cs="Arial"/>
                <w:sz w:val="20"/>
                <w:szCs w:val="20"/>
                <w:vertAlign w:val="superscript"/>
              </w:rPr>
              <w:t>st</w:t>
            </w:r>
            <w:r w:rsidR="00E43E7F">
              <w:rPr>
                <w:rFonts w:eastAsia="Arial" w:cs="Arial"/>
                <w:sz w:val="20"/>
                <w:szCs w:val="20"/>
              </w:rPr>
              <w:t xml:space="preserve"> </w:t>
            </w:r>
            <w:r w:rsidRPr="3FFF59C2">
              <w:rPr>
                <w:rFonts w:eastAsia="Arial" w:cs="Arial"/>
                <w:sz w:val="20"/>
                <w:szCs w:val="20"/>
              </w:rPr>
              <w:t>July 20</w:t>
            </w:r>
            <w:r w:rsidRPr="3FFF59C2" w:rsidR="33425F73">
              <w:rPr>
                <w:rFonts w:eastAsia="Arial" w:cs="Arial"/>
                <w:sz w:val="20"/>
                <w:szCs w:val="20"/>
              </w:rPr>
              <w:t>23-</w:t>
            </w:r>
            <w:r w:rsidR="00E43E7F">
              <w:rPr>
                <w:rFonts w:eastAsia="Arial" w:cs="Arial"/>
                <w:sz w:val="20"/>
                <w:szCs w:val="20"/>
              </w:rPr>
              <w:t>30</w:t>
            </w:r>
            <w:r w:rsidRPr="00E43E7F" w:rsidR="00E43E7F">
              <w:rPr>
                <w:rFonts w:eastAsia="Arial" w:cs="Arial"/>
                <w:sz w:val="20"/>
                <w:szCs w:val="20"/>
                <w:vertAlign w:val="superscript"/>
              </w:rPr>
              <w:t>th</w:t>
            </w:r>
            <w:r w:rsidRPr="3FFF59C2" w:rsidR="33425F73">
              <w:rPr>
                <w:rFonts w:eastAsia="Arial" w:cs="Arial"/>
                <w:sz w:val="20"/>
                <w:szCs w:val="20"/>
              </w:rPr>
              <w:t>Ju</w:t>
            </w:r>
            <w:r w:rsidR="006861ED">
              <w:rPr>
                <w:rFonts w:eastAsia="Arial" w:cs="Arial"/>
                <w:sz w:val="20"/>
                <w:szCs w:val="20"/>
              </w:rPr>
              <w:t xml:space="preserve">ne </w:t>
            </w:r>
            <w:r w:rsidRPr="3FFF59C2" w:rsidR="33425F73">
              <w:rPr>
                <w:rFonts w:eastAsia="Arial" w:cs="Arial"/>
                <w:sz w:val="20"/>
                <w:szCs w:val="20"/>
              </w:rPr>
              <w:t>2024</w:t>
            </w:r>
          </w:p>
        </w:tc>
      </w:tr>
      <w:tr w:rsidR="65DBFDDE" w:rsidTr="65A3266B" w14:paraId="166D98F7" w14:textId="77777777">
        <w:trPr>
          <w:trHeight w:val="300"/>
        </w:trPr>
        <w:tc>
          <w:tcPr>
            <w:tcW w:w="3390" w:type="dxa"/>
            <w:tcBorders>
              <w:top w:val="dotted" w:color="000000" w:themeColor="text1" w:sz="6" w:space="0"/>
              <w:left w:val="single" w:color="000000" w:themeColor="text1" w:sz="6" w:space="0"/>
              <w:bottom w:val="single" w:color="000000" w:themeColor="text1" w:sz="6" w:space="0"/>
              <w:right w:val="dotted" w:color="000000" w:themeColor="text1" w:sz="6" w:space="0"/>
            </w:tcBorders>
            <w:tcMar>
              <w:left w:w="105" w:type="dxa"/>
              <w:right w:w="105" w:type="dxa"/>
            </w:tcMar>
          </w:tcPr>
          <w:p w:rsidRPr="002234C7" w:rsidR="65DBFDDE" w:rsidP="578D5448" w:rsidRDefault="65DBFDDE" w14:paraId="23C0D166" w14:textId="63C99C45">
            <w:pPr>
              <w:spacing w:line="259" w:lineRule="auto"/>
              <w:rPr>
                <w:rFonts w:eastAsia="Arial" w:cs="Arial"/>
                <w:color w:val="000000" w:themeColor="text1"/>
                <w:sz w:val="20"/>
                <w:szCs w:val="20"/>
                <w:lang w:val="fr-FR"/>
              </w:rPr>
            </w:pPr>
            <w:r w:rsidRPr="002234C7">
              <w:rPr>
                <w:rFonts w:eastAsia="Arial" w:cs="Arial"/>
                <w:b/>
                <w:bCs/>
                <w:sz w:val="20"/>
                <w:szCs w:val="20"/>
                <w:lang w:val="fr-FR"/>
              </w:rPr>
              <w:t xml:space="preserve">Programme Code: </w:t>
            </w:r>
            <w:r w:rsidRPr="002234C7">
              <w:rPr>
                <w:rStyle w:val="normaltextrun"/>
                <w:rFonts w:eastAsia="Arial" w:cs="Arial"/>
                <w:color w:val="000000" w:themeColor="text1"/>
                <w:sz w:val="20"/>
                <w:szCs w:val="20"/>
                <w:lang w:val="fr-FR"/>
              </w:rPr>
              <w:t>GB-GOV-13-ICF-0019-REM </w:t>
            </w:r>
          </w:p>
          <w:p w:rsidRPr="002234C7" w:rsidR="65DBFDDE" w:rsidP="578D5448" w:rsidRDefault="65DBFDDE" w14:paraId="6E492864" w14:textId="7610CDF8">
            <w:pPr>
              <w:spacing w:line="259" w:lineRule="auto"/>
              <w:rPr>
                <w:rFonts w:eastAsia="Arial" w:cs="Arial"/>
                <w:sz w:val="20"/>
                <w:szCs w:val="20"/>
                <w:lang w:val="fr-FR"/>
              </w:rPr>
            </w:pPr>
          </w:p>
          <w:p w:rsidRPr="002234C7" w:rsidR="65DBFDDE" w:rsidP="578D5448" w:rsidRDefault="65DBFDDE" w14:paraId="60D45B33" w14:textId="68CFDAC4">
            <w:pPr>
              <w:spacing w:line="259" w:lineRule="auto"/>
              <w:rPr>
                <w:rFonts w:eastAsia="Arial" w:cs="Arial"/>
                <w:sz w:val="20"/>
                <w:szCs w:val="20"/>
                <w:lang w:val="fr-FR"/>
              </w:rPr>
            </w:pPr>
          </w:p>
        </w:tc>
        <w:tc>
          <w:tcPr>
            <w:tcW w:w="2400" w:type="dxa"/>
            <w:tcBorders>
              <w:top w:val="dotted" w:color="000000" w:themeColor="text1" w:sz="6" w:space="0"/>
              <w:left w:val="dotted" w:color="000000" w:themeColor="text1" w:sz="6" w:space="0"/>
              <w:bottom w:val="single" w:color="000000" w:themeColor="text1" w:sz="6" w:space="0"/>
              <w:right w:val="dotted" w:color="000000" w:themeColor="text1" w:sz="6" w:space="0"/>
            </w:tcBorders>
            <w:tcMar>
              <w:left w:w="105" w:type="dxa"/>
              <w:right w:w="105" w:type="dxa"/>
            </w:tcMar>
          </w:tcPr>
          <w:p w:rsidRPr="002234C7" w:rsidR="65DBFDDE" w:rsidP="578D5448" w:rsidRDefault="65DBFDDE" w14:paraId="72573412" w14:textId="77777777">
            <w:pPr>
              <w:spacing w:line="259" w:lineRule="auto"/>
              <w:rPr>
                <w:rFonts w:eastAsia="Arial" w:cs="Arial"/>
                <w:sz w:val="20"/>
                <w:szCs w:val="20"/>
                <w:lang w:val="en-US"/>
              </w:rPr>
            </w:pPr>
            <w:r w:rsidRPr="002234C7">
              <w:rPr>
                <w:rFonts w:eastAsia="Arial" w:cs="Arial"/>
                <w:b/>
                <w:bCs/>
                <w:sz w:val="20"/>
                <w:szCs w:val="20"/>
                <w:lang w:val="en-US"/>
              </w:rPr>
              <w:t>Programme start date:</w:t>
            </w:r>
            <w:r w:rsidRPr="002234C7">
              <w:rPr>
                <w:rFonts w:eastAsia="Arial" w:cs="Arial"/>
                <w:sz w:val="20"/>
                <w:szCs w:val="20"/>
                <w:lang w:val="en-US"/>
              </w:rPr>
              <w:t xml:space="preserve"> 2015</w:t>
            </w:r>
            <w:r w:rsidRPr="002234C7" w:rsidR="00DF0602">
              <w:rPr>
                <w:rFonts w:eastAsia="Arial" w:cs="Arial"/>
                <w:sz w:val="20"/>
                <w:szCs w:val="20"/>
                <w:lang w:val="en-US"/>
              </w:rPr>
              <w:t xml:space="preserve"> (Colombia)</w:t>
            </w:r>
          </w:p>
          <w:p w:rsidRPr="002234C7" w:rsidR="00DF0602" w:rsidP="578D5448" w:rsidRDefault="00881213" w14:paraId="6380EE4D" w14:textId="1A40405A">
            <w:pPr>
              <w:spacing w:line="259" w:lineRule="auto"/>
              <w:rPr>
                <w:rFonts w:eastAsia="Arial" w:cs="Arial"/>
                <w:sz w:val="20"/>
                <w:szCs w:val="20"/>
              </w:rPr>
            </w:pPr>
            <w:r w:rsidRPr="002234C7">
              <w:rPr>
                <w:rFonts w:eastAsia="Arial" w:cs="Arial"/>
                <w:sz w:val="20"/>
                <w:szCs w:val="20"/>
              </w:rPr>
              <w:t>2016 (Acre and Mato Grosso)</w:t>
            </w:r>
          </w:p>
        </w:tc>
        <w:tc>
          <w:tcPr>
            <w:tcW w:w="3195" w:type="dxa"/>
            <w:tcBorders>
              <w:top w:val="dotted" w:color="000000" w:themeColor="text1" w:sz="6" w:space="0"/>
              <w:left w:val="dotted" w:color="000000" w:themeColor="text1" w:sz="6" w:space="0"/>
              <w:bottom w:val="single" w:color="auto" w:sz="6" w:space="0"/>
              <w:right w:val="single" w:color="auto" w:sz="6" w:space="0"/>
            </w:tcBorders>
            <w:tcMar>
              <w:left w:w="105" w:type="dxa"/>
              <w:right w:w="105" w:type="dxa"/>
            </w:tcMar>
          </w:tcPr>
          <w:p w:rsidRPr="002234C7" w:rsidR="65DBFDDE" w:rsidP="578D5448" w:rsidRDefault="65DBFDDE" w14:paraId="33634DB0" w14:textId="0230034C">
            <w:pPr>
              <w:spacing w:line="259" w:lineRule="auto"/>
              <w:rPr>
                <w:rFonts w:eastAsia="Arial" w:cs="Arial"/>
                <w:sz w:val="20"/>
                <w:szCs w:val="20"/>
              </w:rPr>
            </w:pPr>
            <w:r w:rsidRPr="002234C7">
              <w:rPr>
                <w:rFonts w:eastAsia="Arial" w:cs="Arial"/>
                <w:b/>
                <w:bCs/>
                <w:sz w:val="20"/>
                <w:szCs w:val="20"/>
              </w:rPr>
              <w:t>Programme end date:</w:t>
            </w:r>
            <w:r w:rsidRPr="002234C7">
              <w:rPr>
                <w:rFonts w:eastAsia="Arial" w:cs="Arial"/>
                <w:sz w:val="20"/>
                <w:szCs w:val="20"/>
              </w:rPr>
              <w:t xml:space="preserve"> </w:t>
            </w:r>
          </w:p>
          <w:p w:rsidRPr="002234C7" w:rsidR="65DBFDDE" w:rsidP="578D5448" w:rsidRDefault="65DBFDDE" w14:paraId="455E78E7" w14:textId="2B459EC7">
            <w:pPr>
              <w:spacing w:line="259" w:lineRule="auto"/>
              <w:rPr>
                <w:rFonts w:eastAsia="Arial" w:cs="Arial"/>
                <w:sz w:val="20"/>
                <w:szCs w:val="20"/>
              </w:rPr>
            </w:pPr>
            <w:r w:rsidRPr="002234C7">
              <w:rPr>
                <w:rFonts w:eastAsia="Arial" w:cs="Arial"/>
                <w:sz w:val="20"/>
                <w:szCs w:val="20"/>
              </w:rPr>
              <w:t>June 2023 (Colombia)</w:t>
            </w:r>
          </w:p>
          <w:p w:rsidRPr="002234C7" w:rsidR="65DBFDDE" w:rsidP="578D5448" w:rsidRDefault="65DBFDDE" w14:paraId="54F8B280" w14:textId="53CB3CAB">
            <w:pPr>
              <w:spacing w:line="259" w:lineRule="auto"/>
              <w:rPr>
                <w:rFonts w:eastAsia="Arial" w:cs="Arial"/>
                <w:sz w:val="20"/>
                <w:szCs w:val="20"/>
              </w:rPr>
            </w:pPr>
            <w:r w:rsidRPr="002234C7">
              <w:rPr>
                <w:rFonts w:eastAsia="Arial" w:cs="Arial"/>
                <w:sz w:val="20"/>
                <w:szCs w:val="20"/>
              </w:rPr>
              <w:t>December 2023 (Mato Grosso)</w:t>
            </w:r>
          </w:p>
          <w:p w:rsidRPr="002234C7" w:rsidR="65DBFDDE" w:rsidP="578D5448" w:rsidRDefault="65DBFDDE" w14:paraId="7C1DADC8" w14:textId="72E36DBE">
            <w:pPr>
              <w:spacing w:line="259" w:lineRule="auto"/>
              <w:rPr>
                <w:rFonts w:eastAsia="Arial" w:cs="Arial"/>
                <w:sz w:val="20"/>
                <w:szCs w:val="20"/>
              </w:rPr>
            </w:pPr>
            <w:r w:rsidRPr="002234C7">
              <w:rPr>
                <w:rFonts w:eastAsia="Arial" w:cs="Arial"/>
                <w:sz w:val="20"/>
                <w:szCs w:val="20"/>
              </w:rPr>
              <w:t>December 202</w:t>
            </w:r>
            <w:r w:rsidRPr="002234C7" w:rsidR="003265CF">
              <w:rPr>
                <w:rFonts w:eastAsia="Arial" w:cs="Arial"/>
                <w:sz w:val="20"/>
                <w:szCs w:val="20"/>
              </w:rPr>
              <w:t>5</w:t>
            </w:r>
            <w:r w:rsidRPr="002234C7">
              <w:rPr>
                <w:rFonts w:eastAsia="Arial" w:cs="Arial"/>
                <w:sz w:val="20"/>
                <w:szCs w:val="20"/>
              </w:rPr>
              <w:t xml:space="preserve"> (Acre)</w:t>
            </w:r>
          </w:p>
        </w:tc>
      </w:tr>
    </w:tbl>
    <w:p w:rsidRPr="003F6641" w:rsidR="004D2FC0" w:rsidP="578D5448" w:rsidRDefault="004D2FC0" w14:paraId="44D21F6A" w14:textId="7A86D946">
      <w:pPr>
        <w:spacing w:after="160" w:line="259" w:lineRule="auto"/>
        <w:rPr>
          <w:rFonts w:eastAsia="Arial" w:cs="Arial"/>
          <w:color w:val="000000" w:themeColor="text1"/>
          <w:sz w:val="22"/>
          <w:szCs w:val="22"/>
        </w:rPr>
      </w:pPr>
    </w:p>
    <w:tbl>
      <w:tblPr>
        <w:tblStyle w:val="TableGrid"/>
        <w:tblW w:w="878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885"/>
        <w:gridCol w:w="765"/>
        <w:gridCol w:w="885"/>
        <w:gridCol w:w="840"/>
        <w:gridCol w:w="855"/>
        <w:gridCol w:w="1167"/>
        <w:gridCol w:w="1134"/>
      </w:tblGrid>
      <w:tr w:rsidR="65DBFDDE" w:rsidTr="665A25F4" w14:paraId="490F4555"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B4C6E7" w:themeFill="accent1" w:themeFillTint="66"/>
            <w:tcMar>
              <w:left w:w="105" w:type="dxa"/>
              <w:right w:w="105" w:type="dxa"/>
            </w:tcMar>
          </w:tcPr>
          <w:p w:rsidR="65DBFDDE" w:rsidP="65DBFDDE" w:rsidRDefault="65DBFDDE" w14:paraId="434ABB9B" w14:textId="5760547A">
            <w:pPr>
              <w:spacing w:line="259" w:lineRule="auto"/>
              <w:rPr>
                <w:rFonts w:eastAsia="Arial" w:cs="Arial"/>
                <w:color w:val="000000" w:themeColor="text1"/>
                <w:sz w:val="20"/>
                <w:szCs w:val="20"/>
              </w:rPr>
            </w:pPr>
            <w:r w:rsidRPr="65DBFDDE">
              <w:rPr>
                <w:rFonts w:eastAsia="Arial" w:cs="Arial"/>
                <w:color w:val="000000" w:themeColor="text1"/>
                <w:sz w:val="20"/>
                <w:szCs w:val="20"/>
              </w:rPr>
              <w:t>Year</w:t>
            </w:r>
          </w:p>
        </w:tc>
        <w:tc>
          <w:tcPr>
            <w:tcW w:w="885" w:type="dxa"/>
            <w:tcBorders>
              <w:top w:val="single" w:color="auto" w:sz="6" w:space="0"/>
              <w:left w:val="single" w:color="auto" w:sz="6" w:space="0"/>
              <w:bottom w:val="single" w:color="auto" w:sz="6" w:space="0"/>
              <w:right w:val="single" w:color="auto" w:sz="6" w:space="0"/>
            </w:tcBorders>
            <w:tcMar>
              <w:left w:w="105" w:type="dxa"/>
              <w:right w:w="105" w:type="dxa"/>
            </w:tcMar>
          </w:tcPr>
          <w:p w:rsidR="65DBFDDE" w:rsidP="65DBFDDE" w:rsidRDefault="65DBFDDE" w14:paraId="5A9201DB" w14:textId="75C65351">
            <w:pPr>
              <w:spacing w:line="259" w:lineRule="auto"/>
              <w:rPr>
                <w:rFonts w:eastAsia="Arial" w:cs="Arial"/>
                <w:color w:val="000000" w:themeColor="text1"/>
                <w:sz w:val="20"/>
                <w:szCs w:val="20"/>
              </w:rPr>
            </w:pPr>
            <w:r w:rsidRPr="65DBFDDE">
              <w:rPr>
                <w:rFonts w:eastAsia="Arial" w:cs="Arial"/>
                <w:b/>
                <w:bCs/>
                <w:color w:val="000000" w:themeColor="text1"/>
                <w:sz w:val="20"/>
                <w:szCs w:val="20"/>
              </w:rPr>
              <w:t>2016-17</w:t>
            </w:r>
          </w:p>
        </w:tc>
        <w:tc>
          <w:tcPr>
            <w:tcW w:w="765" w:type="dxa"/>
            <w:tcBorders>
              <w:top w:val="single" w:color="auto" w:sz="6" w:space="0"/>
              <w:left w:val="single" w:color="auto" w:sz="6" w:space="0"/>
              <w:bottom w:val="single" w:color="auto" w:sz="6" w:space="0"/>
              <w:right w:val="single" w:color="auto" w:sz="6" w:space="0"/>
            </w:tcBorders>
            <w:tcMar>
              <w:left w:w="105" w:type="dxa"/>
              <w:right w:w="105" w:type="dxa"/>
            </w:tcMar>
          </w:tcPr>
          <w:p w:rsidR="65DBFDDE" w:rsidP="65DBFDDE" w:rsidRDefault="65DBFDDE" w14:paraId="4DF4D0D4" w14:textId="47C2CF1E">
            <w:pPr>
              <w:spacing w:line="259" w:lineRule="auto"/>
              <w:rPr>
                <w:rFonts w:eastAsia="Arial" w:cs="Arial"/>
                <w:color w:val="000000" w:themeColor="text1"/>
                <w:sz w:val="20"/>
                <w:szCs w:val="20"/>
              </w:rPr>
            </w:pPr>
            <w:r w:rsidRPr="65DBFDDE">
              <w:rPr>
                <w:rFonts w:eastAsia="Arial" w:cs="Arial"/>
                <w:b/>
                <w:bCs/>
                <w:color w:val="000000" w:themeColor="text1"/>
                <w:sz w:val="20"/>
                <w:szCs w:val="20"/>
              </w:rPr>
              <w:t>2017-18</w:t>
            </w:r>
          </w:p>
        </w:tc>
        <w:tc>
          <w:tcPr>
            <w:tcW w:w="885" w:type="dxa"/>
            <w:tcBorders>
              <w:top w:val="single" w:color="auto" w:sz="6" w:space="0"/>
              <w:left w:val="single" w:color="auto" w:sz="6" w:space="0"/>
              <w:bottom w:val="single" w:color="auto" w:sz="6" w:space="0"/>
              <w:right w:val="single" w:color="auto" w:sz="6" w:space="0"/>
            </w:tcBorders>
            <w:tcMar>
              <w:left w:w="105" w:type="dxa"/>
              <w:right w:w="105" w:type="dxa"/>
            </w:tcMar>
          </w:tcPr>
          <w:p w:rsidR="65DBFDDE" w:rsidP="65DBFDDE" w:rsidRDefault="65DBFDDE" w14:paraId="20AD622B" w14:textId="591384D7">
            <w:pPr>
              <w:spacing w:line="259" w:lineRule="auto"/>
              <w:rPr>
                <w:rFonts w:eastAsia="Arial" w:cs="Arial"/>
                <w:color w:val="000000" w:themeColor="text1"/>
                <w:sz w:val="20"/>
                <w:szCs w:val="20"/>
              </w:rPr>
            </w:pPr>
            <w:r w:rsidRPr="65DBFDDE">
              <w:rPr>
                <w:rFonts w:eastAsia="Arial" w:cs="Arial"/>
                <w:b/>
                <w:bCs/>
                <w:color w:val="000000" w:themeColor="text1"/>
                <w:sz w:val="20"/>
                <w:szCs w:val="20"/>
              </w:rPr>
              <w:t>2019-20</w:t>
            </w: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5DBFDDE" w:rsidP="65DBFDDE" w:rsidRDefault="65DBFDDE" w14:paraId="0C1781C7" w14:textId="5A0701CD">
            <w:pPr>
              <w:spacing w:line="259" w:lineRule="auto"/>
              <w:rPr>
                <w:rFonts w:eastAsia="Arial" w:cs="Arial"/>
                <w:color w:val="000000" w:themeColor="text1"/>
                <w:sz w:val="20"/>
                <w:szCs w:val="20"/>
              </w:rPr>
            </w:pPr>
            <w:r w:rsidRPr="65DBFDDE">
              <w:rPr>
                <w:rFonts w:eastAsia="Arial" w:cs="Arial"/>
                <w:b/>
                <w:bCs/>
                <w:color w:val="000000" w:themeColor="text1"/>
                <w:sz w:val="20"/>
                <w:szCs w:val="20"/>
              </w:rPr>
              <w:t>2020-21</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5DBFDDE" w:rsidP="65DBFDDE" w:rsidRDefault="65DBFDDE" w14:paraId="61CACDBB" w14:textId="619C6803">
            <w:pPr>
              <w:spacing w:line="259" w:lineRule="auto"/>
              <w:rPr>
                <w:rFonts w:eastAsia="Arial" w:cs="Arial"/>
                <w:color w:val="000000" w:themeColor="text1"/>
                <w:sz w:val="20"/>
                <w:szCs w:val="20"/>
              </w:rPr>
            </w:pPr>
            <w:r w:rsidRPr="65DBFDDE">
              <w:rPr>
                <w:rFonts w:eastAsia="Arial" w:cs="Arial"/>
                <w:b/>
                <w:bCs/>
                <w:color w:val="000000" w:themeColor="text1"/>
                <w:sz w:val="20"/>
                <w:szCs w:val="20"/>
              </w:rPr>
              <w:t>2021-22</w:t>
            </w:r>
          </w:p>
        </w:tc>
        <w:tc>
          <w:tcPr>
            <w:tcW w:w="1167" w:type="dxa"/>
            <w:tcBorders>
              <w:top w:val="single" w:color="auto" w:sz="6" w:space="0"/>
              <w:left w:val="single" w:color="auto" w:sz="6" w:space="0"/>
              <w:bottom w:val="single" w:color="auto" w:sz="6" w:space="0"/>
              <w:right w:val="single" w:color="auto" w:sz="6" w:space="0"/>
            </w:tcBorders>
            <w:tcMar>
              <w:left w:w="105" w:type="dxa"/>
              <w:right w:w="105" w:type="dxa"/>
            </w:tcMar>
          </w:tcPr>
          <w:p w:rsidR="65DBFDDE" w:rsidP="65DBFDDE" w:rsidRDefault="65DBFDDE" w14:paraId="41BD0AA4" w14:textId="737BD3A2">
            <w:pPr>
              <w:spacing w:line="259" w:lineRule="auto"/>
              <w:rPr>
                <w:rFonts w:eastAsia="Arial" w:cs="Arial"/>
                <w:color w:val="000000" w:themeColor="text1"/>
                <w:sz w:val="20"/>
                <w:szCs w:val="20"/>
              </w:rPr>
            </w:pPr>
            <w:r w:rsidRPr="65DBFDDE">
              <w:rPr>
                <w:rFonts w:eastAsia="Arial" w:cs="Arial"/>
                <w:b/>
                <w:bCs/>
                <w:color w:val="000000" w:themeColor="text1"/>
                <w:sz w:val="20"/>
                <w:szCs w:val="20"/>
              </w:rPr>
              <w:t>2022-23</w:t>
            </w:r>
          </w:p>
        </w:tc>
        <w:tc>
          <w:tcPr>
            <w:tcW w:w="1134" w:type="dxa"/>
            <w:tcBorders>
              <w:top w:val="single" w:color="auto" w:sz="6" w:space="0"/>
              <w:left w:val="single" w:color="auto" w:sz="6" w:space="0"/>
              <w:bottom w:val="single" w:color="auto" w:sz="6" w:space="0"/>
              <w:right w:val="single" w:color="auto" w:sz="6" w:space="0"/>
            </w:tcBorders>
            <w:tcMar>
              <w:left w:w="105" w:type="dxa"/>
              <w:right w:w="105" w:type="dxa"/>
            </w:tcMar>
          </w:tcPr>
          <w:p w:rsidR="0256F75E" w:rsidP="3FFF59C2" w:rsidRDefault="0256F75E" w14:paraId="53052FD4" w14:textId="11B7CE66">
            <w:pPr>
              <w:spacing w:line="259" w:lineRule="auto"/>
              <w:rPr>
                <w:rFonts w:eastAsia="Arial" w:cs="Arial"/>
                <w:b/>
                <w:bCs/>
                <w:color w:val="000000" w:themeColor="text1"/>
                <w:sz w:val="20"/>
                <w:szCs w:val="20"/>
              </w:rPr>
            </w:pPr>
            <w:r w:rsidRPr="3FFF59C2">
              <w:rPr>
                <w:rFonts w:eastAsia="Arial" w:cs="Arial"/>
                <w:b/>
                <w:bCs/>
                <w:color w:val="000000" w:themeColor="text1"/>
                <w:sz w:val="20"/>
                <w:szCs w:val="20"/>
              </w:rPr>
              <w:t>2023-24</w:t>
            </w:r>
          </w:p>
        </w:tc>
      </w:tr>
      <w:tr w:rsidR="65DBFDDE" w:rsidTr="665A25F4" w14:paraId="1F5E982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B4C6E7" w:themeFill="accent1" w:themeFillTint="66"/>
            <w:tcMar>
              <w:left w:w="105" w:type="dxa"/>
              <w:right w:w="105" w:type="dxa"/>
            </w:tcMar>
          </w:tcPr>
          <w:p w:rsidR="65DBFDDE" w:rsidP="65DBFDDE" w:rsidRDefault="65DBFDDE" w14:paraId="64284980" w14:textId="7AE201EF">
            <w:pPr>
              <w:spacing w:line="259" w:lineRule="auto"/>
              <w:rPr>
                <w:rFonts w:eastAsia="Arial" w:cs="Arial"/>
                <w:color w:val="000000" w:themeColor="text1"/>
                <w:sz w:val="20"/>
                <w:szCs w:val="20"/>
              </w:rPr>
            </w:pPr>
            <w:r w:rsidRPr="65DBFDDE">
              <w:rPr>
                <w:rFonts w:eastAsia="Arial" w:cs="Arial"/>
                <w:color w:val="000000" w:themeColor="text1"/>
                <w:sz w:val="20"/>
                <w:szCs w:val="20"/>
              </w:rPr>
              <w:t>Overall Output Score</w:t>
            </w:r>
          </w:p>
        </w:tc>
        <w:tc>
          <w:tcPr>
            <w:tcW w:w="88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0B31088B" w14:textId="7AD64DD8">
            <w:pPr>
              <w:spacing w:line="259" w:lineRule="auto"/>
              <w:rPr>
                <w:rFonts w:eastAsia="Arial" w:cs="Arial"/>
                <w:color w:val="000000" w:themeColor="text1"/>
                <w:sz w:val="20"/>
                <w:szCs w:val="20"/>
              </w:rPr>
            </w:pPr>
            <w:r w:rsidRPr="002234C7">
              <w:rPr>
                <w:rFonts w:eastAsia="Arial" w:cs="Arial"/>
                <w:color w:val="000000" w:themeColor="text1"/>
                <w:sz w:val="20"/>
                <w:szCs w:val="20"/>
              </w:rPr>
              <w:t>A+</w:t>
            </w:r>
          </w:p>
        </w:tc>
        <w:tc>
          <w:tcPr>
            <w:tcW w:w="76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6A3CCBD6" w14:textId="33922D44">
            <w:pPr>
              <w:spacing w:line="259" w:lineRule="auto"/>
              <w:rPr>
                <w:rFonts w:eastAsia="Arial" w:cs="Arial"/>
                <w:color w:val="000000" w:themeColor="text1"/>
                <w:sz w:val="20"/>
                <w:szCs w:val="20"/>
              </w:rPr>
            </w:pPr>
            <w:r w:rsidRPr="002234C7">
              <w:rPr>
                <w:rFonts w:eastAsia="Arial" w:cs="Arial"/>
                <w:color w:val="000000" w:themeColor="text1"/>
                <w:sz w:val="20"/>
                <w:szCs w:val="20"/>
              </w:rPr>
              <w:t>A</w:t>
            </w:r>
          </w:p>
        </w:tc>
        <w:tc>
          <w:tcPr>
            <w:tcW w:w="88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61C99B06" w14:textId="6F398ADF">
            <w:pPr>
              <w:spacing w:line="259" w:lineRule="auto"/>
              <w:rPr>
                <w:rFonts w:eastAsia="Arial" w:cs="Arial"/>
                <w:color w:val="000000" w:themeColor="text1"/>
                <w:sz w:val="20"/>
                <w:szCs w:val="20"/>
              </w:rPr>
            </w:pPr>
            <w:r w:rsidRPr="002234C7">
              <w:rPr>
                <w:rFonts w:eastAsia="Arial" w:cs="Arial"/>
                <w:color w:val="000000" w:themeColor="text1"/>
                <w:sz w:val="20"/>
                <w:szCs w:val="20"/>
              </w:rPr>
              <w:t>A</w:t>
            </w: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3BEE1FC8" w14:textId="39E834B6">
            <w:pPr>
              <w:spacing w:line="259" w:lineRule="auto"/>
              <w:rPr>
                <w:rFonts w:eastAsia="Arial" w:cs="Arial"/>
                <w:color w:val="000000" w:themeColor="text1"/>
                <w:sz w:val="20"/>
                <w:szCs w:val="20"/>
              </w:rPr>
            </w:pPr>
            <w:r w:rsidRPr="002234C7">
              <w:rPr>
                <w:rFonts w:eastAsia="Arial" w:cs="Arial"/>
                <w:color w:val="000000" w:themeColor="text1"/>
                <w:sz w:val="20"/>
                <w:szCs w:val="20"/>
              </w:rPr>
              <w:t>A</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69900E3D" w14:textId="38631601">
            <w:pPr>
              <w:spacing w:line="259" w:lineRule="auto"/>
              <w:rPr>
                <w:rFonts w:eastAsia="Arial" w:cs="Arial"/>
                <w:color w:val="000000" w:themeColor="text1"/>
                <w:sz w:val="20"/>
                <w:szCs w:val="20"/>
              </w:rPr>
            </w:pPr>
            <w:r w:rsidRPr="002234C7">
              <w:rPr>
                <w:rFonts w:eastAsia="Arial" w:cs="Arial"/>
                <w:color w:val="000000" w:themeColor="text1"/>
                <w:sz w:val="20"/>
                <w:szCs w:val="20"/>
              </w:rPr>
              <w:t>A</w:t>
            </w:r>
          </w:p>
        </w:tc>
        <w:tc>
          <w:tcPr>
            <w:tcW w:w="1167"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413D0904" w14:paraId="287FA0A9" w14:textId="34BF43A4">
            <w:pPr>
              <w:spacing w:line="259" w:lineRule="auto"/>
              <w:rPr>
                <w:rFonts w:eastAsia="Arial" w:cs="Arial"/>
                <w:color w:val="000000" w:themeColor="text1"/>
                <w:sz w:val="20"/>
                <w:szCs w:val="20"/>
              </w:rPr>
            </w:pPr>
            <w:r w:rsidRPr="002234C7">
              <w:rPr>
                <w:rFonts w:eastAsia="Arial" w:cs="Arial"/>
                <w:color w:val="000000" w:themeColor="text1"/>
                <w:sz w:val="20"/>
                <w:szCs w:val="20"/>
              </w:rPr>
              <w:t>A</w:t>
            </w:r>
          </w:p>
        </w:tc>
        <w:tc>
          <w:tcPr>
            <w:tcW w:w="1134" w:type="dxa"/>
            <w:tcBorders>
              <w:top w:val="single" w:color="auto" w:sz="6" w:space="0"/>
              <w:left w:val="single" w:color="auto" w:sz="6" w:space="0"/>
              <w:bottom w:val="single" w:color="auto" w:sz="6" w:space="0"/>
              <w:right w:val="single" w:color="auto" w:sz="6" w:space="0"/>
            </w:tcBorders>
            <w:tcMar>
              <w:left w:w="105" w:type="dxa"/>
              <w:right w:w="105" w:type="dxa"/>
            </w:tcMar>
          </w:tcPr>
          <w:p w:rsidR="3FFF59C2" w:rsidP="3FFF59C2" w:rsidRDefault="5537DDE1" w14:paraId="690E3274" w14:textId="667E9C65">
            <w:pPr>
              <w:spacing w:line="259" w:lineRule="auto"/>
              <w:rPr>
                <w:rFonts w:eastAsia="Arial" w:cs="Arial"/>
                <w:color w:val="000000" w:themeColor="text1"/>
                <w:sz w:val="20"/>
                <w:szCs w:val="20"/>
              </w:rPr>
            </w:pPr>
            <w:r w:rsidRPr="665A25F4">
              <w:rPr>
                <w:rFonts w:eastAsia="Arial" w:cs="Arial"/>
                <w:color w:val="000000" w:themeColor="text1"/>
                <w:sz w:val="20"/>
                <w:szCs w:val="20"/>
              </w:rPr>
              <w:t>B</w:t>
            </w:r>
          </w:p>
        </w:tc>
      </w:tr>
      <w:tr w:rsidR="65DBFDDE" w:rsidTr="665A25F4" w14:paraId="7593644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B4C6E7" w:themeFill="accent1" w:themeFillTint="66"/>
            <w:tcMar>
              <w:left w:w="105" w:type="dxa"/>
              <w:right w:w="105" w:type="dxa"/>
            </w:tcMar>
          </w:tcPr>
          <w:p w:rsidR="65DBFDDE" w:rsidP="65DBFDDE" w:rsidRDefault="65DBFDDE" w14:paraId="358D735B" w14:textId="1F5E6A30">
            <w:pPr>
              <w:spacing w:line="259" w:lineRule="auto"/>
              <w:rPr>
                <w:rFonts w:eastAsia="Arial" w:cs="Arial"/>
                <w:color w:val="000000" w:themeColor="text1"/>
                <w:sz w:val="22"/>
                <w:szCs w:val="22"/>
              </w:rPr>
            </w:pPr>
            <w:r w:rsidRPr="65DBFDDE">
              <w:rPr>
                <w:rFonts w:eastAsia="Arial" w:cs="Arial"/>
                <w:color w:val="000000" w:themeColor="text1"/>
                <w:sz w:val="20"/>
                <w:szCs w:val="20"/>
              </w:rPr>
              <w:t>Risk Rating</w:t>
            </w:r>
            <w:r w:rsidRPr="65DBFDDE">
              <w:rPr>
                <w:rFonts w:eastAsia="Arial" w:cs="Arial"/>
                <w:color w:val="000000" w:themeColor="text1"/>
                <w:sz w:val="22"/>
                <w:szCs w:val="22"/>
              </w:rPr>
              <w:t xml:space="preserve"> </w:t>
            </w:r>
          </w:p>
        </w:tc>
        <w:tc>
          <w:tcPr>
            <w:tcW w:w="88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5739E088" w14:textId="2F109D9D">
            <w:pPr>
              <w:spacing w:line="259" w:lineRule="auto"/>
              <w:rPr>
                <w:rFonts w:eastAsia="Arial" w:cs="Arial"/>
                <w:color w:val="000000" w:themeColor="text1"/>
                <w:sz w:val="20"/>
                <w:szCs w:val="20"/>
              </w:rPr>
            </w:pPr>
            <w:r w:rsidRPr="002234C7">
              <w:rPr>
                <w:rFonts w:eastAsia="Arial" w:cs="Arial"/>
                <w:color w:val="000000" w:themeColor="text1"/>
                <w:sz w:val="20"/>
                <w:szCs w:val="20"/>
              </w:rPr>
              <w:t xml:space="preserve">Major </w:t>
            </w:r>
          </w:p>
        </w:tc>
        <w:tc>
          <w:tcPr>
            <w:tcW w:w="76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659378F0" w14:textId="7A4D70A5">
            <w:pPr>
              <w:spacing w:line="259" w:lineRule="auto"/>
              <w:rPr>
                <w:rFonts w:eastAsia="Arial" w:cs="Arial"/>
                <w:color w:val="000000" w:themeColor="text1"/>
                <w:sz w:val="20"/>
                <w:szCs w:val="20"/>
              </w:rPr>
            </w:pPr>
            <w:r w:rsidRPr="002234C7">
              <w:rPr>
                <w:rFonts w:eastAsia="Arial" w:cs="Arial"/>
                <w:color w:val="000000" w:themeColor="text1"/>
                <w:sz w:val="20"/>
                <w:szCs w:val="20"/>
              </w:rPr>
              <w:t>Major</w:t>
            </w:r>
          </w:p>
        </w:tc>
        <w:tc>
          <w:tcPr>
            <w:tcW w:w="88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27C0ECCA" w14:textId="20802F7E">
            <w:pPr>
              <w:spacing w:line="259" w:lineRule="auto"/>
              <w:rPr>
                <w:rFonts w:eastAsia="Arial" w:cs="Arial"/>
                <w:color w:val="000000" w:themeColor="text1"/>
                <w:sz w:val="20"/>
                <w:szCs w:val="20"/>
              </w:rPr>
            </w:pPr>
            <w:r w:rsidRPr="002234C7">
              <w:rPr>
                <w:rFonts w:eastAsia="Arial" w:cs="Arial"/>
                <w:color w:val="000000" w:themeColor="text1"/>
                <w:sz w:val="20"/>
                <w:szCs w:val="20"/>
              </w:rPr>
              <w:t>Major</w:t>
            </w: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6C734D8B" w14:textId="244E08DC">
            <w:pPr>
              <w:spacing w:line="259" w:lineRule="auto"/>
              <w:rPr>
                <w:rFonts w:eastAsia="Arial" w:cs="Arial"/>
                <w:color w:val="000000" w:themeColor="text1"/>
                <w:sz w:val="20"/>
                <w:szCs w:val="20"/>
              </w:rPr>
            </w:pPr>
            <w:r w:rsidRPr="002234C7">
              <w:rPr>
                <w:rFonts w:eastAsia="Arial" w:cs="Arial"/>
                <w:color w:val="000000" w:themeColor="text1"/>
                <w:sz w:val="20"/>
                <w:szCs w:val="20"/>
              </w:rPr>
              <w:t>Major</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65DBFDDE" w:rsidP="65DBFDDE" w:rsidRDefault="65DBFDDE" w14:paraId="4560C3B7" w14:textId="292F4A11">
            <w:pPr>
              <w:spacing w:line="259" w:lineRule="auto"/>
              <w:rPr>
                <w:rFonts w:eastAsia="Arial" w:cs="Arial"/>
                <w:color w:val="000000" w:themeColor="text1"/>
                <w:sz w:val="20"/>
                <w:szCs w:val="20"/>
              </w:rPr>
            </w:pPr>
            <w:r w:rsidRPr="002234C7">
              <w:rPr>
                <w:rFonts w:eastAsia="Arial" w:cs="Arial"/>
                <w:color w:val="000000" w:themeColor="text1"/>
                <w:sz w:val="20"/>
                <w:szCs w:val="20"/>
              </w:rPr>
              <w:t>Major</w:t>
            </w:r>
          </w:p>
        </w:tc>
        <w:tc>
          <w:tcPr>
            <w:tcW w:w="1167" w:type="dxa"/>
            <w:tcBorders>
              <w:top w:val="single" w:color="auto" w:sz="6" w:space="0"/>
              <w:left w:val="single" w:color="auto" w:sz="6" w:space="0"/>
              <w:bottom w:val="single" w:color="auto" w:sz="6" w:space="0"/>
              <w:right w:val="single" w:color="auto" w:sz="6" w:space="0"/>
            </w:tcBorders>
            <w:tcMar>
              <w:left w:w="105" w:type="dxa"/>
              <w:right w:w="105" w:type="dxa"/>
            </w:tcMar>
          </w:tcPr>
          <w:p w:rsidRPr="002234C7" w:rsidR="3D006DDD" w:rsidP="65DBFDDE" w:rsidRDefault="3D006DDD" w14:paraId="1DB3C43C" w14:textId="59FFF900">
            <w:pPr>
              <w:spacing w:line="259" w:lineRule="auto"/>
              <w:rPr>
                <w:rFonts w:eastAsia="Arial" w:cs="Arial"/>
                <w:color w:val="000000" w:themeColor="text1"/>
                <w:sz w:val="20"/>
                <w:szCs w:val="20"/>
              </w:rPr>
            </w:pPr>
            <w:r w:rsidRPr="002234C7">
              <w:rPr>
                <w:rFonts w:eastAsia="Arial" w:cs="Arial"/>
                <w:color w:val="000000" w:themeColor="text1"/>
                <w:sz w:val="20"/>
                <w:szCs w:val="20"/>
              </w:rPr>
              <w:t>M</w:t>
            </w:r>
            <w:r w:rsidRPr="002234C7" w:rsidR="48A78F32">
              <w:rPr>
                <w:rFonts w:eastAsia="Arial" w:cs="Arial"/>
                <w:color w:val="000000" w:themeColor="text1"/>
                <w:sz w:val="20"/>
                <w:szCs w:val="20"/>
              </w:rPr>
              <w:t xml:space="preserve">oderate </w:t>
            </w:r>
          </w:p>
        </w:tc>
        <w:tc>
          <w:tcPr>
            <w:tcW w:w="1134" w:type="dxa"/>
            <w:tcBorders>
              <w:top w:val="single" w:color="auto" w:sz="6" w:space="0"/>
              <w:left w:val="single" w:color="auto" w:sz="6" w:space="0"/>
              <w:bottom w:val="single" w:color="auto" w:sz="6" w:space="0"/>
              <w:right w:val="single" w:color="auto" w:sz="6" w:space="0"/>
            </w:tcBorders>
            <w:tcMar>
              <w:left w:w="105" w:type="dxa"/>
              <w:right w:w="105" w:type="dxa"/>
            </w:tcMar>
          </w:tcPr>
          <w:p w:rsidR="3335E8C0" w:rsidP="3FFF59C2" w:rsidRDefault="3335E8C0" w14:paraId="7DAF1700" w14:textId="532A3338">
            <w:pPr>
              <w:spacing w:line="259" w:lineRule="auto"/>
              <w:rPr>
                <w:rFonts w:eastAsia="Arial" w:cs="Arial"/>
                <w:color w:val="000000" w:themeColor="text1"/>
                <w:sz w:val="20"/>
                <w:szCs w:val="20"/>
              </w:rPr>
            </w:pPr>
            <w:r w:rsidRPr="3FFF59C2">
              <w:rPr>
                <w:rFonts w:eastAsia="Arial" w:cs="Arial"/>
                <w:color w:val="000000" w:themeColor="text1"/>
                <w:sz w:val="20"/>
                <w:szCs w:val="20"/>
              </w:rPr>
              <w:t>Moderate</w:t>
            </w:r>
          </w:p>
        </w:tc>
      </w:tr>
    </w:tbl>
    <w:p w:rsidR="65DBFDDE" w:rsidP="65DBFDDE" w:rsidRDefault="65DBFDDE" w14:paraId="3FE9481D" w14:textId="75460B95">
      <w:pPr>
        <w:spacing w:after="160" w:line="259" w:lineRule="auto"/>
        <w:rPr>
          <w:rFonts w:ascii="Calibri" w:hAnsi="Calibri" w:eastAsia="Calibri" w:cs="Calibri"/>
          <w:color w:val="000000" w:themeColor="text1"/>
          <w:sz w:val="22"/>
          <w:szCs w:val="22"/>
        </w:rPr>
      </w:pPr>
    </w:p>
    <w:tbl>
      <w:tblPr>
        <w:tblStyle w:val="TableGrid"/>
        <w:tblW w:w="0" w:type="auto"/>
        <w:tblInd w:w="-5" w:type="dxa"/>
        <w:tblLook w:val="04A0" w:firstRow="1" w:lastRow="0" w:firstColumn="1" w:lastColumn="0" w:noHBand="0" w:noVBand="1"/>
      </w:tblPr>
      <w:tblGrid>
        <w:gridCol w:w="3046"/>
        <w:gridCol w:w="5975"/>
      </w:tblGrid>
      <w:tr w:rsidRPr="008A4302" w:rsidR="00472486" w:rsidTr="578D5448" w14:paraId="4FEBD36E" w14:textId="77777777">
        <w:trPr>
          <w:trHeight w:val="355"/>
        </w:trPr>
        <w:tc>
          <w:tcPr>
            <w:tcW w:w="3969" w:type="dxa"/>
            <w:shd w:val="clear" w:color="auto" w:fill="DEEAF6" w:themeFill="accent5" w:themeFillTint="33"/>
            <w:hideMark/>
          </w:tcPr>
          <w:p w:rsidRPr="000425EB" w:rsidR="004D2FC0" w:rsidP="00FC16A6" w:rsidRDefault="004D2FC0" w14:paraId="47E97EB8" w14:textId="77777777">
            <w:pPr>
              <w:rPr>
                <w:rFonts w:cs="Arial"/>
                <w:b/>
                <w:sz w:val="22"/>
                <w:szCs w:val="22"/>
              </w:rPr>
            </w:pPr>
            <w:r w:rsidRPr="000425EB">
              <w:rPr>
                <w:rFonts w:cs="Arial"/>
                <w:b/>
                <w:sz w:val="22"/>
                <w:szCs w:val="22"/>
              </w:rPr>
              <w:t xml:space="preserve">Link to Business Case: </w:t>
            </w:r>
          </w:p>
        </w:tc>
        <w:tc>
          <w:tcPr>
            <w:tcW w:w="5052" w:type="dxa"/>
          </w:tcPr>
          <w:p w:rsidRPr="00BB7D1B" w:rsidR="004D2FC0" w:rsidP="1340296B" w:rsidRDefault="37754A07" w14:paraId="626AFD60" w14:textId="454B0F68">
            <w:pPr>
              <w:spacing w:line="259" w:lineRule="auto"/>
              <w:rPr>
                <w:rFonts w:eastAsia="Arial" w:cs="Arial"/>
                <w:sz w:val="20"/>
                <w:szCs w:val="20"/>
                <w:lang w:val="pt-BR"/>
              </w:rPr>
            </w:pPr>
            <w:r w:rsidRPr="578D5448">
              <w:rPr>
                <w:rFonts w:eastAsia="Arial" w:cs="Arial"/>
                <w:color w:val="000000" w:themeColor="text1"/>
                <w:sz w:val="20"/>
                <w:szCs w:val="20"/>
                <w:lang w:val="pt-BR"/>
              </w:rPr>
              <w:t>REM Colombia:</w:t>
            </w:r>
            <w:r w:rsidRPr="578D5448" w:rsidR="4D6196B6">
              <w:rPr>
                <w:rFonts w:eastAsia="Arial" w:cs="Arial"/>
                <w:color w:val="000000" w:themeColor="text1"/>
                <w:sz w:val="20"/>
                <w:szCs w:val="20"/>
                <w:lang w:val="pt-BR"/>
              </w:rPr>
              <w:t xml:space="preserve"> </w:t>
            </w:r>
            <w:hyperlink r:id="rId15">
              <w:r w:rsidRPr="578D5448" w:rsidR="4D6196B6">
                <w:rPr>
                  <w:rStyle w:val="Hyperlink"/>
                  <w:rFonts w:eastAsia="Arial" w:cs="Arial"/>
                  <w:sz w:val="20"/>
                  <w:szCs w:val="20"/>
                  <w:lang w:val="pt-BR"/>
                </w:rPr>
                <w:t>https://aidstream.org/files/documents/REM-Amazon-Vision-Business-Case-20170308120302.pdf</w:t>
              </w:r>
            </w:hyperlink>
            <w:r w:rsidRPr="578D5448" w:rsidR="4D6196B6">
              <w:rPr>
                <w:rFonts w:eastAsia="Arial" w:cs="Arial"/>
                <w:color w:val="000000" w:themeColor="text1"/>
                <w:sz w:val="20"/>
                <w:szCs w:val="20"/>
                <w:lang w:val="pt-BR"/>
              </w:rPr>
              <w:t xml:space="preserve"> </w:t>
            </w:r>
          </w:p>
          <w:p w:rsidRPr="00BB7D1B" w:rsidR="004D2FC0" w:rsidP="65DBFDDE" w:rsidRDefault="004D2FC0" w14:paraId="11F12451" w14:textId="3052C2F2">
            <w:pPr>
              <w:spacing w:line="259" w:lineRule="auto"/>
              <w:rPr>
                <w:rFonts w:eastAsia="Arial" w:cs="Arial"/>
                <w:color w:val="000000" w:themeColor="text1"/>
                <w:sz w:val="20"/>
                <w:szCs w:val="20"/>
                <w:lang w:val="pt-BR"/>
              </w:rPr>
            </w:pPr>
          </w:p>
          <w:p w:rsidRPr="00BB7D1B" w:rsidR="004D2FC0" w:rsidP="1340296B" w:rsidRDefault="37754A07" w14:paraId="469063E5" w14:textId="1F66D5F1">
            <w:pPr>
              <w:spacing w:line="259" w:lineRule="auto"/>
              <w:rPr>
                <w:rFonts w:eastAsia="Arial" w:cs="Arial"/>
                <w:sz w:val="20"/>
                <w:szCs w:val="20"/>
                <w:lang w:val="pt-BR"/>
              </w:rPr>
            </w:pPr>
            <w:r w:rsidRPr="578D5448">
              <w:rPr>
                <w:rFonts w:eastAsia="Arial" w:cs="Arial"/>
                <w:color w:val="000000" w:themeColor="text1"/>
                <w:sz w:val="20"/>
                <w:szCs w:val="20"/>
                <w:lang w:val="pt-BR"/>
              </w:rPr>
              <w:t xml:space="preserve">REM Acre and Mato Grosso, Brazil: </w:t>
            </w:r>
            <w:hyperlink r:id="rId16">
              <w:r w:rsidRPr="578D5448" w:rsidR="244F48CD">
                <w:rPr>
                  <w:rStyle w:val="Hyperlink"/>
                  <w:rFonts w:eastAsia="Arial" w:cs="Arial"/>
                  <w:sz w:val="20"/>
                  <w:szCs w:val="20"/>
                  <w:lang w:val="pt-BR"/>
                </w:rPr>
                <w:t>https://aidstream.org/files/documents/REM-Business-Case-Extension-20180322030336.pdf</w:t>
              </w:r>
            </w:hyperlink>
            <w:r w:rsidRPr="578D5448" w:rsidR="244F48CD">
              <w:rPr>
                <w:rFonts w:eastAsia="Arial" w:cs="Arial"/>
                <w:color w:val="000000" w:themeColor="text1"/>
                <w:sz w:val="20"/>
                <w:szCs w:val="20"/>
                <w:lang w:val="pt-BR"/>
              </w:rPr>
              <w:t xml:space="preserve"> </w:t>
            </w:r>
          </w:p>
          <w:p w:rsidRPr="00BB7D1B" w:rsidR="004D2FC0" w:rsidP="1340296B" w:rsidRDefault="004D2FC0" w14:paraId="52CAFA29" w14:textId="21B18853">
            <w:pPr>
              <w:spacing w:line="259" w:lineRule="auto"/>
              <w:rPr>
                <w:rFonts w:eastAsia="Arial" w:cs="Arial"/>
                <w:color w:val="000000" w:themeColor="text1"/>
                <w:sz w:val="20"/>
                <w:szCs w:val="20"/>
                <w:lang w:val="pt-BR"/>
              </w:rPr>
            </w:pPr>
          </w:p>
        </w:tc>
      </w:tr>
      <w:tr w:rsidRPr="003F6641" w:rsidR="00472486" w:rsidTr="578D5448" w14:paraId="728A7692" w14:textId="77777777">
        <w:trPr>
          <w:trHeight w:val="403"/>
        </w:trPr>
        <w:tc>
          <w:tcPr>
            <w:tcW w:w="3969" w:type="dxa"/>
            <w:shd w:val="clear" w:color="auto" w:fill="DEEAF6" w:themeFill="accent5" w:themeFillTint="33"/>
            <w:hideMark/>
          </w:tcPr>
          <w:p w:rsidRPr="000425EB" w:rsidR="004D2FC0" w:rsidP="00FC16A6" w:rsidRDefault="004D2FC0" w14:paraId="251B0951" w14:textId="51709BB1">
            <w:pPr>
              <w:rPr>
                <w:rFonts w:cs="Arial"/>
                <w:b/>
                <w:i/>
                <w:sz w:val="22"/>
                <w:szCs w:val="22"/>
              </w:rPr>
            </w:pPr>
            <w:r w:rsidRPr="000425EB">
              <w:rPr>
                <w:rFonts w:cs="Arial"/>
                <w:b/>
                <w:sz w:val="22"/>
                <w:szCs w:val="22"/>
              </w:rPr>
              <w:t xml:space="preserve">Link to </w:t>
            </w:r>
            <w:r w:rsidRPr="000425EB" w:rsidR="00FF6807">
              <w:rPr>
                <w:rFonts w:cs="Arial"/>
                <w:b/>
                <w:sz w:val="22"/>
                <w:szCs w:val="22"/>
              </w:rPr>
              <w:t>Log frame</w:t>
            </w:r>
            <w:r w:rsidRPr="000425EB">
              <w:rPr>
                <w:rFonts w:cs="Arial"/>
                <w:b/>
                <w:sz w:val="22"/>
                <w:szCs w:val="22"/>
              </w:rPr>
              <w:t xml:space="preserve">: </w:t>
            </w:r>
          </w:p>
        </w:tc>
        <w:tc>
          <w:tcPr>
            <w:tcW w:w="5052" w:type="dxa"/>
          </w:tcPr>
          <w:p w:rsidRPr="003F6641" w:rsidR="004D2FC0" w:rsidP="65DBFDDE" w:rsidRDefault="4DFCE48F" w14:paraId="20C86998" w14:textId="04A0446D">
            <w:pPr>
              <w:spacing w:line="259" w:lineRule="auto"/>
            </w:pPr>
            <w:hyperlink r:id="rId17">
              <w:r w:rsidRPr="578D5448">
                <w:rPr>
                  <w:rStyle w:val="Hyperlink"/>
                  <w:rFonts w:eastAsia="Arial" w:cs="Arial"/>
                  <w:sz w:val="20"/>
                  <w:szCs w:val="20"/>
                  <w:lang w:val="en-US"/>
                </w:rPr>
                <w:t>https://science-and-innovation-network.s3.eu-west-2.amazonaws.com/BEIS+ICF/REM/REM+Logframe+2021-22.xlsx</w:t>
              </w:r>
            </w:hyperlink>
            <w:r w:rsidRPr="578D5448" w:rsidR="52C40032">
              <w:rPr>
                <w:rFonts w:eastAsia="Arial" w:cs="Arial"/>
                <w:color w:val="000000" w:themeColor="text1"/>
                <w:sz w:val="20"/>
                <w:szCs w:val="20"/>
                <w:lang w:val="en-US"/>
              </w:rPr>
              <w:t xml:space="preserve"> </w:t>
            </w:r>
            <w:r w:rsidRPr="578D5448" w:rsidR="52C40032">
              <w:rPr>
                <w:rFonts w:eastAsia="Arial" w:cs="Arial"/>
                <w:sz w:val="22"/>
                <w:szCs w:val="22"/>
              </w:rPr>
              <w:t xml:space="preserve"> </w:t>
            </w:r>
          </w:p>
          <w:p w:rsidRPr="003F6641" w:rsidR="004D2FC0" w:rsidP="65DBFDDE" w:rsidRDefault="004D2FC0" w14:paraId="1941208D" w14:textId="01486335">
            <w:pPr>
              <w:spacing w:line="259" w:lineRule="auto"/>
              <w:rPr>
                <w:rFonts w:eastAsia="Arial" w:cs="Arial"/>
                <w:sz w:val="22"/>
                <w:szCs w:val="22"/>
              </w:rPr>
            </w:pPr>
          </w:p>
        </w:tc>
      </w:tr>
      <w:tr w:rsidRPr="003F6641" w:rsidR="00472486" w:rsidTr="578D5448" w14:paraId="240D100A" w14:textId="77777777">
        <w:trPr>
          <w:trHeight w:val="403"/>
        </w:trPr>
        <w:tc>
          <w:tcPr>
            <w:tcW w:w="3969" w:type="dxa"/>
            <w:shd w:val="clear" w:color="auto" w:fill="DEEAF6" w:themeFill="accent5" w:themeFillTint="33"/>
          </w:tcPr>
          <w:p w:rsidRPr="000425EB" w:rsidR="004D2FC0" w:rsidP="00FC16A6" w:rsidRDefault="004D2FC0" w14:paraId="44F3A577" w14:textId="77777777">
            <w:pPr>
              <w:rPr>
                <w:rFonts w:cs="Arial"/>
                <w:b/>
                <w:sz w:val="22"/>
                <w:szCs w:val="22"/>
              </w:rPr>
            </w:pPr>
            <w:r w:rsidRPr="000425EB">
              <w:rPr>
                <w:rFonts w:cs="Arial"/>
                <w:b/>
                <w:sz w:val="22"/>
                <w:szCs w:val="22"/>
              </w:rPr>
              <w:t xml:space="preserve">Link to previous Annual Review </w:t>
            </w:r>
            <w:r w:rsidRPr="000425EB">
              <w:rPr>
                <w:rFonts w:cs="Arial"/>
                <w:bCs/>
                <w:sz w:val="22"/>
                <w:szCs w:val="22"/>
              </w:rPr>
              <w:t>(if appropriate)</w:t>
            </w:r>
          </w:p>
        </w:tc>
        <w:tc>
          <w:tcPr>
            <w:tcW w:w="5052" w:type="dxa"/>
          </w:tcPr>
          <w:p w:rsidRPr="003F6641" w:rsidR="004D2FC0" w:rsidP="65DBFDDE" w:rsidRDefault="0036147E" w14:paraId="521FABC2" w14:textId="75D1614C">
            <w:pPr>
              <w:spacing w:line="259" w:lineRule="auto"/>
              <w:rPr>
                <w:rFonts w:eastAsia="Arial" w:cs="Arial"/>
                <w:sz w:val="22"/>
                <w:szCs w:val="22"/>
              </w:rPr>
            </w:pPr>
            <w:hyperlink w:history="1" r:id="rId18">
              <w:r w:rsidRPr="00D77769">
                <w:rPr>
                  <w:rStyle w:val="Hyperlink"/>
                  <w:sz w:val="20"/>
                  <w:szCs w:val="20"/>
                </w:rPr>
                <w:t>https://science-and-innovation-network.s3.eu-west-2.amazonaws.com/BEIS+ICF/REM/REM+Annual+Review+2021-22.docx</w:t>
              </w:r>
            </w:hyperlink>
            <w:r>
              <w:t xml:space="preserve">  </w:t>
            </w:r>
          </w:p>
        </w:tc>
      </w:tr>
    </w:tbl>
    <w:p w:rsidRPr="006C516E" w:rsidR="004D2FC0" w:rsidP="006C516E" w:rsidRDefault="004D2FC0" w14:paraId="5A54EF7F" w14:textId="77777777"/>
    <w:p w:rsidR="0008305C" w:rsidRDefault="0008305C" w14:paraId="611D017D" w14:textId="77777777">
      <w:pPr>
        <w:spacing w:after="160" w:line="259" w:lineRule="auto"/>
        <w:rPr>
          <w:rStyle w:val="Heading2Char"/>
        </w:rPr>
      </w:pPr>
      <w:r>
        <w:rPr>
          <w:rStyle w:val="Heading2Char"/>
        </w:rPr>
        <w:br w:type="page"/>
      </w:r>
    </w:p>
    <w:p w:rsidRPr="009E3F6E" w:rsidR="003D222C" w:rsidP="009B3540" w:rsidRDefault="4280B332" w14:paraId="7A642962" w14:textId="4FB1A517">
      <w:pPr>
        <w:tabs>
          <w:tab w:val="center" w:pos="4513"/>
        </w:tabs>
        <w:jc w:val="both"/>
      </w:pPr>
      <w:bookmarkStart w:name="_Toc77436948" w:id="1"/>
      <w:r w:rsidRPr="51BB3CA1">
        <w:rPr>
          <w:rStyle w:val="Heading2Char"/>
        </w:rPr>
        <w:lastRenderedPageBreak/>
        <w:t>Description of programme</w:t>
      </w:r>
      <w:bookmarkEnd w:id="1"/>
      <w:r>
        <w:t xml:space="preserve"> </w:t>
      </w:r>
      <w:r w:rsidR="003D222C">
        <w:tab/>
      </w:r>
    </w:p>
    <w:p w:rsidRPr="00D93B6C" w:rsidR="003D222C" w:rsidP="0025594B" w:rsidRDefault="003D222C" w14:paraId="6F9482AB" w14:textId="77777777">
      <w:pPr>
        <w:jc w:val="both"/>
        <w:rPr>
          <w:rFonts w:cs="Arial"/>
          <w:b/>
          <w:sz w:val="20"/>
          <w:szCs w:val="20"/>
        </w:rPr>
      </w:pPr>
    </w:p>
    <w:p w:rsidRPr="00D93B6C" w:rsidR="0037765B" w:rsidP="7BA5B66B" w:rsidRDefault="74FFBA1C" w14:paraId="1E9CD6A9" w14:textId="1B203938">
      <w:pPr>
        <w:pStyle w:val="FootnoteText"/>
        <w:jc w:val="both"/>
      </w:pPr>
      <w:r w:rsidRPr="7BA5B66B">
        <w:rPr>
          <w:rFonts w:ascii="Arial" w:hAnsi="Arial" w:eastAsia="Arial" w:cs="Arial"/>
          <w:color w:val="000000" w:themeColor="text1"/>
        </w:rPr>
        <w:t>The REDD</w:t>
      </w:r>
      <w:r w:rsidRPr="7BA5B66B">
        <w:rPr>
          <w:rFonts w:ascii="Arial" w:hAnsi="Arial" w:eastAsia="Arial" w:cs="Arial"/>
          <w:color w:val="000000" w:themeColor="text1"/>
          <w:vertAlign w:val="superscript"/>
        </w:rPr>
        <w:t>1</w:t>
      </w:r>
      <w:r w:rsidRPr="7BA5B66B">
        <w:rPr>
          <w:rFonts w:ascii="Arial" w:hAnsi="Arial" w:eastAsia="Arial" w:cs="Arial"/>
          <w:color w:val="000000" w:themeColor="text1"/>
        </w:rPr>
        <w:t xml:space="preserve"> Early Movers (REM) Programme supports countries in Latin America to reduce deforestation and protect their forests. It is a multi-donor programme managed by KfW Development Bank and delivered by the recipient country or state governments and the fiduciary partners, who receive and manage the funding on behalf of the forest government. UK International Climate Finance (ICF) funds REM in two countries: Colombia (co-funders: Germany, Norway) and the states of Mato Grosso and Acre in Brazil (co-funder: Germany)</w:t>
      </w:r>
      <w:r w:rsidRPr="7BA5B66B">
        <w:rPr>
          <w:rFonts w:ascii="Arial" w:hAnsi="Arial" w:eastAsia="Arial" w:cs="Arial"/>
          <w:color w:val="000000" w:themeColor="text1"/>
          <w:vertAlign w:val="superscript"/>
        </w:rPr>
        <w:t>2</w:t>
      </w:r>
      <w:r w:rsidRPr="7BA5B66B">
        <w:rPr>
          <w:rFonts w:ascii="Arial" w:hAnsi="Arial" w:eastAsia="Arial" w:cs="Arial"/>
          <w:color w:val="000000" w:themeColor="text1"/>
        </w:rPr>
        <w:t>. REM provides results-based payments when the recipient country successfully reduces greenhouse gas emissions from deforestation in the Amazon Biome, or policy milestones, as in Colombia for Phase 2. Payments are reinvested to help further reduce deforestation, leverage public and/or private investments and improve the livelihoods of forest-dependent peoples and communities.</w:t>
      </w:r>
      <w:r w:rsidR="00505829">
        <w:rPr>
          <w:rFonts w:ascii="Arial" w:hAnsi="Arial" w:eastAsia="Arial" w:cs="Arial"/>
          <w:color w:val="000000" w:themeColor="text1"/>
        </w:rPr>
        <w:t xml:space="preserve"> </w:t>
      </w:r>
      <w:r w:rsidR="00E91538">
        <w:rPr>
          <w:rFonts w:ascii="Arial" w:hAnsi="Arial" w:eastAsia="Arial" w:cs="Arial"/>
          <w:color w:val="000000" w:themeColor="text1"/>
        </w:rPr>
        <w:t>Phase 1 started in 2016 in Colombia and 2017 in Brazil, and has closed or is in the process of closing</w:t>
      </w:r>
      <w:r w:rsidR="002E59A5">
        <w:rPr>
          <w:rFonts w:ascii="Arial" w:hAnsi="Arial" w:eastAsia="Arial" w:cs="Arial"/>
          <w:color w:val="000000" w:themeColor="text1"/>
        </w:rPr>
        <w:t xml:space="preserve"> between 2023-2026. Phase 2 has begun implementation in Colombia and Mato Grosso (see tables below). </w:t>
      </w:r>
    </w:p>
    <w:p w:rsidRPr="00D93B6C" w:rsidR="0037765B" w:rsidP="0025594B" w:rsidRDefault="0037765B" w14:paraId="127DE083" w14:textId="45537EB9">
      <w:pPr>
        <w:pStyle w:val="FootnoteText"/>
        <w:jc w:val="both"/>
        <w:rPr>
          <w:rFonts w:ascii="Arial" w:hAnsi="Arial" w:eastAsia="Arial" w:cs="Arial"/>
          <w:color w:val="000000" w:themeColor="text1"/>
        </w:rPr>
      </w:pPr>
    </w:p>
    <w:p w:rsidRPr="00D93B6C" w:rsidR="0037765B" w:rsidP="0025594B" w:rsidRDefault="0037765B" w14:paraId="565636B3" w14:textId="471D3AB8">
      <w:pPr>
        <w:pStyle w:val="FootnoteText"/>
        <w:jc w:val="both"/>
        <w:rPr>
          <w:rFonts w:ascii="Arial" w:hAnsi="Arial" w:eastAsia="Arial" w:cs="Arial"/>
          <w:color w:val="000000" w:themeColor="text1"/>
        </w:rPr>
      </w:pPr>
      <w:r w:rsidRPr="089A62E9" w:rsidR="0037765B">
        <w:rPr>
          <w:rFonts w:ascii="Arial" w:hAnsi="Arial" w:eastAsia="Arial" w:cs="Arial"/>
          <w:color w:val="000000" w:themeColor="text1"/>
        </w:rPr>
        <w:t xml:space="preserve">The REM programme is divided into the following </w:t>
      </w:r>
      <w:r w:rsidRPr="089A62E9" w:rsidR="005B4427">
        <w:rPr>
          <w:rFonts w:ascii="Arial" w:hAnsi="Arial" w:eastAsia="Arial" w:cs="Arial"/>
          <w:color w:val="000000" w:themeColor="text1"/>
        </w:rPr>
        <w:t>s</w:t>
      </w:r>
      <w:r w:rsidRPr="089A62E9" w:rsidR="00D93B6C">
        <w:rPr>
          <w:rFonts w:ascii="Arial" w:hAnsi="Arial" w:eastAsia="Arial" w:cs="Arial"/>
          <w:color w:val="000000" w:themeColor="text1"/>
        </w:rPr>
        <w:t>ub-programmes (</w:t>
      </w:r>
      <w:r w:rsidRPr="089A62E9" w:rsidR="00D93B6C">
        <w:rPr>
          <w:rFonts w:ascii="Arial" w:hAnsi="Arial" w:eastAsia="Arial" w:cs="Arial"/>
          <w:color w:val="000000" w:themeColor="text1"/>
        </w:rPr>
        <w:t>Ecuador is shown for reference but not included in this A</w:t>
      </w:r>
      <w:r w:rsidRPr="089A62E9" w:rsidR="00E34D9B">
        <w:rPr>
          <w:rFonts w:ascii="Arial" w:hAnsi="Arial" w:eastAsia="Arial" w:cs="Arial"/>
          <w:color w:val="000000" w:themeColor="text1"/>
        </w:rPr>
        <w:t>nnual Review</w:t>
      </w:r>
      <w:r w:rsidR="00AF0BC9">
        <w:rPr>
          <w:rFonts w:ascii="Arial" w:hAnsi="Arial" w:eastAsia="Arial" w:cs="Arial"/>
          <w:color w:val="000000" w:themeColor="text1"/>
        </w:rPr>
        <w:t>, as the UK does not fund Ecuador currently</w:t>
      </w:r>
      <w:r w:rsidR="00AF0BC9">
        <w:rPr>
          <w:rStyle w:val="FootnoteReference"/>
          <w:rFonts w:ascii="Arial" w:hAnsi="Arial" w:eastAsia="Arial" w:cs="Arial"/>
          <w:color w:val="000000" w:themeColor="text1"/>
        </w:rPr>
        <w:footnoteReference w:id="2"/>
      </w:r>
      <w:r w:rsidRPr="089A62E9" w:rsidR="00452195">
        <w:rPr>
          <w:rFonts w:ascii="Arial" w:hAnsi="Arial" w:eastAsia="Arial" w:cs="Arial"/>
          <w:color w:val="000000" w:themeColor="text1"/>
        </w:rPr>
        <w:t>)</w:t>
      </w:r>
      <w:r w:rsidRPr="089A62E9" w:rsidR="00D93B6C">
        <w:rPr>
          <w:rFonts w:ascii="Arial" w:hAnsi="Arial" w:eastAsia="Arial" w:cs="Arial"/>
          <w:color w:val="000000" w:themeColor="text1"/>
        </w:rPr>
        <w:t xml:space="preserve">: </w:t>
      </w:r>
    </w:p>
    <w:p w:rsidR="00D93B6C" w:rsidP="00EE60FA" w:rsidRDefault="00D93B6C" w14:paraId="54BB88F3" w14:textId="77777777">
      <w:pPr>
        <w:pStyle w:val="FootnoteText"/>
        <w:rPr>
          <w:rFonts w:ascii="Arial" w:hAnsi="Arial" w:eastAsia="Arial" w:cs="Arial"/>
          <w:color w:val="000000" w:themeColor="text1"/>
          <w:sz w:val="22"/>
          <w:szCs w:val="22"/>
        </w:rPr>
      </w:pPr>
    </w:p>
    <w:p w:rsidRPr="00E73F67" w:rsidR="00D93B6C" w:rsidP="00D93B6C" w:rsidRDefault="00D93B6C" w14:paraId="296C8239" w14:textId="51414A9C">
      <w:pPr>
        <w:textAlignment w:val="baseline"/>
        <w:rPr>
          <w:rFonts w:cs="Arial"/>
          <w:i/>
          <w:iCs/>
          <w:color w:val="44546A"/>
          <w:sz w:val="18"/>
          <w:szCs w:val="18"/>
          <w:lang w:eastAsia="en-GB"/>
        </w:rPr>
      </w:pPr>
      <w:r w:rsidRPr="00E73F67">
        <w:rPr>
          <w:rFonts w:cs="Arial"/>
          <w:i/>
          <w:iCs/>
          <w:color w:val="44546A"/>
          <w:sz w:val="18"/>
          <w:szCs w:val="18"/>
          <w:lang w:eastAsia="en-GB"/>
        </w:rPr>
        <w:t>Table: REM 1 Programme Design </w:t>
      </w:r>
    </w:p>
    <w:tbl>
      <w:tblPr>
        <w:tblW w:w="9018"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8"/>
        <w:gridCol w:w="1843"/>
        <w:gridCol w:w="2109"/>
        <w:gridCol w:w="1842"/>
        <w:gridCol w:w="1806"/>
      </w:tblGrid>
      <w:tr w:rsidRPr="00E73F67" w:rsidR="00D93B6C" w:rsidTr="054E2F8B" w14:paraId="64C66C95" w14:textId="77777777">
        <w:trPr>
          <w:trHeight w:val="300"/>
        </w:trPr>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D93B6C" w:rsidRDefault="00D93B6C" w14:paraId="42CC9F5F" w14:textId="77777777">
            <w:pPr>
              <w:jc w:val="both"/>
              <w:textAlignment w:val="baseline"/>
              <w:rPr>
                <w:rFonts w:cs="Arial"/>
                <w:lang w:eastAsia="en-GB"/>
              </w:rPr>
            </w:pPr>
            <w:r w:rsidRPr="00E73F67">
              <w:rPr>
                <w:rFonts w:cs="Arial"/>
                <w:sz w:val="20"/>
                <w:szCs w:val="20"/>
                <w:lang w:eastAsia="en-GB"/>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E73F67" w:rsidR="00D93B6C" w:rsidP="00D93B6C" w:rsidRDefault="00D93B6C" w14:paraId="3F0AD11C" w14:textId="77777777">
            <w:pPr>
              <w:jc w:val="both"/>
              <w:textAlignment w:val="baseline"/>
              <w:rPr>
                <w:rFonts w:cs="Arial"/>
                <w:lang w:eastAsia="en-GB"/>
              </w:rPr>
            </w:pPr>
            <w:r w:rsidRPr="00E73F67">
              <w:rPr>
                <w:rFonts w:cs="Arial"/>
                <w:b/>
                <w:bCs/>
                <w:i/>
                <w:iCs/>
                <w:sz w:val="20"/>
                <w:szCs w:val="20"/>
                <w:lang w:eastAsia="en-GB"/>
              </w:rPr>
              <w:t>Acre </w:t>
            </w:r>
            <w:r w:rsidRPr="00E73F67">
              <w:rPr>
                <w:rFonts w:cs="Arial"/>
                <w:sz w:val="20"/>
                <w:szCs w:val="20"/>
                <w:lang w:eastAsia="en-GB"/>
              </w:rPr>
              <w:t> </w:t>
            </w:r>
          </w:p>
        </w:tc>
        <w:tc>
          <w:tcPr>
            <w:tcW w:w="21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E73F67" w:rsidR="00D93B6C" w:rsidP="00D93B6C" w:rsidRDefault="00D93B6C" w14:paraId="1D04F198" w14:textId="77777777">
            <w:pPr>
              <w:jc w:val="both"/>
              <w:textAlignment w:val="baseline"/>
              <w:rPr>
                <w:rFonts w:cs="Arial"/>
                <w:lang w:eastAsia="en-GB"/>
              </w:rPr>
            </w:pPr>
            <w:r w:rsidRPr="00E73F67">
              <w:rPr>
                <w:rFonts w:cs="Arial"/>
                <w:b/>
                <w:bCs/>
                <w:i/>
                <w:iCs/>
                <w:sz w:val="20"/>
                <w:szCs w:val="20"/>
                <w:lang w:eastAsia="en-GB"/>
              </w:rPr>
              <w:t>Mato Grosso</w:t>
            </w:r>
            <w:r w:rsidRPr="00E73F67">
              <w:rPr>
                <w:rFonts w:cs="Arial"/>
                <w:sz w:val="20"/>
                <w:szCs w:val="20"/>
                <w:lang w:eastAsia="en-GB"/>
              </w:rPr>
              <w:t>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E73F67" w:rsidR="00D93B6C" w:rsidP="00D93B6C" w:rsidRDefault="00D93B6C" w14:paraId="61B52690" w14:textId="77777777">
            <w:pPr>
              <w:jc w:val="both"/>
              <w:textAlignment w:val="baseline"/>
              <w:rPr>
                <w:rFonts w:cs="Arial"/>
                <w:lang w:eastAsia="en-GB"/>
              </w:rPr>
            </w:pPr>
            <w:r w:rsidRPr="00E73F67">
              <w:rPr>
                <w:rFonts w:cs="Arial"/>
                <w:b/>
                <w:bCs/>
                <w:i/>
                <w:iCs/>
                <w:sz w:val="20"/>
                <w:szCs w:val="20"/>
                <w:lang w:eastAsia="en-GB"/>
              </w:rPr>
              <w:t>Colombia </w:t>
            </w:r>
            <w:r w:rsidRPr="00E73F67">
              <w:rPr>
                <w:rFonts w:cs="Arial"/>
                <w:sz w:val="20"/>
                <w:szCs w:val="20"/>
                <w:lang w:eastAsia="en-GB"/>
              </w:rPr>
              <w:t>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E73F67" w:rsidR="00D93B6C" w:rsidP="00D93B6C" w:rsidRDefault="00D93B6C" w14:paraId="7D95540D" w14:textId="77777777">
            <w:pPr>
              <w:jc w:val="both"/>
              <w:textAlignment w:val="baseline"/>
              <w:rPr>
                <w:rFonts w:cs="Arial"/>
                <w:lang w:eastAsia="en-GB"/>
              </w:rPr>
            </w:pPr>
            <w:r w:rsidRPr="00E73F67">
              <w:rPr>
                <w:rFonts w:cs="Arial"/>
                <w:b/>
                <w:bCs/>
                <w:i/>
                <w:iCs/>
                <w:sz w:val="20"/>
                <w:szCs w:val="20"/>
                <w:lang w:eastAsia="en-GB"/>
              </w:rPr>
              <w:t>Ecuador</w:t>
            </w:r>
            <w:r w:rsidRPr="00E73F67">
              <w:rPr>
                <w:rFonts w:cs="Arial"/>
                <w:sz w:val="20"/>
                <w:szCs w:val="20"/>
                <w:lang w:eastAsia="en-GB"/>
              </w:rPr>
              <w:t> </w:t>
            </w:r>
          </w:p>
        </w:tc>
      </w:tr>
      <w:tr w:rsidRPr="00E73F67" w:rsidR="00D93B6C" w:rsidTr="054E2F8B" w14:paraId="4D0C9A9D" w14:textId="77777777">
        <w:trPr>
          <w:trHeight w:val="810"/>
        </w:trPr>
        <w:tc>
          <w:tcPr>
            <w:tcW w:w="141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hideMark/>
          </w:tcPr>
          <w:p w:rsidRPr="00E73F67" w:rsidR="00D93B6C" w:rsidP="00CB1B3C" w:rsidRDefault="00D93B6C" w14:paraId="2B4085B1" w14:textId="55CE376D">
            <w:pPr>
              <w:textAlignment w:val="baseline"/>
              <w:rPr>
                <w:rFonts w:cs="Arial"/>
                <w:lang w:eastAsia="en-GB"/>
              </w:rPr>
            </w:pPr>
            <w:r w:rsidRPr="00E73F67">
              <w:rPr>
                <w:rFonts w:cs="Arial"/>
                <w:b/>
                <w:bCs/>
                <w:color w:val="000000"/>
                <w:sz w:val="20"/>
                <w:szCs w:val="20"/>
                <w:lang w:eastAsia="en-GB"/>
              </w:rPr>
              <w:t>Enabling conditions  </w:t>
            </w:r>
            <w:r w:rsidRPr="00E73F67">
              <w:rPr>
                <w:rFonts w:cs="Arial"/>
                <w:color w:val="000000"/>
                <w:sz w:val="20"/>
                <w:szCs w:val="20"/>
                <w:lang w:eastAsia="en-GB"/>
              </w:rPr>
              <w:t> </w:t>
            </w:r>
          </w:p>
          <w:p w:rsidRPr="00E73F67" w:rsidR="00D93B6C" w:rsidP="00CB1B3C" w:rsidRDefault="00D93B6C" w14:paraId="6555B0EA" w14:textId="5F9D856F">
            <w:pPr>
              <w:textAlignment w:val="baseline"/>
              <w:rPr>
                <w:rFonts w:cs="Arial"/>
                <w:lang w:eastAsia="en-GB"/>
              </w:rPr>
            </w:pPr>
            <w:r w:rsidRPr="054E2F8B">
              <w:rPr>
                <w:rFonts w:cs="Arial"/>
                <w:b/>
                <w:bCs/>
                <w:color w:val="000000" w:themeColor="text1"/>
                <w:sz w:val="20"/>
                <w:szCs w:val="20"/>
                <w:lang w:eastAsia="en-GB"/>
              </w:rPr>
              <w:t>(</w:t>
            </w:r>
            <w:r w:rsidRPr="054E2F8B" w:rsidR="00D762BF">
              <w:rPr>
                <w:rFonts w:cs="Arial"/>
                <w:b/>
                <w:bCs/>
                <w:color w:val="000000" w:themeColor="text1"/>
                <w:sz w:val="20"/>
                <w:szCs w:val="20"/>
                <w:lang w:eastAsia="en-GB"/>
              </w:rPr>
              <w:t xml:space="preserve">40% in Colombia and Mato </w:t>
            </w:r>
            <w:r w:rsidRPr="054E2F8B" w:rsidR="3566F48B">
              <w:rPr>
                <w:rFonts w:cs="Arial"/>
                <w:b/>
                <w:bCs/>
                <w:color w:val="000000" w:themeColor="text1"/>
                <w:sz w:val="20"/>
                <w:szCs w:val="20"/>
                <w:lang w:eastAsia="en-GB"/>
              </w:rPr>
              <w:t>Grosso, 30</w:t>
            </w:r>
            <w:r w:rsidRPr="054E2F8B">
              <w:rPr>
                <w:rFonts w:cs="Arial"/>
                <w:b/>
                <w:bCs/>
                <w:color w:val="000000" w:themeColor="text1"/>
                <w:sz w:val="20"/>
                <w:szCs w:val="20"/>
                <w:lang w:eastAsia="en-GB"/>
              </w:rPr>
              <w:t xml:space="preserve">% </w:t>
            </w:r>
            <w:r w:rsidRPr="054E2F8B" w:rsidR="00D762BF">
              <w:rPr>
                <w:rFonts w:cs="Arial"/>
                <w:b/>
                <w:bCs/>
                <w:color w:val="000000" w:themeColor="text1"/>
                <w:sz w:val="20"/>
                <w:szCs w:val="20"/>
                <w:lang w:eastAsia="en-GB"/>
              </w:rPr>
              <w:t xml:space="preserve">in </w:t>
            </w:r>
            <w:r w:rsidRPr="054E2F8B">
              <w:rPr>
                <w:rFonts w:cs="Arial"/>
                <w:b/>
                <w:bCs/>
                <w:color w:val="000000" w:themeColor="text1"/>
                <w:sz w:val="20"/>
                <w:szCs w:val="20"/>
                <w:lang w:eastAsia="en-GB"/>
              </w:rPr>
              <w:t>Acre and Ecuador)</w:t>
            </w:r>
            <w:r w:rsidRPr="054E2F8B">
              <w:rPr>
                <w:rFonts w:cs="Arial"/>
                <w:color w:val="000000" w:themeColor="text1"/>
                <w:sz w:val="20"/>
                <w:szCs w:val="20"/>
                <w:lang w:eastAsia="en-GB"/>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370E424" w14:textId="77777777">
            <w:pPr>
              <w:textAlignment w:val="baseline"/>
              <w:rPr>
                <w:rFonts w:cs="Arial"/>
                <w:lang w:eastAsia="en-GB"/>
              </w:rPr>
            </w:pPr>
            <w:r w:rsidRPr="00E73F67">
              <w:rPr>
                <w:rFonts w:cs="Arial"/>
                <w:sz w:val="20"/>
                <w:szCs w:val="20"/>
                <w:lang w:eastAsia="en-GB"/>
              </w:rPr>
              <w:t>Deforestation control and illegal deforestation </w:t>
            </w:r>
          </w:p>
        </w:tc>
        <w:tc>
          <w:tcPr>
            <w:tcW w:w="21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3CECF878" w14:textId="77777777">
            <w:pPr>
              <w:textAlignment w:val="baseline"/>
              <w:rPr>
                <w:rFonts w:cs="Arial"/>
                <w:lang w:eastAsia="en-GB"/>
              </w:rPr>
            </w:pPr>
            <w:r w:rsidRPr="00E73F67">
              <w:rPr>
                <w:rFonts w:cs="Arial"/>
                <w:sz w:val="20"/>
                <w:szCs w:val="20"/>
                <w:lang w:eastAsia="en-GB"/>
              </w:rPr>
              <w:t>Institutional strengthening and structuring public policies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6A04E0B1" w14:textId="6DA5DF85">
            <w:pPr>
              <w:textAlignment w:val="baseline"/>
              <w:rPr>
                <w:rFonts w:cs="Arial"/>
                <w:lang w:eastAsia="en-GB"/>
              </w:rPr>
            </w:pPr>
            <w:r w:rsidRPr="722F6E6D">
              <w:rPr>
                <w:rFonts w:cs="Arial"/>
                <w:sz w:val="20"/>
                <w:szCs w:val="20"/>
                <w:lang w:eastAsia="en-GB"/>
              </w:rPr>
              <w:t>Enabling conditions</w:t>
            </w:r>
            <w:r w:rsidRPr="722F6E6D" w:rsidR="00A70C9B">
              <w:rPr>
                <w:rFonts w:cs="Arial"/>
                <w:sz w:val="20"/>
                <w:szCs w:val="20"/>
                <w:lang w:eastAsia="en-GB"/>
              </w:rPr>
              <w:t>- REDD+ systems and national forest monitoring system</w:t>
            </w:r>
            <w:r w:rsidRPr="722F6E6D">
              <w:rPr>
                <w:rFonts w:cs="Arial"/>
                <w:sz w:val="20"/>
                <w:szCs w:val="20"/>
                <w:lang w:eastAsia="en-GB"/>
              </w:rPr>
              <w:t>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582CE2FB" w14:textId="77777777">
            <w:pPr>
              <w:textAlignment w:val="baseline"/>
              <w:rPr>
                <w:rFonts w:cs="Arial"/>
                <w:i/>
                <w:lang w:eastAsia="en-GB"/>
              </w:rPr>
            </w:pPr>
            <w:r w:rsidRPr="55FE0A13">
              <w:rPr>
                <w:rFonts w:cs="Arial"/>
                <w:i/>
                <w:sz w:val="20"/>
                <w:szCs w:val="20"/>
                <w:lang w:eastAsia="en-GB"/>
              </w:rPr>
              <w:t>Forest Governance </w:t>
            </w:r>
          </w:p>
        </w:tc>
      </w:tr>
      <w:tr w:rsidRPr="00E73F67" w:rsidR="00D93B6C" w:rsidTr="054E2F8B" w14:paraId="15AC75CF" w14:textId="77777777">
        <w:trPr>
          <w:trHeight w:val="300"/>
        </w:trPr>
        <w:tc>
          <w:tcPr>
            <w:tcW w:w="1418" w:type="dxa"/>
            <w:vMerge/>
            <w:vAlign w:val="center"/>
            <w:hideMark/>
          </w:tcPr>
          <w:p w:rsidRPr="00E73F67" w:rsidR="00D93B6C" w:rsidP="00CB1B3C" w:rsidRDefault="00D93B6C" w14:paraId="7794544B" w14:textId="77777777">
            <w:pPr>
              <w:rPr>
                <w:rFonts w:cs="Arial"/>
                <w:lang w:eastAsia="en-GB"/>
              </w:rPr>
            </w:pP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1072CA98" w14:textId="77777777">
            <w:pPr>
              <w:textAlignment w:val="baseline"/>
              <w:rPr>
                <w:rFonts w:cs="Arial"/>
                <w:lang w:eastAsia="en-GB"/>
              </w:rPr>
            </w:pPr>
            <w:r w:rsidRPr="00E73F67">
              <w:rPr>
                <w:rFonts w:cs="Arial"/>
                <w:sz w:val="20"/>
                <w:szCs w:val="20"/>
                <w:lang w:eastAsia="en-GB"/>
              </w:rPr>
              <w:t>Strengthening SISA</w:t>
            </w:r>
            <w:r w:rsidRPr="00E73F67">
              <w:rPr>
                <w:rFonts w:cs="Arial"/>
                <w:sz w:val="16"/>
                <w:szCs w:val="16"/>
                <w:vertAlign w:val="superscript"/>
                <w:lang w:eastAsia="en-GB"/>
              </w:rPr>
              <w:t>60</w:t>
            </w:r>
            <w:r w:rsidRPr="00E73F67">
              <w:rPr>
                <w:rFonts w:cs="Arial"/>
                <w:sz w:val="20"/>
                <w:szCs w:val="20"/>
                <w:lang w:eastAsia="en-GB"/>
              </w:rPr>
              <w:t xml:space="preserve"> and REDD+ mechanisms </w:t>
            </w:r>
          </w:p>
        </w:tc>
        <w:tc>
          <w:tcPr>
            <w:tcW w:w="21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1ED2DAC0" w14:textId="77777777">
            <w:pPr>
              <w:textAlignment w:val="baseline"/>
              <w:rPr>
                <w:rFonts w:cs="Arial"/>
                <w:lang w:eastAsia="en-GB"/>
              </w:rPr>
            </w:pPr>
            <w:r w:rsidRPr="00E73F67">
              <w:rPr>
                <w:rFonts w:cs="Arial"/>
                <w:sz w:val="20"/>
                <w:szCs w:val="20"/>
                <w:lang w:eastAsia="en-GB"/>
              </w:rPr>
              <w:t>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1A1EADB3" w14:textId="77777777">
            <w:pPr>
              <w:textAlignment w:val="baseline"/>
              <w:rPr>
                <w:rFonts w:cs="Arial"/>
                <w:lang w:eastAsia="en-GB"/>
              </w:rPr>
            </w:pPr>
            <w:r w:rsidRPr="00E73F67">
              <w:rPr>
                <w:rFonts w:cs="Arial"/>
                <w:sz w:val="20"/>
                <w:szCs w:val="20"/>
                <w:lang w:eastAsia="en-GB"/>
              </w:rPr>
              <w:t>Forest governance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5FA7D7A" w14:textId="77777777">
            <w:pPr>
              <w:textAlignment w:val="baseline"/>
              <w:rPr>
                <w:rFonts w:cs="Arial"/>
                <w:i/>
                <w:lang w:eastAsia="en-GB"/>
              </w:rPr>
            </w:pPr>
            <w:r w:rsidRPr="55FE0A13">
              <w:rPr>
                <w:rFonts w:cs="Arial"/>
                <w:i/>
                <w:sz w:val="20"/>
                <w:szCs w:val="20"/>
                <w:lang w:eastAsia="en-GB"/>
              </w:rPr>
              <w:t>Structuring jurisdictional systems </w:t>
            </w:r>
          </w:p>
        </w:tc>
      </w:tr>
      <w:tr w:rsidRPr="00E73F67" w:rsidR="00D93B6C" w:rsidTr="054E2F8B" w14:paraId="788833FA" w14:textId="77777777">
        <w:trPr>
          <w:trHeight w:val="300"/>
        </w:trPr>
        <w:tc>
          <w:tcPr>
            <w:tcW w:w="141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8D08D" w:themeFill="accent6" w:themeFillTint="99"/>
            <w:hideMark/>
          </w:tcPr>
          <w:p w:rsidRPr="00E73F67" w:rsidR="00D93B6C" w:rsidP="00CB1B3C" w:rsidRDefault="00D762BF" w14:paraId="14303A6D" w14:textId="7ED77B4E">
            <w:pPr>
              <w:textAlignment w:val="baseline"/>
              <w:rPr>
                <w:rFonts w:cs="Arial"/>
                <w:lang w:eastAsia="en-GB"/>
              </w:rPr>
            </w:pPr>
            <w:r>
              <w:rPr>
                <w:rFonts w:cs="Arial"/>
                <w:b/>
                <w:bCs/>
                <w:color w:val="000000"/>
                <w:sz w:val="20"/>
                <w:szCs w:val="20"/>
                <w:lang w:eastAsia="en-GB"/>
              </w:rPr>
              <w:t>B</w:t>
            </w:r>
            <w:r w:rsidRPr="00E73F67" w:rsidR="00D93B6C">
              <w:rPr>
                <w:rFonts w:cs="Arial"/>
                <w:b/>
                <w:bCs/>
                <w:color w:val="000000"/>
                <w:sz w:val="20"/>
                <w:szCs w:val="20"/>
                <w:lang w:eastAsia="en-GB"/>
              </w:rPr>
              <w:t>enefit-sharing </w:t>
            </w:r>
            <w:r w:rsidRPr="00E73F67" w:rsidR="00D93B6C">
              <w:rPr>
                <w:rFonts w:cs="Arial"/>
                <w:color w:val="000000"/>
                <w:sz w:val="20"/>
                <w:szCs w:val="20"/>
                <w:lang w:eastAsia="en-GB"/>
              </w:rPr>
              <w:t> </w:t>
            </w:r>
          </w:p>
          <w:p w:rsidRPr="00E73F67" w:rsidR="00D93B6C" w:rsidP="00CB1B3C" w:rsidRDefault="00D93B6C" w14:paraId="193E323B" w14:textId="77237AA1">
            <w:pPr>
              <w:textAlignment w:val="baseline"/>
              <w:rPr>
                <w:rFonts w:cs="Arial"/>
                <w:lang w:eastAsia="en-GB"/>
              </w:rPr>
            </w:pPr>
            <w:r w:rsidRPr="00E73F67">
              <w:rPr>
                <w:rFonts w:cs="Arial"/>
                <w:b/>
                <w:bCs/>
                <w:color w:val="000000"/>
                <w:sz w:val="20"/>
                <w:szCs w:val="20"/>
                <w:lang w:eastAsia="en-GB"/>
              </w:rPr>
              <w:t>(</w:t>
            </w:r>
            <w:r w:rsidR="00B3671A">
              <w:rPr>
                <w:rFonts w:cs="Arial"/>
                <w:b/>
                <w:bCs/>
                <w:color w:val="000000"/>
                <w:sz w:val="20"/>
                <w:szCs w:val="20"/>
                <w:lang w:eastAsia="en-GB"/>
              </w:rPr>
              <w:t xml:space="preserve">60% in Colombia and Mato Grosso, </w:t>
            </w:r>
            <w:r w:rsidRPr="00E73F67">
              <w:rPr>
                <w:rFonts w:cs="Arial"/>
                <w:b/>
                <w:bCs/>
                <w:color w:val="000000"/>
                <w:sz w:val="20"/>
                <w:szCs w:val="20"/>
                <w:lang w:eastAsia="en-GB"/>
              </w:rPr>
              <w:t>70%</w:t>
            </w:r>
            <w:r w:rsidR="00B3671A">
              <w:rPr>
                <w:rFonts w:cs="Arial"/>
                <w:b/>
                <w:bCs/>
                <w:color w:val="000000"/>
                <w:sz w:val="20"/>
                <w:szCs w:val="20"/>
                <w:lang w:eastAsia="en-GB"/>
              </w:rPr>
              <w:t xml:space="preserve"> in</w:t>
            </w:r>
            <w:r w:rsidRPr="00E73F67">
              <w:rPr>
                <w:rFonts w:cs="Arial"/>
                <w:b/>
                <w:bCs/>
                <w:color w:val="000000"/>
                <w:sz w:val="20"/>
                <w:szCs w:val="20"/>
                <w:lang w:eastAsia="en-GB"/>
              </w:rPr>
              <w:t xml:space="preserve"> Acre and Ecuador)</w:t>
            </w:r>
            <w:r w:rsidRPr="00E73F67">
              <w:rPr>
                <w:rFonts w:cs="Arial"/>
                <w:color w:val="000000"/>
                <w:sz w:val="20"/>
                <w:szCs w:val="20"/>
                <w:lang w:eastAsia="en-GB"/>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0219B19E" w14:textId="77777777">
            <w:pPr>
              <w:textAlignment w:val="baseline"/>
              <w:rPr>
                <w:rFonts w:cs="Arial"/>
                <w:lang w:eastAsia="en-GB"/>
              </w:rPr>
            </w:pPr>
            <w:r w:rsidRPr="00E73F67">
              <w:rPr>
                <w:rFonts w:cs="Arial"/>
                <w:sz w:val="20"/>
                <w:szCs w:val="20"/>
                <w:lang w:eastAsia="en-GB"/>
              </w:rPr>
              <w:t>Indigenous territories </w:t>
            </w:r>
          </w:p>
        </w:tc>
        <w:tc>
          <w:tcPr>
            <w:tcW w:w="21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EBFA602" w14:textId="77777777">
            <w:pPr>
              <w:textAlignment w:val="baseline"/>
              <w:rPr>
                <w:rFonts w:cs="Arial"/>
                <w:lang w:eastAsia="en-GB"/>
              </w:rPr>
            </w:pPr>
            <w:r w:rsidRPr="00E73F67">
              <w:rPr>
                <w:rFonts w:cs="Arial"/>
                <w:sz w:val="20"/>
                <w:szCs w:val="20"/>
                <w:lang w:eastAsia="en-GB"/>
              </w:rPr>
              <w:t>Indigenous territories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095069A2" w14:textId="77777777">
            <w:pPr>
              <w:textAlignment w:val="baseline"/>
              <w:rPr>
                <w:rFonts w:cs="Arial"/>
                <w:lang w:eastAsia="en-GB"/>
              </w:rPr>
            </w:pPr>
            <w:r w:rsidRPr="00E73F67">
              <w:rPr>
                <w:rFonts w:cs="Arial"/>
                <w:sz w:val="20"/>
                <w:szCs w:val="20"/>
                <w:lang w:eastAsia="en-GB"/>
              </w:rPr>
              <w:t>Environmental governance with indigenous people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6CF11A3B" w14:textId="77777777">
            <w:pPr>
              <w:textAlignment w:val="baseline"/>
              <w:rPr>
                <w:rFonts w:cs="Arial"/>
                <w:i/>
                <w:lang w:eastAsia="en-GB"/>
              </w:rPr>
            </w:pPr>
            <w:r w:rsidRPr="55FE0A13">
              <w:rPr>
                <w:rFonts w:cs="Arial"/>
                <w:i/>
                <w:sz w:val="20"/>
                <w:szCs w:val="20"/>
                <w:lang w:eastAsia="en-GB"/>
              </w:rPr>
              <w:t>Conservation and projects in the territory (indigenous) </w:t>
            </w:r>
          </w:p>
        </w:tc>
      </w:tr>
      <w:tr w:rsidRPr="00E73F67" w:rsidR="00D93B6C" w:rsidTr="054E2F8B" w14:paraId="77A619B4" w14:textId="77777777">
        <w:trPr>
          <w:trHeight w:val="300"/>
        </w:trPr>
        <w:tc>
          <w:tcPr>
            <w:tcW w:w="1418" w:type="dxa"/>
            <w:vMerge/>
            <w:vAlign w:val="center"/>
            <w:hideMark/>
          </w:tcPr>
          <w:p w:rsidRPr="00E73F67" w:rsidR="00D93B6C" w:rsidP="00CB1B3C" w:rsidRDefault="00D93B6C" w14:paraId="1C3F096A" w14:textId="77777777">
            <w:pPr>
              <w:rPr>
                <w:rFonts w:cs="Arial"/>
                <w:lang w:eastAsia="en-GB"/>
              </w:rPr>
            </w:pP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3958EA45" w14:textId="77777777">
            <w:pPr>
              <w:textAlignment w:val="baseline"/>
              <w:rPr>
                <w:rFonts w:cs="Arial"/>
                <w:lang w:eastAsia="en-GB"/>
              </w:rPr>
            </w:pPr>
            <w:r w:rsidRPr="00E73F67">
              <w:rPr>
                <w:rFonts w:cs="Arial"/>
                <w:sz w:val="20"/>
                <w:szCs w:val="20"/>
                <w:lang w:eastAsia="en-GB"/>
              </w:rPr>
              <w:t>Sustainable family production </w:t>
            </w:r>
          </w:p>
        </w:tc>
        <w:tc>
          <w:tcPr>
            <w:tcW w:w="21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3202CD7" w14:textId="77777777">
            <w:pPr>
              <w:textAlignment w:val="baseline"/>
              <w:rPr>
                <w:rFonts w:cs="Arial"/>
                <w:lang w:eastAsia="en-GB"/>
              </w:rPr>
            </w:pPr>
            <w:r w:rsidRPr="00E73F67">
              <w:rPr>
                <w:rFonts w:cs="Arial"/>
                <w:sz w:val="20"/>
                <w:szCs w:val="20"/>
                <w:lang w:eastAsia="en-GB"/>
              </w:rPr>
              <w:t>Family farming and traditional peoples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464EA6E" w14:textId="77777777">
            <w:pPr>
              <w:textAlignment w:val="baseline"/>
              <w:rPr>
                <w:rFonts w:cs="Arial"/>
                <w:lang w:eastAsia="en-GB"/>
              </w:rPr>
            </w:pPr>
            <w:r w:rsidRPr="00E73F67">
              <w:rPr>
                <w:rFonts w:cs="Arial"/>
                <w:sz w:val="20"/>
                <w:szCs w:val="20"/>
                <w:lang w:eastAsia="en-GB"/>
              </w:rPr>
              <w:t>Agriculture and Environment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4E824BE3" w14:textId="77777777">
            <w:pPr>
              <w:textAlignment w:val="baseline"/>
              <w:rPr>
                <w:rFonts w:cs="Arial"/>
                <w:i/>
                <w:lang w:eastAsia="en-GB"/>
              </w:rPr>
            </w:pPr>
            <w:r w:rsidRPr="55FE0A13">
              <w:rPr>
                <w:rFonts w:cs="Arial"/>
                <w:i/>
                <w:sz w:val="20"/>
                <w:szCs w:val="20"/>
                <w:lang w:eastAsia="en-GB"/>
              </w:rPr>
              <w:t>Productive systems </w:t>
            </w:r>
          </w:p>
        </w:tc>
      </w:tr>
      <w:tr w:rsidRPr="00E73F67" w:rsidR="00D93B6C" w:rsidTr="054E2F8B" w14:paraId="2DBEEC30" w14:textId="77777777">
        <w:trPr>
          <w:trHeight w:val="300"/>
        </w:trPr>
        <w:tc>
          <w:tcPr>
            <w:tcW w:w="1418" w:type="dxa"/>
            <w:vMerge/>
            <w:vAlign w:val="center"/>
            <w:hideMark/>
          </w:tcPr>
          <w:p w:rsidRPr="00E73F67" w:rsidR="00D93B6C" w:rsidP="00CB1B3C" w:rsidRDefault="00D93B6C" w14:paraId="3A351137" w14:textId="77777777">
            <w:pPr>
              <w:rPr>
                <w:rFonts w:cs="Arial"/>
                <w:lang w:eastAsia="en-GB"/>
              </w:rPr>
            </w:pP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0E24A84" w14:textId="77777777">
            <w:pPr>
              <w:textAlignment w:val="baseline"/>
              <w:rPr>
                <w:rFonts w:cs="Arial"/>
                <w:lang w:eastAsia="en-GB"/>
              </w:rPr>
            </w:pPr>
            <w:r w:rsidRPr="00E73F67">
              <w:rPr>
                <w:rFonts w:cs="Arial"/>
                <w:sz w:val="20"/>
                <w:szCs w:val="20"/>
                <w:lang w:eastAsia="en-GB"/>
              </w:rPr>
              <w:t>Sustainable Diversified Livestock </w:t>
            </w:r>
          </w:p>
        </w:tc>
        <w:tc>
          <w:tcPr>
            <w:tcW w:w="21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24517422" w14:textId="77777777">
            <w:pPr>
              <w:textAlignment w:val="baseline"/>
              <w:rPr>
                <w:rFonts w:cs="Arial"/>
                <w:lang w:eastAsia="en-GB"/>
              </w:rPr>
            </w:pPr>
            <w:r w:rsidRPr="00E73F67">
              <w:rPr>
                <w:rFonts w:cs="Arial"/>
                <w:sz w:val="20"/>
                <w:szCs w:val="20"/>
                <w:lang w:eastAsia="en-GB"/>
              </w:rPr>
              <w:t>Sustainable production, innovation and markets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63E10F72" w14:textId="77777777">
            <w:pPr>
              <w:textAlignment w:val="baseline"/>
              <w:rPr>
                <w:rFonts w:cs="Arial"/>
                <w:lang w:eastAsia="en-GB"/>
              </w:rPr>
            </w:pPr>
            <w:r w:rsidRPr="00E73F67">
              <w:rPr>
                <w:rFonts w:cs="Arial"/>
                <w:sz w:val="20"/>
                <w:szCs w:val="20"/>
                <w:lang w:eastAsia="en-GB"/>
              </w:rPr>
              <w:t>Sustainable sectorial planning and development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E73F67" w:rsidR="00D93B6C" w:rsidP="00CB1B3C" w:rsidRDefault="00D93B6C" w14:paraId="4C1A731D" w14:textId="77777777">
            <w:pPr>
              <w:textAlignment w:val="baseline"/>
              <w:rPr>
                <w:rFonts w:cs="Arial"/>
                <w:i/>
                <w:lang w:eastAsia="en-GB"/>
              </w:rPr>
            </w:pPr>
            <w:r w:rsidRPr="55FE0A13">
              <w:rPr>
                <w:rFonts w:cs="Arial"/>
                <w:i/>
                <w:sz w:val="20"/>
                <w:szCs w:val="20"/>
                <w:lang w:eastAsia="en-GB"/>
              </w:rPr>
              <w:t> </w:t>
            </w:r>
          </w:p>
        </w:tc>
      </w:tr>
    </w:tbl>
    <w:p w:rsidR="7AF6A861" w:rsidP="7AF6A861" w:rsidRDefault="7AF6A861" w14:paraId="36E8A618" w14:textId="028A61B9">
      <w:pPr>
        <w:pStyle w:val="FootnoteText"/>
        <w:rPr>
          <w:rFonts w:ascii="Arial" w:hAnsi="Arial" w:eastAsia="Arial" w:cs="Arial"/>
          <w:color w:val="000000" w:themeColor="text1"/>
          <w:sz w:val="22"/>
          <w:szCs w:val="22"/>
        </w:rPr>
      </w:pPr>
    </w:p>
    <w:p w:rsidR="00CA6544" w:rsidP="7AF6A861" w:rsidRDefault="00CA6544" w14:paraId="30140540" w14:textId="769B8153">
      <w:pPr>
        <w:pStyle w:val="FootnoteText"/>
        <w:rPr>
          <w:rFonts w:ascii="Arial" w:hAnsi="Arial" w:eastAsia="Arial" w:cs="Arial"/>
          <w:b/>
          <w:bCs/>
          <w:color w:val="000000" w:themeColor="text1"/>
          <w:sz w:val="22"/>
          <w:szCs w:val="22"/>
        </w:rPr>
      </w:pPr>
      <w:r w:rsidRPr="002227A5">
        <w:rPr>
          <w:rFonts w:ascii="Arial" w:hAnsi="Arial" w:eastAsia="Arial" w:cs="Arial"/>
          <w:b/>
          <w:bCs/>
          <w:color w:val="000000" w:themeColor="text1"/>
          <w:sz w:val="22"/>
          <w:szCs w:val="22"/>
        </w:rPr>
        <w:t>Programme dates are highlighted below for REM 1 and REM 2</w:t>
      </w:r>
    </w:p>
    <w:p w:rsidR="00E94BA7" w:rsidP="7AF6A861" w:rsidRDefault="00E94BA7" w14:paraId="3FC8B2BA" w14:textId="77777777">
      <w:pPr>
        <w:pStyle w:val="FootnoteText"/>
        <w:rPr>
          <w:rFonts w:ascii="Arial" w:hAnsi="Arial" w:eastAsia="Arial" w:cs="Arial"/>
          <w:b/>
          <w:bCs/>
          <w:color w:val="000000" w:themeColor="text1"/>
          <w:sz w:val="22"/>
          <w:szCs w:val="22"/>
        </w:rPr>
      </w:pPr>
    </w:p>
    <w:p w:rsidRPr="002227A5" w:rsidR="00E94BA7" w:rsidP="7AF6A861" w:rsidRDefault="00E94BA7" w14:paraId="70A7FCC4" w14:textId="4D8A43B0">
      <w:pPr>
        <w:pStyle w:val="FootnoteText"/>
        <w:rPr>
          <w:rFonts w:ascii="Arial" w:hAnsi="Arial" w:eastAsia="Arial" w:cs="Arial"/>
          <w:b/>
          <w:bCs/>
          <w:color w:val="000000" w:themeColor="text1"/>
          <w:sz w:val="22"/>
          <w:szCs w:val="22"/>
        </w:rPr>
      </w:pPr>
      <w:r>
        <w:rPr>
          <w:rFonts w:ascii="Arial" w:hAnsi="Arial" w:eastAsia="Arial" w:cs="Arial"/>
          <w:b/>
          <w:bCs/>
          <w:color w:val="000000" w:themeColor="text1"/>
          <w:sz w:val="22"/>
          <w:szCs w:val="22"/>
        </w:rPr>
        <w:t>REM 1</w:t>
      </w:r>
    </w:p>
    <w:tbl>
      <w:tblPr>
        <w:tblStyle w:val="TableGrid"/>
        <w:tblW w:w="9072" w:type="dxa"/>
        <w:tblInd w:w="-5" w:type="dxa"/>
        <w:tblLayout w:type="fixed"/>
        <w:tblLook w:val="06A0" w:firstRow="1" w:lastRow="0" w:firstColumn="1" w:lastColumn="0" w:noHBand="1" w:noVBand="1"/>
      </w:tblPr>
      <w:tblGrid>
        <w:gridCol w:w="1418"/>
        <w:gridCol w:w="1276"/>
        <w:gridCol w:w="2126"/>
        <w:gridCol w:w="4252"/>
      </w:tblGrid>
      <w:tr w:rsidRPr="00E73F67" w:rsidR="00544F8D" w:rsidTr="722F6E6D" w14:paraId="004C386C" w14:textId="4D8E5AD1">
        <w:trPr>
          <w:trHeight w:val="300"/>
        </w:trPr>
        <w:tc>
          <w:tcPr>
            <w:tcW w:w="1418" w:type="dxa"/>
            <w:shd w:val="clear" w:color="auto" w:fill="A6A6A6" w:themeFill="background1" w:themeFillShade="A6"/>
          </w:tcPr>
          <w:p w:rsidRPr="00B97DB6" w:rsidR="009B4FFA" w:rsidRDefault="009B4FFA" w14:paraId="55511757" w14:textId="77777777">
            <w:pPr>
              <w:pStyle w:val="FootnoteText"/>
              <w:rPr>
                <w:rFonts w:ascii="Arial" w:hAnsi="Arial" w:eastAsia="Arial" w:cs="Arial"/>
                <w:b/>
                <w:bCs/>
              </w:rPr>
            </w:pPr>
            <w:r w:rsidRPr="00B97DB6">
              <w:rPr>
                <w:rFonts w:ascii="Arial" w:hAnsi="Arial" w:eastAsia="Arial" w:cs="Arial"/>
                <w:b/>
                <w:bCs/>
              </w:rPr>
              <w:t>Programme</w:t>
            </w:r>
          </w:p>
        </w:tc>
        <w:tc>
          <w:tcPr>
            <w:tcW w:w="1276" w:type="dxa"/>
            <w:shd w:val="clear" w:color="auto" w:fill="A6A6A6" w:themeFill="background1" w:themeFillShade="A6"/>
          </w:tcPr>
          <w:p w:rsidRPr="00B97DB6" w:rsidR="009B4FFA" w:rsidRDefault="009B4FFA" w14:paraId="4A9BF5F5" w14:textId="5CDCAA63">
            <w:pPr>
              <w:pStyle w:val="FootnoteText"/>
              <w:rPr>
                <w:rFonts w:ascii="Arial" w:hAnsi="Arial" w:eastAsia="Arial" w:cs="Arial"/>
                <w:b/>
                <w:bCs/>
              </w:rPr>
            </w:pPr>
            <w:r w:rsidRPr="00B97DB6">
              <w:rPr>
                <w:rFonts w:ascii="Arial" w:hAnsi="Arial" w:eastAsia="Arial" w:cs="Arial"/>
                <w:b/>
                <w:bCs/>
              </w:rPr>
              <w:t>Start date</w:t>
            </w:r>
          </w:p>
        </w:tc>
        <w:tc>
          <w:tcPr>
            <w:tcW w:w="2126" w:type="dxa"/>
            <w:shd w:val="clear" w:color="auto" w:fill="A6A6A6" w:themeFill="background1" w:themeFillShade="A6"/>
          </w:tcPr>
          <w:p w:rsidRPr="00B97DB6" w:rsidR="009B4FFA" w:rsidRDefault="009B4FFA" w14:paraId="22F949B0" w14:textId="782F534F">
            <w:pPr>
              <w:pStyle w:val="FootnoteText"/>
              <w:rPr>
                <w:rFonts w:ascii="Arial" w:hAnsi="Arial" w:eastAsia="Arial" w:cs="Arial"/>
                <w:b/>
                <w:bCs/>
              </w:rPr>
            </w:pPr>
            <w:r w:rsidRPr="00B97DB6">
              <w:rPr>
                <w:rFonts w:ascii="Arial" w:hAnsi="Arial" w:eastAsia="Arial" w:cs="Arial"/>
                <w:b/>
                <w:bCs/>
              </w:rPr>
              <w:t xml:space="preserve">Original close date </w:t>
            </w:r>
          </w:p>
        </w:tc>
        <w:tc>
          <w:tcPr>
            <w:tcW w:w="4252" w:type="dxa"/>
            <w:shd w:val="clear" w:color="auto" w:fill="A6A6A6" w:themeFill="background1" w:themeFillShade="A6"/>
          </w:tcPr>
          <w:p w:rsidRPr="00B97DB6" w:rsidR="009B4FFA" w:rsidRDefault="009B4FFA" w14:paraId="508C99B0" w14:textId="77777777">
            <w:pPr>
              <w:pStyle w:val="FootnoteText"/>
              <w:rPr>
                <w:rFonts w:ascii="Arial" w:hAnsi="Arial" w:eastAsia="Arial" w:cs="Arial"/>
                <w:b/>
                <w:bCs/>
              </w:rPr>
            </w:pPr>
            <w:r w:rsidRPr="00B97DB6">
              <w:rPr>
                <w:rFonts w:ascii="Arial" w:hAnsi="Arial" w:eastAsia="Arial" w:cs="Arial"/>
                <w:b/>
                <w:bCs/>
              </w:rPr>
              <w:t>New close date</w:t>
            </w:r>
          </w:p>
        </w:tc>
      </w:tr>
      <w:tr w:rsidRPr="00E73F67" w:rsidR="009B4FFA" w:rsidTr="722F6E6D" w14:paraId="5692ABB9" w14:textId="0625816D">
        <w:trPr>
          <w:trHeight w:val="300"/>
        </w:trPr>
        <w:tc>
          <w:tcPr>
            <w:tcW w:w="1418" w:type="dxa"/>
          </w:tcPr>
          <w:p w:rsidRPr="00B97DB6" w:rsidR="009B4FFA" w:rsidRDefault="009B4FFA" w14:paraId="071D371E" w14:textId="77777777">
            <w:pPr>
              <w:pStyle w:val="FootnoteText"/>
              <w:rPr>
                <w:rFonts w:ascii="Arial" w:hAnsi="Arial" w:eastAsia="Arial" w:cs="Arial"/>
              </w:rPr>
            </w:pPr>
            <w:r w:rsidRPr="00B97DB6">
              <w:rPr>
                <w:rFonts w:ascii="Arial" w:hAnsi="Arial" w:eastAsia="Arial" w:cs="Arial"/>
              </w:rPr>
              <w:t>Acre</w:t>
            </w:r>
          </w:p>
        </w:tc>
        <w:tc>
          <w:tcPr>
            <w:tcW w:w="1276" w:type="dxa"/>
          </w:tcPr>
          <w:p w:rsidRPr="00B97DB6" w:rsidR="009B4FFA" w:rsidRDefault="009B4FFA" w14:paraId="69E9AC60" w14:textId="26C6C78A">
            <w:pPr>
              <w:pStyle w:val="FootnoteText"/>
              <w:rPr>
                <w:rFonts w:ascii="Arial" w:hAnsi="Arial" w:eastAsia="Arial" w:cs="Arial"/>
              </w:rPr>
            </w:pPr>
            <w:r w:rsidRPr="00B97DB6">
              <w:rPr>
                <w:rFonts w:ascii="Arial" w:hAnsi="Arial" w:eastAsia="Arial" w:cs="Arial"/>
              </w:rPr>
              <w:t>2017</w:t>
            </w:r>
          </w:p>
        </w:tc>
        <w:tc>
          <w:tcPr>
            <w:tcW w:w="2126" w:type="dxa"/>
          </w:tcPr>
          <w:p w:rsidRPr="00B97DB6" w:rsidR="009B4FFA" w:rsidRDefault="009B4FFA" w14:paraId="06D83000" w14:textId="53A7DD82">
            <w:pPr>
              <w:pStyle w:val="FootnoteText"/>
              <w:rPr>
                <w:rFonts w:ascii="Arial" w:hAnsi="Arial" w:eastAsia="Arial" w:cs="Arial"/>
              </w:rPr>
            </w:pPr>
            <w:r w:rsidRPr="00B97DB6">
              <w:rPr>
                <w:rFonts w:ascii="Arial" w:hAnsi="Arial" w:eastAsia="Arial" w:cs="Arial"/>
              </w:rPr>
              <w:t>December 2022</w:t>
            </w:r>
          </w:p>
        </w:tc>
        <w:tc>
          <w:tcPr>
            <w:tcW w:w="4252" w:type="dxa"/>
          </w:tcPr>
          <w:p w:rsidRPr="00B97DB6" w:rsidR="009B4FFA" w:rsidRDefault="009B4FFA" w14:paraId="2EB63766" w14:textId="29CE14AD">
            <w:pPr>
              <w:pStyle w:val="FootnoteText"/>
              <w:rPr>
                <w:rFonts w:ascii="Arial" w:hAnsi="Arial" w:eastAsia="Arial" w:cs="Arial"/>
              </w:rPr>
            </w:pPr>
            <w:r w:rsidRPr="722F6E6D">
              <w:rPr>
                <w:rFonts w:ascii="Arial" w:hAnsi="Arial" w:eastAsia="Arial" w:cs="Arial"/>
              </w:rPr>
              <w:t>December 202</w:t>
            </w:r>
            <w:r w:rsidRPr="722F6E6D" w:rsidR="004A6C2C">
              <w:rPr>
                <w:rFonts w:ascii="Arial" w:hAnsi="Arial" w:eastAsia="Arial" w:cs="Arial"/>
              </w:rPr>
              <w:t>6</w:t>
            </w:r>
            <w:r w:rsidRPr="722F6E6D">
              <w:rPr>
                <w:rFonts w:ascii="Arial" w:hAnsi="Arial" w:eastAsia="Arial" w:cs="Arial"/>
              </w:rPr>
              <w:t xml:space="preserve"> – extension needed for one additional year </w:t>
            </w:r>
            <w:r w:rsidRPr="722F6E6D" w:rsidR="004A6C2C">
              <w:rPr>
                <w:rFonts w:ascii="Arial" w:hAnsi="Arial" w:eastAsia="Arial" w:cs="Arial"/>
              </w:rPr>
              <w:t xml:space="preserve">(currently </w:t>
            </w:r>
            <w:r w:rsidRPr="722F6E6D" w:rsidR="001D0479">
              <w:rPr>
                <w:rFonts w:ascii="Arial" w:hAnsi="Arial" w:eastAsia="Arial" w:cs="Arial"/>
              </w:rPr>
              <w:t>extended to 2025</w:t>
            </w:r>
            <w:r w:rsidRPr="722F6E6D" w:rsidR="00FA025F">
              <w:rPr>
                <w:rFonts w:ascii="Arial" w:hAnsi="Arial" w:eastAsia="Arial" w:cs="Arial"/>
              </w:rPr>
              <w:t xml:space="preserve"> through the REM 2 Business Case)</w:t>
            </w:r>
          </w:p>
        </w:tc>
      </w:tr>
      <w:tr w:rsidRPr="00E73F67" w:rsidR="009B4FFA" w:rsidTr="722F6E6D" w14:paraId="6AADC5A1" w14:textId="75FFDE2C">
        <w:trPr>
          <w:trHeight w:val="300"/>
        </w:trPr>
        <w:tc>
          <w:tcPr>
            <w:tcW w:w="1418" w:type="dxa"/>
          </w:tcPr>
          <w:p w:rsidRPr="00B97DB6" w:rsidR="009B4FFA" w:rsidRDefault="009B4FFA" w14:paraId="53D2CB25" w14:textId="77777777">
            <w:pPr>
              <w:pStyle w:val="FootnoteText"/>
              <w:rPr>
                <w:rFonts w:ascii="Arial" w:hAnsi="Arial" w:eastAsia="Arial" w:cs="Arial"/>
              </w:rPr>
            </w:pPr>
            <w:r w:rsidRPr="00B97DB6">
              <w:rPr>
                <w:rFonts w:ascii="Arial" w:hAnsi="Arial" w:eastAsia="Arial" w:cs="Arial"/>
              </w:rPr>
              <w:t>Mato Grosso</w:t>
            </w:r>
          </w:p>
        </w:tc>
        <w:tc>
          <w:tcPr>
            <w:tcW w:w="1276" w:type="dxa"/>
          </w:tcPr>
          <w:p w:rsidRPr="00B97DB6" w:rsidR="009B4FFA" w:rsidRDefault="009B4FFA" w14:paraId="6B47E10E" w14:textId="75E1FDED">
            <w:pPr>
              <w:pStyle w:val="FootnoteText"/>
              <w:rPr>
                <w:rFonts w:ascii="Arial" w:hAnsi="Arial" w:eastAsia="Arial" w:cs="Arial"/>
              </w:rPr>
            </w:pPr>
            <w:r w:rsidRPr="00B97DB6">
              <w:rPr>
                <w:rFonts w:ascii="Arial" w:hAnsi="Arial" w:eastAsia="Arial" w:cs="Arial"/>
              </w:rPr>
              <w:t>2017</w:t>
            </w:r>
          </w:p>
        </w:tc>
        <w:tc>
          <w:tcPr>
            <w:tcW w:w="2126" w:type="dxa"/>
          </w:tcPr>
          <w:p w:rsidRPr="00B97DB6" w:rsidR="009B4FFA" w:rsidRDefault="009B4FFA" w14:paraId="58C83CB5" w14:textId="752D70A8">
            <w:pPr>
              <w:pStyle w:val="FootnoteText"/>
              <w:rPr>
                <w:rFonts w:ascii="Arial" w:hAnsi="Arial" w:eastAsia="Arial" w:cs="Arial"/>
              </w:rPr>
            </w:pPr>
            <w:r w:rsidRPr="00B97DB6">
              <w:rPr>
                <w:rFonts w:ascii="Arial" w:hAnsi="Arial" w:eastAsia="Arial" w:cs="Arial"/>
              </w:rPr>
              <w:t>December 2022</w:t>
            </w:r>
          </w:p>
        </w:tc>
        <w:tc>
          <w:tcPr>
            <w:tcW w:w="4252" w:type="dxa"/>
          </w:tcPr>
          <w:p w:rsidRPr="00B97DB6" w:rsidR="009B4FFA" w:rsidRDefault="006A0A94" w14:paraId="14CDC5AC" w14:textId="276488CA">
            <w:pPr>
              <w:pStyle w:val="FootnoteText"/>
              <w:rPr>
                <w:rFonts w:ascii="Arial" w:hAnsi="Arial" w:eastAsia="Arial" w:cs="Arial"/>
              </w:rPr>
            </w:pPr>
            <w:r>
              <w:rPr>
                <w:rFonts w:ascii="Arial" w:hAnsi="Arial" w:eastAsia="Arial" w:cs="Arial"/>
              </w:rPr>
              <w:t xml:space="preserve">June </w:t>
            </w:r>
            <w:r w:rsidRPr="00B97DB6" w:rsidR="009B4FFA">
              <w:rPr>
                <w:rFonts w:ascii="Arial" w:hAnsi="Arial" w:eastAsia="Arial" w:cs="Arial"/>
              </w:rPr>
              <w:t>202</w:t>
            </w:r>
            <w:r>
              <w:rPr>
                <w:rFonts w:ascii="Arial" w:hAnsi="Arial" w:eastAsia="Arial" w:cs="Arial"/>
              </w:rPr>
              <w:t>5</w:t>
            </w:r>
          </w:p>
        </w:tc>
      </w:tr>
      <w:tr w:rsidRPr="00E73F67" w:rsidR="009B4FFA" w:rsidTr="722F6E6D" w14:paraId="60E52494" w14:textId="52AF74F6">
        <w:trPr>
          <w:trHeight w:val="300"/>
        </w:trPr>
        <w:tc>
          <w:tcPr>
            <w:tcW w:w="1418" w:type="dxa"/>
          </w:tcPr>
          <w:p w:rsidRPr="00B97DB6" w:rsidR="009B4FFA" w:rsidRDefault="009B4FFA" w14:paraId="2783A2A2" w14:textId="77777777">
            <w:pPr>
              <w:pStyle w:val="FootnoteText"/>
              <w:rPr>
                <w:rFonts w:ascii="Arial" w:hAnsi="Arial" w:eastAsia="Arial" w:cs="Arial"/>
              </w:rPr>
            </w:pPr>
            <w:r w:rsidRPr="00B97DB6">
              <w:rPr>
                <w:rFonts w:ascii="Arial" w:hAnsi="Arial" w:eastAsia="Arial" w:cs="Arial"/>
              </w:rPr>
              <w:t xml:space="preserve">Colombia </w:t>
            </w:r>
          </w:p>
        </w:tc>
        <w:tc>
          <w:tcPr>
            <w:tcW w:w="1276" w:type="dxa"/>
          </w:tcPr>
          <w:p w:rsidRPr="00B97DB6" w:rsidR="009B4FFA" w:rsidRDefault="009B4FFA" w14:paraId="3DA4E0D8" w14:textId="67A84C95">
            <w:pPr>
              <w:pStyle w:val="FootnoteText"/>
              <w:rPr>
                <w:rFonts w:ascii="Arial" w:hAnsi="Arial" w:eastAsia="Arial" w:cs="Arial"/>
              </w:rPr>
            </w:pPr>
            <w:r w:rsidRPr="00B97DB6">
              <w:rPr>
                <w:rFonts w:ascii="Arial" w:hAnsi="Arial" w:eastAsia="Arial" w:cs="Arial"/>
              </w:rPr>
              <w:t>2016</w:t>
            </w:r>
          </w:p>
        </w:tc>
        <w:tc>
          <w:tcPr>
            <w:tcW w:w="2126" w:type="dxa"/>
          </w:tcPr>
          <w:p w:rsidRPr="00B97DB6" w:rsidR="009B4FFA" w:rsidRDefault="009B4FFA" w14:paraId="0002DEF9" w14:textId="10CDAE50">
            <w:pPr>
              <w:pStyle w:val="FootnoteText"/>
              <w:rPr>
                <w:rFonts w:ascii="Arial" w:hAnsi="Arial" w:eastAsia="Arial" w:cs="Arial"/>
              </w:rPr>
            </w:pPr>
            <w:r w:rsidRPr="00B97DB6">
              <w:rPr>
                <w:rFonts w:ascii="Arial" w:hAnsi="Arial" w:eastAsia="Arial" w:cs="Arial"/>
              </w:rPr>
              <w:t>December 2021</w:t>
            </w:r>
          </w:p>
        </w:tc>
        <w:tc>
          <w:tcPr>
            <w:tcW w:w="4252" w:type="dxa"/>
          </w:tcPr>
          <w:p w:rsidRPr="00B97DB6" w:rsidR="009B4FFA" w:rsidRDefault="009B4FFA" w14:paraId="093099D4" w14:textId="77777777">
            <w:pPr>
              <w:pStyle w:val="FootnoteText"/>
              <w:rPr>
                <w:rFonts w:ascii="Arial" w:hAnsi="Arial" w:eastAsia="Arial" w:cs="Arial"/>
              </w:rPr>
            </w:pPr>
            <w:r w:rsidRPr="00B97DB6">
              <w:rPr>
                <w:rFonts w:ascii="Arial" w:hAnsi="Arial" w:eastAsia="Arial" w:cs="Arial"/>
              </w:rPr>
              <w:t>June 2023</w:t>
            </w:r>
          </w:p>
        </w:tc>
      </w:tr>
    </w:tbl>
    <w:p w:rsidR="7AF6A861" w:rsidP="7AF6A861" w:rsidRDefault="7AF6A861" w14:paraId="5B64DDD9" w14:textId="119CE30E">
      <w:pPr>
        <w:pStyle w:val="FootnoteText"/>
        <w:rPr>
          <w:rFonts w:ascii="Arial" w:hAnsi="Arial" w:eastAsia="Arial" w:cs="Arial"/>
          <w:color w:val="000000" w:themeColor="text1"/>
          <w:sz w:val="22"/>
          <w:szCs w:val="22"/>
        </w:rPr>
      </w:pPr>
    </w:p>
    <w:p w:rsidR="00CA6544" w:rsidP="7AF6A861" w:rsidRDefault="00CA6544" w14:paraId="18399D4D" w14:textId="15878B69">
      <w:pPr>
        <w:pStyle w:val="FootnoteText"/>
        <w:rPr>
          <w:rFonts w:ascii="Arial" w:hAnsi="Arial" w:eastAsia="Arial" w:cs="Arial"/>
          <w:b/>
          <w:color w:val="000000" w:themeColor="text1"/>
          <w:sz w:val="22"/>
          <w:szCs w:val="22"/>
        </w:rPr>
      </w:pPr>
      <w:r w:rsidRPr="7470BE3B">
        <w:rPr>
          <w:rFonts w:ascii="Arial" w:hAnsi="Arial" w:eastAsia="Arial" w:cs="Arial"/>
          <w:b/>
          <w:color w:val="000000" w:themeColor="text1"/>
          <w:sz w:val="22"/>
          <w:szCs w:val="22"/>
        </w:rPr>
        <w:t xml:space="preserve">REM 2: </w:t>
      </w:r>
    </w:p>
    <w:p w:rsidR="00E94BA7" w:rsidP="7AF6A861" w:rsidRDefault="00E94BA7" w14:paraId="5B7DC7C2" w14:textId="77777777">
      <w:pPr>
        <w:pStyle w:val="FootnoteText"/>
        <w:rPr>
          <w:rFonts w:ascii="Arial" w:hAnsi="Arial" w:eastAsia="Arial" w:cs="Arial"/>
          <w:color w:val="000000" w:themeColor="text1"/>
          <w:sz w:val="22"/>
          <w:szCs w:val="22"/>
        </w:rPr>
      </w:pPr>
    </w:p>
    <w:tbl>
      <w:tblPr>
        <w:tblStyle w:val="TableGrid"/>
        <w:tblW w:w="9072" w:type="dxa"/>
        <w:tblInd w:w="-5" w:type="dxa"/>
        <w:tblLayout w:type="fixed"/>
        <w:tblLook w:val="06A0" w:firstRow="1" w:lastRow="0" w:firstColumn="1" w:lastColumn="0" w:noHBand="1" w:noVBand="1"/>
      </w:tblPr>
      <w:tblGrid>
        <w:gridCol w:w="1418"/>
        <w:gridCol w:w="3544"/>
        <w:gridCol w:w="4110"/>
      </w:tblGrid>
      <w:tr w:rsidRPr="00E73F67" w:rsidR="00097E61" w:rsidTr="00031C53" w14:paraId="1255FA59" w14:textId="77777777">
        <w:trPr>
          <w:trHeight w:val="300"/>
        </w:trPr>
        <w:tc>
          <w:tcPr>
            <w:tcW w:w="1418" w:type="dxa"/>
            <w:shd w:val="clear" w:color="auto" w:fill="A6A6A6" w:themeFill="background1" w:themeFillShade="A6"/>
          </w:tcPr>
          <w:p w:rsidRPr="00E94BA7" w:rsidR="00E94BA7" w:rsidRDefault="00E94BA7" w14:paraId="78E998D8" w14:textId="77777777">
            <w:pPr>
              <w:pStyle w:val="FootnoteText"/>
              <w:rPr>
                <w:rFonts w:ascii="Arial" w:hAnsi="Arial" w:eastAsia="Arial" w:cs="Arial"/>
                <w:b/>
                <w:bCs/>
              </w:rPr>
            </w:pPr>
            <w:r w:rsidRPr="00E94BA7">
              <w:rPr>
                <w:rFonts w:ascii="Arial" w:hAnsi="Arial" w:eastAsia="Arial" w:cs="Arial"/>
                <w:b/>
                <w:bCs/>
              </w:rPr>
              <w:t>Programme</w:t>
            </w:r>
          </w:p>
        </w:tc>
        <w:tc>
          <w:tcPr>
            <w:tcW w:w="3544" w:type="dxa"/>
            <w:shd w:val="clear" w:color="auto" w:fill="A6A6A6" w:themeFill="background1" w:themeFillShade="A6"/>
          </w:tcPr>
          <w:p w:rsidRPr="00E94BA7" w:rsidR="00E94BA7" w:rsidRDefault="00E94BA7" w14:paraId="34997C5F" w14:textId="77777777">
            <w:pPr>
              <w:pStyle w:val="FootnoteText"/>
              <w:rPr>
                <w:rFonts w:ascii="Arial" w:hAnsi="Arial" w:eastAsia="Arial" w:cs="Arial"/>
                <w:b/>
                <w:bCs/>
              </w:rPr>
            </w:pPr>
            <w:r w:rsidRPr="00E94BA7">
              <w:rPr>
                <w:rFonts w:ascii="Arial" w:hAnsi="Arial" w:eastAsia="Arial" w:cs="Arial"/>
                <w:b/>
                <w:bCs/>
              </w:rPr>
              <w:t>Start date</w:t>
            </w:r>
          </w:p>
        </w:tc>
        <w:tc>
          <w:tcPr>
            <w:tcW w:w="4110" w:type="dxa"/>
            <w:shd w:val="clear" w:color="auto" w:fill="A6A6A6" w:themeFill="background1" w:themeFillShade="A6"/>
          </w:tcPr>
          <w:p w:rsidRPr="00E94BA7" w:rsidR="00E94BA7" w:rsidRDefault="00E94BA7" w14:paraId="7F45238C" w14:textId="11EB6109">
            <w:pPr>
              <w:pStyle w:val="FootnoteText"/>
              <w:rPr>
                <w:rFonts w:ascii="Arial" w:hAnsi="Arial" w:eastAsia="Arial" w:cs="Arial"/>
                <w:b/>
                <w:bCs/>
              </w:rPr>
            </w:pPr>
            <w:r w:rsidRPr="00E94BA7">
              <w:rPr>
                <w:rFonts w:ascii="Arial" w:hAnsi="Arial" w:eastAsia="Arial" w:cs="Arial"/>
                <w:b/>
                <w:bCs/>
              </w:rPr>
              <w:t xml:space="preserve">Close date </w:t>
            </w:r>
          </w:p>
        </w:tc>
      </w:tr>
      <w:tr w:rsidRPr="00E73F67" w:rsidR="00B0408C" w:rsidTr="00031C53" w14:paraId="7A7FAC25" w14:textId="77777777">
        <w:trPr>
          <w:trHeight w:val="300"/>
        </w:trPr>
        <w:tc>
          <w:tcPr>
            <w:tcW w:w="1418" w:type="dxa"/>
          </w:tcPr>
          <w:p w:rsidRPr="00E94BA7" w:rsidR="00E94BA7" w:rsidRDefault="00E94BA7" w14:paraId="0771D9DD" w14:textId="0D05363F">
            <w:pPr>
              <w:pStyle w:val="FootnoteText"/>
              <w:rPr>
                <w:rFonts w:ascii="Arial" w:hAnsi="Arial" w:eastAsia="Arial" w:cs="Arial"/>
              </w:rPr>
            </w:pPr>
            <w:r w:rsidRPr="00E94BA7">
              <w:rPr>
                <w:rFonts w:ascii="Arial" w:hAnsi="Arial" w:eastAsia="Arial" w:cs="Arial"/>
              </w:rPr>
              <w:t xml:space="preserve">Ecuador </w:t>
            </w:r>
          </w:p>
        </w:tc>
        <w:tc>
          <w:tcPr>
            <w:tcW w:w="3544" w:type="dxa"/>
          </w:tcPr>
          <w:p w:rsidRPr="00E94BA7" w:rsidR="00E94BA7" w:rsidRDefault="00E94BA7" w14:paraId="35BFA93C" w14:textId="26BFCD40">
            <w:pPr>
              <w:pStyle w:val="FootnoteText"/>
              <w:rPr>
                <w:rFonts w:ascii="Arial" w:hAnsi="Arial" w:eastAsia="Arial" w:cs="Arial"/>
              </w:rPr>
            </w:pPr>
            <w:r w:rsidRPr="00E94BA7">
              <w:rPr>
                <w:rFonts w:ascii="Arial" w:hAnsi="Arial" w:eastAsia="Arial" w:cs="Arial"/>
              </w:rPr>
              <w:t>TBC - 2025</w:t>
            </w:r>
          </w:p>
        </w:tc>
        <w:tc>
          <w:tcPr>
            <w:tcW w:w="4110" w:type="dxa"/>
          </w:tcPr>
          <w:p w:rsidRPr="00E94BA7" w:rsidR="00E94BA7" w:rsidRDefault="00E94BA7" w14:paraId="14CC343F" w14:textId="0DEDA28F">
            <w:pPr>
              <w:pStyle w:val="FootnoteText"/>
              <w:rPr>
                <w:rFonts w:ascii="Arial" w:hAnsi="Arial" w:eastAsia="Arial" w:cs="Arial"/>
              </w:rPr>
            </w:pPr>
            <w:r w:rsidRPr="00E94BA7">
              <w:rPr>
                <w:rFonts w:ascii="Arial" w:hAnsi="Arial" w:eastAsia="Arial" w:cs="Arial"/>
              </w:rPr>
              <w:t>December 2028</w:t>
            </w:r>
            <w:r w:rsidR="00FA025F">
              <w:rPr>
                <w:rFonts w:ascii="Arial" w:hAnsi="Arial" w:eastAsia="Arial" w:cs="Arial"/>
              </w:rPr>
              <w:t>/2029</w:t>
            </w:r>
            <w:r w:rsidRPr="00E94BA7">
              <w:rPr>
                <w:rFonts w:ascii="Arial" w:hAnsi="Arial" w:eastAsia="Arial" w:cs="Arial"/>
              </w:rPr>
              <w:t xml:space="preserve"> TBC</w:t>
            </w:r>
          </w:p>
        </w:tc>
      </w:tr>
      <w:tr w:rsidRPr="00E73F67" w:rsidR="00B0408C" w:rsidTr="00031C53" w14:paraId="2191D6F5" w14:textId="77777777">
        <w:trPr>
          <w:trHeight w:val="300"/>
        </w:trPr>
        <w:tc>
          <w:tcPr>
            <w:tcW w:w="1418" w:type="dxa"/>
          </w:tcPr>
          <w:p w:rsidRPr="00E94BA7" w:rsidR="00E94BA7" w:rsidRDefault="00E94BA7" w14:paraId="0EFC0B52" w14:textId="77777777">
            <w:pPr>
              <w:pStyle w:val="FootnoteText"/>
              <w:rPr>
                <w:rFonts w:ascii="Arial" w:hAnsi="Arial" w:eastAsia="Arial" w:cs="Arial"/>
              </w:rPr>
            </w:pPr>
            <w:r w:rsidRPr="00E94BA7">
              <w:rPr>
                <w:rFonts w:ascii="Arial" w:hAnsi="Arial" w:eastAsia="Arial" w:cs="Arial"/>
              </w:rPr>
              <w:t>Mato Grosso</w:t>
            </w:r>
          </w:p>
        </w:tc>
        <w:tc>
          <w:tcPr>
            <w:tcW w:w="3544" w:type="dxa"/>
          </w:tcPr>
          <w:p w:rsidRPr="00E94BA7" w:rsidR="00E94BA7" w:rsidRDefault="00E94BA7" w14:paraId="764AF046" w14:textId="74B6D04A">
            <w:pPr>
              <w:pStyle w:val="FootnoteText"/>
              <w:rPr>
                <w:rFonts w:ascii="Arial" w:hAnsi="Arial" w:eastAsia="Arial" w:cs="Arial"/>
              </w:rPr>
            </w:pPr>
            <w:r w:rsidRPr="00E94BA7">
              <w:rPr>
                <w:rFonts w:ascii="Arial" w:hAnsi="Arial" w:eastAsia="Arial" w:cs="Arial"/>
              </w:rPr>
              <w:t>2024</w:t>
            </w:r>
          </w:p>
        </w:tc>
        <w:tc>
          <w:tcPr>
            <w:tcW w:w="4110" w:type="dxa"/>
          </w:tcPr>
          <w:p w:rsidRPr="00E94BA7" w:rsidR="00E94BA7" w:rsidRDefault="00E94BA7" w14:paraId="33F0A311" w14:textId="14C0C82B">
            <w:pPr>
              <w:pStyle w:val="FootnoteText"/>
              <w:rPr>
                <w:rFonts w:ascii="Arial" w:hAnsi="Arial" w:eastAsia="Arial" w:cs="Arial"/>
              </w:rPr>
            </w:pPr>
            <w:r w:rsidRPr="00E94BA7">
              <w:rPr>
                <w:rFonts w:ascii="Arial" w:hAnsi="Arial" w:eastAsia="Arial" w:cs="Arial"/>
              </w:rPr>
              <w:t>December 2029</w:t>
            </w:r>
          </w:p>
        </w:tc>
      </w:tr>
      <w:tr w:rsidRPr="00E73F67" w:rsidR="00B0408C" w:rsidTr="00031C53" w14:paraId="2727C98B" w14:textId="77777777">
        <w:trPr>
          <w:trHeight w:val="300"/>
        </w:trPr>
        <w:tc>
          <w:tcPr>
            <w:tcW w:w="1418" w:type="dxa"/>
          </w:tcPr>
          <w:p w:rsidRPr="00E94BA7" w:rsidR="00E94BA7" w:rsidRDefault="00E94BA7" w14:paraId="72F03F54" w14:textId="77777777">
            <w:pPr>
              <w:pStyle w:val="FootnoteText"/>
              <w:rPr>
                <w:rFonts w:ascii="Arial" w:hAnsi="Arial" w:eastAsia="Arial" w:cs="Arial"/>
              </w:rPr>
            </w:pPr>
            <w:r w:rsidRPr="00E94BA7">
              <w:rPr>
                <w:rFonts w:ascii="Arial" w:hAnsi="Arial" w:eastAsia="Arial" w:cs="Arial"/>
              </w:rPr>
              <w:t xml:space="preserve">Colombia </w:t>
            </w:r>
          </w:p>
        </w:tc>
        <w:tc>
          <w:tcPr>
            <w:tcW w:w="3544" w:type="dxa"/>
          </w:tcPr>
          <w:p w:rsidRPr="00E94BA7" w:rsidR="00E94BA7" w:rsidRDefault="00E94BA7" w14:paraId="2AF52DCA" w14:textId="77777777">
            <w:pPr>
              <w:pStyle w:val="FootnoteText"/>
              <w:rPr>
                <w:rFonts w:ascii="Arial" w:hAnsi="Arial" w:eastAsia="Arial" w:cs="Arial"/>
              </w:rPr>
            </w:pPr>
            <w:r w:rsidRPr="00E94BA7">
              <w:rPr>
                <w:rFonts w:ascii="Arial" w:hAnsi="Arial" w:eastAsia="Arial" w:cs="Arial"/>
              </w:rPr>
              <w:t>2020 (Germany and Norway)</w:t>
            </w:r>
          </w:p>
          <w:p w:rsidRPr="00E94BA7" w:rsidR="00E94BA7" w:rsidRDefault="00E94BA7" w14:paraId="05BA80EA" w14:textId="4708A735">
            <w:pPr>
              <w:pStyle w:val="FootnoteText"/>
              <w:rPr>
                <w:rFonts w:ascii="Arial" w:hAnsi="Arial" w:eastAsia="Arial" w:cs="Arial"/>
              </w:rPr>
            </w:pPr>
            <w:r w:rsidRPr="00E94BA7">
              <w:rPr>
                <w:rFonts w:ascii="Arial" w:hAnsi="Arial" w:eastAsia="Arial" w:cs="Arial"/>
              </w:rPr>
              <w:t>2023 – with UK funding</w:t>
            </w:r>
          </w:p>
        </w:tc>
        <w:tc>
          <w:tcPr>
            <w:tcW w:w="4110" w:type="dxa"/>
          </w:tcPr>
          <w:p w:rsidRPr="00E94BA7" w:rsidR="00E94BA7" w:rsidRDefault="00E94BA7" w14:paraId="5EF04D2C" w14:textId="04308753">
            <w:pPr>
              <w:pStyle w:val="FootnoteText"/>
              <w:rPr>
                <w:rFonts w:ascii="Arial" w:hAnsi="Arial" w:eastAsia="Arial" w:cs="Arial"/>
              </w:rPr>
            </w:pPr>
            <w:r w:rsidRPr="00E94BA7">
              <w:rPr>
                <w:rFonts w:ascii="Arial" w:hAnsi="Arial" w:eastAsia="Arial" w:cs="Arial"/>
              </w:rPr>
              <w:t>December 202</w:t>
            </w:r>
            <w:r w:rsidR="000B48D1">
              <w:rPr>
                <w:rFonts w:ascii="Arial" w:hAnsi="Arial" w:eastAsia="Arial" w:cs="Arial"/>
              </w:rPr>
              <w:t>7</w:t>
            </w:r>
          </w:p>
        </w:tc>
      </w:tr>
    </w:tbl>
    <w:p w:rsidR="00CA6544" w:rsidP="7AF6A861" w:rsidRDefault="00CA6544" w14:paraId="6841C2BC" w14:textId="77777777">
      <w:pPr>
        <w:pStyle w:val="FootnoteText"/>
        <w:rPr>
          <w:rFonts w:ascii="Arial" w:hAnsi="Arial" w:eastAsia="Arial" w:cs="Arial"/>
          <w:color w:val="000000" w:themeColor="text1"/>
          <w:sz w:val="22"/>
          <w:szCs w:val="22"/>
        </w:rPr>
      </w:pPr>
    </w:p>
    <w:p w:rsidRPr="00BA41C2" w:rsidR="001E1E6E" w:rsidP="00BA41C2" w:rsidRDefault="475912C1" w14:paraId="58BACFAB" w14:textId="2764960D">
      <w:pPr>
        <w:spacing w:after="160" w:line="259" w:lineRule="auto"/>
        <w:rPr>
          <w:rStyle w:val="Heading2Char"/>
        </w:rPr>
      </w:pPr>
      <w:bookmarkStart w:name="_Toc672525775" w:id="3"/>
      <w:r w:rsidRPr="51BB3CA1">
        <w:rPr>
          <w:rStyle w:val="Heading2Char"/>
        </w:rPr>
        <w:lastRenderedPageBreak/>
        <w:t>Summary of progress and supporting narrative for the overall score</w:t>
      </w:r>
      <w:r w:rsidRPr="51BB3CA1" w:rsidR="3E3F212B">
        <w:rPr>
          <w:rStyle w:val="Heading2Char"/>
        </w:rPr>
        <w:t>:</w:t>
      </w:r>
      <w:bookmarkEnd w:id="3"/>
    </w:p>
    <w:p w:rsidRPr="00F63FC7" w:rsidR="001E1E6E" w:rsidP="0025594B" w:rsidRDefault="00C60223" w14:paraId="7894553E" w14:textId="6C11EFC9">
      <w:pPr>
        <w:pStyle w:val="paragraph"/>
        <w:spacing w:before="0" w:beforeAutospacing="0" w:after="0" w:afterAutospacing="0"/>
        <w:jc w:val="both"/>
        <w:textAlignment w:val="baseline"/>
        <w:rPr>
          <w:rFonts w:ascii="Arial" w:hAnsi="Arial" w:cs="Arial"/>
          <w:b/>
          <w:bCs/>
          <w:sz w:val="20"/>
          <w:szCs w:val="20"/>
          <w:u w:val="single"/>
        </w:rPr>
      </w:pPr>
      <w:r w:rsidRPr="00F63FC7">
        <w:rPr>
          <w:rFonts w:ascii="Arial" w:hAnsi="Arial" w:cs="Arial"/>
          <w:b/>
          <w:bCs/>
          <w:sz w:val="20"/>
          <w:szCs w:val="20"/>
          <w:u w:val="single"/>
        </w:rPr>
        <w:t>Colombia</w:t>
      </w:r>
      <w:r w:rsidRPr="2A13C088" w:rsidR="20B656FA">
        <w:rPr>
          <w:rFonts w:ascii="Arial" w:hAnsi="Arial" w:cs="Arial"/>
          <w:b/>
          <w:bCs/>
          <w:sz w:val="20"/>
          <w:szCs w:val="20"/>
          <w:u w:val="single"/>
        </w:rPr>
        <w:t>: REM 1</w:t>
      </w:r>
    </w:p>
    <w:p w:rsidR="00B71D33" w:rsidP="089A62E9" w:rsidRDefault="00F63FC7" w14:paraId="1D6547B2" w14:textId="20F88DF3">
      <w:pPr>
        <w:pStyle w:val="paragraph"/>
        <w:spacing w:before="0" w:beforeAutospacing="0" w:after="0" w:afterAutospacing="0"/>
        <w:jc w:val="both"/>
        <w:textAlignment w:val="baseline"/>
        <w:rPr>
          <w:rStyle w:val="normaltextrun"/>
          <w:rFonts w:ascii="Arial" w:hAnsi="Arial" w:cs="Arial"/>
          <w:sz w:val="20"/>
          <w:szCs w:val="20"/>
        </w:rPr>
      </w:pPr>
      <w:r w:rsidRPr="6103CC70">
        <w:rPr>
          <w:rStyle w:val="normaltextrun"/>
          <w:rFonts w:ascii="Arial" w:hAnsi="Arial" w:cs="Arial"/>
          <w:sz w:val="20"/>
          <w:szCs w:val="20"/>
        </w:rPr>
        <w:t xml:space="preserve">In Colombia, the </w:t>
      </w:r>
      <w:r w:rsidRPr="6103CC70" w:rsidR="7C3E73F4">
        <w:rPr>
          <w:rStyle w:val="normaltextrun"/>
          <w:rFonts w:ascii="Arial" w:hAnsi="Arial" w:cs="Arial"/>
          <w:sz w:val="20"/>
          <w:szCs w:val="20"/>
        </w:rPr>
        <w:t>REM</w:t>
      </w:r>
      <w:r w:rsidRPr="6103CC70">
        <w:rPr>
          <w:rStyle w:val="normaltextrun"/>
          <w:rFonts w:ascii="Arial" w:hAnsi="Arial" w:cs="Arial"/>
          <w:sz w:val="20"/>
          <w:szCs w:val="20"/>
        </w:rPr>
        <w:t xml:space="preserve"> programme officially closed at the end of 2023</w:t>
      </w:r>
      <w:r w:rsidRPr="6103CC70" w:rsidR="4BBDDABC">
        <w:rPr>
          <w:rStyle w:val="normaltextrun"/>
          <w:rFonts w:ascii="Arial" w:hAnsi="Arial" w:cs="Arial"/>
          <w:sz w:val="20"/>
          <w:szCs w:val="20"/>
        </w:rPr>
        <w:t>. H</w:t>
      </w:r>
      <w:r w:rsidRPr="6103CC70">
        <w:rPr>
          <w:rStyle w:val="normaltextrun"/>
          <w:rFonts w:ascii="Arial" w:hAnsi="Arial" w:cs="Arial"/>
          <w:sz w:val="20"/>
          <w:szCs w:val="20"/>
        </w:rPr>
        <w:t xml:space="preserve">owever, due to various contracts and </w:t>
      </w:r>
      <w:r w:rsidRPr="6103CC70" w:rsidR="00673B4D">
        <w:rPr>
          <w:rStyle w:val="normaltextrun"/>
          <w:rFonts w:ascii="Arial" w:hAnsi="Arial" w:cs="Arial"/>
          <w:sz w:val="20"/>
          <w:szCs w:val="20"/>
        </w:rPr>
        <w:t xml:space="preserve">the need to transfer any remaining funds over to REM 2, some activities </w:t>
      </w:r>
      <w:r w:rsidRPr="6103CC70" w:rsidR="00F460F3">
        <w:rPr>
          <w:rStyle w:val="normaltextrun"/>
          <w:rFonts w:ascii="Arial" w:hAnsi="Arial" w:cs="Arial"/>
          <w:sz w:val="20"/>
          <w:szCs w:val="20"/>
        </w:rPr>
        <w:t>continued,</w:t>
      </w:r>
      <w:r w:rsidRPr="6103CC70" w:rsidR="00673B4D">
        <w:rPr>
          <w:rStyle w:val="normaltextrun"/>
          <w:rFonts w:ascii="Arial" w:hAnsi="Arial" w:cs="Arial"/>
          <w:sz w:val="20"/>
          <w:szCs w:val="20"/>
        </w:rPr>
        <w:t xml:space="preserve"> and </w:t>
      </w:r>
      <w:r w:rsidRPr="6103CC70" w:rsidR="6459ED74">
        <w:rPr>
          <w:rStyle w:val="normaltextrun"/>
          <w:rFonts w:ascii="Arial" w:hAnsi="Arial" w:cs="Arial"/>
          <w:sz w:val="20"/>
          <w:szCs w:val="20"/>
        </w:rPr>
        <w:t xml:space="preserve">now </w:t>
      </w:r>
      <w:r w:rsidRPr="6103CC70" w:rsidR="00673B4D">
        <w:rPr>
          <w:rStyle w:val="normaltextrun"/>
          <w:rFonts w:ascii="Arial" w:hAnsi="Arial" w:cs="Arial"/>
          <w:sz w:val="20"/>
          <w:szCs w:val="20"/>
        </w:rPr>
        <w:t>the official end of programme will be November 2024, with the final financial statement to be approved and issued in</w:t>
      </w:r>
      <w:r w:rsidRPr="6103CC70" w:rsidR="00FB6B8F">
        <w:rPr>
          <w:rStyle w:val="normaltextrun"/>
          <w:rFonts w:ascii="Arial" w:hAnsi="Arial" w:cs="Arial"/>
          <w:sz w:val="20"/>
          <w:szCs w:val="20"/>
        </w:rPr>
        <w:t xml:space="preserve"> February</w:t>
      </w:r>
      <w:r w:rsidRPr="6103CC70" w:rsidR="00673B4D">
        <w:rPr>
          <w:rStyle w:val="normaltextrun"/>
          <w:rFonts w:ascii="Arial" w:hAnsi="Arial" w:cs="Arial"/>
          <w:sz w:val="20"/>
          <w:szCs w:val="20"/>
        </w:rPr>
        <w:t xml:space="preserve"> 2025.</w:t>
      </w:r>
      <w:r w:rsidRPr="6103CC70" w:rsidR="00D50E8E">
        <w:rPr>
          <w:rStyle w:val="normaltextrun"/>
          <w:rFonts w:ascii="Arial" w:hAnsi="Arial" w:cs="Arial"/>
          <w:sz w:val="20"/>
          <w:szCs w:val="20"/>
        </w:rPr>
        <w:t xml:space="preserve"> REM has </w:t>
      </w:r>
      <w:r w:rsidRPr="6103CC70" w:rsidR="0097705F">
        <w:rPr>
          <w:rStyle w:val="normaltextrun"/>
          <w:rFonts w:ascii="Arial" w:hAnsi="Arial" w:cs="Arial"/>
          <w:sz w:val="20"/>
          <w:szCs w:val="20"/>
        </w:rPr>
        <w:t xml:space="preserve">invested </w:t>
      </w:r>
      <w:r w:rsidRPr="6103CC70" w:rsidR="00BA4FF8">
        <w:rPr>
          <w:rStyle w:val="normaltextrun"/>
          <w:rFonts w:ascii="Arial" w:hAnsi="Arial" w:cs="Arial"/>
          <w:sz w:val="20"/>
          <w:szCs w:val="20"/>
        </w:rPr>
        <w:t>~</w:t>
      </w:r>
      <w:r w:rsidRPr="6103CC70" w:rsidR="0097705F">
        <w:rPr>
          <w:rStyle w:val="normaltextrun"/>
          <w:rFonts w:ascii="Arial" w:hAnsi="Arial" w:cs="Arial"/>
          <w:sz w:val="20"/>
          <w:szCs w:val="20"/>
        </w:rPr>
        <w:t>$</w:t>
      </w:r>
      <w:r w:rsidRPr="6103CC70" w:rsidR="00F622BB">
        <w:rPr>
          <w:rStyle w:val="normaltextrun"/>
          <w:rFonts w:ascii="Arial" w:hAnsi="Arial" w:cs="Arial"/>
          <w:sz w:val="20"/>
          <w:szCs w:val="20"/>
        </w:rPr>
        <w:t>92</w:t>
      </w:r>
      <w:r w:rsidRPr="6103CC70" w:rsidR="0097705F">
        <w:rPr>
          <w:rStyle w:val="normaltextrun"/>
          <w:rFonts w:ascii="Arial" w:hAnsi="Arial" w:cs="Arial"/>
          <w:sz w:val="20"/>
          <w:szCs w:val="20"/>
        </w:rPr>
        <w:t xml:space="preserve"> million </w:t>
      </w:r>
      <w:r w:rsidRPr="6103CC70" w:rsidR="003D012B">
        <w:rPr>
          <w:rStyle w:val="normaltextrun"/>
          <w:rFonts w:ascii="Arial" w:hAnsi="Arial" w:cs="Arial"/>
          <w:sz w:val="20"/>
          <w:szCs w:val="20"/>
        </w:rPr>
        <w:t xml:space="preserve">of a total $87 million received </w:t>
      </w:r>
      <w:r w:rsidRPr="6103CC70" w:rsidR="0097705F">
        <w:rPr>
          <w:rStyle w:val="normaltextrun"/>
          <w:rFonts w:ascii="Arial" w:hAnsi="Arial" w:cs="Arial"/>
          <w:sz w:val="20"/>
          <w:szCs w:val="20"/>
        </w:rPr>
        <w:t>since 2016</w:t>
      </w:r>
      <w:r w:rsidRPr="6103CC70" w:rsidR="00F622BB">
        <w:rPr>
          <w:rStyle w:val="normaltextrun"/>
          <w:rFonts w:ascii="Arial" w:hAnsi="Arial" w:cs="Arial"/>
          <w:sz w:val="20"/>
          <w:szCs w:val="20"/>
        </w:rPr>
        <w:t xml:space="preserve"> </w:t>
      </w:r>
      <w:r w:rsidRPr="6103CC70" w:rsidR="00AF0695">
        <w:rPr>
          <w:rStyle w:val="normaltextrun"/>
          <w:rFonts w:ascii="Arial" w:hAnsi="Arial" w:cs="Arial"/>
          <w:sz w:val="20"/>
          <w:szCs w:val="20"/>
        </w:rPr>
        <w:t>(</w:t>
      </w:r>
      <w:r w:rsidRPr="6103CC70" w:rsidR="7B369D16">
        <w:rPr>
          <w:rStyle w:val="normaltextrun"/>
          <w:rFonts w:ascii="Arial" w:hAnsi="Arial" w:cs="Arial"/>
          <w:sz w:val="20"/>
          <w:szCs w:val="20"/>
        </w:rPr>
        <w:t xml:space="preserve">all donor funding invested and </w:t>
      </w:r>
      <w:r w:rsidRPr="6103CC70" w:rsidR="00F622BB">
        <w:rPr>
          <w:rStyle w:val="normaltextrun"/>
          <w:rFonts w:ascii="Arial" w:hAnsi="Arial" w:cs="Arial"/>
          <w:sz w:val="20"/>
          <w:szCs w:val="20"/>
        </w:rPr>
        <w:t xml:space="preserve">additional </w:t>
      </w:r>
      <w:r w:rsidRPr="6103CC70" w:rsidR="7B369D16">
        <w:rPr>
          <w:rStyle w:val="normaltextrun"/>
          <w:rFonts w:ascii="Arial" w:hAnsi="Arial" w:cs="Arial"/>
          <w:sz w:val="20"/>
          <w:szCs w:val="20"/>
        </w:rPr>
        <w:t>interest made through</w:t>
      </w:r>
      <w:r w:rsidRPr="6103CC70" w:rsidR="00F622BB">
        <w:rPr>
          <w:rStyle w:val="normaltextrun"/>
          <w:rFonts w:ascii="Arial" w:hAnsi="Arial" w:cs="Arial"/>
          <w:sz w:val="20"/>
          <w:szCs w:val="20"/>
        </w:rPr>
        <w:t xml:space="preserve"> investments)</w:t>
      </w:r>
      <w:r w:rsidRPr="6103CC70" w:rsidR="00681E53">
        <w:rPr>
          <w:rStyle w:val="normaltextrun"/>
          <w:rFonts w:ascii="Arial" w:hAnsi="Arial" w:cs="Arial"/>
          <w:sz w:val="20"/>
          <w:szCs w:val="20"/>
        </w:rPr>
        <w:t xml:space="preserve">. </w:t>
      </w:r>
      <w:r w:rsidRPr="6103CC70" w:rsidR="00990B96">
        <w:rPr>
          <w:rStyle w:val="normaltextrun"/>
          <w:rFonts w:ascii="Arial" w:hAnsi="Arial" w:cs="Arial"/>
          <w:sz w:val="20"/>
          <w:szCs w:val="20"/>
        </w:rPr>
        <w:t xml:space="preserve">REM has </w:t>
      </w:r>
      <w:r w:rsidRPr="6103CC70" w:rsidR="00C65E0D">
        <w:rPr>
          <w:rStyle w:val="normaltextrun"/>
          <w:rFonts w:ascii="Arial" w:hAnsi="Arial" w:cs="Arial"/>
          <w:sz w:val="20"/>
          <w:szCs w:val="20"/>
        </w:rPr>
        <w:t xml:space="preserve">achieved 97% of its log frame indicators and overachieved on 9 of its 22 indicators, including a 232% overachievement in Indigenous families benefited. </w:t>
      </w:r>
      <w:r w:rsidRPr="6103CC70" w:rsidR="00673B4D">
        <w:rPr>
          <w:rStyle w:val="normaltextrun"/>
          <w:rFonts w:ascii="Arial" w:hAnsi="Arial" w:cs="Arial"/>
          <w:sz w:val="20"/>
          <w:szCs w:val="20"/>
        </w:rPr>
        <w:t xml:space="preserve">REM 2 has made progress during this time (see </w:t>
      </w:r>
      <w:r w:rsidRPr="6103CC70" w:rsidR="00DC331A">
        <w:rPr>
          <w:rStyle w:val="normaltextrun"/>
          <w:rFonts w:ascii="Arial" w:hAnsi="Arial" w:cs="Arial"/>
          <w:sz w:val="20"/>
          <w:szCs w:val="20"/>
        </w:rPr>
        <w:t>below</w:t>
      </w:r>
      <w:r w:rsidRPr="6103CC70" w:rsidR="00673B4D">
        <w:rPr>
          <w:rStyle w:val="normaltextrun"/>
          <w:rFonts w:ascii="Arial" w:hAnsi="Arial" w:cs="Arial"/>
          <w:sz w:val="20"/>
          <w:szCs w:val="20"/>
        </w:rPr>
        <w:t>), and V</w:t>
      </w:r>
      <w:r w:rsidRPr="6103CC70" w:rsidR="00D305CA">
        <w:rPr>
          <w:rStyle w:val="normaltextrun"/>
          <w:rFonts w:ascii="Arial" w:hAnsi="Arial" w:cs="Arial"/>
          <w:sz w:val="20"/>
          <w:szCs w:val="20"/>
        </w:rPr>
        <w:t>i</w:t>
      </w:r>
      <w:r w:rsidRPr="6103CC70" w:rsidR="00673B4D">
        <w:rPr>
          <w:rStyle w:val="normaltextrun"/>
          <w:rFonts w:ascii="Arial" w:hAnsi="Arial" w:cs="Arial"/>
          <w:sz w:val="20"/>
          <w:szCs w:val="20"/>
        </w:rPr>
        <w:t xml:space="preserve">sión </w:t>
      </w:r>
      <w:r w:rsidRPr="6103CC70" w:rsidR="00A2504F">
        <w:rPr>
          <w:rStyle w:val="normaltextrun"/>
          <w:rFonts w:ascii="Arial" w:hAnsi="Arial" w:cs="Arial"/>
          <w:sz w:val="20"/>
          <w:szCs w:val="20"/>
        </w:rPr>
        <w:t>Amazonia</w:t>
      </w:r>
      <w:r w:rsidRPr="6103CC70" w:rsidR="00673B4D">
        <w:rPr>
          <w:rStyle w:val="normaltextrun"/>
          <w:rFonts w:ascii="Arial" w:hAnsi="Arial" w:cs="Arial"/>
          <w:sz w:val="20"/>
          <w:szCs w:val="20"/>
        </w:rPr>
        <w:t xml:space="preserve"> has continued to be a key tool for the </w:t>
      </w:r>
      <w:r w:rsidRPr="6103CC70" w:rsidR="00AA2548">
        <w:rPr>
          <w:rStyle w:val="normaltextrun"/>
          <w:rFonts w:ascii="Arial" w:hAnsi="Arial" w:cs="Arial"/>
          <w:sz w:val="20"/>
          <w:szCs w:val="20"/>
        </w:rPr>
        <w:t xml:space="preserve">Government of Colombia </w:t>
      </w:r>
      <w:r w:rsidRPr="6103CC70" w:rsidR="00FA025F">
        <w:rPr>
          <w:rStyle w:val="normaltextrun"/>
          <w:rFonts w:ascii="Arial" w:hAnsi="Arial" w:cs="Arial"/>
          <w:sz w:val="20"/>
          <w:szCs w:val="20"/>
        </w:rPr>
        <w:t xml:space="preserve">(GoC) </w:t>
      </w:r>
      <w:r w:rsidRPr="6103CC70" w:rsidR="00AA2548">
        <w:rPr>
          <w:rStyle w:val="normaltextrun"/>
          <w:rFonts w:ascii="Arial" w:hAnsi="Arial" w:cs="Arial"/>
          <w:sz w:val="20"/>
          <w:szCs w:val="20"/>
        </w:rPr>
        <w:t>to tackle deforestation in the Amazon</w:t>
      </w:r>
      <w:r w:rsidRPr="6103CC70" w:rsidR="00BB48C1">
        <w:rPr>
          <w:rStyle w:val="normaltextrun"/>
          <w:rFonts w:ascii="Arial" w:hAnsi="Arial" w:cs="Arial"/>
          <w:sz w:val="20"/>
          <w:szCs w:val="20"/>
        </w:rPr>
        <w:t xml:space="preserve"> and is often attributed to success in reducing figures</w:t>
      </w:r>
      <w:r w:rsidRPr="6103CC70" w:rsidR="009C14A2">
        <w:rPr>
          <w:rStyle w:val="normaltextrun"/>
          <w:rFonts w:ascii="Arial" w:hAnsi="Arial" w:cs="Arial"/>
          <w:sz w:val="20"/>
          <w:szCs w:val="20"/>
        </w:rPr>
        <w:t xml:space="preserve"> (see Ou</w:t>
      </w:r>
      <w:r w:rsidRPr="6103CC70" w:rsidR="00B44B43">
        <w:rPr>
          <w:rStyle w:val="normaltextrun"/>
          <w:rFonts w:ascii="Arial" w:hAnsi="Arial" w:cs="Arial"/>
          <w:sz w:val="20"/>
          <w:szCs w:val="20"/>
        </w:rPr>
        <w:t>tcome 1 below).</w:t>
      </w:r>
    </w:p>
    <w:p w:rsidR="00B71D33" w:rsidP="0025594B" w:rsidRDefault="00B71D33" w14:paraId="251C83E8" w14:textId="77777777">
      <w:pPr>
        <w:pStyle w:val="paragraph"/>
        <w:spacing w:before="0" w:beforeAutospacing="0" w:after="0" w:afterAutospacing="0"/>
        <w:jc w:val="both"/>
        <w:textAlignment w:val="baseline"/>
        <w:rPr>
          <w:rStyle w:val="normaltextrun"/>
          <w:rFonts w:ascii="Arial" w:hAnsi="Arial" w:cs="Arial"/>
          <w:sz w:val="20"/>
          <w:szCs w:val="20"/>
        </w:rPr>
      </w:pPr>
    </w:p>
    <w:p w:rsidR="00DC47EA" w:rsidP="59460479" w:rsidRDefault="00B44B43" w14:paraId="31625B3E" w14:textId="64C55D12">
      <w:pPr>
        <w:pStyle w:val="paragraph"/>
        <w:spacing w:before="0" w:beforeAutospacing="off" w:after="0" w:afterAutospacing="off"/>
        <w:jc w:val="both"/>
        <w:textAlignment w:val="baseline"/>
        <w:rPr>
          <w:rStyle w:val="normaltextrun"/>
          <w:rFonts w:ascii="Arial" w:hAnsi="Arial" w:cs="Arial"/>
          <w:sz w:val="20"/>
          <w:szCs w:val="20"/>
        </w:rPr>
      </w:pPr>
      <w:r w:rsidRPr="59460479" w:rsidR="00B44B43">
        <w:rPr>
          <w:rStyle w:val="normaltextrun"/>
          <w:rFonts w:ascii="Arial" w:hAnsi="Arial" w:cs="Arial"/>
          <w:sz w:val="20"/>
          <w:szCs w:val="20"/>
        </w:rPr>
        <w:t>Fondo Para La Vida, the catch-all mechanism</w:t>
      </w:r>
      <w:r w:rsidRPr="59460479" w:rsidR="00FA025F">
        <w:rPr>
          <w:rStyle w:val="normaltextrun"/>
          <w:rFonts w:ascii="Arial" w:hAnsi="Arial" w:cs="Arial"/>
          <w:sz w:val="20"/>
          <w:szCs w:val="20"/>
        </w:rPr>
        <w:t xml:space="preserve"> created by the current GoC</w:t>
      </w:r>
      <w:r w:rsidRPr="59460479" w:rsidR="00B44B43">
        <w:rPr>
          <w:rStyle w:val="normaltextrun"/>
          <w:rFonts w:ascii="Arial" w:hAnsi="Arial" w:cs="Arial"/>
          <w:sz w:val="20"/>
          <w:szCs w:val="20"/>
        </w:rPr>
        <w:t xml:space="preserve"> for environ</w:t>
      </w:r>
      <w:r w:rsidRPr="59460479" w:rsidR="00F413DF">
        <w:rPr>
          <w:rStyle w:val="normaltextrun"/>
          <w:rFonts w:ascii="Arial" w:hAnsi="Arial" w:cs="Arial"/>
          <w:sz w:val="20"/>
          <w:szCs w:val="20"/>
        </w:rPr>
        <w:t xml:space="preserve">mental protection, </w:t>
      </w:r>
      <w:r w:rsidRPr="59460479" w:rsidR="00B44B43">
        <w:rPr>
          <w:rStyle w:val="normaltextrun"/>
          <w:rFonts w:ascii="Arial" w:hAnsi="Arial" w:cs="Arial"/>
          <w:sz w:val="20"/>
          <w:szCs w:val="20"/>
        </w:rPr>
        <w:t>funded by the Colombia</w:t>
      </w:r>
      <w:r w:rsidRPr="59460479" w:rsidR="00F413DF">
        <w:rPr>
          <w:rStyle w:val="normaltextrun"/>
          <w:rFonts w:ascii="Arial" w:hAnsi="Arial" w:cs="Arial"/>
          <w:sz w:val="20"/>
          <w:szCs w:val="20"/>
        </w:rPr>
        <w:t>n</w:t>
      </w:r>
      <w:r w:rsidRPr="59460479" w:rsidR="00B44B43">
        <w:rPr>
          <w:rStyle w:val="normaltextrun"/>
          <w:rFonts w:ascii="Arial" w:hAnsi="Arial" w:cs="Arial"/>
          <w:sz w:val="20"/>
          <w:szCs w:val="20"/>
        </w:rPr>
        <w:t xml:space="preserve"> carbon tax</w:t>
      </w:r>
      <w:r w:rsidRPr="59460479" w:rsidR="00F413DF">
        <w:rPr>
          <w:rStyle w:val="normaltextrun"/>
          <w:rFonts w:ascii="Arial" w:hAnsi="Arial" w:cs="Arial"/>
          <w:sz w:val="20"/>
          <w:szCs w:val="20"/>
        </w:rPr>
        <w:t>, is now taking on some activities developed by REM, including the payment for environmental services scheme (IFA)</w:t>
      </w:r>
      <w:r w:rsidRPr="59460479" w:rsidR="00BB48C1">
        <w:rPr>
          <w:rStyle w:val="normaltextrun"/>
          <w:rFonts w:ascii="Arial" w:hAnsi="Arial" w:cs="Arial"/>
          <w:sz w:val="20"/>
          <w:szCs w:val="20"/>
        </w:rPr>
        <w:t xml:space="preserve">, as well as funding the MRV forest monitoring system, </w:t>
      </w:r>
      <w:r w:rsidRPr="59460479" w:rsidR="00BB48C1">
        <w:rPr>
          <w:rStyle w:val="normaltextrun"/>
          <w:rFonts w:ascii="Arial" w:hAnsi="Arial" w:cs="Arial"/>
          <w:sz w:val="20"/>
          <w:szCs w:val="20"/>
        </w:rPr>
        <w:t>SMByC</w:t>
      </w:r>
      <w:r w:rsidRPr="59460479" w:rsidR="00BB48C1">
        <w:rPr>
          <w:rStyle w:val="normaltextrun"/>
          <w:rFonts w:ascii="Arial" w:hAnsi="Arial" w:cs="Arial"/>
          <w:sz w:val="20"/>
          <w:szCs w:val="20"/>
        </w:rPr>
        <w:t>, showing the local ownership of the programme</w:t>
      </w:r>
      <w:r w:rsidRPr="59460479" w:rsidR="004C7C69">
        <w:rPr>
          <w:rStyle w:val="normaltextrun"/>
          <w:rFonts w:ascii="Arial" w:hAnsi="Arial" w:cs="Arial"/>
          <w:sz w:val="20"/>
          <w:szCs w:val="20"/>
        </w:rPr>
        <w:t xml:space="preserve"> and </w:t>
      </w:r>
      <w:r w:rsidRPr="59460479" w:rsidR="004C7C69">
        <w:rPr>
          <w:rStyle w:val="normaltextrun"/>
          <w:rFonts w:ascii="Arial" w:hAnsi="Arial" w:cs="Arial"/>
          <w:sz w:val="20"/>
          <w:szCs w:val="20"/>
        </w:rPr>
        <w:t>activities</w:t>
      </w:r>
      <w:r w:rsidRPr="59460479" w:rsidR="004C7C69">
        <w:rPr>
          <w:rStyle w:val="normaltextrun"/>
          <w:rFonts w:ascii="Arial" w:hAnsi="Arial" w:cs="Arial"/>
          <w:sz w:val="20"/>
          <w:szCs w:val="20"/>
        </w:rPr>
        <w:t xml:space="preserve"> created by REM. </w:t>
      </w:r>
    </w:p>
    <w:p w:rsidR="00B71D33" w:rsidP="0025594B" w:rsidRDefault="00B71D33" w14:paraId="751D6F48" w14:textId="77777777">
      <w:pPr>
        <w:pStyle w:val="paragraph"/>
        <w:spacing w:before="0" w:beforeAutospacing="0" w:after="0" w:afterAutospacing="0"/>
        <w:jc w:val="both"/>
        <w:textAlignment w:val="baseline"/>
        <w:rPr>
          <w:rStyle w:val="normaltextrun"/>
          <w:rFonts w:ascii="Arial" w:hAnsi="Arial" w:cs="Arial"/>
          <w:sz w:val="20"/>
          <w:szCs w:val="20"/>
        </w:rPr>
      </w:pPr>
    </w:p>
    <w:p w:rsidR="001926AE" w:rsidP="0025594B" w:rsidRDefault="0082293B" w14:paraId="6EA2708B" w14:textId="2F6220F8">
      <w:pPr>
        <w:pStyle w:val="paragraph"/>
        <w:spacing w:before="0" w:beforeAutospacing="0" w:after="0" w:afterAutospacing="0"/>
        <w:jc w:val="both"/>
        <w:textAlignment w:val="baseline"/>
        <w:rPr>
          <w:rStyle w:val="normaltextrun"/>
          <w:rFonts w:ascii="Arial" w:hAnsi="Arial" w:cs="Arial"/>
          <w:sz w:val="20"/>
          <w:szCs w:val="20"/>
        </w:rPr>
      </w:pPr>
      <w:r w:rsidRPr="00B71D33">
        <w:rPr>
          <w:rStyle w:val="normaltextrun"/>
          <w:rFonts w:ascii="Arial" w:hAnsi="Arial" w:cs="Arial"/>
          <w:sz w:val="20"/>
          <w:szCs w:val="20"/>
        </w:rPr>
        <w:t>The team was also expanded after agreement on last year’s mission to hire more staff members</w:t>
      </w:r>
      <w:r w:rsidRPr="00B71D33" w:rsidR="0089329E">
        <w:rPr>
          <w:rStyle w:val="normaltextrun"/>
          <w:rFonts w:ascii="Arial" w:hAnsi="Arial" w:cs="Arial"/>
          <w:sz w:val="20"/>
          <w:szCs w:val="20"/>
        </w:rPr>
        <w:t xml:space="preserve"> (5)</w:t>
      </w:r>
      <w:r>
        <w:rPr>
          <w:rStyle w:val="normaltextrun"/>
          <w:rFonts w:ascii="Arial" w:hAnsi="Arial" w:cs="Arial"/>
          <w:sz w:val="20"/>
          <w:szCs w:val="20"/>
        </w:rPr>
        <w:t xml:space="preserve"> to cover the expanding activities under REM </w:t>
      </w:r>
      <w:r w:rsidR="00B71D33">
        <w:rPr>
          <w:rStyle w:val="normaltextrun"/>
          <w:rFonts w:ascii="Arial" w:hAnsi="Arial" w:cs="Arial"/>
          <w:sz w:val="20"/>
          <w:szCs w:val="20"/>
        </w:rPr>
        <w:t>2 and</w:t>
      </w:r>
      <w:r>
        <w:rPr>
          <w:rStyle w:val="normaltextrun"/>
          <w:rFonts w:ascii="Arial" w:hAnsi="Arial" w:cs="Arial"/>
          <w:sz w:val="20"/>
          <w:szCs w:val="20"/>
        </w:rPr>
        <w:t xml:space="preserve"> </w:t>
      </w:r>
      <w:r w:rsidR="002713B7">
        <w:rPr>
          <w:rStyle w:val="normaltextrun"/>
          <w:rFonts w:ascii="Arial" w:hAnsi="Arial" w:cs="Arial"/>
          <w:sz w:val="20"/>
          <w:szCs w:val="20"/>
        </w:rPr>
        <w:t>cover the ongoing work the</w:t>
      </w:r>
      <w:r w:rsidR="0089329E">
        <w:rPr>
          <w:rStyle w:val="normaltextrun"/>
          <w:rFonts w:ascii="Arial" w:hAnsi="Arial" w:cs="Arial"/>
          <w:sz w:val="20"/>
          <w:szCs w:val="20"/>
        </w:rPr>
        <w:t xml:space="preserve"> team undertakes</w:t>
      </w:r>
      <w:r w:rsidR="001926AE">
        <w:rPr>
          <w:rStyle w:val="normaltextrun"/>
          <w:rFonts w:ascii="Arial" w:hAnsi="Arial" w:cs="Arial"/>
          <w:sz w:val="20"/>
          <w:szCs w:val="20"/>
        </w:rPr>
        <w:t xml:space="preserve">. </w:t>
      </w:r>
      <w:r w:rsidR="00D92EC4">
        <w:rPr>
          <w:rStyle w:val="normaltextrun"/>
          <w:rFonts w:ascii="Arial" w:hAnsi="Arial" w:cs="Arial"/>
          <w:sz w:val="20"/>
          <w:szCs w:val="20"/>
        </w:rPr>
        <w:t xml:space="preserve">See below for further details. </w:t>
      </w:r>
    </w:p>
    <w:p w:rsidRPr="002713B7" w:rsidR="4F956B74" w:rsidP="0025594B" w:rsidRDefault="4F956B74" w14:paraId="2271E99C" w14:textId="21847B24">
      <w:pPr>
        <w:pStyle w:val="paragraph"/>
        <w:spacing w:before="0" w:beforeAutospacing="0" w:after="0" w:afterAutospacing="0"/>
        <w:jc w:val="both"/>
        <w:rPr>
          <w:rStyle w:val="eop"/>
          <w:rFonts w:ascii="Arial" w:hAnsi="Arial" w:cs="Arial"/>
          <w:sz w:val="20"/>
          <w:szCs w:val="20"/>
        </w:rPr>
      </w:pPr>
    </w:p>
    <w:p w:rsidR="001E1E6E" w:rsidP="0025594B" w:rsidRDefault="00C60223" w14:paraId="7B92D3AE" w14:textId="7CBC5AA5">
      <w:pPr>
        <w:contextualSpacing/>
        <w:jc w:val="both"/>
        <w:rPr>
          <w:rFonts w:cs="Arial"/>
          <w:b/>
          <w:bCs/>
          <w:sz w:val="20"/>
          <w:szCs w:val="20"/>
          <w:u w:val="single"/>
        </w:rPr>
      </w:pPr>
      <w:r w:rsidRPr="7E654DF3">
        <w:rPr>
          <w:rFonts w:cs="Arial"/>
          <w:b/>
          <w:bCs/>
          <w:sz w:val="20"/>
          <w:szCs w:val="20"/>
          <w:u w:val="single"/>
        </w:rPr>
        <w:t>Brazil</w:t>
      </w:r>
      <w:r w:rsidRPr="2A13C088" w:rsidR="6FEEE7A8">
        <w:rPr>
          <w:rFonts w:cs="Arial"/>
          <w:b/>
          <w:bCs/>
          <w:sz w:val="20"/>
          <w:szCs w:val="20"/>
          <w:u w:val="single"/>
        </w:rPr>
        <w:t>: REM 1</w:t>
      </w:r>
    </w:p>
    <w:p w:rsidRPr="00EB7DBF" w:rsidR="00307FCA" w:rsidP="1A6AD0A9" w:rsidRDefault="00393C1B" w14:paraId="3BC0D61B" w14:textId="290D7DC5">
      <w:pPr>
        <w:spacing/>
        <w:contextualSpacing/>
        <w:jc w:val="both"/>
        <w:rPr>
          <w:rFonts w:cs="Arial"/>
          <w:sz w:val="20"/>
          <w:szCs w:val="20"/>
        </w:rPr>
      </w:pPr>
      <w:r w:rsidRPr="6D6666F9" w:rsidR="00393C1B">
        <w:rPr>
          <w:rFonts w:cs="Arial"/>
          <w:sz w:val="20"/>
          <w:szCs w:val="20"/>
        </w:rPr>
        <w:t xml:space="preserve">The Brazilian </w:t>
      </w:r>
      <w:r w:rsidR="00C20991">
        <w:rPr>
          <w:rFonts w:cs="Arial"/>
          <w:sz w:val="20"/>
          <w:szCs w:val="20"/>
        </w:rPr>
        <w:t xml:space="preserve">federal </w:t>
      </w:r>
      <w:r w:rsidRPr="6D6666F9" w:rsidR="00393C1B">
        <w:rPr>
          <w:rFonts w:cs="Arial"/>
          <w:sz w:val="20"/>
          <w:szCs w:val="20"/>
        </w:rPr>
        <w:t>administration</w:t>
      </w:r>
      <w:r w:rsidR="009B1318">
        <w:rPr>
          <w:rFonts w:cs="Arial"/>
          <w:sz w:val="20"/>
          <w:szCs w:val="20"/>
        </w:rPr>
        <w:t xml:space="preserve"> under President Lula</w:t>
      </w:r>
      <w:r w:rsidRPr="6D6666F9" w:rsidR="00393C1B">
        <w:rPr>
          <w:rFonts w:cs="Arial"/>
          <w:sz w:val="20"/>
          <w:szCs w:val="20"/>
        </w:rPr>
        <w:t xml:space="preserve"> came into power in January 2023 </w:t>
      </w:r>
      <w:r w:rsidR="009B1318">
        <w:rPr>
          <w:rFonts w:cs="Arial"/>
          <w:sz w:val="20"/>
          <w:szCs w:val="20"/>
        </w:rPr>
        <w:t xml:space="preserve">and </w:t>
      </w:r>
      <w:r w:rsidRPr="6D6666F9" w:rsidR="00393C1B">
        <w:rPr>
          <w:rFonts w:cs="Arial"/>
          <w:sz w:val="20"/>
          <w:szCs w:val="20"/>
        </w:rPr>
        <w:t>has made advances in reducing deforestation</w:t>
      </w:r>
      <w:r w:rsidRPr="6D6666F9" w:rsidR="00AF0793">
        <w:rPr>
          <w:rFonts w:cs="Arial"/>
          <w:sz w:val="20"/>
          <w:szCs w:val="20"/>
        </w:rPr>
        <w:t xml:space="preserve"> in the Amazon</w:t>
      </w:r>
      <w:r w:rsidRPr="6D6666F9" w:rsidR="354A7354">
        <w:rPr>
          <w:rFonts w:cs="Arial"/>
          <w:sz w:val="20"/>
          <w:szCs w:val="20"/>
        </w:rPr>
        <w:t xml:space="preserve">. Official </w:t>
      </w:r>
      <w:r w:rsidR="00C125DF">
        <w:rPr>
          <w:rFonts w:cs="Arial"/>
          <w:sz w:val="20"/>
          <w:szCs w:val="20"/>
        </w:rPr>
        <w:t xml:space="preserve">national </w:t>
      </w:r>
      <w:r w:rsidRPr="6D6666F9" w:rsidR="354A7354">
        <w:rPr>
          <w:rFonts w:cs="Arial"/>
          <w:sz w:val="20"/>
          <w:szCs w:val="20"/>
        </w:rPr>
        <w:t>results in deforestation show an overall reduction of 30.6% between 1</w:t>
      </w:r>
      <w:r w:rsidRPr="6D6666F9" w:rsidR="354A7354">
        <w:rPr>
          <w:rFonts w:cs="Arial"/>
          <w:sz w:val="20"/>
          <w:szCs w:val="20"/>
          <w:vertAlign w:val="superscript"/>
        </w:rPr>
        <w:t>st</w:t>
      </w:r>
      <w:r w:rsidRPr="6D6666F9" w:rsidR="354A7354">
        <w:rPr>
          <w:rFonts w:cs="Arial"/>
          <w:sz w:val="20"/>
          <w:szCs w:val="20"/>
        </w:rPr>
        <w:t xml:space="preserve"> August 2023-31</w:t>
      </w:r>
      <w:r w:rsidRPr="6D6666F9" w:rsidR="354A7354">
        <w:rPr>
          <w:rFonts w:cs="Arial"/>
          <w:sz w:val="20"/>
          <w:szCs w:val="20"/>
          <w:vertAlign w:val="superscript"/>
        </w:rPr>
        <w:t>st</w:t>
      </w:r>
      <w:r w:rsidRPr="6D6666F9" w:rsidR="354A7354">
        <w:rPr>
          <w:rFonts w:cs="Arial"/>
          <w:sz w:val="20"/>
          <w:szCs w:val="20"/>
        </w:rPr>
        <w:t xml:space="preserve"> July 2024 </w:t>
      </w:r>
      <w:r w:rsidRPr="6D6666F9" w:rsidR="64597B44">
        <w:rPr>
          <w:rFonts w:cs="Arial"/>
          <w:sz w:val="20"/>
          <w:szCs w:val="20"/>
        </w:rPr>
        <w:t xml:space="preserve">compared to the same period the previous year </w:t>
      </w:r>
      <w:r w:rsidRPr="6D6666F9" w:rsidR="354A7354">
        <w:rPr>
          <w:rFonts w:cs="Arial"/>
          <w:sz w:val="20"/>
          <w:szCs w:val="20"/>
        </w:rPr>
        <w:t xml:space="preserve">across the Amazon area (the lowest result in 9 years) and a reduction of 25.7% in </w:t>
      </w:r>
      <w:r w:rsidRPr="6D6666F9" w:rsidR="354A7354">
        <w:rPr>
          <w:rFonts w:cs="Arial"/>
          <w:sz w:val="20"/>
          <w:szCs w:val="20"/>
        </w:rPr>
        <w:t xml:space="preserve">Cerrado</w:t>
      </w:r>
      <w:r w:rsidRPr="6D6666F9" w:rsidR="354A7354">
        <w:rPr>
          <w:rFonts w:cs="Arial"/>
          <w:sz w:val="20"/>
          <w:szCs w:val="20"/>
        </w:rPr>
        <w:t xml:space="preserve">. </w:t>
      </w:r>
      <w:r w:rsidRPr="6D6666F9" w:rsidR="7CA5EA50">
        <w:rPr>
          <w:rFonts w:cs="Arial"/>
          <w:sz w:val="20"/>
          <w:szCs w:val="20"/>
        </w:rPr>
        <w:t xml:space="preserve">These results </w:t>
      </w:r>
      <w:r w:rsidRPr="6D6666F9" w:rsidR="7CA5EA50">
        <w:rPr>
          <w:rFonts w:cs="Arial"/>
          <w:sz w:val="20"/>
          <w:szCs w:val="20"/>
        </w:rPr>
        <w:t>still remain</w:t>
      </w:r>
      <w:r w:rsidRPr="6D6666F9" w:rsidR="7CA5EA50">
        <w:rPr>
          <w:rFonts w:cs="Arial"/>
          <w:sz w:val="20"/>
          <w:szCs w:val="20"/>
        </w:rPr>
        <w:t xml:space="preserve"> higher than under the </w:t>
      </w:r>
      <w:r w:rsidRPr="6D6666F9" w:rsidR="7CA5EA50">
        <w:rPr>
          <w:rFonts w:cs="Arial"/>
          <w:sz w:val="20"/>
          <w:szCs w:val="20"/>
        </w:rPr>
        <w:t>previous</w:t>
      </w:r>
      <w:r w:rsidRPr="6D6666F9" w:rsidR="7CA5EA50">
        <w:rPr>
          <w:rFonts w:cs="Arial"/>
          <w:sz w:val="20"/>
          <w:szCs w:val="20"/>
        </w:rPr>
        <w:t xml:space="preserve"> Lula administration</w:t>
      </w:r>
      <w:r w:rsidRPr="6D6666F9" w:rsidR="5C6F37AE">
        <w:rPr>
          <w:rFonts w:cs="Arial"/>
          <w:sz w:val="20"/>
          <w:szCs w:val="20"/>
        </w:rPr>
        <w:t>, including between the years between 2010-2015</w:t>
      </w:r>
      <w:r w:rsidRPr="6D6666F9">
        <w:rPr>
          <w:rStyle w:val="FootnoteReference"/>
          <w:rFonts w:cs="Arial"/>
          <w:sz w:val="20"/>
          <w:szCs w:val="20"/>
        </w:rPr>
        <w:footnoteReference w:id="3"/>
      </w:r>
      <w:r w:rsidRPr="6D6666F9" w:rsidR="7CA5EA50">
        <w:rPr>
          <w:rFonts w:cs="Arial"/>
          <w:sz w:val="20"/>
          <w:szCs w:val="20"/>
        </w:rPr>
        <w:t xml:space="preserve">. </w:t>
      </w:r>
      <w:r w:rsidRPr="6D6666F9" w:rsidR="354A7354">
        <w:rPr>
          <w:rFonts w:cs="Arial"/>
          <w:sz w:val="20"/>
          <w:szCs w:val="20"/>
        </w:rPr>
        <w:t>This shows the profound impact political change can have on deforestation rates, with these results marking 1.5 years since the return to power of the current ‘Lula’ government. Further analysis can be found below.</w:t>
      </w:r>
      <w:r w:rsidRPr="6D6666F9" w:rsidR="00AF0793">
        <w:rPr>
          <w:rFonts w:cs="Arial"/>
          <w:sz w:val="20"/>
          <w:szCs w:val="20"/>
        </w:rPr>
        <w:t xml:space="preserve"> This coincided with the </w:t>
      </w:r>
      <w:r w:rsidRPr="6D6666F9" w:rsidR="00350D68">
        <w:rPr>
          <w:rFonts w:cs="Arial"/>
          <w:sz w:val="20"/>
          <w:szCs w:val="20"/>
        </w:rPr>
        <w:t>re-opening of the Amazon Fund, which has attracted new donors including the UK. Funding from the Amazon Fund has started to be distributed to the states</w:t>
      </w:r>
      <w:r w:rsidRPr="6D6666F9" w:rsidR="00DE431E">
        <w:rPr>
          <w:rFonts w:cs="Arial"/>
          <w:sz w:val="20"/>
          <w:szCs w:val="20"/>
        </w:rPr>
        <w:t xml:space="preserve">, including Acre and Mato Grosso, and the UK will now be </w:t>
      </w:r>
      <w:r w:rsidRPr="6D6666F9" w:rsidR="00DE431E">
        <w:rPr>
          <w:rFonts w:cs="Arial"/>
          <w:sz w:val="20"/>
          <w:szCs w:val="20"/>
        </w:rPr>
        <w:t xml:space="preserve">monitoring</w:t>
      </w:r>
      <w:r w:rsidRPr="6D6666F9" w:rsidR="00DE431E">
        <w:rPr>
          <w:rFonts w:cs="Arial"/>
          <w:sz w:val="20"/>
          <w:szCs w:val="20"/>
        </w:rPr>
        <w:t xml:space="preserve"> the allocation of resources of both funds, to ensure complementarity. </w:t>
      </w:r>
      <w:r w:rsidR="00F51213">
        <w:rPr>
          <w:rFonts w:cs="Arial"/>
          <w:sz w:val="20"/>
          <w:szCs w:val="20"/>
        </w:rPr>
        <w:t xml:space="preserve">REM deliberately works at a state level which </w:t>
      </w:r>
      <w:r w:rsidR="00F14E33">
        <w:rPr>
          <w:rFonts w:cs="Arial"/>
          <w:sz w:val="20"/>
          <w:szCs w:val="20"/>
        </w:rPr>
        <w:t>helps to incentivise action by state governments</w:t>
      </w:r>
      <w:r w:rsidR="00100F14">
        <w:rPr>
          <w:rFonts w:cs="Arial"/>
          <w:sz w:val="20"/>
          <w:szCs w:val="20"/>
        </w:rPr>
        <w:t xml:space="preserve"> </w:t>
      </w:r>
      <w:r w:rsidR="00711087">
        <w:rPr>
          <w:rFonts w:cs="Arial"/>
          <w:sz w:val="20"/>
          <w:szCs w:val="20"/>
        </w:rPr>
        <w:t xml:space="preserve">that helps to provide continuity through changes </w:t>
      </w:r>
      <w:r w:rsidR="00100F14">
        <w:rPr>
          <w:rFonts w:cs="Arial"/>
          <w:sz w:val="20"/>
          <w:szCs w:val="20"/>
        </w:rPr>
        <w:t>at federal level.</w:t>
      </w:r>
      <w:r w:rsidR="000D58A2">
        <w:rPr>
          <w:rFonts w:cs="Arial"/>
          <w:sz w:val="20"/>
          <w:szCs w:val="20"/>
        </w:rPr>
        <w:t xml:space="preserve"> This meant that REM programming was able to continue under the </w:t>
      </w:r>
      <w:r w:rsidR="000D58A2">
        <w:rPr>
          <w:rFonts w:cs="Arial"/>
          <w:sz w:val="20"/>
          <w:szCs w:val="20"/>
        </w:rPr>
        <w:t xml:space="preserve">previous</w:t>
      </w:r>
      <w:r w:rsidR="000D58A2">
        <w:rPr>
          <w:rFonts w:cs="Arial"/>
          <w:sz w:val="20"/>
          <w:szCs w:val="20"/>
        </w:rPr>
        <w:t xml:space="preserve"> Bolsonaro </w:t>
      </w:r>
      <w:r w:rsidR="000D58A2">
        <w:rPr>
          <w:rFonts w:cs="Arial"/>
          <w:sz w:val="20"/>
          <w:szCs w:val="20"/>
        </w:rPr>
        <w:t xml:space="preserve">administatrion</w:t>
      </w:r>
      <w:r w:rsidR="000D58A2">
        <w:rPr>
          <w:rFonts w:cs="Arial"/>
          <w:sz w:val="20"/>
          <w:szCs w:val="20"/>
        </w:rPr>
        <w:t xml:space="preserve">, whilst federal programmes like the Amazon Fund were frozen.</w:t>
      </w:r>
    </w:p>
    <w:p w:rsidRPr="00EB7DBF" w:rsidR="00DE431E" w:rsidP="0025594B" w:rsidRDefault="00DE431E" w14:paraId="09CF503E" w14:textId="77777777">
      <w:pPr>
        <w:contextualSpacing/>
        <w:jc w:val="both"/>
        <w:rPr>
          <w:rFonts w:cs="Arial"/>
          <w:sz w:val="20"/>
          <w:szCs w:val="20"/>
        </w:rPr>
      </w:pPr>
    </w:p>
    <w:p w:rsidR="00F81509" w:rsidP="0025594B" w:rsidRDefault="00F81509" w14:paraId="2FC0D6D2" w14:textId="6067B481">
      <w:pPr>
        <w:contextualSpacing/>
        <w:jc w:val="both"/>
        <w:rPr>
          <w:rFonts w:cs="Arial"/>
          <w:sz w:val="20"/>
          <w:szCs w:val="20"/>
        </w:rPr>
      </w:pPr>
      <w:r w:rsidRPr="722F6E6D">
        <w:rPr>
          <w:rFonts w:cs="Arial"/>
          <w:sz w:val="20"/>
          <w:szCs w:val="20"/>
        </w:rPr>
        <w:t xml:space="preserve">In Acre, the programme undertook an internal </w:t>
      </w:r>
      <w:r w:rsidRPr="722F6E6D" w:rsidR="008E05CE">
        <w:rPr>
          <w:rFonts w:cs="Arial"/>
          <w:sz w:val="20"/>
          <w:szCs w:val="20"/>
        </w:rPr>
        <w:t>mini evaluation</w:t>
      </w:r>
      <w:r w:rsidRPr="722F6E6D">
        <w:rPr>
          <w:rFonts w:cs="Arial"/>
          <w:sz w:val="20"/>
          <w:szCs w:val="20"/>
        </w:rPr>
        <w:t xml:space="preserve"> of its interventions, to develop the programme investment plan (PID) for the remaining funding not yet disbursed to the state (£7.35 million and</w:t>
      </w:r>
      <w:r w:rsidRPr="722F6E6D" w:rsidR="007F4594">
        <w:rPr>
          <w:rFonts w:cs="Arial"/>
          <w:sz w:val="20"/>
          <w:szCs w:val="20"/>
        </w:rPr>
        <w:t xml:space="preserve"> €2.5 million. </w:t>
      </w:r>
      <w:r w:rsidRPr="722F6E6D" w:rsidR="00512C6F">
        <w:rPr>
          <w:rFonts w:cs="Arial"/>
          <w:sz w:val="20"/>
          <w:szCs w:val="20"/>
        </w:rPr>
        <w:t xml:space="preserve">This was carried out under the current reporting period and approved by donors under the </w:t>
      </w:r>
      <w:r w:rsidRPr="722F6E6D" w:rsidR="00393C1B">
        <w:rPr>
          <w:rFonts w:cs="Arial"/>
          <w:sz w:val="20"/>
          <w:szCs w:val="20"/>
        </w:rPr>
        <w:t>next reporting period</w:t>
      </w:r>
      <w:r w:rsidRPr="722F6E6D" w:rsidR="00532D7B">
        <w:rPr>
          <w:rFonts w:cs="Arial"/>
          <w:sz w:val="20"/>
          <w:szCs w:val="20"/>
        </w:rPr>
        <w:t>. A programme extension for one further year will be needed until December 2026</w:t>
      </w:r>
      <w:r w:rsidRPr="722F6E6D" w:rsidR="008227E2">
        <w:rPr>
          <w:rFonts w:cs="Arial"/>
          <w:sz w:val="20"/>
          <w:szCs w:val="20"/>
        </w:rPr>
        <w:t xml:space="preserve"> to allow for spending of this remaining funding, which will be completed in the new year (2025)</w:t>
      </w:r>
      <w:r w:rsidRPr="722F6E6D" w:rsidR="00532D7B">
        <w:rPr>
          <w:rFonts w:cs="Arial"/>
          <w:sz w:val="20"/>
          <w:szCs w:val="20"/>
        </w:rPr>
        <w:t xml:space="preserve">. </w:t>
      </w:r>
      <w:r w:rsidRPr="722F6E6D" w:rsidR="008E05CE">
        <w:rPr>
          <w:rFonts w:cs="Arial"/>
          <w:sz w:val="20"/>
          <w:szCs w:val="20"/>
        </w:rPr>
        <w:t xml:space="preserve">Various milestones that were previously agreed have been met meaning the first of the final disbursements could be organised during this reporting period. This is detailed in Outcome 1. </w:t>
      </w:r>
    </w:p>
    <w:p w:rsidR="004B7A5F" w:rsidP="0025594B" w:rsidRDefault="004B7A5F" w14:paraId="3EA85308" w14:textId="77777777">
      <w:pPr>
        <w:contextualSpacing/>
        <w:jc w:val="both"/>
        <w:rPr>
          <w:rFonts w:cs="Arial"/>
          <w:sz w:val="20"/>
          <w:szCs w:val="20"/>
        </w:rPr>
      </w:pPr>
    </w:p>
    <w:p w:rsidR="004B7A5F" w:rsidP="42724C0A" w:rsidRDefault="004B7A5F" w14:paraId="4340C619" w14:textId="0B896CC7">
      <w:pPr>
        <w:spacing/>
        <w:contextualSpacing/>
        <w:jc w:val="both"/>
        <w:rPr>
          <w:rFonts w:cs="Arial"/>
          <w:sz w:val="20"/>
          <w:szCs w:val="20"/>
        </w:rPr>
      </w:pPr>
      <w:r w:rsidRPr="59460479" w:rsidR="004B7A5F">
        <w:rPr>
          <w:rFonts w:cs="Arial"/>
          <w:sz w:val="20"/>
          <w:szCs w:val="20"/>
        </w:rPr>
        <w:t xml:space="preserve">In Mato Grosso, </w:t>
      </w:r>
      <w:r w:rsidRPr="59460479" w:rsidR="00AB671B">
        <w:rPr>
          <w:rFonts w:cs="Arial"/>
          <w:sz w:val="20"/>
          <w:szCs w:val="20"/>
        </w:rPr>
        <w:t xml:space="preserve">progress towards </w:t>
      </w:r>
      <w:r w:rsidRPr="59460479" w:rsidR="00EB7DBF">
        <w:rPr>
          <w:rFonts w:cs="Arial"/>
          <w:sz w:val="20"/>
          <w:szCs w:val="20"/>
        </w:rPr>
        <w:t>institutionalising</w:t>
      </w:r>
      <w:r w:rsidRPr="59460479" w:rsidR="00AB671B">
        <w:rPr>
          <w:rFonts w:cs="Arial"/>
          <w:sz w:val="20"/>
          <w:szCs w:val="20"/>
        </w:rPr>
        <w:t xml:space="preserve"> their </w:t>
      </w:r>
      <w:r w:rsidRPr="59460479" w:rsidR="008B5E29">
        <w:rPr>
          <w:rFonts w:cs="Arial"/>
          <w:sz w:val="20"/>
          <w:szCs w:val="20"/>
        </w:rPr>
        <w:t>environmental agenda was made; in 2023, the PCI (</w:t>
      </w:r>
      <w:r w:rsidRPr="59460479" w:rsidR="008B5E29">
        <w:rPr>
          <w:rFonts w:cs="Arial"/>
          <w:sz w:val="20"/>
          <w:szCs w:val="20"/>
        </w:rPr>
        <w:t>Produzir</w:t>
      </w:r>
      <w:r w:rsidRPr="59460479" w:rsidR="008B5E29">
        <w:rPr>
          <w:rFonts w:cs="Arial"/>
          <w:sz w:val="20"/>
          <w:szCs w:val="20"/>
        </w:rPr>
        <w:t xml:space="preserve">, </w:t>
      </w:r>
      <w:r w:rsidRPr="59460479" w:rsidR="008B5E29">
        <w:rPr>
          <w:rFonts w:cs="Arial"/>
          <w:sz w:val="20"/>
          <w:szCs w:val="20"/>
        </w:rPr>
        <w:t>Conservar</w:t>
      </w:r>
      <w:r w:rsidRPr="59460479" w:rsidR="008B5E29">
        <w:rPr>
          <w:rFonts w:cs="Arial"/>
          <w:sz w:val="20"/>
          <w:szCs w:val="20"/>
        </w:rPr>
        <w:t xml:space="preserve">, </w:t>
      </w:r>
      <w:r w:rsidRPr="59460479" w:rsidR="008B5E29">
        <w:rPr>
          <w:rFonts w:cs="Arial"/>
          <w:sz w:val="20"/>
          <w:szCs w:val="20"/>
        </w:rPr>
        <w:t>Incluir</w:t>
      </w:r>
      <w:r w:rsidRPr="59460479" w:rsidR="008B5E29">
        <w:rPr>
          <w:rFonts w:cs="Arial"/>
          <w:sz w:val="20"/>
          <w:szCs w:val="20"/>
        </w:rPr>
        <w:t>), which will also support to deliver</w:t>
      </w:r>
      <w:r w:rsidRPr="59460479" w:rsidR="4A633E70">
        <w:rPr>
          <w:rFonts w:cs="Arial"/>
          <w:sz w:val="20"/>
          <w:szCs w:val="20"/>
        </w:rPr>
        <w:t xml:space="preserve"> the</w:t>
      </w:r>
      <w:r w:rsidRPr="59460479" w:rsidR="008B5E29">
        <w:rPr>
          <w:rFonts w:cs="Arial"/>
          <w:sz w:val="20"/>
          <w:szCs w:val="20"/>
        </w:rPr>
        <w:t xml:space="preserve"> LEAF</w:t>
      </w:r>
      <w:r w:rsidRPr="59460479" w:rsidR="4E1722E0">
        <w:rPr>
          <w:rFonts w:cs="Arial"/>
          <w:sz w:val="20"/>
          <w:szCs w:val="20"/>
        </w:rPr>
        <w:t xml:space="preserve"> Coalition (</w:t>
      </w:r>
      <w:r w:rsidRPr="59460479" w:rsidR="4E1722E0">
        <w:rPr>
          <w:rFonts w:cs="Arial"/>
          <w:sz w:val="20"/>
          <w:szCs w:val="20"/>
        </w:rPr>
        <w:t>another UK supported ICF programme</w:t>
      </w:r>
      <w:r w:rsidRPr="59460479" w:rsidR="691912F6">
        <w:rPr>
          <w:rFonts w:cs="Arial"/>
          <w:sz w:val="20"/>
          <w:szCs w:val="20"/>
        </w:rPr>
        <w:t>, a public-private carbon market with Emissions Reductions Payment Agreements</w:t>
      </w:r>
      <w:r w:rsidRPr="59460479" w:rsidR="4E1722E0">
        <w:rPr>
          <w:rFonts w:cs="Arial"/>
          <w:sz w:val="20"/>
          <w:szCs w:val="20"/>
        </w:rPr>
        <w:t>)</w:t>
      </w:r>
      <w:r w:rsidRPr="59460479" w:rsidR="008B5E29">
        <w:rPr>
          <w:rFonts w:cs="Arial"/>
          <w:sz w:val="20"/>
          <w:szCs w:val="20"/>
        </w:rPr>
        <w:t xml:space="preserve">, was made an official entity, with support from REM funding. </w:t>
      </w:r>
      <w:r w:rsidRPr="59460479" w:rsidR="004B0789">
        <w:rPr>
          <w:rFonts w:cs="Arial"/>
          <w:sz w:val="20"/>
          <w:szCs w:val="20"/>
        </w:rPr>
        <w:t xml:space="preserve">Results under the PCI </w:t>
      </w:r>
      <w:r w:rsidRPr="59460479" w:rsidR="001D45C5">
        <w:rPr>
          <w:rFonts w:cs="Arial"/>
          <w:sz w:val="20"/>
          <w:szCs w:val="20"/>
        </w:rPr>
        <w:t xml:space="preserve">included recuperating degraded areas and increasing productivity of cattle, </w:t>
      </w:r>
      <w:r w:rsidRPr="59460479" w:rsidR="00B631E7">
        <w:rPr>
          <w:rFonts w:cs="Arial"/>
          <w:sz w:val="20"/>
          <w:szCs w:val="20"/>
        </w:rPr>
        <w:t xml:space="preserve">under the Conserve and Produce sub-components. </w:t>
      </w:r>
      <w:r w:rsidRPr="59460479" w:rsidR="00EB7DBF">
        <w:rPr>
          <w:rFonts w:cs="Arial"/>
          <w:sz w:val="20"/>
          <w:szCs w:val="20"/>
        </w:rPr>
        <w:t xml:space="preserve">Mato </w:t>
      </w:r>
      <w:r w:rsidRPr="59460479" w:rsidR="002201AA">
        <w:rPr>
          <w:rFonts w:cs="Arial"/>
          <w:sz w:val="20"/>
          <w:szCs w:val="20"/>
        </w:rPr>
        <w:t>G</w:t>
      </w:r>
      <w:r w:rsidRPr="59460479" w:rsidR="00EB7DBF">
        <w:rPr>
          <w:rFonts w:cs="Arial"/>
          <w:sz w:val="20"/>
          <w:szCs w:val="20"/>
        </w:rPr>
        <w:t>rosso made progress towards Phase 2 of the programme, with the final legal agreement for contribution signed in July 2024</w:t>
      </w:r>
      <w:r w:rsidRPr="59460479" w:rsidR="002201AA">
        <w:rPr>
          <w:rFonts w:cs="Arial"/>
          <w:sz w:val="20"/>
          <w:szCs w:val="20"/>
        </w:rPr>
        <w:t xml:space="preserve">, in the next reporting period, and the first disbursement to Phase 2 made in the next reporting period too. For Phase 1, progress towards closing </w:t>
      </w:r>
      <w:r w:rsidRPr="59460479" w:rsidR="002201AA">
        <w:rPr>
          <w:rFonts w:cs="Arial"/>
          <w:sz w:val="20"/>
          <w:szCs w:val="20"/>
        </w:rPr>
        <w:t>the programme, and moving</w:t>
      </w:r>
      <w:r w:rsidRPr="59460479" w:rsidR="00983BB8">
        <w:rPr>
          <w:rFonts w:cs="Arial"/>
          <w:sz w:val="20"/>
          <w:szCs w:val="20"/>
        </w:rPr>
        <w:t xml:space="preserve"> funding between the </w:t>
      </w:r>
      <w:r w:rsidRPr="59460479" w:rsidR="00983BB8">
        <w:rPr>
          <w:rFonts w:cs="Arial"/>
          <w:sz w:val="20"/>
          <w:szCs w:val="20"/>
        </w:rPr>
        <w:t>previous</w:t>
      </w:r>
      <w:r w:rsidRPr="59460479" w:rsidR="00983BB8">
        <w:rPr>
          <w:rFonts w:cs="Arial"/>
          <w:sz w:val="20"/>
          <w:szCs w:val="20"/>
        </w:rPr>
        <w:t xml:space="preserve"> financial intermediary</w:t>
      </w:r>
      <w:r w:rsidRPr="59460479" w:rsidR="00487A2E">
        <w:rPr>
          <w:rFonts w:cs="Arial"/>
          <w:sz w:val="20"/>
          <w:szCs w:val="20"/>
        </w:rPr>
        <w:t xml:space="preserve"> (FI)</w:t>
      </w:r>
      <w:r w:rsidRPr="59460479" w:rsidR="00983BB8">
        <w:rPr>
          <w:rFonts w:cs="Arial"/>
          <w:sz w:val="20"/>
          <w:szCs w:val="20"/>
        </w:rPr>
        <w:t xml:space="preserve">, </w:t>
      </w:r>
      <w:r w:rsidRPr="59460479" w:rsidR="00983BB8">
        <w:rPr>
          <w:rFonts w:cs="Arial"/>
          <w:sz w:val="20"/>
          <w:szCs w:val="20"/>
        </w:rPr>
        <w:t>Funbio</w:t>
      </w:r>
      <w:r w:rsidRPr="59460479" w:rsidR="00983BB8">
        <w:rPr>
          <w:rFonts w:cs="Arial"/>
          <w:sz w:val="20"/>
          <w:szCs w:val="20"/>
        </w:rPr>
        <w:t xml:space="preserve">, and the next </w:t>
      </w:r>
      <w:r w:rsidRPr="59460479" w:rsidR="00487A2E">
        <w:rPr>
          <w:rFonts w:cs="Arial"/>
          <w:sz w:val="20"/>
          <w:szCs w:val="20"/>
        </w:rPr>
        <w:t>FI FAS, which we expect may show some delays in the implementation of REM 1 to REM 2.</w:t>
      </w:r>
    </w:p>
    <w:p w:rsidR="004B7A5F" w:rsidP="42724C0A" w:rsidRDefault="004B7A5F" w14:paraId="61324485" w14:textId="3ED34B03">
      <w:pPr>
        <w:contextualSpacing/>
        <w:jc w:val="both"/>
        <w:rPr>
          <w:rFonts w:cs="Arial"/>
          <w:sz w:val="20"/>
          <w:szCs w:val="20"/>
        </w:rPr>
      </w:pPr>
    </w:p>
    <w:p w:rsidR="004B7A5F" w:rsidP="0025594B" w:rsidRDefault="033874EC" w14:paraId="3C132912" w14:textId="4757EA6D">
      <w:pPr>
        <w:contextualSpacing/>
        <w:jc w:val="both"/>
        <w:rPr>
          <w:rFonts w:cs="Arial"/>
          <w:sz w:val="20"/>
          <w:szCs w:val="20"/>
        </w:rPr>
      </w:pPr>
      <w:r w:rsidRPr="4BB752CF">
        <w:rPr>
          <w:rFonts w:cs="Arial"/>
          <w:sz w:val="20"/>
          <w:szCs w:val="20"/>
        </w:rPr>
        <w:t xml:space="preserve">A counterfactual was undertaken in Mato Grosso by </w:t>
      </w:r>
      <w:hyperlink r:id="rId23">
        <w:r w:rsidRPr="4BB752CF">
          <w:rPr>
            <w:rStyle w:val="Hyperlink"/>
            <w:rFonts w:cs="Arial"/>
            <w:sz w:val="20"/>
            <w:szCs w:val="20"/>
          </w:rPr>
          <w:t>Agroicone</w:t>
        </w:r>
      </w:hyperlink>
      <w:r w:rsidRPr="4BB752CF">
        <w:rPr>
          <w:rFonts w:cs="Arial"/>
          <w:sz w:val="20"/>
          <w:szCs w:val="20"/>
        </w:rPr>
        <w:t xml:space="preserve"> which showed that </w:t>
      </w:r>
      <w:r w:rsidRPr="4BB752CF" w:rsidR="6E74561E">
        <w:rPr>
          <w:rFonts w:cs="Arial"/>
          <w:sz w:val="20"/>
          <w:szCs w:val="20"/>
        </w:rPr>
        <w:t xml:space="preserve">REM in Mato Grosso had avoided deforestation by 80,000 hectares in both 2021 and 2022. </w:t>
      </w:r>
      <w:r w:rsidRPr="4BB752CF">
        <w:rPr>
          <w:rFonts w:cs="Arial"/>
          <w:sz w:val="20"/>
          <w:szCs w:val="20"/>
        </w:rPr>
        <w:t xml:space="preserve"> </w:t>
      </w:r>
      <w:r w:rsidRPr="4BB752CF" w:rsidR="00487A2E">
        <w:rPr>
          <w:rFonts w:cs="Arial"/>
          <w:sz w:val="20"/>
          <w:szCs w:val="20"/>
        </w:rPr>
        <w:t xml:space="preserve"> </w:t>
      </w:r>
    </w:p>
    <w:p w:rsidR="00BE09A8" w:rsidP="0025594B" w:rsidRDefault="00BE09A8" w14:paraId="389934B1" w14:textId="77777777">
      <w:pPr>
        <w:contextualSpacing/>
        <w:jc w:val="both"/>
        <w:rPr>
          <w:rFonts w:cs="Arial"/>
          <w:sz w:val="20"/>
          <w:szCs w:val="20"/>
        </w:rPr>
      </w:pPr>
    </w:p>
    <w:p w:rsidR="00A615FD" w:rsidP="0025594B" w:rsidRDefault="00BE09A8" w14:paraId="376C8588" w14:textId="20ACE011">
      <w:pPr>
        <w:contextualSpacing/>
        <w:jc w:val="both"/>
        <w:rPr>
          <w:rFonts w:cs="Arial"/>
          <w:sz w:val="20"/>
          <w:szCs w:val="20"/>
        </w:rPr>
      </w:pPr>
      <w:r w:rsidRPr="28F48636">
        <w:rPr>
          <w:rFonts w:cs="Arial"/>
          <w:sz w:val="20"/>
          <w:szCs w:val="20"/>
        </w:rPr>
        <w:t>Both states made progress in LEAF this year, receiving support from Ricardo</w:t>
      </w:r>
      <w:r w:rsidRPr="28F48636" w:rsidR="4112F8C7">
        <w:rPr>
          <w:rFonts w:cs="Arial"/>
          <w:sz w:val="20"/>
          <w:szCs w:val="20"/>
        </w:rPr>
        <w:t xml:space="preserve"> (technical consultancy)</w:t>
      </w:r>
      <w:r w:rsidRPr="28F48636">
        <w:rPr>
          <w:rFonts w:cs="Arial"/>
          <w:sz w:val="20"/>
          <w:szCs w:val="20"/>
        </w:rPr>
        <w:t xml:space="preserve">, </w:t>
      </w:r>
      <w:r w:rsidRPr="28F48636" w:rsidR="00EB7DBF">
        <w:rPr>
          <w:rFonts w:cs="Arial"/>
          <w:sz w:val="20"/>
          <w:szCs w:val="20"/>
        </w:rPr>
        <w:t xml:space="preserve">making them the most advanced </w:t>
      </w:r>
      <w:r w:rsidRPr="28F48636" w:rsidR="001E1D77">
        <w:rPr>
          <w:rFonts w:cs="Arial"/>
          <w:sz w:val="20"/>
          <w:szCs w:val="20"/>
        </w:rPr>
        <w:t xml:space="preserve">Brazilian </w:t>
      </w:r>
      <w:r w:rsidRPr="28F48636" w:rsidR="00EB7DBF">
        <w:rPr>
          <w:rFonts w:cs="Arial"/>
          <w:sz w:val="20"/>
          <w:szCs w:val="20"/>
        </w:rPr>
        <w:t>states to signing LEAF ERPAs</w:t>
      </w:r>
      <w:r w:rsidRPr="28F48636" w:rsidR="001E1D77">
        <w:rPr>
          <w:rFonts w:cs="Arial"/>
          <w:sz w:val="20"/>
          <w:szCs w:val="20"/>
        </w:rPr>
        <w:t>,</w:t>
      </w:r>
      <w:r w:rsidRPr="28F48636" w:rsidR="00EB7DBF">
        <w:rPr>
          <w:rFonts w:cs="Arial"/>
          <w:sz w:val="20"/>
          <w:szCs w:val="20"/>
        </w:rPr>
        <w:t xml:space="preserve"> alongside Pará. </w:t>
      </w:r>
    </w:p>
    <w:p w:rsidR="00C60223" w:rsidP="0025594B" w:rsidRDefault="00C60223" w14:paraId="78F44711" w14:textId="77777777">
      <w:pPr>
        <w:contextualSpacing/>
        <w:jc w:val="both"/>
        <w:rPr>
          <w:rFonts w:cs="Arial"/>
          <w:sz w:val="20"/>
          <w:szCs w:val="20"/>
        </w:rPr>
      </w:pPr>
    </w:p>
    <w:p w:rsidRPr="00916320" w:rsidR="00C60223" w:rsidP="0025594B" w:rsidRDefault="00C60223" w14:paraId="4156CF28" w14:textId="6081A916">
      <w:pPr>
        <w:contextualSpacing/>
        <w:jc w:val="both"/>
        <w:rPr>
          <w:rFonts w:cs="Arial"/>
          <w:b/>
          <w:bCs/>
          <w:sz w:val="20"/>
          <w:szCs w:val="20"/>
          <w:u w:val="single"/>
        </w:rPr>
      </w:pPr>
      <w:r w:rsidRPr="7E654DF3">
        <w:rPr>
          <w:rFonts w:cs="Arial"/>
          <w:b/>
          <w:bCs/>
          <w:sz w:val="20"/>
          <w:szCs w:val="20"/>
          <w:u w:val="single"/>
        </w:rPr>
        <w:t>Other achievements/progress made</w:t>
      </w:r>
      <w:r w:rsidRPr="2A13C088" w:rsidR="0FD89CD7">
        <w:rPr>
          <w:rFonts w:cs="Arial"/>
          <w:b/>
          <w:bCs/>
          <w:sz w:val="20"/>
          <w:szCs w:val="20"/>
          <w:u w:val="single"/>
        </w:rPr>
        <w:t>: REM 1</w:t>
      </w:r>
    </w:p>
    <w:p w:rsidR="6ADF0525" w:rsidP="0025594B" w:rsidRDefault="6ADF0525" w14:paraId="097DD740" w14:textId="39EF4F87">
      <w:pPr>
        <w:contextualSpacing/>
        <w:jc w:val="both"/>
        <w:rPr>
          <w:rFonts w:cs="Arial"/>
          <w:sz w:val="20"/>
          <w:szCs w:val="20"/>
        </w:rPr>
      </w:pPr>
    </w:p>
    <w:p w:rsidR="2A13C088" w:rsidP="2A13C088" w:rsidRDefault="00D241A1" w14:paraId="5351EF84" w14:textId="563BFA5A">
      <w:pPr>
        <w:spacing/>
        <w:contextualSpacing/>
        <w:jc w:val="both"/>
        <w:rPr>
          <w:rFonts w:cs="Arial"/>
          <w:sz w:val="20"/>
          <w:szCs w:val="20"/>
        </w:rPr>
      </w:pPr>
      <w:r w:rsidRPr="59460479" w:rsidR="00D241A1">
        <w:rPr>
          <w:rFonts w:cs="Arial"/>
          <w:sz w:val="20"/>
          <w:szCs w:val="20"/>
        </w:rPr>
        <w:t xml:space="preserve">Further coordination between the programmes has taken place this year; Acre </w:t>
      </w:r>
      <w:r w:rsidRPr="59460479" w:rsidR="00237537">
        <w:rPr>
          <w:rFonts w:cs="Arial"/>
          <w:sz w:val="20"/>
          <w:szCs w:val="20"/>
        </w:rPr>
        <w:t xml:space="preserve">undertook an exchange with Mato Grosso in August 2022 to </w:t>
      </w:r>
      <w:r w:rsidRPr="59460479" w:rsidR="00DC7770">
        <w:rPr>
          <w:rFonts w:cs="Arial"/>
          <w:sz w:val="20"/>
          <w:szCs w:val="20"/>
        </w:rPr>
        <w:t>share</w:t>
      </w:r>
      <w:r w:rsidRPr="59460479" w:rsidR="00DC7770">
        <w:rPr>
          <w:rFonts w:cs="Arial"/>
          <w:sz w:val="20"/>
          <w:szCs w:val="20"/>
        </w:rPr>
        <w:t xml:space="preserve"> </w:t>
      </w:r>
      <w:r w:rsidRPr="59460479" w:rsidR="00237537">
        <w:rPr>
          <w:rFonts w:cs="Arial"/>
          <w:sz w:val="20"/>
          <w:szCs w:val="20"/>
        </w:rPr>
        <w:t xml:space="preserve">experiences managing </w:t>
      </w:r>
      <w:r w:rsidRPr="59460479" w:rsidR="00237537">
        <w:rPr>
          <w:rFonts w:cs="Arial"/>
          <w:sz w:val="20"/>
          <w:szCs w:val="20"/>
        </w:rPr>
        <w:t>REM</w:t>
      </w:r>
      <w:r w:rsidRPr="59460479" w:rsidR="00367564">
        <w:rPr>
          <w:rFonts w:cs="Arial"/>
          <w:sz w:val="20"/>
          <w:szCs w:val="20"/>
        </w:rPr>
        <w:t xml:space="preserve"> with a specific focus on </w:t>
      </w:r>
      <w:r w:rsidRPr="59460479" w:rsidR="009037B2">
        <w:rPr>
          <w:rFonts w:cs="Arial"/>
          <w:sz w:val="20"/>
          <w:szCs w:val="20"/>
        </w:rPr>
        <w:t>command-and-control</w:t>
      </w:r>
      <w:r w:rsidRPr="59460479" w:rsidR="00367564">
        <w:rPr>
          <w:rFonts w:cs="Arial"/>
          <w:sz w:val="20"/>
          <w:szCs w:val="20"/>
        </w:rPr>
        <w:t xml:space="preserve"> strategies</w:t>
      </w:r>
      <w:r w:rsidRPr="59460479" w:rsidR="00237537">
        <w:rPr>
          <w:rFonts w:cs="Arial"/>
          <w:sz w:val="20"/>
          <w:szCs w:val="20"/>
        </w:rPr>
        <w:t xml:space="preserve">, and UK funding was used to organise a </w:t>
      </w:r>
      <w:r w:rsidRPr="59460479" w:rsidR="00E73F67">
        <w:rPr>
          <w:rFonts w:cs="Arial"/>
          <w:sz w:val="20"/>
          <w:szCs w:val="20"/>
        </w:rPr>
        <w:t>Knowledge</w:t>
      </w:r>
      <w:r w:rsidRPr="59460479" w:rsidR="00237537">
        <w:rPr>
          <w:rFonts w:cs="Arial"/>
          <w:sz w:val="20"/>
          <w:szCs w:val="20"/>
        </w:rPr>
        <w:t xml:space="preserve"> Exchange in Leticia, bringing together REM Mato Grosso, Acre, Ecuador and Colombia as well as one representative from the Financial Intermediaries, and donors in September 2023. This was a useful </w:t>
      </w:r>
      <w:r w:rsidRPr="59460479" w:rsidR="00E73F67">
        <w:rPr>
          <w:rFonts w:cs="Arial"/>
          <w:sz w:val="20"/>
          <w:szCs w:val="20"/>
        </w:rPr>
        <w:t>exercise</w:t>
      </w:r>
      <w:r w:rsidRPr="59460479" w:rsidR="00237537">
        <w:rPr>
          <w:rFonts w:cs="Arial"/>
          <w:sz w:val="20"/>
          <w:szCs w:val="20"/>
        </w:rPr>
        <w:t xml:space="preserve"> to bring together experiences across </w:t>
      </w:r>
      <w:r w:rsidRPr="59460479" w:rsidR="00E73F67">
        <w:rPr>
          <w:rFonts w:cs="Arial"/>
          <w:sz w:val="20"/>
          <w:szCs w:val="20"/>
        </w:rPr>
        <w:t>all programmes</w:t>
      </w:r>
      <w:r w:rsidRPr="59460479" w:rsidR="00237537">
        <w:rPr>
          <w:rFonts w:cs="Arial"/>
          <w:sz w:val="20"/>
          <w:szCs w:val="20"/>
        </w:rPr>
        <w:t xml:space="preserve">, and exchange knowledge across various </w:t>
      </w:r>
      <w:r w:rsidRPr="59460479" w:rsidR="004E4D1F">
        <w:rPr>
          <w:rFonts w:cs="Arial"/>
          <w:sz w:val="20"/>
          <w:szCs w:val="20"/>
        </w:rPr>
        <w:t xml:space="preserve">programmes, which have different pathways and design based on local contexts. </w:t>
      </w:r>
      <w:r w:rsidRPr="59460479" w:rsidR="00B27778">
        <w:rPr>
          <w:rFonts w:cs="Arial"/>
          <w:sz w:val="20"/>
          <w:szCs w:val="20"/>
        </w:rPr>
        <w:t xml:space="preserve">The intention is to continue these knowledge exchanges for REM in the coming </w:t>
      </w:r>
      <w:r w:rsidRPr="59460479" w:rsidR="00B27778">
        <w:rPr>
          <w:rFonts w:cs="Arial"/>
          <w:sz w:val="20"/>
          <w:szCs w:val="20"/>
        </w:rPr>
        <w:t>years, or</w:t>
      </w:r>
      <w:r w:rsidRPr="59460479" w:rsidR="00B27778">
        <w:rPr>
          <w:rFonts w:cs="Arial"/>
          <w:sz w:val="20"/>
          <w:szCs w:val="20"/>
        </w:rPr>
        <w:t xml:space="preserve"> potentially </w:t>
      </w:r>
      <w:r w:rsidRPr="59460479" w:rsidR="008F3611">
        <w:rPr>
          <w:rFonts w:cs="Arial"/>
          <w:sz w:val="20"/>
          <w:szCs w:val="20"/>
        </w:rPr>
        <w:t>join together</w:t>
      </w:r>
      <w:r w:rsidRPr="59460479" w:rsidR="008F3611">
        <w:rPr>
          <w:rFonts w:cs="Arial"/>
          <w:sz w:val="20"/>
          <w:szCs w:val="20"/>
        </w:rPr>
        <w:t xml:space="preserve"> location missions over the coming years to allow donors to evaluate the programme, and </w:t>
      </w:r>
      <w:r w:rsidRPr="59460479" w:rsidR="008F3611">
        <w:rPr>
          <w:rFonts w:cs="Arial"/>
          <w:sz w:val="20"/>
          <w:szCs w:val="20"/>
        </w:rPr>
        <w:t>jurisdictions</w:t>
      </w:r>
      <w:r w:rsidRPr="59460479" w:rsidR="008F3611">
        <w:rPr>
          <w:rFonts w:cs="Arial"/>
          <w:sz w:val="20"/>
          <w:szCs w:val="20"/>
        </w:rPr>
        <w:t xml:space="preserve"> to learn from one another simultaneously.</w:t>
      </w:r>
    </w:p>
    <w:p w:rsidR="4194D42A" w:rsidP="51BB3CA1" w:rsidRDefault="7DCB5EEB" w14:paraId="35F41FAA" w14:textId="78912997">
      <w:pPr>
        <w:pStyle w:val="Heading2"/>
        <w:rPr>
          <w:rFonts w:eastAsia="Arial" w:cs="Arial"/>
          <w:color w:val="000000" w:themeColor="text1"/>
          <w:u w:val="single"/>
        </w:rPr>
      </w:pPr>
      <w:bookmarkStart w:name="_Toc1208287512" w:id="11"/>
      <w:r>
        <w:t>REM 2 – developments and updates</w:t>
      </w:r>
      <w:bookmarkEnd w:id="11"/>
    </w:p>
    <w:p w:rsidR="4194D42A" w:rsidP="2A13C088" w:rsidRDefault="4194D42A" w14:paraId="23DFC1CF" w14:textId="3B6CF18C">
      <w:pPr>
        <w:pStyle w:val="FootnoteText"/>
        <w:jc w:val="both"/>
        <w:rPr>
          <w:rFonts w:ascii="Arial" w:hAnsi="Arial" w:eastAsia="Arial" w:cs="Arial"/>
          <w:color w:val="000000" w:themeColor="text1"/>
        </w:rPr>
      </w:pPr>
      <w:r w:rsidRPr="4D185046" w:rsidR="4194D42A">
        <w:rPr>
          <w:rFonts w:ascii="Arial" w:hAnsi="Arial" w:eastAsia="Arial" w:cs="Arial"/>
          <w:color w:val="000000" w:themeColor="text1" w:themeTint="FF" w:themeShade="FF"/>
        </w:rPr>
        <w:t>Although this annual review focuses on the achievements and challenges for REM Phase 1, it also covers REM 2, which has made progress over the last year, in Mato Grosso and Colombia.</w:t>
      </w:r>
      <w:r w:rsidRPr="4D185046" w:rsidR="4194D42A">
        <w:rPr>
          <w:rFonts w:ascii="Arial" w:hAnsi="Arial" w:eastAsia="Arial" w:cs="Arial"/>
          <w:color w:val="000000" w:themeColor="text1" w:themeTint="FF" w:themeShade="FF"/>
        </w:rPr>
        <w:t xml:space="preserve"> Milestones for REM 2 have been outlined below, and next year we will see the agreed log frame for REM 2. </w:t>
      </w:r>
    </w:p>
    <w:p w:rsidR="2A13C088" w:rsidP="2A13C088" w:rsidRDefault="2A13C088" w14:paraId="36C19C5E" w14:textId="3E011D7D">
      <w:pPr>
        <w:pStyle w:val="FootnoteText"/>
        <w:jc w:val="both"/>
        <w:rPr>
          <w:rFonts w:ascii="Arial" w:hAnsi="Arial" w:eastAsia="Arial" w:cs="Arial"/>
          <w:color w:val="000000" w:themeColor="text1"/>
        </w:rPr>
      </w:pPr>
    </w:p>
    <w:p w:rsidR="00563DC2" w:rsidP="2A13C088" w:rsidRDefault="71685E4E" w14:paraId="35D99314" w14:textId="197FCA75">
      <w:pPr>
        <w:pStyle w:val="FootnoteText"/>
        <w:jc w:val="both"/>
        <w:rPr>
          <w:rFonts w:ascii="Arial" w:hAnsi="Arial" w:eastAsia="Arial" w:cs="Arial"/>
          <w:color w:val="000000" w:themeColor="text1"/>
        </w:rPr>
      </w:pPr>
      <w:r w:rsidRPr="722F6E6D">
        <w:rPr>
          <w:rFonts w:ascii="Arial" w:hAnsi="Arial" w:eastAsia="Arial" w:cs="Arial"/>
          <w:color w:val="000000" w:themeColor="text1"/>
        </w:rPr>
        <w:t>Further phases of REM 2</w:t>
      </w:r>
      <w:r w:rsidRPr="722F6E6D" w:rsidR="4194D42A">
        <w:rPr>
          <w:rFonts w:ascii="Arial" w:hAnsi="Arial" w:eastAsia="Arial" w:cs="Arial"/>
          <w:color w:val="000000" w:themeColor="text1"/>
        </w:rPr>
        <w:t xml:space="preserve"> have made progress during this reporting period</w:t>
      </w:r>
      <w:r w:rsidRPr="722F6E6D" w:rsidR="00B70C33">
        <w:rPr>
          <w:rFonts w:ascii="Arial" w:hAnsi="Arial" w:eastAsia="Arial" w:cs="Arial"/>
          <w:color w:val="000000" w:themeColor="text1"/>
        </w:rPr>
        <w:t>. Due to high levels of deforestation in Colombia between 2019-2021, payments for REM 2.0 have</w:t>
      </w:r>
      <w:r w:rsidRPr="722F6E6D" w:rsidR="00A24D69">
        <w:rPr>
          <w:rFonts w:ascii="Arial" w:hAnsi="Arial" w:eastAsia="Arial" w:cs="Arial"/>
          <w:color w:val="000000" w:themeColor="text1"/>
        </w:rPr>
        <w:t xml:space="preserve"> instead</w:t>
      </w:r>
      <w:r w:rsidRPr="722F6E6D" w:rsidR="00B70C33">
        <w:rPr>
          <w:rFonts w:ascii="Arial" w:hAnsi="Arial" w:eastAsia="Arial" w:cs="Arial"/>
          <w:color w:val="000000" w:themeColor="text1"/>
        </w:rPr>
        <w:t xml:space="preserve"> been made </w:t>
      </w:r>
      <w:r w:rsidRPr="722F6E6D" w:rsidR="00620934">
        <w:rPr>
          <w:rFonts w:ascii="Arial" w:hAnsi="Arial" w:eastAsia="Arial" w:cs="Arial"/>
          <w:color w:val="000000" w:themeColor="text1"/>
        </w:rPr>
        <w:t xml:space="preserve">through payments for </w:t>
      </w:r>
      <w:r w:rsidRPr="722F6E6D" w:rsidR="00B70C33">
        <w:rPr>
          <w:rFonts w:ascii="Arial" w:hAnsi="Arial" w:eastAsia="Arial" w:cs="Arial"/>
          <w:color w:val="000000" w:themeColor="text1"/>
        </w:rPr>
        <w:t xml:space="preserve">policy milestones under the Joint Declaration of Intent (JDI). </w:t>
      </w:r>
      <w:r w:rsidRPr="722F6E6D" w:rsidR="001B6347">
        <w:rPr>
          <w:rFonts w:ascii="Arial" w:hAnsi="Arial" w:eastAsia="Arial" w:cs="Arial"/>
          <w:color w:val="000000" w:themeColor="text1"/>
        </w:rPr>
        <w:t>Donors have been waiting for the reports from the GoC to progress the payment</w:t>
      </w:r>
      <w:r w:rsidRPr="722F6E6D" w:rsidR="00861804">
        <w:rPr>
          <w:rFonts w:ascii="Arial" w:hAnsi="Arial" w:eastAsia="Arial" w:cs="Arial"/>
          <w:color w:val="000000" w:themeColor="text1"/>
        </w:rPr>
        <w:t xml:space="preserve"> since around December 2023</w:t>
      </w:r>
      <w:r w:rsidRPr="722F6E6D" w:rsidR="001B6347">
        <w:rPr>
          <w:rFonts w:ascii="Arial" w:hAnsi="Arial" w:eastAsia="Arial" w:cs="Arial"/>
          <w:color w:val="000000" w:themeColor="text1"/>
        </w:rPr>
        <w:t>.</w:t>
      </w:r>
      <w:r w:rsidRPr="722F6E6D" w:rsidR="00CD26CE">
        <w:rPr>
          <w:rFonts w:ascii="Arial" w:hAnsi="Arial" w:eastAsia="Arial" w:cs="Arial"/>
          <w:color w:val="000000" w:themeColor="text1"/>
        </w:rPr>
        <w:t xml:space="preserve"> </w:t>
      </w:r>
      <w:r w:rsidRPr="722F6E6D" w:rsidR="001B6347">
        <w:rPr>
          <w:rFonts w:ascii="Arial" w:hAnsi="Arial" w:eastAsia="Arial" w:cs="Arial"/>
          <w:color w:val="000000" w:themeColor="text1"/>
        </w:rPr>
        <w:t xml:space="preserve">This was received in September 2024 and a payment should be made by January 2025, in the next reporting period, when the UK’s contribution to REM 2 will officially begin. </w:t>
      </w:r>
      <w:r w:rsidRPr="722F6E6D" w:rsidR="007E3701">
        <w:rPr>
          <w:rFonts w:ascii="Arial" w:hAnsi="Arial" w:eastAsia="Arial" w:cs="Arial"/>
          <w:color w:val="000000" w:themeColor="text1"/>
        </w:rPr>
        <w:t xml:space="preserve">It was a recommendation to make a first UK payment </w:t>
      </w:r>
      <w:r w:rsidRPr="722F6E6D" w:rsidR="005D06B0">
        <w:rPr>
          <w:rFonts w:ascii="Arial" w:hAnsi="Arial" w:eastAsia="Arial" w:cs="Arial"/>
          <w:color w:val="000000" w:themeColor="text1"/>
        </w:rPr>
        <w:t>during this review period</w:t>
      </w:r>
      <w:r w:rsidRPr="722F6E6D" w:rsidR="007E3701">
        <w:rPr>
          <w:rFonts w:ascii="Arial" w:hAnsi="Arial" w:eastAsia="Arial" w:cs="Arial"/>
          <w:color w:val="000000" w:themeColor="text1"/>
        </w:rPr>
        <w:t xml:space="preserve">, however </w:t>
      </w:r>
      <w:r w:rsidRPr="722F6E6D" w:rsidR="00450B03">
        <w:rPr>
          <w:rFonts w:ascii="Arial" w:hAnsi="Arial" w:eastAsia="Arial" w:cs="Arial"/>
          <w:color w:val="000000" w:themeColor="text1"/>
        </w:rPr>
        <w:t xml:space="preserve">due to delays in receiving the report, this </w:t>
      </w:r>
      <w:r w:rsidRPr="722F6E6D" w:rsidR="00CD26CE">
        <w:rPr>
          <w:rFonts w:ascii="Arial" w:hAnsi="Arial" w:eastAsia="Arial" w:cs="Arial"/>
          <w:color w:val="000000" w:themeColor="text1"/>
        </w:rPr>
        <w:t>was dela</w:t>
      </w:r>
      <w:r w:rsidRPr="722F6E6D" w:rsidR="564D38CA">
        <w:rPr>
          <w:rFonts w:ascii="Arial" w:hAnsi="Arial" w:eastAsia="Arial" w:cs="Arial"/>
          <w:color w:val="000000" w:themeColor="text1"/>
        </w:rPr>
        <w:t>y</w:t>
      </w:r>
      <w:r w:rsidRPr="722F6E6D" w:rsidR="00CD26CE">
        <w:rPr>
          <w:rFonts w:ascii="Arial" w:hAnsi="Arial" w:eastAsia="Arial" w:cs="Arial"/>
          <w:color w:val="000000" w:themeColor="text1"/>
        </w:rPr>
        <w:t>ed</w:t>
      </w:r>
      <w:r w:rsidRPr="722F6E6D" w:rsidR="14E210A8">
        <w:rPr>
          <w:rFonts w:ascii="Arial" w:hAnsi="Arial" w:eastAsia="Arial" w:cs="Arial"/>
          <w:color w:val="000000" w:themeColor="text1"/>
        </w:rPr>
        <w:t xml:space="preserve"> until October 2024.</w:t>
      </w:r>
      <w:r w:rsidRPr="722F6E6D" w:rsidR="00450B03">
        <w:rPr>
          <w:rFonts w:ascii="Arial" w:hAnsi="Arial" w:eastAsia="Arial" w:cs="Arial"/>
          <w:color w:val="000000" w:themeColor="text1"/>
        </w:rPr>
        <w:t xml:space="preserve"> The</w:t>
      </w:r>
      <w:r w:rsidRPr="722F6E6D" w:rsidR="00423CD1">
        <w:rPr>
          <w:rFonts w:ascii="Arial" w:hAnsi="Arial" w:eastAsia="Arial" w:cs="Arial"/>
          <w:color w:val="000000" w:themeColor="text1"/>
        </w:rPr>
        <w:t xml:space="preserve"> process for </w:t>
      </w:r>
      <w:r w:rsidRPr="722F6E6D" w:rsidR="006E784B">
        <w:rPr>
          <w:rFonts w:ascii="Arial" w:hAnsi="Arial" w:eastAsia="Arial" w:cs="Arial"/>
          <w:color w:val="000000" w:themeColor="text1"/>
        </w:rPr>
        <w:t>awarding payments for policy milestones</w:t>
      </w:r>
      <w:r w:rsidRPr="722F6E6D" w:rsidR="00B8554C">
        <w:rPr>
          <w:rFonts w:ascii="Arial" w:hAnsi="Arial" w:eastAsia="Arial" w:cs="Arial"/>
          <w:color w:val="000000" w:themeColor="text1"/>
        </w:rPr>
        <w:t xml:space="preserve"> was also challenging. Issues arose around </w:t>
      </w:r>
      <w:r w:rsidRPr="722F6E6D" w:rsidR="006E784B">
        <w:rPr>
          <w:rFonts w:ascii="Arial" w:hAnsi="Arial" w:eastAsia="Arial" w:cs="Arial"/>
          <w:color w:val="000000" w:themeColor="text1"/>
        </w:rPr>
        <w:t>both the decision-making</w:t>
      </w:r>
      <w:r w:rsidRPr="722F6E6D" w:rsidR="00B8554C">
        <w:rPr>
          <w:rFonts w:ascii="Arial" w:hAnsi="Arial" w:eastAsia="Arial" w:cs="Arial"/>
          <w:color w:val="000000" w:themeColor="text1"/>
        </w:rPr>
        <w:t xml:space="preserve"> process</w:t>
      </w:r>
      <w:r w:rsidRPr="722F6E6D" w:rsidR="006E784B">
        <w:rPr>
          <w:rFonts w:ascii="Arial" w:hAnsi="Arial" w:eastAsia="Arial" w:cs="Arial"/>
          <w:color w:val="000000" w:themeColor="text1"/>
        </w:rPr>
        <w:t xml:space="preserve"> </w:t>
      </w:r>
      <w:r w:rsidRPr="722F6E6D" w:rsidR="00450B03">
        <w:rPr>
          <w:rFonts w:ascii="Arial" w:hAnsi="Arial" w:eastAsia="Arial" w:cs="Arial"/>
          <w:color w:val="000000" w:themeColor="text1"/>
        </w:rPr>
        <w:t xml:space="preserve">between donors, </w:t>
      </w:r>
      <w:r w:rsidRPr="722F6E6D" w:rsidR="006E784B">
        <w:rPr>
          <w:rFonts w:ascii="Arial" w:hAnsi="Arial" w:eastAsia="Arial" w:cs="Arial"/>
          <w:color w:val="000000" w:themeColor="text1"/>
        </w:rPr>
        <w:t xml:space="preserve">and </w:t>
      </w:r>
      <w:r w:rsidRPr="722F6E6D" w:rsidR="00D87C88">
        <w:rPr>
          <w:rFonts w:ascii="Arial" w:hAnsi="Arial" w:eastAsia="Arial" w:cs="Arial"/>
          <w:color w:val="000000" w:themeColor="text1"/>
        </w:rPr>
        <w:t xml:space="preserve">a lack of clarity around </w:t>
      </w:r>
      <w:r w:rsidRPr="722F6E6D" w:rsidR="006E784B">
        <w:rPr>
          <w:rFonts w:ascii="Arial" w:hAnsi="Arial" w:eastAsia="Arial" w:cs="Arial"/>
          <w:color w:val="000000" w:themeColor="text1"/>
        </w:rPr>
        <w:t>what role</w:t>
      </w:r>
      <w:r w:rsidRPr="722F6E6D" w:rsidR="00450B03">
        <w:rPr>
          <w:rFonts w:ascii="Arial" w:hAnsi="Arial" w:eastAsia="Arial" w:cs="Arial"/>
          <w:color w:val="000000" w:themeColor="text1"/>
        </w:rPr>
        <w:t xml:space="preserve"> KfW </w:t>
      </w:r>
      <w:r w:rsidRPr="722F6E6D" w:rsidR="00B60006">
        <w:rPr>
          <w:rFonts w:ascii="Arial" w:hAnsi="Arial" w:eastAsia="Arial" w:cs="Arial"/>
          <w:color w:val="000000" w:themeColor="text1"/>
        </w:rPr>
        <w:t xml:space="preserve">should have in co-ordinating </w:t>
      </w:r>
      <w:r w:rsidRPr="722F6E6D" w:rsidR="00450B03">
        <w:rPr>
          <w:rFonts w:ascii="Arial" w:hAnsi="Arial" w:eastAsia="Arial" w:cs="Arial"/>
          <w:color w:val="000000" w:themeColor="text1"/>
        </w:rPr>
        <w:t>this</w:t>
      </w:r>
      <w:r w:rsidRPr="722F6E6D" w:rsidR="00B60006">
        <w:rPr>
          <w:rFonts w:ascii="Arial" w:hAnsi="Arial" w:eastAsia="Arial" w:cs="Arial"/>
          <w:color w:val="000000" w:themeColor="text1"/>
        </w:rPr>
        <w:t>. Ultimately</w:t>
      </w:r>
      <w:r w:rsidRPr="722F6E6D" w:rsidR="00E15FB5">
        <w:rPr>
          <w:rFonts w:ascii="Arial" w:hAnsi="Arial" w:eastAsia="Arial" w:cs="Arial"/>
          <w:color w:val="000000" w:themeColor="text1"/>
        </w:rPr>
        <w:t xml:space="preserve"> </w:t>
      </w:r>
      <w:r w:rsidRPr="722F6E6D" w:rsidR="00A90612">
        <w:rPr>
          <w:rFonts w:ascii="Arial" w:hAnsi="Arial" w:eastAsia="Arial" w:cs="Arial"/>
          <w:color w:val="000000" w:themeColor="text1"/>
        </w:rPr>
        <w:t xml:space="preserve">poor coordination and </w:t>
      </w:r>
      <w:r w:rsidRPr="722F6E6D" w:rsidR="00AF0C3F">
        <w:rPr>
          <w:rFonts w:ascii="Arial" w:hAnsi="Arial" w:eastAsia="Arial" w:cs="Arial"/>
          <w:color w:val="000000" w:themeColor="text1"/>
        </w:rPr>
        <w:t xml:space="preserve">lack of sufficient forward planning </w:t>
      </w:r>
      <w:r w:rsidRPr="722F6E6D" w:rsidR="00E15FB5">
        <w:rPr>
          <w:rFonts w:ascii="Arial" w:hAnsi="Arial" w:eastAsia="Arial" w:cs="Arial"/>
          <w:color w:val="000000" w:themeColor="text1"/>
        </w:rPr>
        <w:t xml:space="preserve">led to confusion and </w:t>
      </w:r>
      <w:r w:rsidRPr="722F6E6D" w:rsidR="00AF0C3F">
        <w:rPr>
          <w:rFonts w:ascii="Arial" w:hAnsi="Arial" w:eastAsia="Arial" w:cs="Arial"/>
          <w:color w:val="000000" w:themeColor="text1"/>
        </w:rPr>
        <w:t>further delays</w:t>
      </w:r>
      <w:r w:rsidRPr="722F6E6D" w:rsidR="00E15FB5">
        <w:rPr>
          <w:rFonts w:ascii="Arial" w:hAnsi="Arial" w:eastAsia="Arial" w:cs="Arial"/>
          <w:color w:val="000000" w:themeColor="text1"/>
        </w:rPr>
        <w:t xml:space="preserve"> in </w:t>
      </w:r>
      <w:r w:rsidRPr="722F6E6D" w:rsidR="00AE2703">
        <w:rPr>
          <w:rFonts w:ascii="Arial" w:hAnsi="Arial" w:eastAsia="Arial" w:cs="Arial"/>
          <w:color w:val="000000" w:themeColor="text1"/>
        </w:rPr>
        <w:t>faci</w:t>
      </w:r>
      <w:r w:rsidRPr="722F6E6D" w:rsidR="00F1117D">
        <w:rPr>
          <w:rFonts w:ascii="Arial" w:hAnsi="Arial" w:eastAsia="Arial" w:cs="Arial"/>
          <w:color w:val="000000" w:themeColor="text1"/>
        </w:rPr>
        <w:t>litating</w:t>
      </w:r>
      <w:r w:rsidRPr="722F6E6D" w:rsidR="00AF0C3F">
        <w:rPr>
          <w:rFonts w:ascii="Arial" w:hAnsi="Arial" w:eastAsia="Arial" w:cs="Arial"/>
          <w:color w:val="000000" w:themeColor="text1"/>
        </w:rPr>
        <w:t xml:space="preserve"> </w:t>
      </w:r>
      <w:r w:rsidRPr="722F6E6D" w:rsidR="00E15FB5">
        <w:rPr>
          <w:rFonts w:ascii="Arial" w:hAnsi="Arial" w:eastAsia="Arial" w:cs="Arial"/>
          <w:color w:val="000000" w:themeColor="text1"/>
        </w:rPr>
        <w:t xml:space="preserve">the UK’s contribution. </w:t>
      </w:r>
      <w:r w:rsidRPr="722F6E6D" w:rsidR="00CD26CE">
        <w:rPr>
          <w:rFonts w:ascii="Arial" w:hAnsi="Arial" w:eastAsia="Arial" w:cs="Arial"/>
          <w:color w:val="000000" w:themeColor="text1"/>
        </w:rPr>
        <w:t>The UK</w:t>
      </w:r>
      <w:r w:rsidRPr="722F6E6D" w:rsidR="009232C3">
        <w:rPr>
          <w:rFonts w:ascii="Arial" w:hAnsi="Arial" w:eastAsia="Arial" w:cs="Arial"/>
          <w:color w:val="000000" w:themeColor="text1"/>
        </w:rPr>
        <w:t xml:space="preserve"> will aim to resolve this through a</w:t>
      </w:r>
      <w:r w:rsidRPr="722F6E6D" w:rsidR="00CD26CE">
        <w:rPr>
          <w:rFonts w:ascii="Arial" w:hAnsi="Arial" w:eastAsia="Arial" w:cs="Arial"/>
          <w:color w:val="000000" w:themeColor="text1"/>
        </w:rPr>
        <w:t xml:space="preserve"> </w:t>
      </w:r>
      <w:r w:rsidRPr="722F6E6D" w:rsidR="008837B0">
        <w:rPr>
          <w:rFonts w:ascii="Arial" w:hAnsi="Arial" w:eastAsia="Arial" w:cs="Arial"/>
          <w:color w:val="000000" w:themeColor="text1"/>
        </w:rPr>
        <w:t xml:space="preserve">workshop to voice lessons learned and create a clear route for future payments under the JDI. </w:t>
      </w:r>
    </w:p>
    <w:p w:rsidR="008F11C2" w:rsidP="2A13C088" w:rsidRDefault="008F11C2" w14:paraId="218738B8" w14:textId="77777777">
      <w:pPr>
        <w:pStyle w:val="FootnoteText"/>
        <w:jc w:val="both"/>
        <w:rPr>
          <w:rFonts w:ascii="Arial" w:hAnsi="Arial" w:eastAsia="Arial" w:cs="Arial"/>
          <w:color w:val="000000" w:themeColor="text1"/>
        </w:rPr>
      </w:pPr>
    </w:p>
    <w:p w:rsidR="008F11C2" w:rsidP="2A13C088" w:rsidRDefault="008F11C2" w14:paraId="3D957934" w14:textId="7F2DE019">
      <w:pPr>
        <w:pStyle w:val="FootnoteText"/>
        <w:jc w:val="both"/>
        <w:rPr>
          <w:rFonts w:ascii="Arial" w:hAnsi="Arial" w:eastAsia="Arial" w:cs="Arial"/>
          <w:color w:val="000000" w:themeColor="text1"/>
        </w:rPr>
      </w:pPr>
      <w:r w:rsidRPr="2A13C088">
        <w:rPr>
          <w:rFonts w:ascii="Arial" w:hAnsi="Arial" w:eastAsia="Arial" w:cs="Arial"/>
          <w:color w:val="000000" w:themeColor="text1"/>
        </w:rPr>
        <w:t>REM 2 in Colombia, which began delivery in 2021, has made the most progress of the jurisdictions. A key strategy of REM 2 is to develop the forest development clusters or NDFyB</w:t>
      </w:r>
      <w:r w:rsidR="00123B56">
        <w:rPr>
          <w:rStyle w:val="FootnoteReference"/>
          <w:rFonts w:ascii="Arial" w:hAnsi="Arial" w:eastAsia="Arial" w:cs="Arial"/>
          <w:color w:val="000000" w:themeColor="text1"/>
        </w:rPr>
        <w:footnoteReference w:id="4"/>
      </w:r>
      <w:r w:rsidRPr="2A13C088">
        <w:rPr>
          <w:rFonts w:ascii="Arial" w:hAnsi="Arial" w:eastAsia="Arial" w:cs="Arial"/>
          <w:color w:val="000000" w:themeColor="text1"/>
        </w:rPr>
        <w:t>, which aim to provide community forestry, sustainable land management and sustainable supply chains within large areas of land at the frontier of deforestation (where the Amazon begins, in Guaviare, Caquetá and Putumayo)</w:t>
      </w:r>
      <w:r>
        <w:rPr>
          <w:rFonts w:ascii="Arial" w:hAnsi="Arial" w:eastAsia="Arial" w:cs="Arial"/>
          <w:color w:val="000000" w:themeColor="text1"/>
        </w:rPr>
        <w:t>. T</w:t>
      </w:r>
      <w:r w:rsidRPr="2A13C088">
        <w:rPr>
          <w:rFonts w:ascii="Arial" w:hAnsi="Arial" w:eastAsia="Arial" w:cs="Arial"/>
          <w:color w:val="000000" w:themeColor="text1"/>
        </w:rPr>
        <w:t xml:space="preserve">hese strategies have now been adopted by other programmes and donors, including FAO through GCF funding, the Science Institute SINCHI, and other NGOs. So far REM 2 has allocated 38% of funding to activities and executed 12.8% of funding. Due to security reasons, the programme had to suspend actions for the NDFyB in Caquetá, stalling some delivery of the programme. Advances were made in the delivery of the Forest Incentive, which pays a payment for environmental services fee (PES) to families for not deforesting the land, continuing this with 1,222 families contracting with 420 new families to a total of 1,642 families. This incentive will be taken over by the government’s catch-all green mechanism Fondo Para La Vida, showing the institutionalisation of the programme. </w:t>
      </w:r>
    </w:p>
    <w:p w:rsidR="00563DC2" w:rsidP="2A13C088" w:rsidRDefault="00563DC2" w14:paraId="611C1534" w14:textId="77777777">
      <w:pPr>
        <w:pStyle w:val="FootnoteText"/>
        <w:jc w:val="both"/>
        <w:rPr>
          <w:rFonts w:ascii="Arial" w:hAnsi="Arial" w:eastAsia="Arial" w:cs="Arial"/>
          <w:color w:val="000000" w:themeColor="text1"/>
        </w:rPr>
      </w:pPr>
    </w:p>
    <w:p w:rsidR="4194D42A" w:rsidP="2A13C088" w:rsidRDefault="4194D42A" w14:paraId="10AA8121" w14:textId="05AC3802">
      <w:pPr>
        <w:pStyle w:val="FootnoteText"/>
        <w:jc w:val="both"/>
        <w:rPr>
          <w:rFonts w:ascii="Arial" w:hAnsi="Arial" w:eastAsia="Arial" w:cs="Arial"/>
          <w:color w:val="000000" w:themeColor="text1"/>
        </w:rPr>
      </w:pPr>
      <w:r w:rsidRPr="2A13C088">
        <w:rPr>
          <w:rFonts w:ascii="Arial" w:hAnsi="Arial" w:eastAsia="Arial" w:cs="Arial"/>
          <w:color w:val="000000" w:themeColor="text1"/>
        </w:rPr>
        <w:lastRenderedPageBreak/>
        <w:t xml:space="preserve">REM Mato Grosso began planning its Phase 2 and this reporting period saw the UK announce its contribution of £15 million alongside a German contribution of €15 million. This year has seen progress in the design and organisation of the programme, including contracting a new financial intermediary, Fundação Amazônia Sustentável (FAS) to replace Funbio. A disbursement has been made for Phase </w:t>
      </w:r>
      <w:r w:rsidRPr="2A13C088" w:rsidR="00CD26CE">
        <w:rPr>
          <w:rFonts w:ascii="Arial" w:hAnsi="Arial" w:eastAsia="Arial" w:cs="Arial"/>
          <w:color w:val="000000" w:themeColor="text1"/>
        </w:rPr>
        <w:t>2 but</w:t>
      </w:r>
      <w:r w:rsidRPr="2A13C088">
        <w:rPr>
          <w:rFonts w:ascii="Arial" w:hAnsi="Arial" w:eastAsia="Arial" w:cs="Arial"/>
          <w:color w:val="000000" w:themeColor="text1"/>
        </w:rPr>
        <w:t xml:space="preserve"> falls into the next reporting period. Payments are for Emission Reductions, including from the Cerrado biome, from 2017-2023. As REM 2 results have not yet been monitored in this reporting period, targets for set-up were agreed as an alternative</w:t>
      </w:r>
      <w:r w:rsidR="009F6C13">
        <w:rPr>
          <w:rFonts w:ascii="Arial" w:hAnsi="Arial" w:eastAsia="Arial" w:cs="Arial"/>
          <w:color w:val="000000" w:themeColor="text1"/>
        </w:rPr>
        <w:t>. Please see below for targets and completion status:</w:t>
      </w:r>
    </w:p>
    <w:p w:rsidR="2A13C088" w:rsidP="2A13C088" w:rsidRDefault="2A13C088" w14:paraId="7D18C412" w14:textId="0F16D022">
      <w:pPr>
        <w:pStyle w:val="FootnoteText"/>
        <w:rPr>
          <w:rFonts w:ascii="Arial" w:hAnsi="Arial" w:eastAsia="Arial" w:cs="Arial"/>
          <w:color w:val="000000" w:themeColor="text1"/>
        </w:rPr>
      </w:pPr>
    </w:p>
    <w:tbl>
      <w:tblPr>
        <w:tblStyle w:val="TableGrid"/>
        <w:tblW w:w="0" w:type="auto"/>
        <w:tblLook w:val="04A0" w:firstRow="1" w:lastRow="0" w:firstColumn="1" w:lastColumn="0" w:noHBand="0" w:noVBand="1"/>
      </w:tblPr>
      <w:tblGrid>
        <w:gridCol w:w="2547"/>
        <w:gridCol w:w="2126"/>
        <w:gridCol w:w="4343"/>
      </w:tblGrid>
      <w:tr w:rsidR="2A13C088" w:rsidTr="5ED460DD" w14:paraId="1C176312" w14:textId="77777777">
        <w:trPr>
          <w:trHeight w:val="300"/>
        </w:trPr>
        <w:tc>
          <w:tcPr>
            <w:tcW w:w="2547" w:type="dxa"/>
            <w:shd w:val="clear" w:color="auto" w:fill="D9D9D9" w:themeFill="background1" w:themeFillShade="D9"/>
          </w:tcPr>
          <w:p w:rsidRPr="009F6C13" w:rsidR="2A13C088" w:rsidP="5ED460DD" w:rsidRDefault="2A13C088" w14:paraId="2D8DFC81" w14:textId="5C8B6944">
            <w:pPr>
              <w:pStyle w:val="FootnoteText"/>
              <w:rPr>
                <w:rFonts w:ascii="Arial" w:hAnsi="Arial" w:eastAsia="Arial" w:cs="Arial"/>
                <w:b/>
                <w:bCs/>
                <w:color w:val="000000" w:themeColor="text1"/>
              </w:rPr>
            </w:pPr>
            <w:r w:rsidRPr="5ED460DD">
              <w:rPr>
                <w:rFonts w:ascii="Arial" w:hAnsi="Arial" w:eastAsia="Arial" w:cs="Arial"/>
                <w:b/>
                <w:bCs/>
                <w:color w:val="000000" w:themeColor="text1"/>
              </w:rPr>
              <w:t xml:space="preserve">Target </w:t>
            </w:r>
          </w:p>
        </w:tc>
        <w:tc>
          <w:tcPr>
            <w:tcW w:w="2126" w:type="dxa"/>
            <w:shd w:val="clear" w:color="auto" w:fill="D9D9D9" w:themeFill="background1" w:themeFillShade="D9"/>
          </w:tcPr>
          <w:p w:rsidRPr="009F6C13" w:rsidR="2A13C088" w:rsidP="5ED460DD" w:rsidRDefault="2A13C088" w14:paraId="5F3D1A40" w14:textId="32A2AD6A">
            <w:pPr>
              <w:pStyle w:val="FootnoteText"/>
              <w:rPr>
                <w:rFonts w:ascii="Arial" w:hAnsi="Arial" w:eastAsia="Arial" w:cs="Arial"/>
                <w:b/>
                <w:bCs/>
                <w:color w:val="000000" w:themeColor="text1"/>
              </w:rPr>
            </w:pPr>
            <w:r w:rsidRPr="5ED460DD">
              <w:rPr>
                <w:rFonts w:ascii="Arial" w:hAnsi="Arial" w:eastAsia="Arial" w:cs="Arial"/>
                <w:b/>
                <w:bCs/>
                <w:color w:val="000000" w:themeColor="text1"/>
              </w:rPr>
              <w:t>Completion in 23-24 reporting period</w:t>
            </w:r>
          </w:p>
        </w:tc>
        <w:tc>
          <w:tcPr>
            <w:tcW w:w="4343" w:type="dxa"/>
            <w:shd w:val="clear" w:color="auto" w:fill="D9D9D9" w:themeFill="background1" w:themeFillShade="D9"/>
          </w:tcPr>
          <w:p w:rsidRPr="009F6C13" w:rsidR="2A13C088" w:rsidP="5ED460DD" w:rsidRDefault="2A13C088" w14:paraId="6BB3F0B8" w14:textId="4D5590A0">
            <w:pPr>
              <w:pStyle w:val="FootnoteText"/>
              <w:rPr>
                <w:rFonts w:ascii="Arial" w:hAnsi="Arial" w:eastAsia="Arial" w:cs="Arial"/>
                <w:b/>
                <w:bCs/>
                <w:color w:val="000000" w:themeColor="text1"/>
              </w:rPr>
            </w:pPr>
            <w:r w:rsidRPr="5ED460DD">
              <w:rPr>
                <w:rFonts w:ascii="Arial" w:hAnsi="Arial" w:eastAsia="Arial" w:cs="Arial"/>
                <w:b/>
                <w:bCs/>
                <w:color w:val="000000" w:themeColor="text1"/>
              </w:rPr>
              <w:t>Narrative</w:t>
            </w:r>
          </w:p>
        </w:tc>
      </w:tr>
      <w:tr w:rsidR="2A13C088" w:rsidTr="5ED460DD" w14:paraId="397570B6" w14:textId="77777777">
        <w:trPr>
          <w:trHeight w:val="300"/>
        </w:trPr>
        <w:tc>
          <w:tcPr>
            <w:tcW w:w="2547" w:type="dxa"/>
          </w:tcPr>
          <w:p w:rsidRPr="009F6C13" w:rsidR="2A13C088" w:rsidP="2A13C088" w:rsidRDefault="2A13C088" w14:paraId="72490641" w14:textId="77777777">
            <w:pPr>
              <w:rPr>
                <w:rFonts w:eastAsia="Calibri" w:cs="Arial"/>
                <w:sz w:val="20"/>
                <w:szCs w:val="20"/>
              </w:rPr>
            </w:pPr>
            <w:r w:rsidRPr="5ED460DD">
              <w:rPr>
                <w:rFonts w:eastAsia="Calibri" w:cs="Arial"/>
                <w:sz w:val="20"/>
                <w:szCs w:val="20"/>
              </w:rPr>
              <w:t xml:space="preserve">UK funding splits agreed with jurisdictions and KFW. </w:t>
            </w:r>
          </w:p>
          <w:p w:rsidRPr="009F6C13" w:rsidR="2A13C088" w:rsidP="2A13C088" w:rsidRDefault="2A13C088" w14:paraId="43A095CA" w14:textId="77777777">
            <w:pPr>
              <w:rPr>
                <w:rFonts w:eastAsia="Calibri" w:cs="Arial"/>
                <w:sz w:val="20"/>
                <w:szCs w:val="20"/>
              </w:rPr>
            </w:pPr>
          </w:p>
        </w:tc>
        <w:tc>
          <w:tcPr>
            <w:tcW w:w="2126" w:type="dxa"/>
          </w:tcPr>
          <w:p w:rsidRPr="009F6C13" w:rsidR="2A13C088" w:rsidP="5ED460DD" w:rsidRDefault="2A13C088" w14:paraId="445B2D1E" w14:textId="477D5E3F">
            <w:pPr>
              <w:pStyle w:val="FootnoteText"/>
              <w:rPr>
                <w:rFonts w:ascii="Arial" w:hAnsi="Arial" w:eastAsia="Arial" w:cs="Arial"/>
                <w:color w:val="000000" w:themeColor="text1"/>
              </w:rPr>
            </w:pPr>
            <w:r w:rsidRPr="5ED460DD">
              <w:rPr>
                <w:rFonts w:ascii="Arial" w:hAnsi="Arial" w:eastAsia="Arial" w:cs="Arial"/>
                <w:color w:val="000000" w:themeColor="text1"/>
              </w:rPr>
              <w:t>Y</w:t>
            </w:r>
          </w:p>
        </w:tc>
        <w:tc>
          <w:tcPr>
            <w:tcW w:w="4343" w:type="dxa"/>
          </w:tcPr>
          <w:p w:rsidRPr="009F6C13" w:rsidR="2A13C088" w:rsidP="5ED460DD" w:rsidRDefault="2A13C088" w14:paraId="767C7C78" w14:textId="77FE06E2">
            <w:pPr>
              <w:pStyle w:val="FootnoteText"/>
              <w:rPr>
                <w:rFonts w:ascii="Arial" w:hAnsi="Arial" w:eastAsia="Arial" w:cs="Arial"/>
                <w:color w:val="000000" w:themeColor="text1"/>
              </w:rPr>
            </w:pPr>
            <w:r w:rsidRPr="5ED460DD">
              <w:rPr>
                <w:rFonts w:ascii="Arial" w:hAnsi="Arial" w:eastAsia="Arial" w:cs="Arial"/>
                <w:color w:val="000000" w:themeColor="text1"/>
              </w:rPr>
              <w:t xml:space="preserve">Funding has been committed to jurisdictions and two legal agreements signed (Colombia and Mato Grosso). </w:t>
            </w:r>
          </w:p>
        </w:tc>
      </w:tr>
      <w:tr w:rsidR="2A13C088" w:rsidTr="5ED460DD" w14:paraId="7D0F18CC" w14:textId="77777777">
        <w:trPr>
          <w:trHeight w:val="300"/>
        </w:trPr>
        <w:tc>
          <w:tcPr>
            <w:tcW w:w="2547" w:type="dxa"/>
          </w:tcPr>
          <w:p w:rsidRPr="009F6C13" w:rsidR="2A13C088" w:rsidP="2A13C088" w:rsidRDefault="2A13C088" w14:paraId="78EB363F" w14:textId="7C48BAED">
            <w:pPr>
              <w:rPr>
                <w:rFonts w:eastAsia="Calibri" w:cs="Arial"/>
                <w:sz w:val="20"/>
                <w:szCs w:val="20"/>
              </w:rPr>
            </w:pPr>
            <w:r w:rsidRPr="5ED460DD">
              <w:rPr>
                <w:rFonts w:eastAsia="Calibri" w:cs="Arial"/>
                <w:sz w:val="20"/>
                <w:szCs w:val="20"/>
              </w:rPr>
              <w:t xml:space="preserve">Sign legal agreements for all three jurisdictions and lay Promissory Notes for at least 2 jurisdictions. </w:t>
            </w:r>
          </w:p>
          <w:p w:rsidRPr="009F6C13" w:rsidR="2A13C088" w:rsidP="5ED460DD" w:rsidRDefault="2A13C088" w14:paraId="63174222" w14:textId="77777777">
            <w:pPr>
              <w:pStyle w:val="FootnoteText"/>
              <w:rPr>
                <w:rFonts w:ascii="Arial" w:hAnsi="Arial" w:eastAsia="Arial" w:cs="Arial"/>
                <w:color w:val="000000" w:themeColor="text1"/>
              </w:rPr>
            </w:pPr>
          </w:p>
        </w:tc>
        <w:tc>
          <w:tcPr>
            <w:tcW w:w="2126" w:type="dxa"/>
          </w:tcPr>
          <w:p w:rsidRPr="009F6C13" w:rsidR="2A13C088" w:rsidP="5ED460DD" w:rsidRDefault="2A13C088" w14:paraId="0E10DEFE" w14:textId="46376EA5">
            <w:pPr>
              <w:pStyle w:val="FootnoteText"/>
              <w:rPr>
                <w:rFonts w:ascii="Arial" w:hAnsi="Arial" w:eastAsia="Arial" w:cs="Arial"/>
                <w:color w:val="000000" w:themeColor="text1"/>
              </w:rPr>
            </w:pPr>
            <w:r w:rsidRPr="5ED460DD">
              <w:rPr>
                <w:rFonts w:ascii="Arial" w:hAnsi="Arial" w:eastAsia="Arial" w:cs="Arial"/>
                <w:color w:val="000000" w:themeColor="text1"/>
              </w:rPr>
              <w:t>N – completed for 2</w:t>
            </w:r>
            <w:r w:rsidRPr="5ED460DD" w:rsidR="009F6C13">
              <w:rPr>
                <w:rFonts w:ascii="Arial" w:hAnsi="Arial" w:eastAsia="Arial" w:cs="Arial"/>
                <w:color w:val="000000" w:themeColor="text1"/>
              </w:rPr>
              <w:t>/3</w:t>
            </w:r>
            <w:r w:rsidRPr="5ED460DD">
              <w:rPr>
                <w:rFonts w:ascii="Arial" w:hAnsi="Arial" w:eastAsia="Arial" w:cs="Arial"/>
                <w:color w:val="000000" w:themeColor="text1"/>
              </w:rPr>
              <w:t xml:space="preserve"> jurisdictions</w:t>
            </w:r>
            <w:r w:rsidRPr="5ED460DD" w:rsidR="009F6C13">
              <w:rPr>
                <w:rFonts w:ascii="Arial" w:hAnsi="Arial" w:eastAsia="Arial" w:cs="Arial"/>
                <w:color w:val="000000" w:themeColor="text1"/>
              </w:rPr>
              <w:t xml:space="preserve">. </w:t>
            </w:r>
          </w:p>
        </w:tc>
        <w:tc>
          <w:tcPr>
            <w:tcW w:w="4343" w:type="dxa"/>
          </w:tcPr>
          <w:p w:rsidRPr="009F6C13" w:rsidR="2A13C088" w:rsidP="5ED460DD" w:rsidRDefault="2A13C088" w14:paraId="2C4CA823" w14:textId="3B974146">
            <w:pPr>
              <w:pStyle w:val="FootnoteText"/>
              <w:rPr>
                <w:rFonts w:ascii="Arial" w:hAnsi="Arial" w:eastAsia="Arial" w:cs="Arial"/>
                <w:color w:val="000000" w:themeColor="text1"/>
              </w:rPr>
            </w:pPr>
            <w:r w:rsidRPr="5ED460DD">
              <w:rPr>
                <w:rFonts w:ascii="Arial" w:hAnsi="Arial" w:eastAsia="Arial" w:cs="Arial"/>
                <w:color w:val="000000" w:themeColor="text1"/>
              </w:rPr>
              <w:t>Completed for Colombia and Mato Grosso</w:t>
            </w:r>
            <w:r w:rsidRPr="5ED460DD" w:rsidR="009F6C13">
              <w:rPr>
                <w:rFonts w:ascii="Arial" w:hAnsi="Arial" w:eastAsia="Arial" w:cs="Arial"/>
                <w:color w:val="000000" w:themeColor="text1"/>
              </w:rPr>
              <w:t xml:space="preserve">. </w:t>
            </w:r>
          </w:p>
        </w:tc>
      </w:tr>
      <w:tr w:rsidR="2A13C088" w:rsidTr="5ED460DD" w14:paraId="401567FC" w14:textId="77777777">
        <w:trPr>
          <w:trHeight w:val="1565"/>
        </w:trPr>
        <w:tc>
          <w:tcPr>
            <w:tcW w:w="2547" w:type="dxa"/>
          </w:tcPr>
          <w:p w:rsidRPr="009F6C13" w:rsidR="2A13C088" w:rsidP="2A13C088" w:rsidRDefault="2A13C088" w14:paraId="2E461FE3" w14:textId="77777777">
            <w:pPr>
              <w:rPr>
                <w:rFonts w:eastAsia="Calibri" w:cs="Arial"/>
                <w:sz w:val="20"/>
                <w:szCs w:val="20"/>
              </w:rPr>
            </w:pPr>
            <w:r w:rsidRPr="5ED460DD">
              <w:rPr>
                <w:rFonts w:eastAsia="Calibri" w:cs="Arial"/>
                <w:sz w:val="20"/>
                <w:szCs w:val="20"/>
              </w:rPr>
              <w:t xml:space="preserve">Log frames agreed for Phase 2 for at least 2 jurisdictions. </w:t>
            </w:r>
          </w:p>
          <w:p w:rsidRPr="009F6C13" w:rsidR="2A13C088" w:rsidP="5ED460DD" w:rsidRDefault="2A13C088" w14:paraId="23990DBB" w14:textId="77777777">
            <w:pPr>
              <w:pStyle w:val="FootnoteText"/>
              <w:rPr>
                <w:rFonts w:ascii="Arial" w:hAnsi="Arial" w:eastAsia="Arial" w:cs="Arial"/>
                <w:color w:val="000000" w:themeColor="text1"/>
              </w:rPr>
            </w:pPr>
          </w:p>
        </w:tc>
        <w:tc>
          <w:tcPr>
            <w:tcW w:w="2126" w:type="dxa"/>
          </w:tcPr>
          <w:p w:rsidRPr="009F6C13" w:rsidR="2A13C088" w:rsidP="5ED460DD" w:rsidRDefault="2A13C088" w14:paraId="690D0DE3" w14:textId="7EA0D08C">
            <w:pPr>
              <w:pStyle w:val="FootnoteText"/>
              <w:rPr>
                <w:rFonts w:ascii="Arial" w:hAnsi="Arial" w:eastAsia="Arial" w:cs="Arial"/>
                <w:color w:val="000000" w:themeColor="text1"/>
              </w:rPr>
            </w:pPr>
            <w:r w:rsidRPr="5ED460DD">
              <w:rPr>
                <w:rFonts w:ascii="Arial" w:hAnsi="Arial" w:eastAsia="Arial" w:cs="Arial"/>
                <w:color w:val="000000" w:themeColor="text1"/>
              </w:rPr>
              <w:t xml:space="preserve">N </w:t>
            </w:r>
          </w:p>
        </w:tc>
        <w:tc>
          <w:tcPr>
            <w:tcW w:w="4343" w:type="dxa"/>
          </w:tcPr>
          <w:p w:rsidRPr="009F6C13" w:rsidR="2A13C088" w:rsidP="5ED460DD" w:rsidRDefault="2A13C088" w14:paraId="205B0685" w14:textId="3C1A2DDF">
            <w:pPr>
              <w:pStyle w:val="FootnoteText"/>
              <w:rPr>
                <w:rFonts w:ascii="Arial" w:hAnsi="Arial" w:eastAsia="Arial" w:cs="Arial"/>
                <w:color w:val="000000" w:themeColor="text1"/>
              </w:rPr>
            </w:pPr>
            <w:r w:rsidRPr="5ED460DD">
              <w:rPr>
                <w:rFonts w:ascii="Arial" w:hAnsi="Arial" w:eastAsia="Arial" w:cs="Arial"/>
                <w:color w:val="000000" w:themeColor="text1"/>
              </w:rPr>
              <w:t xml:space="preserve">As we are waiting to finalise the payment system for Colombia, this will change the log frame for Colombia. We are waiting for the investment plan to be approved, this should happen </w:t>
            </w:r>
            <w:r w:rsidRPr="5ED460DD" w:rsidR="009F6C13">
              <w:rPr>
                <w:rFonts w:ascii="Arial" w:hAnsi="Arial" w:eastAsia="Arial" w:cs="Arial"/>
                <w:color w:val="000000" w:themeColor="text1"/>
              </w:rPr>
              <w:t>this year</w:t>
            </w:r>
            <w:r w:rsidRPr="5ED460DD" w:rsidR="00FF6EEA">
              <w:rPr>
                <w:rFonts w:ascii="Arial" w:hAnsi="Arial" w:eastAsia="Arial" w:cs="Arial"/>
                <w:color w:val="000000" w:themeColor="text1"/>
              </w:rPr>
              <w:t xml:space="preserve"> or early next year</w:t>
            </w:r>
            <w:r w:rsidRPr="5ED460DD">
              <w:rPr>
                <w:rFonts w:ascii="Arial" w:hAnsi="Arial" w:eastAsia="Arial" w:cs="Arial"/>
                <w:color w:val="000000" w:themeColor="text1"/>
              </w:rPr>
              <w:t xml:space="preserve"> and mean we can progress with the LF.</w:t>
            </w:r>
          </w:p>
        </w:tc>
      </w:tr>
      <w:tr w:rsidR="2A13C088" w:rsidTr="5ED460DD" w14:paraId="7EFCEAA2" w14:textId="77777777">
        <w:trPr>
          <w:trHeight w:val="1120"/>
        </w:trPr>
        <w:tc>
          <w:tcPr>
            <w:tcW w:w="2547" w:type="dxa"/>
          </w:tcPr>
          <w:p w:rsidRPr="009F6C13" w:rsidR="2A13C088" w:rsidP="2A13C088" w:rsidRDefault="2A13C088" w14:paraId="657B0065" w14:textId="77777777">
            <w:pPr>
              <w:rPr>
                <w:rFonts w:eastAsia="Calibri" w:cs="Arial"/>
                <w:sz w:val="20"/>
                <w:szCs w:val="20"/>
              </w:rPr>
            </w:pPr>
            <w:r w:rsidRPr="5ED460DD">
              <w:rPr>
                <w:rFonts w:eastAsia="Calibri" w:cs="Arial"/>
                <w:sz w:val="20"/>
                <w:szCs w:val="20"/>
              </w:rPr>
              <w:t xml:space="preserve">Initial disbursement dates confirmed with at least 2 jurisdictions. </w:t>
            </w:r>
          </w:p>
          <w:p w:rsidRPr="009F6C13" w:rsidR="2A13C088" w:rsidP="5ED460DD" w:rsidRDefault="2A13C088" w14:paraId="41F91C8E" w14:textId="77777777">
            <w:pPr>
              <w:pStyle w:val="FootnoteText"/>
              <w:rPr>
                <w:rFonts w:ascii="Arial" w:hAnsi="Arial" w:eastAsia="Arial" w:cs="Arial"/>
                <w:color w:val="000000" w:themeColor="text1"/>
              </w:rPr>
            </w:pPr>
          </w:p>
        </w:tc>
        <w:tc>
          <w:tcPr>
            <w:tcW w:w="2126" w:type="dxa"/>
          </w:tcPr>
          <w:p w:rsidRPr="009F6C13" w:rsidR="2A13C088" w:rsidP="5ED460DD" w:rsidRDefault="2A13C088" w14:paraId="1859E1E3" w14:textId="2746E3D3">
            <w:pPr>
              <w:pStyle w:val="FootnoteText"/>
              <w:rPr>
                <w:rFonts w:ascii="Arial" w:hAnsi="Arial" w:eastAsia="Arial" w:cs="Arial"/>
                <w:color w:val="000000" w:themeColor="text1"/>
              </w:rPr>
            </w:pPr>
            <w:r w:rsidRPr="5ED460DD">
              <w:rPr>
                <w:rFonts w:ascii="Arial" w:hAnsi="Arial" w:eastAsia="Arial" w:cs="Arial"/>
                <w:color w:val="000000" w:themeColor="text1"/>
              </w:rPr>
              <w:t>Y</w:t>
            </w:r>
          </w:p>
        </w:tc>
        <w:tc>
          <w:tcPr>
            <w:tcW w:w="4343" w:type="dxa"/>
          </w:tcPr>
          <w:p w:rsidRPr="009F6C13" w:rsidR="2A13C088" w:rsidP="5ED460DD" w:rsidRDefault="2A13C088" w14:paraId="0EE5F3EB" w14:textId="33696888">
            <w:pPr>
              <w:pStyle w:val="FootnoteText"/>
              <w:rPr>
                <w:rFonts w:ascii="Arial" w:hAnsi="Arial" w:eastAsia="Arial" w:cs="Arial"/>
                <w:color w:val="000000" w:themeColor="text1"/>
              </w:rPr>
            </w:pPr>
            <w:r w:rsidRPr="5ED460DD">
              <w:rPr>
                <w:rFonts w:ascii="Arial" w:hAnsi="Arial" w:eastAsia="Arial" w:cs="Arial"/>
                <w:color w:val="000000" w:themeColor="text1"/>
              </w:rPr>
              <w:t>Dates confirmed (this period), disbursement made (Mato Grosso) and scheduled (Colombia) for next reporting period</w:t>
            </w:r>
            <w:r w:rsidRPr="5ED460DD" w:rsidR="00351462">
              <w:rPr>
                <w:rFonts w:ascii="Arial" w:hAnsi="Arial" w:eastAsia="Arial" w:cs="Arial"/>
                <w:color w:val="000000" w:themeColor="text1"/>
              </w:rPr>
              <w:t>.</w:t>
            </w:r>
            <w:r w:rsidRPr="5ED460DD">
              <w:rPr>
                <w:rFonts w:ascii="Arial" w:hAnsi="Arial" w:eastAsia="Arial" w:cs="Arial"/>
                <w:color w:val="000000" w:themeColor="text1"/>
              </w:rPr>
              <w:t xml:space="preserve"> </w:t>
            </w:r>
          </w:p>
        </w:tc>
      </w:tr>
      <w:tr w:rsidR="2A13C088" w:rsidTr="5ED460DD" w14:paraId="4C43F6E4" w14:textId="77777777">
        <w:trPr>
          <w:trHeight w:val="300"/>
        </w:trPr>
        <w:tc>
          <w:tcPr>
            <w:tcW w:w="2547" w:type="dxa"/>
          </w:tcPr>
          <w:p w:rsidRPr="009F6C13" w:rsidR="2A13C088" w:rsidP="2A13C088" w:rsidRDefault="2A13C088" w14:paraId="5FEB6B29" w14:textId="04CFB230">
            <w:pPr>
              <w:rPr>
                <w:rFonts w:eastAsia="Calibri" w:cs="Arial"/>
                <w:sz w:val="20"/>
                <w:szCs w:val="20"/>
              </w:rPr>
            </w:pPr>
            <w:r w:rsidRPr="009F6C13">
              <w:rPr>
                <w:rFonts w:eastAsia="Calibri" w:cs="Arial"/>
                <w:sz w:val="20"/>
                <w:szCs w:val="20"/>
              </w:rPr>
              <w:t>REM Colombia: Policy milestones for payment agreed with Government of Colombia and other donors.</w:t>
            </w:r>
          </w:p>
        </w:tc>
        <w:tc>
          <w:tcPr>
            <w:tcW w:w="2126" w:type="dxa"/>
          </w:tcPr>
          <w:p w:rsidRPr="009F6C13" w:rsidR="2A13C088" w:rsidP="5ED460DD" w:rsidRDefault="2A13C088" w14:paraId="7F77078E" w14:textId="396C0E76">
            <w:pPr>
              <w:pStyle w:val="FootnoteText"/>
              <w:rPr>
                <w:rFonts w:ascii="Arial" w:hAnsi="Arial" w:eastAsia="Arial" w:cs="Arial"/>
                <w:color w:val="000000" w:themeColor="text1"/>
              </w:rPr>
            </w:pPr>
            <w:r w:rsidRPr="5ED460DD">
              <w:rPr>
                <w:rFonts w:ascii="Arial" w:hAnsi="Arial" w:eastAsia="Arial" w:cs="Arial"/>
                <w:color w:val="000000" w:themeColor="text1"/>
              </w:rPr>
              <w:t>N</w:t>
            </w:r>
          </w:p>
        </w:tc>
        <w:tc>
          <w:tcPr>
            <w:tcW w:w="4343" w:type="dxa"/>
          </w:tcPr>
          <w:p w:rsidRPr="009F6C13" w:rsidR="2A13C088" w:rsidP="5ED460DD" w:rsidRDefault="008F11C2" w14:paraId="6E36D64A" w14:textId="783848E3">
            <w:pPr>
              <w:pStyle w:val="FootnoteText"/>
              <w:rPr>
                <w:rFonts w:ascii="Arial" w:hAnsi="Arial" w:eastAsia="Arial" w:cs="Arial"/>
                <w:color w:val="000000" w:themeColor="text1"/>
              </w:rPr>
            </w:pPr>
            <w:r w:rsidRPr="5ED460DD">
              <w:rPr>
                <w:rFonts w:ascii="Arial" w:hAnsi="Arial" w:eastAsia="Arial" w:cs="Arial"/>
                <w:color w:val="000000" w:themeColor="text1"/>
              </w:rPr>
              <w:t>Expected</w:t>
            </w:r>
            <w:r w:rsidRPr="5ED460DD" w:rsidR="2A13C088">
              <w:rPr>
                <w:rFonts w:ascii="Arial" w:hAnsi="Arial" w:eastAsia="Arial" w:cs="Arial"/>
                <w:color w:val="000000" w:themeColor="text1"/>
              </w:rPr>
              <w:t xml:space="preserve"> to be completed in next reporting period.</w:t>
            </w:r>
          </w:p>
        </w:tc>
      </w:tr>
    </w:tbl>
    <w:p w:rsidR="2997A7A5" w:rsidP="2997A7A5" w:rsidRDefault="4194D42A" w14:paraId="22190133" w14:textId="3F7DB7E9">
      <w:pPr>
        <w:pStyle w:val="FootnoteText"/>
        <w:rPr>
          <w:rFonts w:ascii="Arial" w:hAnsi="Arial" w:eastAsia="Arial" w:cs="Arial"/>
          <w:color w:val="000000" w:themeColor="text1"/>
        </w:rPr>
      </w:pPr>
      <w:r w:rsidRPr="07C0DC25">
        <w:rPr>
          <w:rFonts w:ascii="Arial" w:hAnsi="Arial" w:eastAsia="Arial" w:cs="Arial"/>
          <w:color w:val="000000" w:themeColor="text1"/>
        </w:rPr>
        <w:t xml:space="preserve"> </w:t>
      </w:r>
    </w:p>
    <w:p w:rsidR="00B07C6E" w:rsidP="0025594B" w:rsidRDefault="4280B332" w14:paraId="1986FE62" w14:textId="2F6349EF">
      <w:pPr>
        <w:pStyle w:val="Heading2"/>
        <w:jc w:val="both"/>
        <w:rPr>
          <w:sz w:val="26"/>
          <w:szCs w:val="26"/>
        </w:rPr>
      </w:pPr>
      <w:bookmarkStart w:name="_Toc1580196230" w:id="13"/>
      <w:r w:rsidRPr="51BB3CA1">
        <w:rPr>
          <w:rFonts w:cs="Arial"/>
          <w:sz w:val="26"/>
          <w:szCs w:val="26"/>
        </w:rPr>
        <w:t xml:space="preserve">Progress </w:t>
      </w:r>
      <w:r w:rsidRPr="51BB3CA1">
        <w:rPr>
          <w:sz w:val="26"/>
          <w:szCs w:val="26"/>
        </w:rPr>
        <w:t>against recommendations from the last revie</w:t>
      </w:r>
      <w:r w:rsidRPr="51BB3CA1" w:rsidR="18088F4A">
        <w:rPr>
          <w:sz w:val="26"/>
          <w:szCs w:val="26"/>
        </w:rPr>
        <w:t>w</w:t>
      </w:r>
      <w:bookmarkEnd w:id="13"/>
    </w:p>
    <w:p w:rsidRPr="003B58AA" w:rsidR="00C23BB3" w:rsidP="0025594B" w:rsidRDefault="00C03A21" w14:paraId="74760E70" w14:textId="66CA93A8">
      <w:pPr>
        <w:jc w:val="both"/>
        <w:rPr>
          <w:sz w:val="20"/>
          <w:szCs w:val="20"/>
        </w:rPr>
      </w:pPr>
      <w:r w:rsidRPr="08962648" w:rsidR="00C03A21">
        <w:rPr>
          <w:sz w:val="20"/>
          <w:szCs w:val="20"/>
        </w:rPr>
        <w:t>Of the recommendations from last ye</w:t>
      </w:r>
      <w:r w:rsidRPr="08962648" w:rsidR="00952821">
        <w:rPr>
          <w:sz w:val="20"/>
          <w:szCs w:val="20"/>
        </w:rPr>
        <w:t xml:space="preserve">ar, 4 were fully achieved, </w:t>
      </w:r>
      <w:r w:rsidRPr="08962648" w:rsidR="003B58AA">
        <w:rPr>
          <w:sz w:val="20"/>
          <w:szCs w:val="20"/>
        </w:rPr>
        <w:t>5 were partially achieved or progress made towards them, and 3 have been rolled over to next year and should be achieved in the next reporting period.</w:t>
      </w:r>
      <w:r w:rsidRPr="08962648" w:rsidR="68045C4F">
        <w:rPr>
          <w:sz w:val="20"/>
          <w:szCs w:val="20"/>
        </w:rPr>
        <w:t>t</w:t>
      </w:r>
    </w:p>
    <w:p w:rsidR="00F07456" w:rsidP="00C23BB3" w:rsidRDefault="00F07456" w14:paraId="2E3EED5D" w14:textId="77777777"/>
    <w:tbl>
      <w:tblPr>
        <w:tblStyle w:val="TableGrid"/>
        <w:tblW w:w="9146" w:type="dxa"/>
        <w:tblLook w:val="04A0" w:firstRow="1" w:lastRow="0" w:firstColumn="1" w:lastColumn="0" w:noHBand="0" w:noVBand="1"/>
      </w:tblPr>
      <w:tblGrid>
        <w:gridCol w:w="450"/>
        <w:gridCol w:w="3245"/>
        <w:gridCol w:w="1264"/>
        <w:gridCol w:w="1106"/>
        <w:gridCol w:w="3081"/>
      </w:tblGrid>
      <w:tr w:rsidRPr="00D80C6C" w:rsidR="000C23EC" w:rsidTr="59460479" w14:paraId="5A89A64C" w14:textId="5A9D07C0">
        <w:tc>
          <w:tcPr>
            <w:tcW w:w="450" w:type="dxa"/>
            <w:shd w:val="clear" w:color="auto" w:fill="DEEAF6" w:themeFill="accent5" w:themeFillTint="33"/>
            <w:tcMar/>
          </w:tcPr>
          <w:p w:rsidRPr="00290369" w:rsidR="000C23EC" w:rsidRDefault="000C23EC" w14:paraId="23861337" w14:textId="77777777">
            <w:pPr>
              <w:jc w:val="both"/>
              <w:rPr>
                <w:rFonts w:cs="Arial"/>
                <w:b/>
                <w:sz w:val="20"/>
                <w:szCs w:val="20"/>
              </w:rPr>
            </w:pPr>
          </w:p>
        </w:tc>
        <w:tc>
          <w:tcPr>
            <w:tcW w:w="3245" w:type="dxa"/>
            <w:shd w:val="clear" w:color="auto" w:fill="DEEAF6" w:themeFill="accent5" w:themeFillTint="33"/>
            <w:tcMar/>
          </w:tcPr>
          <w:p w:rsidRPr="00290369" w:rsidR="000C23EC" w:rsidRDefault="000C23EC" w14:paraId="699BF4DA" w14:textId="77777777">
            <w:pPr>
              <w:jc w:val="both"/>
              <w:rPr>
                <w:rFonts w:cs="Arial"/>
                <w:b/>
                <w:sz w:val="20"/>
                <w:szCs w:val="20"/>
              </w:rPr>
            </w:pPr>
            <w:r w:rsidRPr="00290369">
              <w:rPr>
                <w:rFonts w:cs="Arial"/>
                <w:b/>
                <w:sz w:val="20"/>
                <w:szCs w:val="20"/>
              </w:rPr>
              <w:t>Recommendation</w:t>
            </w:r>
          </w:p>
        </w:tc>
        <w:tc>
          <w:tcPr>
            <w:tcW w:w="1264" w:type="dxa"/>
            <w:shd w:val="clear" w:color="auto" w:fill="DEEAF6" w:themeFill="accent5" w:themeFillTint="33"/>
            <w:tcMar/>
          </w:tcPr>
          <w:p w:rsidRPr="00290369" w:rsidR="000C23EC" w:rsidRDefault="000C23EC" w14:paraId="1F0D412A" w14:textId="77777777">
            <w:pPr>
              <w:jc w:val="both"/>
              <w:rPr>
                <w:rFonts w:cs="Arial"/>
                <w:b/>
                <w:bCs/>
                <w:sz w:val="20"/>
                <w:szCs w:val="20"/>
              </w:rPr>
            </w:pPr>
            <w:r w:rsidRPr="00290369">
              <w:rPr>
                <w:rFonts w:cs="Arial"/>
                <w:b/>
                <w:bCs/>
                <w:sz w:val="20"/>
                <w:szCs w:val="20"/>
              </w:rPr>
              <w:t>Deadline</w:t>
            </w:r>
          </w:p>
        </w:tc>
        <w:tc>
          <w:tcPr>
            <w:tcW w:w="1106" w:type="dxa"/>
            <w:shd w:val="clear" w:color="auto" w:fill="DEEAF6" w:themeFill="accent5" w:themeFillTint="33"/>
            <w:tcMar/>
          </w:tcPr>
          <w:p w:rsidRPr="00290369" w:rsidR="000C23EC" w:rsidRDefault="000C23EC" w14:paraId="1E24C527" w14:textId="33725688">
            <w:pPr>
              <w:jc w:val="both"/>
              <w:rPr>
                <w:rFonts w:cs="Arial"/>
                <w:b/>
                <w:bCs/>
                <w:sz w:val="20"/>
                <w:szCs w:val="20"/>
              </w:rPr>
            </w:pPr>
            <w:r>
              <w:rPr>
                <w:rFonts w:cs="Arial"/>
                <w:b/>
                <w:bCs/>
                <w:sz w:val="20"/>
                <w:szCs w:val="20"/>
              </w:rPr>
              <w:t>Achieved Y/N</w:t>
            </w:r>
          </w:p>
        </w:tc>
        <w:tc>
          <w:tcPr>
            <w:tcW w:w="3081" w:type="dxa"/>
            <w:shd w:val="clear" w:color="auto" w:fill="DEEAF6" w:themeFill="accent5" w:themeFillTint="33"/>
            <w:tcMar/>
          </w:tcPr>
          <w:p w:rsidR="000C23EC" w:rsidRDefault="000C23EC" w14:paraId="553F482F" w14:textId="5C0FAEF0">
            <w:pPr>
              <w:jc w:val="both"/>
              <w:rPr>
                <w:rFonts w:cs="Arial"/>
                <w:b/>
                <w:bCs/>
                <w:sz w:val="20"/>
                <w:szCs w:val="20"/>
              </w:rPr>
            </w:pPr>
            <w:r>
              <w:rPr>
                <w:rFonts w:cs="Arial"/>
                <w:b/>
                <w:bCs/>
                <w:sz w:val="20"/>
                <w:szCs w:val="20"/>
              </w:rPr>
              <w:t>Narrative</w:t>
            </w:r>
          </w:p>
        </w:tc>
      </w:tr>
      <w:tr w:rsidRPr="00D80C6C" w:rsidR="000C23EC" w:rsidTr="59460479" w14:paraId="047175F5" w14:textId="1EE3C8A5">
        <w:tc>
          <w:tcPr>
            <w:tcW w:w="450" w:type="dxa"/>
            <w:tcMar/>
          </w:tcPr>
          <w:p w:rsidRPr="00CF6A49" w:rsidR="000C23EC" w:rsidRDefault="000C23EC" w14:paraId="6DBD9ABB" w14:textId="77777777">
            <w:pPr>
              <w:jc w:val="both"/>
              <w:rPr>
                <w:rFonts w:cs="Arial"/>
                <w:bCs/>
                <w:sz w:val="20"/>
                <w:szCs w:val="20"/>
              </w:rPr>
            </w:pPr>
            <w:r w:rsidRPr="00CF6A49">
              <w:rPr>
                <w:rFonts w:cs="Arial"/>
                <w:bCs/>
                <w:sz w:val="20"/>
                <w:szCs w:val="20"/>
              </w:rPr>
              <w:t>1</w:t>
            </w:r>
          </w:p>
        </w:tc>
        <w:tc>
          <w:tcPr>
            <w:tcW w:w="3245" w:type="dxa"/>
            <w:tcMar/>
          </w:tcPr>
          <w:p w:rsidRPr="00290369" w:rsidR="000C23EC" w:rsidRDefault="000C23EC" w14:paraId="1DE5F212" w14:textId="77777777">
            <w:pPr>
              <w:jc w:val="both"/>
              <w:rPr>
                <w:rFonts w:cs="Arial"/>
                <w:bCs/>
                <w:sz w:val="20"/>
                <w:szCs w:val="20"/>
              </w:rPr>
            </w:pPr>
            <w:r w:rsidRPr="00290369">
              <w:rPr>
                <w:rFonts w:cs="Arial"/>
                <w:bCs/>
                <w:sz w:val="20"/>
                <w:szCs w:val="20"/>
              </w:rPr>
              <w:t>REM Colombia: Finalise policy milestones for Phase 2</w:t>
            </w:r>
          </w:p>
        </w:tc>
        <w:tc>
          <w:tcPr>
            <w:tcW w:w="1264" w:type="dxa"/>
            <w:tcMar/>
          </w:tcPr>
          <w:p w:rsidRPr="00CB719A" w:rsidR="000C23EC" w:rsidRDefault="000C23EC" w14:paraId="19845304" w14:textId="77777777">
            <w:pPr>
              <w:jc w:val="both"/>
              <w:rPr>
                <w:rFonts w:cs="Arial"/>
                <w:sz w:val="20"/>
                <w:szCs w:val="20"/>
              </w:rPr>
            </w:pPr>
            <w:r w:rsidRPr="00CB719A">
              <w:rPr>
                <w:rFonts w:cs="Arial"/>
                <w:sz w:val="20"/>
                <w:szCs w:val="20"/>
              </w:rPr>
              <w:t>February 2024</w:t>
            </w:r>
          </w:p>
        </w:tc>
        <w:tc>
          <w:tcPr>
            <w:tcW w:w="1106" w:type="dxa"/>
            <w:tcMar/>
          </w:tcPr>
          <w:p w:rsidRPr="00CB719A" w:rsidR="000C23EC" w:rsidRDefault="000C23EC" w14:paraId="6EA494F1" w14:textId="10F9CE8F">
            <w:pPr>
              <w:jc w:val="both"/>
              <w:rPr>
                <w:rFonts w:cs="Arial"/>
                <w:sz w:val="20"/>
                <w:szCs w:val="20"/>
              </w:rPr>
            </w:pPr>
            <w:r w:rsidRPr="00CB719A">
              <w:rPr>
                <w:rFonts w:cs="Arial"/>
                <w:sz w:val="20"/>
                <w:szCs w:val="20"/>
              </w:rPr>
              <w:t>N</w:t>
            </w:r>
          </w:p>
        </w:tc>
        <w:tc>
          <w:tcPr>
            <w:tcW w:w="3081" w:type="dxa"/>
            <w:tcMar/>
          </w:tcPr>
          <w:p w:rsidRPr="0056497A" w:rsidR="000C23EC" w:rsidRDefault="00C2585F" w14:paraId="239523BB" w14:textId="5C643469">
            <w:pPr>
              <w:jc w:val="both"/>
              <w:rPr>
                <w:rFonts w:cs="Arial"/>
                <w:sz w:val="20"/>
                <w:szCs w:val="20"/>
              </w:rPr>
            </w:pPr>
            <w:r w:rsidRPr="0056497A">
              <w:rPr>
                <w:rFonts w:cs="Arial"/>
                <w:sz w:val="20"/>
                <w:szCs w:val="20"/>
              </w:rPr>
              <w:t>Not yet achieved due to delays from the Government of Colombia, this is on track to be resolved in</w:t>
            </w:r>
            <w:r w:rsidR="00683A06">
              <w:rPr>
                <w:rFonts w:cs="Arial"/>
                <w:sz w:val="20"/>
                <w:szCs w:val="20"/>
              </w:rPr>
              <w:t xml:space="preserve"> 24/25. </w:t>
            </w:r>
            <w:r w:rsidRPr="0056497A">
              <w:rPr>
                <w:rFonts w:cs="Arial"/>
                <w:sz w:val="20"/>
                <w:szCs w:val="20"/>
              </w:rPr>
              <w:t xml:space="preserve"> </w:t>
            </w:r>
          </w:p>
        </w:tc>
      </w:tr>
      <w:tr w:rsidRPr="00D80C6C" w:rsidR="000C23EC" w:rsidTr="59460479" w14:paraId="5E4F6CF7" w14:textId="21F3156C">
        <w:tc>
          <w:tcPr>
            <w:tcW w:w="450" w:type="dxa"/>
            <w:tcMar/>
          </w:tcPr>
          <w:p w:rsidRPr="00CF6A49" w:rsidR="000C23EC" w:rsidRDefault="000C23EC" w14:paraId="0FC6DFA5" w14:textId="77777777">
            <w:pPr>
              <w:jc w:val="both"/>
              <w:rPr>
                <w:rFonts w:cs="Arial"/>
                <w:bCs/>
                <w:sz w:val="20"/>
                <w:szCs w:val="20"/>
              </w:rPr>
            </w:pPr>
            <w:r w:rsidRPr="00CF6A49">
              <w:rPr>
                <w:rFonts w:cs="Arial"/>
                <w:bCs/>
                <w:sz w:val="20"/>
                <w:szCs w:val="20"/>
              </w:rPr>
              <w:t>2</w:t>
            </w:r>
          </w:p>
        </w:tc>
        <w:tc>
          <w:tcPr>
            <w:tcW w:w="3245" w:type="dxa"/>
            <w:tcMar/>
          </w:tcPr>
          <w:p w:rsidRPr="00290369" w:rsidR="000C23EC" w:rsidRDefault="000C23EC" w14:paraId="5B7E73CA" w14:textId="77777777">
            <w:pPr>
              <w:jc w:val="both"/>
              <w:rPr>
                <w:rFonts w:cs="Arial"/>
                <w:sz w:val="20"/>
                <w:szCs w:val="20"/>
              </w:rPr>
            </w:pPr>
            <w:r w:rsidRPr="1340296B">
              <w:rPr>
                <w:rFonts w:cs="Arial"/>
                <w:sz w:val="20"/>
                <w:szCs w:val="20"/>
              </w:rPr>
              <w:t xml:space="preserve">REM Colombia: Close all accounts and financial reporting, shared with donors, and all remaining funding transferred into REM 2. </w:t>
            </w:r>
          </w:p>
        </w:tc>
        <w:tc>
          <w:tcPr>
            <w:tcW w:w="1264" w:type="dxa"/>
            <w:tcMar/>
          </w:tcPr>
          <w:p w:rsidRPr="00CB719A" w:rsidR="000C23EC" w:rsidRDefault="000C23EC" w14:paraId="1D2CE4BA" w14:textId="77777777">
            <w:pPr>
              <w:jc w:val="both"/>
              <w:rPr>
                <w:rFonts w:cs="Arial"/>
                <w:sz w:val="20"/>
                <w:szCs w:val="20"/>
              </w:rPr>
            </w:pPr>
            <w:r w:rsidRPr="00CB719A">
              <w:rPr>
                <w:rFonts w:cs="Arial"/>
                <w:sz w:val="20"/>
                <w:szCs w:val="20"/>
              </w:rPr>
              <w:t>February 2024</w:t>
            </w:r>
          </w:p>
        </w:tc>
        <w:tc>
          <w:tcPr>
            <w:tcW w:w="1106" w:type="dxa"/>
            <w:tcMar/>
          </w:tcPr>
          <w:p w:rsidRPr="00CB719A" w:rsidR="000C23EC" w:rsidRDefault="00C2585F" w14:paraId="2A145CB7" w14:textId="0F955682">
            <w:pPr>
              <w:jc w:val="both"/>
              <w:rPr>
                <w:rFonts w:cs="Arial"/>
                <w:sz w:val="20"/>
                <w:szCs w:val="20"/>
              </w:rPr>
            </w:pPr>
            <w:r w:rsidRPr="00CB719A">
              <w:rPr>
                <w:rFonts w:cs="Arial"/>
                <w:sz w:val="20"/>
                <w:szCs w:val="20"/>
              </w:rPr>
              <w:t xml:space="preserve">Partially achieved </w:t>
            </w:r>
          </w:p>
        </w:tc>
        <w:tc>
          <w:tcPr>
            <w:tcW w:w="3081" w:type="dxa"/>
            <w:tcMar/>
          </w:tcPr>
          <w:p w:rsidRPr="0056497A" w:rsidR="000C23EC" w:rsidRDefault="00C2585F" w14:paraId="05898789" w14:textId="217F3ABA">
            <w:pPr>
              <w:jc w:val="both"/>
              <w:rPr>
                <w:rFonts w:cs="Arial"/>
                <w:sz w:val="20"/>
                <w:szCs w:val="20"/>
              </w:rPr>
            </w:pPr>
            <w:r w:rsidRPr="0056497A">
              <w:rPr>
                <w:rFonts w:cs="Arial"/>
                <w:sz w:val="20"/>
                <w:szCs w:val="20"/>
              </w:rPr>
              <w:t xml:space="preserve">Programme has closed, final reports to be submitted in </w:t>
            </w:r>
            <w:r w:rsidR="00683A06">
              <w:rPr>
                <w:rFonts w:cs="Arial"/>
                <w:sz w:val="20"/>
                <w:szCs w:val="20"/>
              </w:rPr>
              <w:t xml:space="preserve">24/25 period. </w:t>
            </w:r>
            <w:r w:rsidRPr="0056497A">
              <w:rPr>
                <w:rFonts w:cs="Arial"/>
                <w:sz w:val="20"/>
                <w:szCs w:val="20"/>
              </w:rPr>
              <w:t xml:space="preserve"> </w:t>
            </w:r>
          </w:p>
        </w:tc>
      </w:tr>
      <w:tr w:rsidRPr="00D80C6C" w:rsidR="000C23EC" w:rsidTr="59460479" w14:paraId="6A41D0B8" w14:textId="1FF8F880">
        <w:tc>
          <w:tcPr>
            <w:tcW w:w="450" w:type="dxa"/>
            <w:tcMar/>
          </w:tcPr>
          <w:p w:rsidRPr="00CF6A49" w:rsidR="000C23EC" w:rsidRDefault="000C23EC" w14:paraId="28141ED1" w14:textId="77777777">
            <w:pPr>
              <w:jc w:val="both"/>
              <w:rPr>
                <w:rFonts w:cs="Arial"/>
                <w:bCs/>
                <w:sz w:val="20"/>
                <w:szCs w:val="20"/>
              </w:rPr>
            </w:pPr>
            <w:r w:rsidRPr="00CF6A49">
              <w:rPr>
                <w:rFonts w:cs="Arial"/>
                <w:bCs/>
                <w:sz w:val="20"/>
                <w:szCs w:val="20"/>
              </w:rPr>
              <w:t>3</w:t>
            </w:r>
          </w:p>
        </w:tc>
        <w:tc>
          <w:tcPr>
            <w:tcW w:w="3245" w:type="dxa"/>
            <w:tcMar/>
          </w:tcPr>
          <w:p w:rsidRPr="00290369" w:rsidR="000C23EC" w:rsidRDefault="000C23EC" w14:paraId="26EEFEA9" w14:textId="77777777">
            <w:pPr>
              <w:jc w:val="both"/>
              <w:rPr>
                <w:rFonts w:cs="Arial"/>
                <w:sz w:val="20"/>
                <w:szCs w:val="20"/>
              </w:rPr>
            </w:pPr>
            <w:r w:rsidRPr="00290369">
              <w:rPr>
                <w:rFonts w:cs="Arial"/>
                <w:sz w:val="20"/>
                <w:szCs w:val="20"/>
              </w:rPr>
              <w:t xml:space="preserve">Colombia to bring lessons learned from IP projects to support next round of call for proposals. </w:t>
            </w:r>
          </w:p>
        </w:tc>
        <w:tc>
          <w:tcPr>
            <w:tcW w:w="1264" w:type="dxa"/>
            <w:tcMar/>
          </w:tcPr>
          <w:p w:rsidRPr="00CB719A" w:rsidR="000C23EC" w:rsidRDefault="000C23EC" w14:paraId="39AC5EDB" w14:textId="77777777">
            <w:pPr>
              <w:jc w:val="both"/>
              <w:rPr>
                <w:rFonts w:cs="Arial"/>
                <w:sz w:val="20"/>
                <w:szCs w:val="20"/>
              </w:rPr>
            </w:pPr>
            <w:r w:rsidRPr="00CB719A">
              <w:rPr>
                <w:rFonts w:cs="Arial"/>
                <w:sz w:val="20"/>
                <w:szCs w:val="20"/>
              </w:rPr>
              <w:t>February 2024</w:t>
            </w:r>
          </w:p>
          <w:p w:rsidRPr="00CB719A" w:rsidR="000C23EC" w:rsidRDefault="000C23EC" w14:paraId="24BFB9A6" w14:textId="77777777">
            <w:pPr>
              <w:jc w:val="both"/>
              <w:rPr>
                <w:rFonts w:cs="Arial"/>
                <w:sz w:val="20"/>
                <w:szCs w:val="20"/>
              </w:rPr>
            </w:pPr>
          </w:p>
        </w:tc>
        <w:tc>
          <w:tcPr>
            <w:tcW w:w="1106" w:type="dxa"/>
            <w:tcMar/>
          </w:tcPr>
          <w:p w:rsidRPr="00CB719A" w:rsidR="000C23EC" w:rsidRDefault="007C032B" w14:paraId="7664E514" w14:textId="2ECB1E89">
            <w:pPr>
              <w:jc w:val="both"/>
              <w:rPr>
                <w:rFonts w:cs="Arial"/>
                <w:sz w:val="20"/>
                <w:szCs w:val="20"/>
              </w:rPr>
            </w:pPr>
            <w:r w:rsidRPr="00CB719A">
              <w:rPr>
                <w:rFonts w:cs="Arial"/>
                <w:sz w:val="20"/>
                <w:szCs w:val="20"/>
              </w:rPr>
              <w:t>Y</w:t>
            </w:r>
          </w:p>
        </w:tc>
        <w:tc>
          <w:tcPr>
            <w:tcW w:w="3081" w:type="dxa"/>
            <w:tcMar/>
          </w:tcPr>
          <w:p w:rsidRPr="0056497A" w:rsidR="000C23EC" w:rsidRDefault="0056497A" w14:paraId="2D61F82E" w14:textId="09AD457D">
            <w:pPr>
              <w:jc w:val="both"/>
              <w:rPr>
                <w:rFonts w:cs="Arial"/>
                <w:sz w:val="20"/>
                <w:szCs w:val="20"/>
              </w:rPr>
            </w:pPr>
            <w:r>
              <w:rPr>
                <w:rFonts w:cs="Arial"/>
                <w:sz w:val="20"/>
                <w:szCs w:val="20"/>
              </w:rPr>
              <w:t xml:space="preserve">Achieved. </w:t>
            </w:r>
          </w:p>
        </w:tc>
      </w:tr>
      <w:tr w:rsidRPr="00D80C6C" w:rsidR="000C23EC" w:rsidTr="59460479" w14:paraId="292E045B" w14:textId="3648E89E">
        <w:tc>
          <w:tcPr>
            <w:tcW w:w="450" w:type="dxa"/>
            <w:tcMar/>
          </w:tcPr>
          <w:p w:rsidRPr="00CF6A49" w:rsidR="000C23EC" w:rsidRDefault="000C23EC" w14:paraId="79F1249E" w14:textId="77777777">
            <w:pPr>
              <w:jc w:val="both"/>
              <w:rPr>
                <w:rFonts w:cs="Arial"/>
                <w:bCs/>
                <w:sz w:val="20"/>
                <w:szCs w:val="20"/>
              </w:rPr>
            </w:pPr>
            <w:r w:rsidRPr="00CF6A49">
              <w:rPr>
                <w:rFonts w:cs="Arial"/>
                <w:bCs/>
                <w:sz w:val="20"/>
                <w:szCs w:val="20"/>
              </w:rPr>
              <w:t>4</w:t>
            </w:r>
          </w:p>
        </w:tc>
        <w:tc>
          <w:tcPr>
            <w:tcW w:w="3245" w:type="dxa"/>
            <w:tcMar/>
          </w:tcPr>
          <w:p w:rsidRPr="00290369" w:rsidR="000C23EC" w:rsidRDefault="000C23EC" w14:paraId="3316B251" w14:textId="77777777">
            <w:pPr>
              <w:pStyle w:val="ListParagraph"/>
              <w:numPr>
                <w:ilvl w:val="0"/>
                <w:numId w:val="31"/>
              </w:numPr>
              <w:jc w:val="both"/>
              <w:rPr>
                <w:rFonts w:cs="Arial"/>
                <w:bCs/>
                <w:sz w:val="20"/>
              </w:rPr>
            </w:pPr>
            <w:r w:rsidRPr="00290369">
              <w:rPr>
                <w:rFonts w:cs="Arial"/>
                <w:bCs/>
                <w:sz w:val="20"/>
              </w:rPr>
              <w:t xml:space="preserve">Mato Grosso: Publish Mid-term review and take stock of lessons, applying them to Phase 2. </w:t>
            </w:r>
          </w:p>
          <w:p w:rsidRPr="00290369" w:rsidR="000C23EC" w:rsidRDefault="000C23EC" w14:paraId="08C39D14" w14:textId="77777777">
            <w:pPr>
              <w:pStyle w:val="ListParagraph"/>
              <w:numPr>
                <w:ilvl w:val="0"/>
                <w:numId w:val="31"/>
              </w:numPr>
              <w:jc w:val="both"/>
              <w:rPr>
                <w:rFonts w:cs="Arial"/>
                <w:bCs/>
                <w:sz w:val="20"/>
              </w:rPr>
            </w:pPr>
            <w:r w:rsidRPr="00290369">
              <w:rPr>
                <w:rFonts w:cs="Arial"/>
                <w:bCs/>
                <w:sz w:val="20"/>
              </w:rPr>
              <w:lastRenderedPageBreak/>
              <w:t xml:space="preserve">DESNZ to analyse the completed Mid-Term Evaluations and identify challenges learnt. </w:t>
            </w:r>
          </w:p>
        </w:tc>
        <w:tc>
          <w:tcPr>
            <w:tcW w:w="1264" w:type="dxa"/>
            <w:tcMar/>
          </w:tcPr>
          <w:p w:rsidRPr="00CB719A" w:rsidR="000C23EC" w:rsidRDefault="000C23EC" w14:paraId="536DBEF6" w14:textId="77777777">
            <w:pPr>
              <w:jc w:val="both"/>
              <w:rPr>
                <w:rFonts w:cs="Arial"/>
                <w:sz w:val="20"/>
                <w:szCs w:val="20"/>
              </w:rPr>
            </w:pPr>
            <w:r w:rsidRPr="00CB719A">
              <w:rPr>
                <w:rFonts w:cs="Arial"/>
                <w:sz w:val="20"/>
                <w:szCs w:val="20"/>
              </w:rPr>
              <w:lastRenderedPageBreak/>
              <w:t>February 2024</w:t>
            </w:r>
          </w:p>
          <w:p w:rsidRPr="00CB719A" w:rsidR="000C23EC" w:rsidRDefault="000C23EC" w14:paraId="3443D423" w14:textId="77777777">
            <w:pPr>
              <w:jc w:val="both"/>
              <w:rPr>
                <w:rFonts w:cs="Arial"/>
                <w:sz w:val="20"/>
                <w:szCs w:val="20"/>
              </w:rPr>
            </w:pPr>
            <w:r w:rsidRPr="00CB719A">
              <w:rPr>
                <w:rFonts w:cs="Arial"/>
                <w:sz w:val="20"/>
                <w:szCs w:val="20"/>
              </w:rPr>
              <w:t>April 2024</w:t>
            </w:r>
          </w:p>
        </w:tc>
        <w:tc>
          <w:tcPr>
            <w:tcW w:w="1106" w:type="dxa"/>
            <w:tcMar/>
          </w:tcPr>
          <w:p w:rsidRPr="00CB719A" w:rsidR="000C23EC" w:rsidRDefault="0056497A" w14:paraId="0A1F5E0F" w14:textId="754EA330">
            <w:pPr>
              <w:jc w:val="both"/>
              <w:rPr>
                <w:rFonts w:cs="Arial"/>
                <w:sz w:val="20"/>
                <w:szCs w:val="20"/>
              </w:rPr>
            </w:pPr>
            <w:r w:rsidRPr="00CB719A">
              <w:rPr>
                <w:rFonts w:cs="Arial"/>
                <w:sz w:val="20"/>
                <w:szCs w:val="20"/>
              </w:rPr>
              <w:t xml:space="preserve">Partially achieved </w:t>
            </w:r>
          </w:p>
        </w:tc>
        <w:tc>
          <w:tcPr>
            <w:tcW w:w="3081" w:type="dxa"/>
            <w:tcMar/>
          </w:tcPr>
          <w:p w:rsidRPr="005B458D" w:rsidR="000C23EC" w:rsidRDefault="706A16C7" w14:paraId="2610C8F2" w14:textId="589E43E9">
            <w:pPr>
              <w:jc w:val="both"/>
              <w:rPr>
                <w:rFonts w:cs="Arial"/>
                <w:sz w:val="20"/>
                <w:szCs w:val="20"/>
              </w:rPr>
            </w:pPr>
            <w:r w:rsidRPr="665A25F4">
              <w:rPr>
                <w:rFonts w:cs="Arial"/>
                <w:sz w:val="20"/>
                <w:szCs w:val="20"/>
              </w:rPr>
              <w:t xml:space="preserve">Mid-term evaluation has been </w:t>
            </w:r>
            <w:r w:rsidRPr="665A25F4" w:rsidR="1DDB30B2">
              <w:rPr>
                <w:rFonts w:cs="Arial"/>
                <w:sz w:val="20"/>
                <w:szCs w:val="20"/>
              </w:rPr>
              <w:t>completed;</w:t>
            </w:r>
            <w:r w:rsidRPr="665A25F4">
              <w:rPr>
                <w:rFonts w:cs="Arial"/>
                <w:sz w:val="20"/>
                <w:szCs w:val="20"/>
              </w:rPr>
              <w:t xml:space="preserve"> </w:t>
            </w:r>
            <w:r w:rsidRPr="665A25F4" w:rsidR="4BB788B1">
              <w:rPr>
                <w:rFonts w:cs="Arial"/>
                <w:sz w:val="20"/>
                <w:szCs w:val="20"/>
              </w:rPr>
              <w:t>we expect they may not be published at this point, but we will discuss with partners if they might publish them.</w:t>
            </w:r>
            <w:r w:rsidRPr="665A25F4" w:rsidR="2FA9F1B3">
              <w:rPr>
                <w:rFonts w:cs="Arial"/>
                <w:sz w:val="20"/>
                <w:szCs w:val="20"/>
              </w:rPr>
              <w:t xml:space="preserve"> We will </w:t>
            </w:r>
            <w:r w:rsidRPr="665A25F4" w:rsidR="2FA9F1B3">
              <w:rPr>
                <w:rFonts w:cs="Arial"/>
                <w:sz w:val="20"/>
                <w:szCs w:val="20"/>
              </w:rPr>
              <w:lastRenderedPageBreak/>
              <w:t xml:space="preserve">also use the results as a lessons learned across all REDD+ programmes as part of the implementation of the UK’s REDD+ ToC. </w:t>
            </w:r>
            <w:r w:rsidRPr="665A25F4" w:rsidR="2A0F3B83">
              <w:rPr>
                <w:rFonts w:cs="Arial"/>
                <w:sz w:val="20"/>
                <w:szCs w:val="20"/>
              </w:rPr>
              <w:t>Any future</w:t>
            </w:r>
            <w:r w:rsidRPr="665A25F4" w:rsidR="3F0D9A82">
              <w:rPr>
                <w:rFonts w:cs="Arial"/>
                <w:sz w:val="20"/>
                <w:szCs w:val="20"/>
              </w:rPr>
              <w:t xml:space="preserve"> evaluations will need to have the publication details in th</w:t>
            </w:r>
            <w:r w:rsidRPr="665A25F4" w:rsidR="000A44D1">
              <w:rPr>
                <w:rFonts w:cs="Arial"/>
                <w:sz w:val="20"/>
                <w:szCs w:val="20"/>
              </w:rPr>
              <w:t>e</w:t>
            </w:r>
            <w:r w:rsidRPr="665A25F4" w:rsidR="3F0D9A82">
              <w:rPr>
                <w:rFonts w:cs="Arial"/>
                <w:sz w:val="20"/>
                <w:szCs w:val="20"/>
              </w:rPr>
              <w:t xml:space="preserve"> ToR.</w:t>
            </w:r>
            <w:r w:rsidRPr="665A25F4" w:rsidR="2A0F3B83">
              <w:rPr>
                <w:rFonts w:cs="Arial"/>
                <w:sz w:val="20"/>
                <w:szCs w:val="20"/>
              </w:rPr>
              <w:t xml:space="preserve"> </w:t>
            </w:r>
          </w:p>
        </w:tc>
      </w:tr>
      <w:tr w:rsidRPr="00D80C6C" w:rsidR="000C23EC" w:rsidTr="59460479" w14:paraId="18470472" w14:textId="4CA59ED5">
        <w:tc>
          <w:tcPr>
            <w:tcW w:w="450" w:type="dxa"/>
            <w:tcMar/>
          </w:tcPr>
          <w:p w:rsidRPr="00CF6A49" w:rsidR="000C23EC" w:rsidRDefault="000C23EC" w14:paraId="6569CF07" w14:textId="77777777">
            <w:pPr>
              <w:jc w:val="both"/>
              <w:rPr>
                <w:rFonts w:cs="Arial"/>
                <w:bCs/>
                <w:sz w:val="20"/>
                <w:szCs w:val="20"/>
              </w:rPr>
            </w:pPr>
            <w:r w:rsidRPr="00CF6A49">
              <w:rPr>
                <w:rFonts w:cs="Arial"/>
                <w:bCs/>
                <w:sz w:val="20"/>
                <w:szCs w:val="20"/>
              </w:rPr>
              <w:lastRenderedPageBreak/>
              <w:t>5</w:t>
            </w:r>
          </w:p>
        </w:tc>
        <w:tc>
          <w:tcPr>
            <w:tcW w:w="3245" w:type="dxa"/>
            <w:tcMar/>
          </w:tcPr>
          <w:p w:rsidRPr="00290369" w:rsidR="000C23EC" w:rsidRDefault="000C23EC" w14:paraId="273833AF" w14:textId="77777777">
            <w:pPr>
              <w:jc w:val="both"/>
              <w:rPr>
                <w:rFonts w:cs="Arial"/>
                <w:bCs/>
                <w:sz w:val="20"/>
                <w:szCs w:val="20"/>
              </w:rPr>
            </w:pPr>
            <w:r w:rsidRPr="00290369">
              <w:rPr>
                <w:rFonts w:cs="Arial"/>
                <w:bCs/>
                <w:sz w:val="20"/>
                <w:szCs w:val="20"/>
              </w:rPr>
              <w:t>Mato Grosso to increase disbursement of Indigenous Pillar especially resolving issue with FEPOIMT.</w:t>
            </w:r>
          </w:p>
        </w:tc>
        <w:tc>
          <w:tcPr>
            <w:tcW w:w="1264" w:type="dxa"/>
            <w:tcMar/>
          </w:tcPr>
          <w:p w:rsidRPr="00CB719A" w:rsidR="000C23EC" w:rsidRDefault="000C23EC" w14:paraId="322388E2" w14:textId="77777777">
            <w:pPr>
              <w:jc w:val="both"/>
              <w:rPr>
                <w:rFonts w:cs="Arial"/>
                <w:sz w:val="20"/>
                <w:szCs w:val="20"/>
              </w:rPr>
            </w:pPr>
            <w:r w:rsidRPr="00CB719A">
              <w:rPr>
                <w:rFonts w:cs="Arial"/>
                <w:sz w:val="20"/>
                <w:szCs w:val="20"/>
              </w:rPr>
              <w:t>June 2024</w:t>
            </w:r>
          </w:p>
        </w:tc>
        <w:tc>
          <w:tcPr>
            <w:tcW w:w="1106" w:type="dxa"/>
            <w:tcMar/>
          </w:tcPr>
          <w:p w:rsidRPr="00CB719A" w:rsidR="000C23EC" w:rsidRDefault="005B458D" w14:paraId="32477A39" w14:textId="06F8B881">
            <w:pPr>
              <w:jc w:val="both"/>
              <w:rPr>
                <w:rFonts w:cs="Arial"/>
                <w:sz w:val="20"/>
                <w:szCs w:val="20"/>
              </w:rPr>
            </w:pPr>
            <w:r w:rsidRPr="00CB719A">
              <w:rPr>
                <w:rFonts w:cs="Arial"/>
                <w:sz w:val="20"/>
                <w:szCs w:val="20"/>
              </w:rPr>
              <w:t xml:space="preserve">Partially achieved </w:t>
            </w:r>
          </w:p>
        </w:tc>
        <w:tc>
          <w:tcPr>
            <w:tcW w:w="3081" w:type="dxa"/>
            <w:tcMar/>
          </w:tcPr>
          <w:p w:rsidRPr="00CB719A" w:rsidR="000C23EC" w:rsidRDefault="005B458D" w14:paraId="08CB3F61" w14:textId="41D96933">
            <w:pPr>
              <w:jc w:val="both"/>
              <w:rPr>
                <w:rFonts w:cs="Arial"/>
                <w:sz w:val="20"/>
                <w:szCs w:val="20"/>
              </w:rPr>
            </w:pPr>
            <w:r w:rsidRPr="00CB719A">
              <w:rPr>
                <w:rFonts w:cs="Arial"/>
                <w:sz w:val="20"/>
                <w:szCs w:val="20"/>
              </w:rPr>
              <w:t>See final Output 5, th</w:t>
            </w:r>
            <w:r w:rsidRPr="00CB719A" w:rsidR="00CB719A">
              <w:rPr>
                <w:rFonts w:cs="Arial"/>
                <w:sz w:val="20"/>
                <w:szCs w:val="20"/>
              </w:rPr>
              <w:t xml:space="preserve">e disbursement delays have been resolved but the challenge of FEPOIMT remains to be resolved this year. </w:t>
            </w:r>
          </w:p>
        </w:tc>
      </w:tr>
      <w:tr w:rsidRPr="00D80C6C" w:rsidR="000C23EC" w:rsidTr="59460479" w14:paraId="1E5058C6" w14:textId="72411A63">
        <w:tc>
          <w:tcPr>
            <w:tcW w:w="450" w:type="dxa"/>
            <w:tcMar/>
          </w:tcPr>
          <w:p w:rsidRPr="00CF6A49" w:rsidR="000C23EC" w:rsidRDefault="000C23EC" w14:paraId="778241AF" w14:textId="77777777">
            <w:pPr>
              <w:jc w:val="both"/>
              <w:rPr>
                <w:rFonts w:cs="Arial"/>
                <w:bCs/>
                <w:sz w:val="20"/>
                <w:szCs w:val="20"/>
              </w:rPr>
            </w:pPr>
            <w:r w:rsidRPr="00CF6A49">
              <w:rPr>
                <w:rFonts w:cs="Arial"/>
                <w:bCs/>
                <w:sz w:val="20"/>
                <w:szCs w:val="20"/>
              </w:rPr>
              <w:t>6</w:t>
            </w:r>
          </w:p>
        </w:tc>
        <w:tc>
          <w:tcPr>
            <w:tcW w:w="3245" w:type="dxa"/>
            <w:tcMar/>
          </w:tcPr>
          <w:p w:rsidRPr="00290369" w:rsidR="000C23EC" w:rsidRDefault="000C23EC" w14:paraId="5B1EC039" w14:textId="77777777">
            <w:pPr>
              <w:jc w:val="both"/>
              <w:rPr>
                <w:rFonts w:cs="Arial"/>
                <w:bCs/>
                <w:sz w:val="20"/>
                <w:szCs w:val="20"/>
              </w:rPr>
            </w:pPr>
            <w:r w:rsidRPr="6C84B5FA">
              <w:rPr>
                <w:rFonts w:cs="Arial"/>
                <w:b/>
                <w:bCs/>
                <w:sz w:val="20"/>
                <w:szCs w:val="20"/>
              </w:rPr>
              <w:t>Rolled over and updated:</w:t>
            </w:r>
            <w:r w:rsidRPr="6C84B5FA">
              <w:rPr>
                <w:rFonts w:cs="Arial"/>
                <w:sz w:val="20"/>
                <w:szCs w:val="20"/>
              </w:rPr>
              <w:t xml:space="preserve"> Acre: To meet the first of the intended policy milestones (See section below) and publish PPCDQ</w:t>
            </w:r>
            <w:r w:rsidRPr="6C84B5FA">
              <w:rPr>
                <w:rStyle w:val="FootnoteReference"/>
                <w:rFonts w:cs="Arial"/>
                <w:sz w:val="20"/>
                <w:szCs w:val="20"/>
              </w:rPr>
              <w:footnoteReference w:id="5"/>
            </w:r>
            <w:r w:rsidRPr="6C84B5FA">
              <w:rPr>
                <w:rFonts w:cs="Arial"/>
                <w:sz w:val="20"/>
                <w:szCs w:val="20"/>
              </w:rPr>
              <w:t xml:space="preserve">. </w:t>
            </w:r>
          </w:p>
        </w:tc>
        <w:tc>
          <w:tcPr>
            <w:tcW w:w="1264" w:type="dxa"/>
            <w:tcMar/>
          </w:tcPr>
          <w:p w:rsidRPr="00CB719A" w:rsidR="000C23EC" w:rsidRDefault="000C23EC" w14:paraId="45C1290B" w14:textId="2D0A9A0B">
            <w:pPr>
              <w:rPr>
                <w:rFonts w:cs="Arial"/>
                <w:sz w:val="20"/>
                <w:szCs w:val="20"/>
              </w:rPr>
            </w:pPr>
            <w:r w:rsidRPr="00CB719A">
              <w:rPr>
                <w:rFonts w:cs="Arial"/>
                <w:sz w:val="20"/>
                <w:szCs w:val="20"/>
              </w:rPr>
              <w:t xml:space="preserve">December 2023 </w:t>
            </w:r>
          </w:p>
        </w:tc>
        <w:tc>
          <w:tcPr>
            <w:tcW w:w="1106" w:type="dxa"/>
            <w:tcMar/>
          </w:tcPr>
          <w:p w:rsidRPr="00CB719A" w:rsidR="000C23EC" w:rsidRDefault="00B161EF" w14:paraId="792E8BDA" w14:textId="61E47CAE">
            <w:pPr>
              <w:rPr>
                <w:rFonts w:cs="Arial"/>
                <w:sz w:val="20"/>
                <w:szCs w:val="20"/>
              </w:rPr>
            </w:pPr>
            <w:r w:rsidRPr="00CB719A">
              <w:rPr>
                <w:rFonts w:cs="Arial"/>
                <w:sz w:val="20"/>
                <w:szCs w:val="20"/>
              </w:rPr>
              <w:t>Y</w:t>
            </w:r>
          </w:p>
        </w:tc>
        <w:tc>
          <w:tcPr>
            <w:tcW w:w="3081" w:type="dxa"/>
            <w:tcMar/>
          </w:tcPr>
          <w:p w:rsidRPr="00CB719A" w:rsidR="000C23EC" w:rsidRDefault="00CB719A" w14:paraId="469E2D7E" w14:textId="12F4C6C3">
            <w:pPr>
              <w:rPr>
                <w:rFonts w:cs="Arial"/>
                <w:sz w:val="20"/>
                <w:szCs w:val="20"/>
              </w:rPr>
            </w:pPr>
            <w:r w:rsidRPr="00CB719A">
              <w:rPr>
                <w:rFonts w:cs="Arial"/>
                <w:sz w:val="20"/>
                <w:szCs w:val="20"/>
              </w:rPr>
              <w:t>This was officially achieved on the 28/11/23 and will be reported against next period.</w:t>
            </w:r>
          </w:p>
        </w:tc>
      </w:tr>
      <w:tr w:rsidRPr="00D80C6C" w:rsidR="000C23EC" w:rsidTr="59460479" w14:paraId="23214901" w14:textId="373E1E26">
        <w:tc>
          <w:tcPr>
            <w:tcW w:w="450" w:type="dxa"/>
            <w:tcMar/>
          </w:tcPr>
          <w:p w:rsidRPr="00CF6A49" w:rsidR="000C23EC" w:rsidRDefault="000C23EC" w14:paraId="0B6A6C3D" w14:textId="77777777">
            <w:pPr>
              <w:jc w:val="both"/>
              <w:rPr>
                <w:rFonts w:cs="Arial"/>
                <w:bCs/>
                <w:sz w:val="20"/>
                <w:szCs w:val="20"/>
              </w:rPr>
            </w:pPr>
            <w:r w:rsidRPr="00CF6A49">
              <w:rPr>
                <w:rFonts w:cs="Arial"/>
                <w:bCs/>
                <w:sz w:val="20"/>
                <w:szCs w:val="20"/>
              </w:rPr>
              <w:t>7</w:t>
            </w:r>
          </w:p>
        </w:tc>
        <w:tc>
          <w:tcPr>
            <w:tcW w:w="3245" w:type="dxa"/>
            <w:tcMar/>
          </w:tcPr>
          <w:p w:rsidRPr="00290369" w:rsidR="000C23EC" w:rsidRDefault="000C23EC" w14:paraId="0CC71E81" w14:textId="77777777">
            <w:pPr>
              <w:jc w:val="both"/>
              <w:rPr>
                <w:rFonts w:cs="Arial"/>
                <w:bCs/>
                <w:sz w:val="20"/>
                <w:szCs w:val="20"/>
              </w:rPr>
            </w:pPr>
            <w:r w:rsidRPr="00290369">
              <w:rPr>
                <w:rFonts w:eastAsia="Arial" w:cs="Arial"/>
                <w:b/>
                <w:sz w:val="20"/>
                <w:szCs w:val="20"/>
              </w:rPr>
              <w:t>Rolled over:</w:t>
            </w:r>
            <w:r w:rsidRPr="00290369">
              <w:rPr>
                <w:rFonts w:eastAsia="Arial" w:cs="Arial"/>
                <w:bCs/>
                <w:sz w:val="20"/>
                <w:szCs w:val="20"/>
              </w:rPr>
              <w:t xml:space="preserve"> REM Acre to re-commence monitoring and reporting of safeguards compliance (Indicator 8).  </w:t>
            </w:r>
          </w:p>
        </w:tc>
        <w:tc>
          <w:tcPr>
            <w:tcW w:w="1264" w:type="dxa"/>
            <w:tcMar/>
          </w:tcPr>
          <w:p w:rsidRPr="00290369" w:rsidR="000C23EC" w:rsidRDefault="000C23EC" w14:paraId="4DE9F322" w14:textId="77777777">
            <w:pPr>
              <w:jc w:val="both"/>
              <w:rPr>
                <w:rFonts w:cs="Arial"/>
                <w:i/>
                <w:iCs/>
                <w:sz w:val="20"/>
                <w:szCs w:val="20"/>
              </w:rPr>
            </w:pPr>
            <w:r w:rsidRPr="578D5448">
              <w:rPr>
                <w:rFonts w:cs="Arial"/>
                <w:i/>
                <w:iCs/>
                <w:sz w:val="20"/>
                <w:szCs w:val="20"/>
              </w:rPr>
              <w:t>April 2024</w:t>
            </w:r>
          </w:p>
        </w:tc>
        <w:tc>
          <w:tcPr>
            <w:tcW w:w="1106" w:type="dxa"/>
            <w:tcMar/>
          </w:tcPr>
          <w:p w:rsidRPr="005011C4" w:rsidR="000C23EC" w:rsidRDefault="00B161EF" w14:paraId="6769F73B" w14:textId="15900245">
            <w:pPr>
              <w:jc w:val="both"/>
              <w:rPr>
                <w:rFonts w:cs="Arial"/>
                <w:sz w:val="20"/>
                <w:szCs w:val="20"/>
              </w:rPr>
            </w:pPr>
            <w:r w:rsidRPr="005011C4">
              <w:rPr>
                <w:rFonts w:cs="Arial"/>
                <w:sz w:val="20"/>
                <w:szCs w:val="20"/>
              </w:rPr>
              <w:t>N</w:t>
            </w:r>
          </w:p>
        </w:tc>
        <w:tc>
          <w:tcPr>
            <w:tcW w:w="3081" w:type="dxa"/>
            <w:tcMar/>
          </w:tcPr>
          <w:p w:rsidRPr="578D5448" w:rsidR="000C23EC" w:rsidP="5F321059" w:rsidRDefault="325D320B" w14:paraId="651757B7" w14:textId="50278AED">
            <w:pPr>
              <w:jc w:val="both"/>
              <w:rPr>
                <w:rFonts w:cs="Arial"/>
                <w:sz w:val="20"/>
                <w:szCs w:val="20"/>
              </w:rPr>
            </w:pPr>
            <w:r w:rsidRPr="59460479" w:rsidR="325D320B">
              <w:rPr>
                <w:rFonts w:cs="Arial"/>
                <w:sz w:val="20"/>
                <w:szCs w:val="20"/>
              </w:rPr>
              <w:t>This has been delayed due to issues with GIZ not being able to support on this, and the complexity of safeguard reporting (Acre</w:t>
            </w:r>
            <w:r w:rsidRPr="59460479" w:rsidR="53602551">
              <w:rPr>
                <w:rFonts w:cs="Arial"/>
                <w:sz w:val="20"/>
                <w:szCs w:val="20"/>
              </w:rPr>
              <w:t xml:space="preserve"> needing to report to UNFCCC safeguard requirements </w:t>
            </w:r>
            <w:r w:rsidRPr="59460479" w:rsidR="53602551">
              <w:rPr>
                <w:rFonts w:cs="Arial"/>
                <w:sz w:val="20"/>
                <w:szCs w:val="20"/>
              </w:rPr>
              <w:t>and also</w:t>
            </w:r>
            <w:r w:rsidRPr="59460479" w:rsidR="53602551">
              <w:rPr>
                <w:rFonts w:cs="Arial"/>
                <w:sz w:val="20"/>
                <w:szCs w:val="20"/>
              </w:rPr>
              <w:t xml:space="preserve"> to World Bank requirements as per KfW need). This is on track to be completed in the next reporting period. </w:t>
            </w:r>
          </w:p>
        </w:tc>
      </w:tr>
      <w:tr w:rsidRPr="00D80C6C" w:rsidR="000C23EC" w:rsidTr="59460479" w14:paraId="79A839A2" w14:textId="1245F5AB">
        <w:tc>
          <w:tcPr>
            <w:tcW w:w="450" w:type="dxa"/>
            <w:tcMar/>
          </w:tcPr>
          <w:p w:rsidRPr="00CF6A49" w:rsidR="000C23EC" w:rsidRDefault="000C23EC" w14:paraId="4EFA632F" w14:textId="77777777">
            <w:pPr>
              <w:jc w:val="both"/>
              <w:rPr>
                <w:rFonts w:cs="Arial"/>
                <w:bCs/>
                <w:sz w:val="20"/>
                <w:szCs w:val="20"/>
              </w:rPr>
            </w:pPr>
            <w:r w:rsidRPr="00CF6A49">
              <w:rPr>
                <w:rFonts w:cs="Arial"/>
                <w:bCs/>
                <w:sz w:val="20"/>
                <w:szCs w:val="20"/>
              </w:rPr>
              <w:t>8</w:t>
            </w:r>
          </w:p>
        </w:tc>
        <w:tc>
          <w:tcPr>
            <w:tcW w:w="3245" w:type="dxa"/>
            <w:tcMar/>
          </w:tcPr>
          <w:p w:rsidRPr="00290369" w:rsidR="000C23EC" w:rsidRDefault="000C23EC" w14:paraId="76BBE846" w14:textId="77777777">
            <w:pPr>
              <w:jc w:val="both"/>
              <w:rPr>
                <w:rFonts w:eastAsia="Arial" w:cs="Arial"/>
                <w:sz w:val="20"/>
                <w:szCs w:val="20"/>
              </w:rPr>
            </w:pPr>
            <w:r w:rsidRPr="578D5448">
              <w:rPr>
                <w:rFonts w:eastAsia="Arial" w:cs="Arial"/>
                <w:sz w:val="20"/>
                <w:szCs w:val="20"/>
              </w:rPr>
              <w:t xml:space="preserve">Acre to meet its target of 70% of funding disbursed at a local level, and begin reporting against this indictor. </w:t>
            </w:r>
          </w:p>
        </w:tc>
        <w:tc>
          <w:tcPr>
            <w:tcW w:w="1264" w:type="dxa"/>
            <w:tcMar/>
          </w:tcPr>
          <w:p w:rsidRPr="00CB719A" w:rsidR="000C23EC" w:rsidRDefault="000C23EC" w14:paraId="21CABC58" w14:textId="77777777">
            <w:pPr>
              <w:jc w:val="both"/>
              <w:rPr>
                <w:rFonts w:cs="Arial"/>
                <w:sz w:val="20"/>
                <w:szCs w:val="20"/>
              </w:rPr>
            </w:pPr>
            <w:r w:rsidRPr="00CB719A">
              <w:rPr>
                <w:rFonts w:cs="Arial"/>
                <w:sz w:val="20"/>
                <w:szCs w:val="20"/>
              </w:rPr>
              <w:t>June 2024</w:t>
            </w:r>
          </w:p>
        </w:tc>
        <w:tc>
          <w:tcPr>
            <w:tcW w:w="1106" w:type="dxa"/>
            <w:tcMar/>
          </w:tcPr>
          <w:p w:rsidRPr="00CB719A" w:rsidR="000C23EC" w:rsidRDefault="00C2585F" w14:paraId="1BB316DA" w14:textId="7DF79D09">
            <w:pPr>
              <w:jc w:val="both"/>
              <w:rPr>
                <w:rFonts w:cs="Arial"/>
                <w:sz w:val="20"/>
                <w:szCs w:val="20"/>
              </w:rPr>
            </w:pPr>
            <w:r w:rsidRPr="00CB719A">
              <w:rPr>
                <w:rFonts w:cs="Arial"/>
                <w:sz w:val="20"/>
                <w:szCs w:val="20"/>
              </w:rPr>
              <w:t xml:space="preserve">Partially achieved </w:t>
            </w:r>
          </w:p>
        </w:tc>
        <w:tc>
          <w:tcPr>
            <w:tcW w:w="3081" w:type="dxa"/>
            <w:tcMar/>
          </w:tcPr>
          <w:p w:rsidRPr="00CB719A" w:rsidR="000C23EC" w:rsidRDefault="00C2585F" w14:paraId="20EE63E2" w14:textId="760E673C">
            <w:pPr>
              <w:jc w:val="both"/>
              <w:rPr>
                <w:rFonts w:cs="Arial"/>
                <w:sz w:val="20"/>
                <w:szCs w:val="20"/>
              </w:rPr>
            </w:pPr>
            <w:r w:rsidRPr="00CB719A">
              <w:rPr>
                <w:rFonts w:cs="Arial"/>
                <w:sz w:val="20"/>
                <w:szCs w:val="20"/>
              </w:rPr>
              <w:t>Not quite achieved, but progress made towards this (up from 47% to 62%)</w:t>
            </w:r>
          </w:p>
        </w:tc>
      </w:tr>
      <w:tr w:rsidRPr="00D80C6C" w:rsidR="000C23EC" w:rsidTr="59460479" w14:paraId="56F926BB" w14:textId="33D75407">
        <w:tc>
          <w:tcPr>
            <w:tcW w:w="450" w:type="dxa"/>
            <w:tcMar/>
          </w:tcPr>
          <w:p w:rsidRPr="00CF6A49" w:rsidR="000C23EC" w:rsidRDefault="000C23EC" w14:paraId="45B7E87F" w14:textId="77777777">
            <w:pPr>
              <w:jc w:val="both"/>
              <w:rPr>
                <w:rFonts w:cs="Arial"/>
                <w:bCs/>
                <w:sz w:val="20"/>
                <w:szCs w:val="20"/>
              </w:rPr>
            </w:pPr>
            <w:r w:rsidRPr="00CF6A49">
              <w:rPr>
                <w:rFonts w:cs="Arial"/>
                <w:bCs/>
                <w:sz w:val="20"/>
                <w:szCs w:val="20"/>
              </w:rPr>
              <w:t>9</w:t>
            </w:r>
          </w:p>
        </w:tc>
        <w:tc>
          <w:tcPr>
            <w:tcW w:w="3245" w:type="dxa"/>
            <w:tcMar/>
          </w:tcPr>
          <w:p w:rsidRPr="00290369" w:rsidR="000C23EC" w:rsidRDefault="000C23EC" w14:paraId="3B5F38AA" w14:textId="77777777">
            <w:pPr>
              <w:jc w:val="both"/>
              <w:rPr>
                <w:rFonts w:cs="Arial"/>
                <w:bCs/>
                <w:sz w:val="20"/>
                <w:szCs w:val="20"/>
              </w:rPr>
            </w:pPr>
            <w:r w:rsidRPr="00290369">
              <w:rPr>
                <w:rFonts w:cs="Arial"/>
                <w:bCs/>
                <w:sz w:val="20"/>
                <w:szCs w:val="20"/>
              </w:rPr>
              <w:t>Knowledge Exchange in Leticia to take place with clear outcomes of learning shared amongst the REM jurisdictions and donors.</w:t>
            </w:r>
          </w:p>
        </w:tc>
        <w:tc>
          <w:tcPr>
            <w:tcW w:w="1264" w:type="dxa"/>
            <w:tcMar/>
          </w:tcPr>
          <w:p w:rsidRPr="00CB719A" w:rsidR="000C23EC" w:rsidRDefault="000C23EC" w14:paraId="4F0D9425" w14:textId="77777777">
            <w:pPr>
              <w:jc w:val="both"/>
              <w:rPr>
                <w:rFonts w:cs="Arial"/>
                <w:sz w:val="20"/>
                <w:szCs w:val="20"/>
              </w:rPr>
            </w:pPr>
            <w:r w:rsidRPr="00CB719A">
              <w:rPr>
                <w:rFonts w:cs="Arial"/>
                <w:sz w:val="20"/>
                <w:szCs w:val="20"/>
              </w:rPr>
              <w:t>February 2024</w:t>
            </w:r>
          </w:p>
        </w:tc>
        <w:tc>
          <w:tcPr>
            <w:tcW w:w="1106" w:type="dxa"/>
            <w:tcMar/>
          </w:tcPr>
          <w:p w:rsidRPr="00CB719A" w:rsidR="000C23EC" w:rsidRDefault="00B161EF" w14:paraId="2FD2688C" w14:textId="45CF19C6">
            <w:pPr>
              <w:jc w:val="both"/>
              <w:rPr>
                <w:rFonts w:cs="Arial"/>
                <w:sz w:val="20"/>
                <w:szCs w:val="20"/>
              </w:rPr>
            </w:pPr>
            <w:r w:rsidRPr="00CB719A">
              <w:rPr>
                <w:rFonts w:cs="Arial"/>
                <w:sz w:val="20"/>
                <w:szCs w:val="20"/>
              </w:rPr>
              <w:t>Y</w:t>
            </w:r>
          </w:p>
        </w:tc>
        <w:tc>
          <w:tcPr>
            <w:tcW w:w="3081" w:type="dxa"/>
            <w:tcMar/>
          </w:tcPr>
          <w:p w:rsidRPr="00057D14" w:rsidR="000C23EC" w:rsidRDefault="00B161EF" w14:paraId="66BF6DC0" w14:textId="7DB4AF82">
            <w:pPr>
              <w:jc w:val="both"/>
              <w:rPr>
                <w:rFonts w:cs="Arial"/>
                <w:sz w:val="20"/>
                <w:szCs w:val="20"/>
              </w:rPr>
            </w:pPr>
            <w:r w:rsidRPr="00057D14">
              <w:rPr>
                <w:rFonts w:cs="Arial"/>
                <w:sz w:val="20"/>
                <w:szCs w:val="20"/>
              </w:rPr>
              <w:t xml:space="preserve">Results and outcomes synthesised and shared with jurisdictions – next KE </w:t>
            </w:r>
            <w:r w:rsidRPr="00057D14" w:rsidR="00057D14">
              <w:rPr>
                <w:rFonts w:cs="Arial"/>
                <w:sz w:val="20"/>
                <w:szCs w:val="20"/>
              </w:rPr>
              <w:t xml:space="preserve">potentially in progress. </w:t>
            </w:r>
          </w:p>
        </w:tc>
      </w:tr>
      <w:tr w:rsidRPr="00D80C6C" w:rsidR="000C23EC" w:rsidTr="59460479" w14:paraId="15B329D8" w14:textId="3E36F8A4">
        <w:tc>
          <w:tcPr>
            <w:tcW w:w="450" w:type="dxa"/>
            <w:tcMar/>
          </w:tcPr>
          <w:p w:rsidRPr="00CF6A49" w:rsidR="000C23EC" w:rsidRDefault="000C23EC" w14:paraId="2F4FC53A" w14:textId="77777777">
            <w:pPr>
              <w:jc w:val="both"/>
              <w:rPr>
                <w:rFonts w:cs="Arial"/>
                <w:bCs/>
                <w:sz w:val="20"/>
                <w:szCs w:val="20"/>
              </w:rPr>
            </w:pPr>
            <w:r w:rsidRPr="00CF6A49">
              <w:rPr>
                <w:rFonts w:cs="Arial"/>
                <w:bCs/>
                <w:sz w:val="20"/>
                <w:szCs w:val="20"/>
              </w:rPr>
              <w:t>10</w:t>
            </w:r>
          </w:p>
        </w:tc>
        <w:tc>
          <w:tcPr>
            <w:tcW w:w="3245" w:type="dxa"/>
            <w:tcMar/>
          </w:tcPr>
          <w:p w:rsidRPr="00290369" w:rsidR="000C23EC" w:rsidRDefault="000C23EC" w14:paraId="224E0E20" w14:textId="77777777">
            <w:pPr>
              <w:jc w:val="both"/>
              <w:rPr>
                <w:rFonts w:cs="Arial"/>
                <w:bCs/>
                <w:sz w:val="20"/>
                <w:szCs w:val="20"/>
              </w:rPr>
            </w:pPr>
            <w:r w:rsidRPr="00290369">
              <w:rPr>
                <w:rFonts w:cs="Arial"/>
                <w:bCs/>
                <w:sz w:val="20"/>
                <w:szCs w:val="20"/>
              </w:rPr>
              <w:t>DESNZ to set up monitoring and align log frames to improve on reporting for Phase 2 of REM.</w:t>
            </w:r>
          </w:p>
          <w:p w:rsidRPr="00290369" w:rsidR="000C23EC" w:rsidRDefault="000C23EC" w14:paraId="2780A31D" w14:textId="77777777">
            <w:pPr>
              <w:jc w:val="both"/>
              <w:rPr>
                <w:rFonts w:cs="Arial"/>
                <w:bCs/>
                <w:sz w:val="20"/>
                <w:szCs w:val="20"/>
              </w:rPr>
            </w:pPr>
            <w:r w:rsidRPr="00290369">
              <w:rPr>
                <w:rFonts w:cs="Arial"/>
                <w:bCs/>
                <w:sz w:val="20"/>
                <w:szCs w:val="20"/>
              </w:rPr>
              <w:t xml:space="preserve">DESNZ to analyse data from Mato Grosso and all programmes to better report on the Indigenous pillar in REM 2.  </w:t>
            </w:r>
          </w:p>
        </w:tc>
        <w:tc>
          <w:tcPr>
            <w:tcW w:w="1264" w:type="dxa"/>
            <w:tcMar/>
          </w:tcPr>
          <w:p w:rsidRPr="000121DD" w:rsidR="000C23EC" w:rsidRDefault="000C23EC" w14:paraId="0CFE5FF0" w14:textId="77777777">
            <w:pPr>
              <w:jc w:val="both"/>
              <w:rPr>
                <w:rFonts w:cs="Arial"/>
                <w:sz w:val="20"/>
                <w:szCs w:val="20"/>
              </w:rPr>
            </w:pPr>
            <w:r w:rsidRPr="000121DD">
              <w:rPr>
                <w:rFonts w:cs="Arial"/>
                <w:sz w:val="20"/>
                <w:szCs w:val="20"/>
              </w:rPr>
              <w:t>June 2023</w:t>
            </w:r>
          </w:p>
        </w:tc>
        <w:tc>
          <w:tcPr>
            <w:tcW w:w="1106" w:type="dxa"/>
            <w:tcMar/>
          </w:tcPr>
          <w:p w:rsidRPr="000121DD" w:rsidR="000C23EC" w:rsidRDefault="00057D14" w14:paraId="482B1D5D" w14:textId="5E161136">
            <w:pPr>
              <w:jc w:val="both"/>
              <w:rPr>
                <w:rFonts w:cs="Arial"/>
                <w:sz w:val="20"/>
                <w:szCs w:val="20"/>
              </w:rPr>
            </w:pPr>
            <w:r w:rsidRPr="000121DD">
              <w:rPr>
                <w:rFonts w:cs="Arial"/>
                <w:sz w:val="20"/>
                <w:szCs w:val="20"/>
              </w:rPr>
              <w:t>N</w:t>
            </w:r>
          </w:p>
        </w:tc>
        <w:tc>
          <w:tcPr>
            <w:tcW w:w="3081" w:type="dxa"/>
            <w:tcMar/>
          </w:tcPr>
          <w:p w:rsidRPr="000121DD" w:rsidR="000C23EC" w:rsidRDefault="00CB719A" w14:paraId="5DED7262" w14:textId="0B549FEF">
            <w:pPr>
              <w:jc w:val="both"/>
              <w:rPr>
                <w:rFonts w:cs="Arial"/>
                <w:sz w:val="20"/>
                <w:szCs w:val="20"/>
              </w:rPr>
            </w:pPr>
            <w:r w:rsidRPr="000121DD">
              <w:rPr>
                <w:rFonts w:cs="Arial"/>
                <w:sz w:val="20"/>
                <w:szCs w:val="20"/>
              </w:rPr>
              <w:t xml:space="preserve">Not yet achieved due to delays with policy milestones </w:t>
            </w:r>
            <w:r w:rsidRPr="000121DD" w:rsidR="000121DD">
              <w:rPr>
                <w:rFonts w:cs="Arial"/>
                <w:sz w:val="20"/>
                <w:szCs w:val="20"/>
              </w:rPr>
              <w:t xml:space="preserve">meaning UK funding for Phase 2 has not yet been allocated – rolled over. </w:t>
            </w:r>
          </w:p>
        </w:tc>
      </w:tr>
      <w:tr w:rsidRPr="00D80C6C" w:rsidR="000C23EC" w:rsidTr="59460479" w14:paraId="173114AC" w14:textId="7DCFC503">
        <w:trPr>
          <w:trHeight w:val="1285"/>
        </w:trPr>
        <w:tc>
          <w:tcPr>
            <w:tcW w:w="450" w:type="dxa"/>
            <w:tcMar/>
          </w:tcPr>
          <w:p w:rsidRPr="00CF6A49" w:rsidR="000C23EC" w:rsidRDefault="000C23EC" w14:paraId="15590B07" w14:textId="77777777">
            <w:pPr>
              <w:jc w:val="both"/>
              <w:rPr>
                <w:rFonts w:cs="Arial"/>
                <w:bCs/>
                <w:sz w:val="20"/>
                <w:szCs w:val="20"/>
              </w:rPr>
            </w:pPr>
            <w:r w:rsidRPr="00CF6A49">
              <w:rPr>
                <w:rFonts w:cs="Arial"/>
                <w:bCs/>
                <w:sz w:val="20"/>
                <w:szCs w:val="20"/>
              </w:rPr>
              <w:t>11</w:t>
            </w:r>
          </w:p>
        </w:tc>
        <w:tc>
          <w:tcPr>
            <w:tcW w:w="3245" w:type="dxa"/>
            <w:tcMar/>
          </w:tcPr>
          <w:p w:rsidRPr="00290369" w:rsidR="000C23EC" w:rsidRDefault="000C23EC" w14:paraId="1408D0EE" w14:textId="77777777">
            <w:pPr>
              <w:jc w:val="both"/>
              <w:rPr>
                <w:rFonts w:cs="Arial"/>
                <w:bCs/>
                <w:sz w:val="20"/>
                <w:szCs w:val="20"/>
              </w:rPr>
            </w:pPr>
            <w:r w:rsidRPr="00290369">
              <w:rPr>
                <w:rFonts w:cs="Arial"/>
                <w:bCs/>
                <w:sz w:val="20"/>
                <w:szCs w:val="20"/>
              </w:rPr>
              <w:t xml:space="preserve">Share learning better across delays in delivery, ERs and benefits shared with other REDD+ Programmes and wider community. </w:t>
            </w:r>
          </w:p>
        </w:tc>
        <w:tc>
          <w:tcPr>
            <w:tcW w:w="1264" w:type="dxa"/>
            <w:tcMar/>
          </w:tcPr>
          <w:p w:rsidRPr="000121DD" w:rsidR="000C23EC" w:rsidRDefault="000C23EC" w14:paraId="3143F595" w14:textId="77777777">
            <w:pPr>
              <w:jc w:val="both"/>
              <w:rPr>
                <w:rFonts w:cs="Arial"/>
                <w:sz w:val="20"/>
                <w:szCs w:val="20"/>
              </w:rPr>
            </w:pPr>
            <w:r w:rsidRPr="000121DD">
              <w:rPr>
                <w:rFonts w:cs="Arial"/>
                <w:sz w:val="20"/>
                <w:szCs w:val="20"/>
              </w:rPr>
              <w:t>June 2024</w:t>
            </w:r>
          </w:p>
        </w:tc>
        <w:tc>
          <w:tcPr>
            <w:tcW w:w="1106" w:type="dxa"/>
            <w:tcMar/>
          </w:tcPr>
          <w:p w:rsidRPr="000121DD" w:rsidR="000C23EC" w:rsidRDefault="00E555C4" w14:paraId="18B34478" w14:textId="5751D2A9">
            <w:pPr>
              <w:jc w:val="both"/>
              <w:rPr>
                <w:rFonts w:cs="Arial"/>
                <w:sz w:val="20"/>
                <w:szCs w:val="20"/>
              </w:rPr>
            </w:pPr>
            <w:r>
              <w:rPr>
                <w:rFonts w:cs="Arial"/>
                <w:sz w:val="20"/>
                <w:szCs w:val="20"/>
              </w:rPr>
              <w:t xml:space="preserve">Partially achieved </w:t>
            </w:r>
          </w:p>
        </w:tc>
        <w:tc>
          <w:tcPr>
            <w:tcW w:w="3081" w:type="dxa"/>
            <w:tcMar/>
          </w:tcPr>
          <w:p w:rsidRPr="00E555C4" w:rsidR="000C23EC" w:rsidRDefault="00E555C4" w14:paraId="26C5FB61" w14:textId="29D9760D">
            <w:pPr>
              <w:jc w:val="both"/>
              <w:rPr>
                <w:rFonts w:cs="Arial"/>
                <w:sz w:val="20"/>
                <w:szCs w:val="20"/>
              </w:rPr>
            </w:pPr>
            <w:r w:rsidRPr="00E555C4">
              <w:rPr>
                <w:rFonts w:cs="Arial"/>
                <w:sz w:val="20"/>
                <w:szCs w:val="20"/>
              </w:rPr>
              <w:t xml:space="preserve">KfW to continue to </w:t>
            </w:r>
            <w:r w:rsidR="00F92D01">
              <w:rPr>
                <w:rFonts w:cs="Arial"/>
                <w:sz w:val="20"/>
                <w:szCs w:val="20"/>
              </w:rPr>
              <w:t xml:space="preserve">share </w:t>
            </w:r>
            <w:r w:rsidR="002F48A2">
              <w:rPr>
                <w:rFonts w:cs="Arial"/>
                <w:sz w:val="20"/>
                <w:szCs w:val="20"/>
              </w:rPr>
              <w:t>achievements</w:t>
            </w:r>
            <w:r w:rsidR="00F92D01">
              <w:rPr>
                <w:rFonts w:cs="Arial"/>
                <w:sz w:val="20"/>
                <w:szCs w:val="20"/>
              </w:rPr>
              <w:t xml:space="preserve"> and challenges as a progressed REDD+ programme. An action from the last annual </w:t>
            </w:r>
            <w:r w:rsidR="00D61DBF">
              <w:rPr>
                <w:rFonts w:cs="Arial"/>
                <w:sz w:val="20"/>
                <w:szCs w:val="20"/>
              </w:rPr>
              <w:t xml:space="preserve">donor meeting was to create a dashboard or website with all the results and information about REM, and this is being progressed </w:t>
            </w:r>
            <w:r w:rsidR="005017F8">
              <w:rPr>
                <w:rFonts w:cs="Arial"/>
                <w:sz w:val="20"/>
                <w:szCs w:val="20"/>
              </w:rPr>
              <w:t>during the next review period</w:t>
            </w:r>
            <w:r w:rsidR="00D61DBF">
              <w:rPr>
                <w:rFonts w:cs="Arial"/>
                <w:sz w:val="20"/>
                <w:szCs w:val="20"/>
              </w:rPr>
              <w:t xml:space="preserve">. </w:t>
            </w:r>
          </w:p>
        </w:tc>
      </w:tr>
      <w:tr w:rsidRPr="00D80C6C" w:rsidR="000C23EC" w:rsidTr="59460479" w14:paraId="5DDA24A6" w14:textId="50BDA0EF">
        <w:trPr>
          <w:trHeight w:val="645"/>
        </w:trPr>
        <w:tc>
          <w:tcPr>
            <w:tcW w:w="450" w:type="dxa"/>
            <w:tcMar/>
          </w:tcPr>
          <w:p w:rsidRPr="00CF6A49" w:rsidR="000C23EC" w:rsidRDefault="000C23EC" w14:paraId="50F2BF29" w14:textId="77777777">
            <w:pPr>
              <w:jc w:val="both"/>
              <w:rPr>
                <w:rFonts w:cs="Arial"/>
                <w:bCs/>
                <w:sz w:val="20"/>
                <w:szCs w:val="20"/>
              </w:rPr>
            </w:pPr>
            <w:r w:rsidRPr="00CF6A49">
              <w:rPr>
                <w:rFonts w:cs="Arial"/>
                <w:bCs/>
                <w:sz w:val="20"/>
                <w:szCs w:val="20"/>
              </w:rPr>
              <w:t>12</w:t>
            </w:r>
          </w:p>
        </w:tc>
        <w:tc>
          <w:tcPr>
            <w:tcW w:w="3245" w:type="dxa"/>
            <w:tcMar/>
          </w:tcPr>
          <w:p w:rsidRPr="00290369" w:rsidR="000C23EC" w:rsidRDefault="000C23EC" w14:paraId="0B9C55F9" w14:textId="77777777">
            <w:pPr>
              <w:jc w:val="both"/>
              <w:rPr>
                <w:rFonts w:cs="Arial"/>
                <w:bCs/>
                <w:sz w:val="20"/>
                <w:szCs w:val="20"/>
              </w:rPr>
            </w:pPr>
            <w:r w:rsidRPr="00290369">
              <w:rPr>
                <w:rFonts w:cs="Arial"/>
                <w:bCs/>
                <w:sz w:val="20"/>
                <w:szCs w:val="20"/>
              </w:rPr>
              <w:t xml:space="preserve">Sign and improve all agreements for Phase 2, cementing improved relationship with KfW and other implementors. </w:t>
            </w:r>
          </w:p>
        </w:tc>
        <w:tc>
          <w:tcPr>
            <w:tcW w:w="1264" w:type="dxa"/>
            <w:tcMar/>
          </w:tcPr>
          <w:p w:rsidRPr="000121DD" w:rsidR="000C23EC" w:rsidRDefault="000C23EC" w14:paraId="079AEF47" w14:textId="77777777">
            <w:pPr>
              <w:jc w:val="both"/>
              <w:rPr>
                <w:rFonts w:cs="Arial"/>
                <w:sz w:val="20"/>
                <w:szCs w:val="20"/>
              </w:rPr>
            </w:pPr>
            <w:r w:rsidRPr="000121DD">
              <w:rPr>
                <w:rFonts w:cs="Arial"/>
                <w:sz w:val="20"/>
                <w:szCs w:val="20"/>
              </w:rPr>
              <w:t>April 2024</w:t>
            </w:r>
          </w:p>
        </w:tc>
        <w:tc>
          <w:tcPr>
            <w:tcW w:w="1106" w:type="dxa"/>
            <w:tcMar/>
          </w:tcPr>
          <w:p w:rsidRPr="000121DD" w:rsidR="000C23EC" w:rsidRDefault="00057D14" w14:paraId="77A72525" w14:textId="0F9F244E">
            <w:pPr>
              <w:jc w:val="both"/>
              <w:rPr>
                <w:rFonts w:cs="Arial"/>
                <w:sz w:val="20"/>
                <w:szCs w:val="20"/>
              </w:rPr>
            </w:pPr>
            <w:r w:rsidRPr="000121DD">
              <w:rPr>
                <w:rFonts w:cs="Arial"/>
                <w:sz w:val="20"/>
                <w:szCs w:val="20"/>
              </w:rPr>
              <w:t>Y</w:t>
            </w:r>
          </w:p>
        </w:tc>
        <w:tc>
          <w:tcPr>
            <w:tcW w:w="3081" w:type="dxa"/>
            <w:tcMar/>
          </w:tcPr>
          <w:p w:rsidRPr="00057D14" w:rsidR="000C23EC" w:rsidRDefault="00057D14" w14:paraId="15D3E005" w14:textId="276141FE">
            <w:pPr>
              <w:jc w:val="both"/>
              <w:rPr>
                <w:rFonts w:cs="Arial"/>
                <w:sz w:val="20"/>
                <w:szCs w:val="20"/>
              </w:rPr>
            </w:pPr>
            <w:r w:rsidRPr="00057D14">
              <w:rPr>
                <w:rFonts w:cs="Arial"/>
                <w:sz w:val="20"/>
                <w:szCs w:val="20"/>
              </w:rPr>
              <w:t xml:space="preserve">Agreements signed for REM 2 in Colombia and Mato Grosso and overall quality of agreement improved. </w:t>
            </w:r>
          </w:p>
        </w:tc>
      </w:tr>
    </w:tbl>
    <w:p w:rsidR="00F07456" w:rsidP="00C23BB3" w:rsidRDefault="00F07456" w14:paraId="03FD327A" w14:textId="77777777"/>
    <w:p w:rsidRPr="00C23BB3" w:rsidR="00C23BB3" w:rsidP="00C23BB3" w:rsidRDefault="00C23BB3" w14:paraId="2A56A075" w14:textId="77777777"/>
    <w:p w:rsidR="00513080" w:rsidP="51BB3CA1" w:rsidRDefault="4280B332" w14:paraId="3E58BE86" w14:textId="631A6AC0">
      <w:pPr>
        <w:spacing w:after="160" w:line="259" w:lineRule="auto"/>
        <w:rPr>
          <w:b/>
          <w:bCs/>
          <w:i/>
          <w:iCs/>
        </w:rPr>
      </w:pPr>
      <w:bookmarkStart w:name="_Toc1569098174" w:id="16"/>
      <w:r w:rsidRPr="51BB3CA1">
        <w:rPr>
          <w:rStyle w:val="Heading2Char"/>
          <w:sz w:val="24"/>
          <w:szCs w:val="24"/>
        </w:rPr>
        <w:lastRenderedPageBreak/>
        <w:t>Major lessons and recommendations for the year ahead</w:t>
      </w:r>
      <w:bookmarkEnd w:id="16"/>
      <w:r w:rsidRPr="51BB3CA1">
        <w:rPr>
          <w:sz w:val="22"/>
          <w:szCs w:val="22"/>
        </w:rPr>
        <w:t xml:space="preserve"> </w:t>
      </w:r>
    </w:p>
    <w:tbl>
      <w:tblPr>
        <w:tblStyle w:val="TableGrid"/>
        <w:tblW w:w="9209" w:type="dxa"/>
        <w:tblLook w:val="04A0" w:firstRow="1" w:lastRow="0" w:firstColumn="1" w:lastColumn="0" w:noHBand="0" w:noVBand="1"/>
      </w:tblPr>
      <w:tblGrid>
        <w:gridCol w:w="1417"/>
        <w:gridCol w:w="6001"/>
        <w:gridCol w:w="1791"/>
      </w:tblGrid>
      <w:tr w:rsidRPr="00290369" w:rsidR="00752551" w:rsidTr="4D185046" w14:paraId="0128B983" w14:textId="77777777">
        <w:tc>
          <w:tcPr>
            <w:tcW w:w="1417" w:type="dxa"/>
            <w:shd w:val="clear" w:color="auto" w:fill="DEEAF6" w:themeFill="accent5" w:themeFillTint="33"/>
            <w:tcMar/>
          </w:tcPr>
          <w:p w:rsidRPr="00290369" w:rsidR="00752551" w:rsidRDefault="00752551" w14:paraId="722B495E" w14:textId="77777777">
            <w:pPr>
              <w:jc w:val="both"/>
              <w:rPr>
                <w:rFonts w:cs="Arial"/>
                <w:b/>
                <w:sz w:val="20"/>
                <w:szCs w:val="20"/>
              </w:rPr>
            </w:pPr>
          </w:p>
        </w:tc>
        <w:tc>
          <w:tcPr>
            <w:tcW w:w="6001" w:type="dxa"/>
            <w:shd w:val="clear" w:color="auto" w:fill="DEEAF6" w:themeFill="accent5" w:themeFillTint="33"/>
            <w:tcMar/>
          </w:tcPr>
          <w:p w:rsidRPr="00290369" w:rsidR="00752551" w:rsidRDefault="00752551" w14:paraId="01AA88B3" w14:textId="77777777">
            <w:pPr>
              <w:jc w:val="both"/>
              <w:rPr>
                <w:rFonts w:cs="Arial"/>
                <w:b/>
                <w:sz w:val="20"/>
                <w:szCs w:val="20"/>
              </w:rPr>
            </w:pPr>
            <w:r w:rsidRPr="00290369">
              <w:rPr>
                <w:rFonts w:cs="Arial"/>
                <w:b/>
                <w:sz w:val="20"/>
                <w:szCs w:val="20"/>
              </w:rPr>
              <w:t>Recommendation</w:t>
            </w:r>
          </w:p>
        </w:tc>
        <w:tc>
          <w:tcPr>
            <w:tcW w:w="1791" w:type="dxa"/>
            <w:shd w:val="clear" w:color="auto" w:fill="DEEAF6" w:themeFill="accent5" w:themeFillTint="33"/>
            <w:tcMar/>
          </w:tcPr>
          <w:p w:rsidRPr="00290369" w:rsidR="00752551" w:rsidRDefault="00752551" w14:paraId="064ADDB9" w14:textId="77777777">
            <w:pPr>
              <w:jc w:val="both"/>
              <w:rPr>
                <w:rFonts w:cs="Arial"/>
                <w:b/>
                <w:bCs/>
                <w:sz w:val="20"/>
                <w:szCs w:val="20"/>
              </w:rPr>
            </w:pPr>
            <w:r w:rsidRPr="00290369">
              <w:rPr>
                <w:rFonts w:cs="Arial"/>
                <w:b/>
                <w:bCs/>
                <w:sz w:val="20"/>
                <w:szCs w:val="20"/>
              </w:rPr>
              <w:t>Deadline</w:t>
            </w:r>
          </w:p>
        </w:tc>
      </w:tr>
      <w:tr w:rsidRPr="00290369" w:rsidR="00752551" w:rsidTr="4D185046" w14:paraId="60E877C2" w14:textId="77777777">
        <w:tc>
          <w:tcPr>
            <w:tcW w:w="1417" w:type="dxa"/>
            <w:tcMar/>
          </w:tcPr>
          <w:p w:rsidRPr="00CF6A49" w:rsidR="00752551" w:rsidRDefault="00752551" w14:paraId="12617CA6" w14:textId="77777777">
            <w:pPr>
              <w:jc w:val="both"/>
              <w:rPr>
                <w:rFonts w:cs="Arial"/>
                <w:bCs/>
                <w:sz w:val="20"/>
                <w:szCs w:val="20"/>
              </w:rPr>
            </w:pPr>
            <w:r w:rsidRPr="00CF6A49">
              <w:rPr>
                <w:rFonts w:cs="Arial"/>
                <w:bCs/>
                <w:sz w:val="20"/>
                <w:szCs w:val="20"/>
              </w:rPr>
              <w:t>1</w:t>
            </w:r>
          </w:p>
        </w:tc>
        <w:tc>
          <w:tcPr>
            <w:tcW w:w="6001" w:type="dxa"/>
            <w:tcMar/>
          </w:tcPr>
          <w:p w:rsidRPr="00BC60D7" w:rsidR="00752551" w:rsidP="00BC60D7" w:rsidRDefault="00752551" w14:paraId="537D90A8" w14:textId="6444E8E6">
            <w:pPr>
              <w:pStyle w:val="ListParagraph"/>
              <w:numPr>
                <w:ilvl w:val="0"/>
                <w:numId w:val="50"/>
              </w:numPr>
              <w:jc w:val="both"/>
              <w:rPr>
                <w:rFonts w:cs="Arial"/>
                <w:bCs/>
                <w:sz w:val="20"/>
              </w:rPr>
            </w:pPr>
            <w:r w:rsidRPr="00BC60D7">
              <w:rPr>
                <w:rFonts w:cs="Arial"/>
                <w:b/>
                <w:sz w:val="20"/>
              </w:rPr>
              <w:t>Rolled over:</w:t>
            </w:r>
            <w:r w:rsidRPr="00BC60D7">
              <w:rPr>
                <w:rFonts w:cs="Arial"/>
                <w:bCs/>
                <w:sz w:val="20"/>
              </w:rPr>
              <w:t xml:space="preserve"> REM Colombia: Finalise policy milestones for Phase 2</w:t>
            </w:r>
            <w:r w:rsidRPr="00BC60D7" w:rsidR="00FA51CA">
              <w:rPr>
                <w:rFonts w:cs="Arial"/>
                <w:bCs/>
                <w:sz w:val="20"/>
              </w:rPr>
              <w:t xml:space="preserve"> and make first disbursement for Phase 2</w:t>
            </w:r>
            <w:r w:rsidRPr="00BC60D7" w:rsidR="00EB56AA">
              <w:rPr>
                <w:rFonts w:cs="Arial"/>
                <w:bCs/>
                <w:sz w:val="20"/>
              </w:rPr>
              <w:t>.</w:t>
            </w:r>
          </w:p>
          <w:p w:rsidRPr="00863C10" w:rsidR="00863C10" w:rsidP="00863C10" w:rsidRDefault="00BC60D7" w14:paraId="40F79B04" w14:textId="54DB2D35">
            <w:pPr>
              <w:pStyle w:val="ListParagraph"/>
              <w:numPr>
                <w:ilvl w:val="0"/>
                <w:numId w:val="50"/>
              </w:numPr>
              <w:jc w:val="both"/>
              <w:rPr>
                <w:rFonts w:cs="Arial"/>
                <w:bCs/>
                <w:sz w:val="20"/>
              </w:rPr>
            </w:pPr>
            <w:r w:rsidRPr="00BC60D7">
              <w:rPr>
                <w:rFonts w:cs="Arial"/>
                <w:bCs/>
                <w:sz w:val="20"/>
              </w:rPr>
              <w:t>New recommendation: Work with GNU partners</w:t>
            </w:r>
            <w:r w:rsidR="0066662C">
              <w:rPr>
                <w:rFonts w:cs="Arial"/>
                <w:bCs/>
                <w:sz w:val="20"/>
              </w:rPr>
              <w:t xml:space="preserve">, </w:t>
            </w:r>
            <w:r w:rsidRPr="00BC60D7">
              <w:rPr>
                <w:rFonts w:cs="Arial"/>
                <w:bCs/>
                <w:sz w:val="20"/>
              </w:rPr>
              <w:t>GIZ</w:t>
            </w:r>
            <w:r w:rsidR="0066662C">
              <w:rPr>
                <w:rFonts w:cs="Arial"/>
                <w:bCs/>
                <w:sz w:val="20"/>
              </w:rPr>
              <w:t xml:space="preserve"> and KfW</w:t>
            </w:r>
            <w:r w:rsidRPr="00BC60D7">
              <w:rPr>
                <w:rFonts w:cs="Arial"/>
                <w:bCs/>
                <w:sz w:val="20"/>
              </w:rPr>
              <w:t xml:space="preserve"> to rectify challenges faced in making decisions on policy milestones in Colombia, and ensure joint way forward</w:t>
            </w:r>
            <w:r w:rsidR="00863C10">
              <w:rPr>
                <w:rFonts w:cs="Arial"/>
                <w:bCs/>
                <w:sz w:val="20"/>
              </w:rPr>
              <w:t xml:space="preserve">. </w:t>
            </w:r>
            <w:r w:rsidR="00243BBF">
              <w:rPr>
                <w:rFonts w:cs="Arial"/>
                <w:bCs/>
                <w:sz w:val="20"/>
              </w:rPr>
              <w:t>This may include the</w:t>
            </w:r>
            <w:r w:rsidR="00D8701B">
              <w:rPr>
                <w:rFonts w:cs="Arial"/>
                <w:bCs/>
                <w:sz w:val="20"/>
              </w:rPr>
              <w:t xml:space="preserve"> creat</w:t>
            </w:r>
            <w:r w:rsidR="00243BBF">
              <w:rPr>
                <w:rFonts w:cs="Arial"/>
                <w:bCs/>
                <w:sz w:val="20"/>
              </w:rPr>
              <w:t xml:space="preserve">ion of a </w:t>
            </w:r>
            <w:r w:rsidR="00D8701B">
              <w:rPr>
                <w:rFonts w:cs="Arial"/>
                <w:bCs/>
                <w:sz w:val="20"/>
              </w:rPr>
              <w:t>T</w:t>
            </w:r>
            <w:r w:rsidR="00243BBF">
              <w:rPr>
                <w:rFonts w:cs="Arial"/>
                <w:bCs/>
                <w:sz w:val="20"/>
              </w:rPr>
              <w:t xml:space="preserve">erms </w:t>
            </w:r>
            <w:r w:rsidR="00D8701B">
              <w:rPr>
                <w:rFonts w:cs="Arial"/>
                <w:bCs/>
                <w:sz w:val="20"/>
              </w:rPr>
              <w:t>o</w:t>
            </w:r>
            <w:r w:rsidR="00243BBF">
              <w:rPr>
                <w:rFonts w:cs="Arial"/>
                <w:bCs/>
                <w:sz w:val="20"/>
              </w:rPr>
              <w:t>f Reference</w:t>
            </w:r>
            <w:r w:rsidR="00D8701B">
              <w:rPr>
                <w:rFonts w:cs="Arial"/>
                <w:bCs/>
                <w:sz w:val="20"/>
              </w:rPr>
              <w:t xml:space="preserve">. </w:t>
            </w:r>
          </w:p>
        </w:tc>
        <w:tc>
          <w:tcPr>
            <w:tcW w:w="1791" w:type="dxa"/>
            <w:tcMar/>
          </w:tcPr>
          <w:p w:rsidRPr="00290369" w:rsidR="00752551" w:rsidRDefault="00752551" w14:paraId="7602B50C" w14:textId="6A53F5F9">
            <w:pPr>
              <w:jc w:val="both"/>
              <w:rPr>
                <w:rFonts w:cs="Arial"/>
                <w:i/>
                <w:iCs/>
                <w:sz w:val="20"/>
                <w:szCs w:val="20"/>
              </w:rPr>
            </w:pPr>
            <w:r w:rsidRPr="00290369">
              <w:rPr>
                <w:rFonts w:cs="Arial"/>
                <w:i/>
                <w:iCs/>
                <w:sz w:val="20"/>
                <w:szCs w:val="20"/>
              </w:rPr>
              <w:t>February 202</w:t>
            </w:r>
            <w:r w:rsidR="00CE6515">
              <w:rPr>
                <w:rFonts w:cs="Arial"/>
                <w:i/>
                <w:iCs/>
                <w:sz w:val="20"/>
                <w:szCs w:val="20"/>
              </w:rPr>
              <w:t>5</w:t>
            </w:r>
          </w:p>
        </w:tc>
      </w:tr>
      <w:tr w:rsidRPr="00290369" w:rsidR="00752551" w:rsidTr="4D185046" w14:paraId="405000E2" w14:textId="77777777">
        <w:tc>
          <w:tcPr>
            <w:tcW w:w="1417" w:type="dxa"/>
            <w:tcMar/>
          </w:tcPr>
          <w:p w:rsidRPr="00CF6A49" w:rsidR="00752551" w:rsidRDefault="00752551" w14:paraId="5147249E" w14:textId="77777777">
            <w:pPr>
              <w:jc w:val="both"/>
              <w:rPr>
                <w:rFonts w:cs="Arial"/>
                <w:bCs/>
                <w:sz w:val="20"/>
                <w:szCs w:val="20"/>
              </w:rPr>
            </w:pPr>
            <w:r w:rsidRPr="00CF6A49">
              <w:rPr>
                <w:rFonts w:cs="Arial"/>
                <w:bCs/>
                <w:sz w:val="20"/>
                <w:szCs w:val="20"/>
              </w:rPr>
              <w:t>2</w:t>
            </w:r>
          </w:p>
        </w:tc>
        <w:tc>
          <w:tcPr>
            <w:tcW w:w="6001" w:type="dxa"/>
            <w:tcMar/>
          </w:tcPr>
          <w:p w:rsidRPr="00290369" w:rsidR="00752551" w:rsidRDefault="00752551" w14:paraId="3154A4C1" w14:textId="5F20F8BF">
            <w:pPr>
              <w:jc w:val="both"/>
              <w:rPr>
                <w:rFonts w:cs="Arial"/>
                <w:sz w:val="20"/>
                <w:szCs w:val="20"/>
              </w:rPr>
            </w:pPr>
            <w:r w:rsidRPr="00BE5039">
              <w:rPr>
                <w:rFonts w:cs="Arial"/>
                <w:b/>
                <w:bCs/>
                <w:sz w:val="20"/>
                <w:szCs w:val="20"/>
              </w:rPr>
              <w:t>Rolled over:</w:t>
            </w:r>
            <w:r>
              <w:rPr>
                <w:rFonts w:cs="Arial"/>
                <w:sz w:val="20"/>
                <w:szCs w:val="20"/>
              </w:rPr>
              <w:t xml:space="preserve"> </w:t>
            </w:r>
            <w:r w:rsidRPr="1340296B">
              <w:rPr>
                <w:rFonts w:cs="Arial"/>
                <w:sz w:val="20"/>
                <w:szCs w:val="20"/>
              </w:rPr>
              <w:t xml:space="preserve">REM Colombia: Close all accounts and financial reporting, shared with donors, and all remaining funding transferred into REM 2. </w:t>
            </w:r>
          </w:p>
        </w:tc>
        <w:tc>
          <w:tcPr>
            <w:tcW w:w="1791" w:type="dxa"/>
            <w:tcMar/>
          </w:tcPr>
          <w:p w:rsidRPr="00290369" w:rsidR="00752551" w:rsidRDefault="00752551" w14:paraId="17415469" w14:textId="3630BC8B">
            <w:pPr>
              <w:jc w:val="both"/>
              <w:rPr>
                <w:rFonts w:cs="Arial"/>
                <w:i/>
                <w:iCs/>
                <w:sz w:val="20"/>
                <w:szCs w:val="20"/>
              </w:rPr>
            </w:pPr>
            <w:r w:rsidRPr="578D5448">
              <w:rPr>
                <w:rFonts w:cs="Arial"/>
                <w:i/>
                <w:iCs/>
                <w:sz w:val="20"/>
                <w:szCs w:val="20"/>
              </w:rPr>
              <w:t>February 202</w:t>
            </w:r>
            <w:r w:rsidR="00CE6515">
              <w:rPr>
                <w:rFonts w:cs="Arial"/>
                <w:i/>
                <w:iCs/>
                <w:sz w:val="20"/>
                <w:szCs w:val="20"/>
              </w:rPr>
              <w:t>5</w:t>
            </w:r>
          </w:p>
        </w:tc>
      </w:tr>
      <w:tr w:rsidRPr="00290369" w:rsidR="00752551" w:rsidTr="4D185046" w14:paraId="507ABDE2" w14:textId="77777777">
        <w:tc>
          <w:tcPr>
            <w:tcW w:w="1417" w:type="dxa"/>
            <w:tcMar/>
          </w:tcPr>
          <w:p w:rsidRPr="00CF6A49" w:rsidR="00752551" w:rsidRDefault="003F6838" w14:paraId="6CE8CB0F" w14:textId="59D22CB6">
            <w:pPr>
              <w:jc w:val="both"/>
              <w:rPr>
                <w:rFonts w:cs="Arial"/>
                <w:bCs/>
                <w:sz w:val="20"/>
                <w:szCs w:val="20"/>
              </w:rPr>
            </w:pPr>
            <w:r>
              <w:rPr>
                <w:rFonts w:cs="Arial"/>
                <w:bCs/>
                <w:sz w:val="20"/>
                <w:szCs w:val="20"/>
              </w:rPr>
              <w:t>3</w:t>
            </w:r>
          </w:p>
        </w:tc>
        <w:tc>
          <w:tcPr>
            <w:tcW w:w="6001" w:type="dxa"/>
            <w:tcMar/>
          </w:tcPr>
          <w:p w:rsidR="00752551" w:rsidP="5F05529F" w:rsidRDefault="00752551" w14:paraId="0A6FCA6F" w14:textId="247743FF">
            <w:pPr>
              <w:jc w:val="both"/>
              <w:rPr>
                <w:rFonts w:cs="Arial"/>
                <w:sz w:val="20"/>
                <w:szCs w:val="20"/>
              </w:rPr>
            </w:pPr>
            <w:r w:rsidRPr="5F05529F">
              <w:rPr>
                <w:rFonts w:cs="Arial"/>
                <w:sz w:val="20"/>
                <w:szCs w:val="20"/>
              </w:rPr>
              <w:t xml:space="preserve">REM Colombia: </w:t>
            </w:r>
            <w:r w:rsidRPr="5F05529F" w:rsidR="00243BBF">
              <w:rPr>
                <w:rFonts w:cs="Arial"/>
                <w:sz w:val="20"/>
                <w:szCs w:val="20"/>
              </w:rPr>
              <w:t>Complete</w:t>
            </w:r>
            <w:r w:rsidRPr="5F05529F" w:rsidR="44F4E0DE">
              <w:rPr>
                <w:rFonts w:cs="Arial"/>
                <w:sz w:val="20"/>
                <w:szCs w:val="20"/>
              </w:rPr>
              <w:t xml:space="preserve"> the </w:t>
            </w:r>
            <w:r w:rsidRPr="5F05529F" w:rsidR="00243BBF">
              <w:rPr>
                <w:rFonts w:cs="Arial"/>
                <w:sz w:val="20"/>
                <w:szCs w:val="20"/>
              </w:rPr>
              <w:t>consultation</w:t>
            </w:r>
            <w:r w:rsidRPr="5F05529F" w:rsidR="44F4E0DE">
              <w:rPr>
                <w:rFonts w:cs="Arial"/>
                <w:sz w:val="20"/>
                <w:szCs w:val="20"/>
              </w:rPr>
              <w:t xml:space="preserve"> with Indigenous Peoples. </w:t>
            </w:r>
          </w:p>
          <w:p w:rsidR="00752551" w:rsidRDefault="44F4E0DE" w14:paraId="39C2E806" w14:textId="7372444B">
            <w:pPr>
              <w:jc w:val="both"/>
              <w:rPr>
                <w:rFonts w:cs="Arial"/>
                <w:sz w:val="20"/>
                <w:szCs w:val="20"/>
              </w:rPr>
            </w:pPr>
            <w:r w:rsidRPr="5F05529F">
              <w:rPr>
                <w:rFonts w:cs="Arial"/>
                <w:sz w:val="20"/>
                <w:szCs w:val="20"/>
              </w:rPr>
              <w:t>Carry out the</w:t>
            </w:r>
            <w:r w:rsidRPr="5F05529F" w:rsidR="00BE0C8A">
              <w:rPr>
                <w:rFonts w:cs="Arial"/>
                <w:sz w:val="20"/>
                <w:szCs w:val="20"/>
              </w:rPr>
              <w:t xml:space="preserve"> </w:t>
            </w:r>
            <w:r w:rsidRPr="5F05529F" w:rsidR="7FC926AC">
              <w:rPr>
                <w:rFonts w:cs="Arial"/>
                <w:sz w:val="20"/>
                <w:szCs w:val="20"/>
              </w:rPr>
              <w:t>4</w:t>
            </w:r>
            <w:r w:rsidRPr="5F05529F" w:rsidR="00752551">
              <w:rPr>
                <w:rFonts w:cs="Arial"/>
                <w:sz w:val="20"/>
                <w:szCs w:val="20"/>
              </w:rPr>
              <w:t>th Call for Proposals under REM 2</w:t>
            </w:r>
            <w:r w:rsidRPr="5F05529F" w:rsidR="00EB56AA">
              <w:rPr>
                <w:rFonts w:cs="Arial"/>
                <w:sz w:val="20"/>
                <w:szCs w:val="20"/>
              </w:rPr>
              <w:t>.</w:t>
            </w:r>
            <w:r w:rsidRPr="5F05529F" w:rsidR="00752551">
              <w:rPr>
                <w:rFonts w:cs="Arial"/>
                <w:sz w:val="20"/>
                <w:szCs w:val="20"/>
              </w:rPr>
              <w:t xml:space="preserve"> </w:t>
            </w:r>
          </w:p>
        </w:tc>
        <w:tc>
          <w:tcPr>
            <w:tcW w:w="1791" w:type="dxa"/>
            <w:tcMar/>
          </w:tcPr>
          <w:p w:rsidRPr="578D5448" w:rsidR="00752551" w:rsidP="5F05529F" w:rsidRDefault="003F6838" w14:paraId="5C6EABE3" w14:textId="24C974F6">
            <w:pPr>
              <w:jc w:val="both"/>
              <w:rPr>
                <w:rFonts w:cs="Arial"/>
                <w:i/>
                <w:iCs/>
                <w:sz w:val="20"/>
                <w:szCs w:val="20"/>
              </w:rPr>
            </w:pPr>
            <w:r w:rsidRPr="5F05529F">
              <w:rPr>
                <w:rFonts w:cs="Arial"/>
                <w:i/>
                <w:iCs/>
                <w:sz w:val="20"/>
                <w:szCs w:val="20"/>
              </w:rPr>
              <w:t xml:space="preserve">March 2025 </w:t>
            </w:r>
          </w:p>
          <w:p w:rsidRPr="578D5448" w:rsidR="00752551" w:rsidP="5F05529F" w:rsidRDefault="00752551" w14:paraId="6639B9BF" w14:textId="3E8FDDC0">
            <w:pPr>
              <w:jc w:val="both"/>
              <w:rPr>
                <w:rFonts w:cs="Arial"/>
                <w:i/>
                <w:iCs/>
                <w:sz w:val="20"/>
                <w:szCs w:val="20"/>
              </w:rPr>
            </w:pPr>
          </w:p>
          <w:p w:rsidRPr="578D5448" w:rsidR="00752551" w:rsidP="5F05529F" w:rsidRDefault="6F15ABFE" w14:paraId="054C057A" w14:textId="0FC8BB7B">
            <w:pPr>
              <w:jc w:val="both"/>
              <w:rPr>
                <w:rFonts w:cs="Arial"/>
                <w:i/>
                <w:iCs/>
                <w:sz w:val="20"/>
                <w:szCs w:val="20"/>
              </w:rPr>
            </w:pPr>
            <w:r w:rsidRPr="5F05529F">
              <w:rPr>
                <w:rFonts w:cs="Arial"/>
                <w:i/>
                <w:iCs/>
                <w:sz w:val="20"/>
                <w:szCs w:val="20"/>
              </w:rPr>
              <w:t>January 2025</w:t>
            </w:r>
          </w:p>
        </w:tc>
      </w:tr>
      <w:tr w:rsidRPr="00752551" w:rsidR="00752551" w:rsidTr="4D185046" w14:paraId="00804F20" w14:textId="77777777">
        <w:tc>
          <w:tcPr>
            <w:tcW w:w="1417" w:type="dxa"/>
            <w:tcMar/>
          </w:tcPr>
          <w:p w:rsidRPr="00CF6A49" w:rsidR="00752551" w:rsidRDefault="003F6838" w14:paraId="17EDCACE" w14:textId="6F0A2791">
            <w:pPr>
              <w:jc w:val="both"/>
              <w:rPr>
                <w:rFonts w:cs="Arial"/>
                <w:bCs/>
                <w:sz w:val="20"/>
                <w:szCs w:val="20"/>
              </w:rPr>
            </w:pPr>
            <w:r>
              <w:rPr>
                <w:rFonts w:cs="Arial"/>
                <w:bCs/>
                <w:sz w:val="20"/>
                <w:szCs w:val="20"/>
              </w:rPr>
              <w:t>4</w:t>
            </w:r>
          </w:p>
        </w:tc>
        <w:tc>
          <w:tcPr>
            <w:tcW w:w="6001" w:type="dxa"/>
            <w:tcMar/>
          </w:tcPr>
          <w:p w:rsidRPr="00752551" w:rsidR="00752551" w:rsidRDefault="00752551" w14:paraId="1889EF38" w14:textId="1CA3CF19">
            <w:pPr>
              <w:jc w:val="both"/>
              <w:rPr>
                <w:rFonts w:cs="Arial"/>
                <w:sz w:val="20"/>
                <w:szCs w:val="20"/>
              </w:rPr>
            </w:pPr>
            <w:r w:rsidRPr="00752551">
              <w:rPr>
                <w:rFonts w:cs="Arial"/>
                <w:sz w:val="20"/>
                <w:szCs w:val="20"/>
              </w:rPr>
              <w:t>REM Mato Grosso to complete the p</w:t>
            </w:r>
            <w:r>
              <w:rPr>
                <w:rFonts w:cs="Arial"/>
                <w:sz w:val="20"/>
                <w:szCs w:val="20"/>
              </w:rPr>
              <w:t xml:space="preserve">rogramme under REM 1 and move over projects and funding to new FI and REM 2. </w:t>
            </w:r>
          </w:p>
        </w:tc>
        <w:tc>
          <w:tcPr>
            <w:tcW w:w="1791" w:type="dxa"/>
            <w:tcMar/>
          </w:tcPr>
          <w:p w:rsidRPr="00752551" w:rsidR="00752551" w:rsidP="5F05529F" w:rsidRDefault="747FBA3B" w14:paraId="7EAAFB86" w14:textId="22AEB836">
            <w:pPr>
              <w:jc w:val="both"/>
              <w:rPr>
                <w:rFonts w:cs="Arial"/>
                <w:i/>
                <w:iCs/>
                <w:sz w:val="20"/>
                <w:szCs w:val="20"/>
              </w:rPr>
            </w:pPr>
            <w:r w:rsidRPr="5F05529F">
              <w:rPr>
                <w:rFonts w:cs="Arial"/>
                <w:i/>
                <w:iCs/>
                <w:sz w:val="20"/>
                <w:szCs w:val="20"/>
              </w:rPr>
              <w:t xml:space="preserve">June </w:t>
            </w:r>
            <w:r w:rsidRPr="5F05529F" w:rsidR="003F6838">
              <w:rPr>
                <w:rFonts w:cs="Arial"/>
                <w:i/>
                <w:iCs/>
                <w:sz w:val="20"/>
                <w:szCs w:val="20"/>
              </w:rPr>
              <w:t>2025</w:t>
            </w:r>
          </w:p>
        </w:tc>
      </w:tr>
      <w:tr w:rsidRPr="00752551" w:rsidR="007A51D1" w:rsidTr="4D185046" w14:paraId="77029F5B" w14:textId="77777777">
        <w:tc>
          <w:tcPr>
            <w:tcW w:w="1417" w:type="dxa"/>
            <w:tcMar/>
          </w:tcPr>
          <w:p w:rsidR="007A51D1" w:rsidP="5F05529F" w:rsidRDefault="791E1E9D" w14:paraId="4B8E0F2B" w14:textId="61167519">
            <w:pPr>
              <w:jc w:val="both"/>
              <w:rPr>
                <w:rFonts w:cs="Arial"/>
                <w:sz w:val="20"/>
                <w:szCs w:val="20"/>
              </w:rPr>
            </w:pPr>
            <w:r w:rsidRPr="5F05529F">
              <w:rPr>
                <w:rFonts w:cs="Arial"/>
                <w:sz w:val="20"/>
                <w:szCs w:val="20"/>
              </w:rPr>
              <w:t>5</w:t>
            </w:r>
          </w:p>
        </w:tc>
        <w:tc>
          <w:tcPr>
            <w:tcW w:w="6001" w:type="dxa"/>
            <w:tcMar/>
          </w:tcPr>
          <w:p w:rsidRPr="005C01D3" w:rsidR="007A51D1" w:rsidP="007A51D1" w:rsidRDefault="007A51D1" w14:paraId="23E8CF05" w14:textId="031C90E8">
            <w:pPr>
              <w:jc w:val="both"/>
              <w:rPr>
                <w:rFonts w:cs="Arial"/>
                <w:sz w:val="20"/>
              </w:rPr>
            </w:pPr>
            <w:r w:rsidRPr="007A51D1">
              <w:rPr>
                <w:rFonts w:cs="Arial"/>
                <w:sz w:val="20"/>
              </w:rPr>
              <w:t xml:space="preserve">Mato Grosso to implement the recommendations to improving the safeguarding systems to the final year of Phase 1 and into Phase 2. </w:t>
            </w:r>
          </w:p>
        </w:tc>
        <w:tc>
          <w:tcPr>
            <w:tcW w:w="1791" w:type="dxa"/>
            <w:tcMar/>
          </w:tcPr>
          <w:p w:rsidR="007A51D1" w:rsidRDefault="005B2400" w14:paraId="355AC9F6" w14:textId="7F4B92E8">
            <w:pPr>
              <w:jc w:val="both"/>
              <w:rPr>
                <w:rFonts w:cs="Arial"/>
                <w:i/>
                <w:iCs/>
                <w:sz w:val="20"/>
                <w:szCs w:val="20"/>
              </w:rPr>
            </w:pPr>
            <w:r>
              <w:rPr>
                <w:rFonts w:cs="Arial"/>
                <w:i/>
                <w:iCs/>
                <w:sz w:val="20"/>
                <w:szCs w:val="20"/>
              </w:rPr>
              <w:t>June 2025</w:t>
            </w:r>
          </w:p>
        </w:tc>
      </w:tr>
      <w:tr w:rsidRPr="00752551" w:rsidR="00CE6515" w:rsidTr="4D185046" w14:paraId="54910229" w14:textId="77777777">
        <w:tc>
          <w:tcPr>
            <w:tcW w:w="1417" w:type="dxa"/>
            <w:tcMar/>
          </w:tcPr>
          <w:p w:rsidRPr="00CF6A49" w:rsidR="00CE6515" w:rsidP="5F05529F" w:rsidRDefault="6A9953C1" w14:paraId="33F27F0B" w14:textId="291AF032">
            <w:pPr>
              <w:jc w:val="both"/>
              <w:rPr>
                <w:rFonts w:cs="Arial"/>
                <w:sz w:val="20"/>
                <w:szCs w:val="20"/>
              </w:rPr>
            </w:pPr>
            <w:r w:rsidRPr="5F05529F">
              <w:rPr>
                <w:rFonts w:cs="Arial"/>
                <w:sz w:val="20"/>
                <w:szCs w:val="20"/>
              </w:rPr>
              <w:t>6</w:t>
            </w:r>
          </w:p>
        </w:tc>
        <w:tc>
          <w:tcPr>
            <w:tcW w:w="6001" w:type="dxa"/>
            <w:tcMar/>
          </w:tcPr>
          <w:p w:rsidR="00CE6515" w:rsidRDefault="00CE6515" w14:paraId="7900853C" w14:textId="6FB2A923">
            <w:pPr>
              <w:jc w:val="both"/>
              <w:rPr>
                <w:rFonts w:cs="Arial"/>
                <w:sz w:val="20"/>
                <w:szCs w:val="20"/>
              </w:rPr>
            </w:pPr>
            <w:r>
              <w:rPr>
                <w:rFonts w:cs="Arial"/>
                <w:sz w:val="20"/>
                <w:szCs w:val="20"/>
              </w:rPr>
              <w:t xml:space="preserve">DESNZ to extend programme in Acre </w:t>
            </w:r>
            <w:r w:rsidR="009B4FFA">
              <w:rPr>
                <w:rFonts w:cs="Arial"/>
                <w:sz w:val="20"/>
                <w:szCs w:val="20"/>
              </w:rPr>
              <w:t xml:space="preserve">until 2026 to allow for implementation of new </w:t>
            </w:r>
            <w:r w:rsidRPr="18FF176C" w:rsidR="2904E39D">
              <w:rPr>
                <w:rFonts w:cs="Arial"/>
                <w:sz w:val="20"/>
                <w:szCs w:val="20"/>
              </w:rPr>
              <w:t>Programme Investment Plan from 2024-2026</w:t>
            </w:r>
            <w:r w:rsidRPr="18FF176C" w:rsidR="009B4FFA">
              <w:rPr>
                <w:rFonts w:cs="Arial"/>
                <w:sz w:val="20"/>
                <w:szCs w:val="20"/>
              </w:rPr>
              <w:t xml:space="preserve">. </w:t>
            </w:r>
          </w:p>
        </w:tc>
        <w:tc>
          <w:tcPr>
            <w:tcW w:w="1791" w:type="dxa"/>
            <w:tcMar/>
          </w:tcPr>
          <w:p w:rsidR="00CE6515" w:rsidRDefault="00420C4D" w14:paraId="24045080" w14:textId="25B107CD">
            <w:pPr>
              <w:jc w:val="both"/>
              <w:rPr>
                <w:rFonts w:cs="Arial"/>
                <w:i/>
                <w:iCs/>
                <w:sz w:val="20"/>
                <w:szCs w:val="20"/>
              </w:rPr>
            </w:pPr>
            <w:r>
              <w:rPr>
                <w:rFonts w:cs="Arial"/>
                <w:i/>
                <w:iCs/>
                <w:sz w:val="20"/>
                <w:szCs w:val="20"/>
              </w:rPr>
              <w:t xml:space="preserve">March 2025 </w:t>
            </w:r>
          </w:p>
        </w:tc>
      </w:tr>
      <w:tr w:rsidRPr="00752551" w:rsidR="00FA51CA" w:rsidTr="4D185046" w14:paraId="04D4CD49" w14:textId="77777777">
        <w:tc>
          <w:tcPr>
            <w:tcW w:w="1417" w:type="dxa"/>
            <w:tcMar/>
          </w:tcPr>
          <w:p w:rsidRPr="00CF6A49" w:rsidR="00FA51CA" w:rsidP="5F05529F" w:rsidRDefault="30341DF7" w14:paraId="46115EE4" w14:textId="46A32D89">
            <w:pPr>
              <w:jc w:val="both"/>
              <w:rPr>
                <w:rFonts w:cs="Arial"/>
                <w:sz w:val="20"/>
                <w:szCs w:val="20"/>
              </w:rPr>
            </w:pPr>
            <w:r w:rsidRPr="5F05529F">
              <w:rPr>
                <w:rFonts w:cs="Arial"/>
                <w:sz w:val="20"/>
                <w:szCs w:val="20"/>
              </w:rPr>
              <w:t>7</w:t>
            </w:r>
          </w:p>
        </w:tc>
        <w:tc>
          <w:tcPr>
            <w:tcW w:w="6001" w:type="dxa"/>
            <w:tcMar/>
          </w:tcPr>
          <w:p w:rsidR="00FA51CA" w:rsidRDefault="00FA51CA" w14:paraId="237230BD" w14:textId="79EFD457">
            <w:pPr>
              <w:jc w:val="both"/>
              <w:rPr>
                <w:rFonts w:cs="Arial"/>
                <w:sz w:val="20"/>
                <w:szCs w:val="20"/>
              </w:rPr>
            </w:pPr>
            <w:r>
              <w:rPr>
                <w:rFonts w:cs="Arial"/>
                <w:sz w:val="20"/>
                <w:szCs w:val="20"/>
              </w:rPr>
              <w:t xml:space="preserve">DESNZ, KfW and REM Vision Amazonia to agree on </w:t>
            </w:r>
            <w:r w:rsidR="00CE6515">
              <w:rPr>
                <w:rFonts w:cs="Arial"/>
                <w:sz w:val="20"/>
                <w:szCs w:val="20"/>
              </w:rPr>
              <w:t>log frame indicators to include UK contribution in REM 2 Colombia</w:t>
            </w:r>
            <w:r w:rsidR="005C01D3">
              <w:rPr>
                <w:rFonts w:cs="Arial"/>
                <w:sz w:val="20"/>
                <w:szCs w:val="20"/>
              </w:rPr>
              <w:t>.</w:t>
            </w:r>
          </w:p>
        </w:tc>
        <w:tc>
          <w:tcPr>
            <w:tcW w:w="1791" w:type="dxa"/>
            <w:tcMar/>
          </w:tcPr>
          <w:p w:rsidRPr="00752551" w:rsidR="00FA51CA" w:rsidRDefault="00CE6515" w14:paraId="6EC48951" w14:textId="2B17EED0">
            <w:pPr>
              <w:jc w:val="both"/>
              <w:rPr>
                <w:rFonts w:cs="Arial"/>
                <w:i/>
                <w:iCs/>
                <w:sz w:val="20"/>
                <w:szCs w:val="20"/>
              </w:rPr>
            </w:pPr>
            <w:r>
              <w:rPr>
                <w:rFonts w:cs="Arial"/>
                <w:i/>
                <w:iCs/>
                <w:sz w:val="20"/>
                <w:szCs w:val="20"/>
              </w:rPr>
              <w:t>March 2025</w:t>
            </w:r>
          </w:p>
        </w:tc>
      </w:tr>
      <w:tr w:rsidRPr="00752551" w:rsidR="00C2585F" w:rsidTr="4D185046" w14:paraId="3610BD1F" w14:textId="77777777">
        <w:tc>
          <w:tcPr>
            <w:tcW w:w="1417" w:type="dxa"/>
            <w:tcMar/>
          </w:tcPr>
          <w:p w:rsidR="00C2585F" w:rsidP="5F05529F" w:rsidRDefault="61E8F984" w14:paraId="1F7E2161" w14:textId="236BA412">
            <w:pPr>
              <w:jc w:val="both"/>
              <w:rPr>
                <w:rFonts w:cs="Arial"/>
                <w:sz w:val="20"/>
                <w:szCs w:val="20"/>
              </w:rPr>
            </w:pPr>
            <w:r w:rsidRPr="5F05529F">
              <w:rPr>
                <w:rFonts w:cs="Arial"/>
                <w:sz w:val="20"/>
                <w:szCs w:val="20"/>
              </w:rPr>
              <w:t>8</w:t>
            </w:r>
          </w:p>
        </w:tc>
        <w:tc>
          <w:tcPr>
            <w:tcW w:w="6001" w:type="dxa"/>
            <w:tcMar/>
          </w:tcPr>
          <w:p w:rsidRPr="006E1A38" w:rsidR="00C2585F" w:rsidRDefault="00C2585F" w14:paraId="44D3561D" w14:textId="23BA2DA0">
            <w:pPr>
              <w:jc w:val="both"/>
              <w:rPr>
                <w:rFonts w:cs="Arial"/>
                <w:sz w:val="22"/>
                <w:szCs w:val="22"/>
              </w:rPr>
            </w:pPr>
            <w:r w:rsidRPr="00C2585F">
              <w:rPr>
                <w:rFonts w:cs="Arial"/>
                <w:sz w:val="20"/>
              </w:rPr>
              <w:t xml:space="preserve">Mato Grosso to continue solving the issue with FEPOIMT and decide how the organisation will be involved in Phase 2. </w:t>
            </w:r>
          </w:p>
        </w:tc>
        <w:tc>
          <w:tcPr>
            <w:tcW w:w="1791" w:type="dxa"/>
            <w:tcMar/>
          </w:tcPr>
          <w:p w:rsidR="00C2585F" w:rsidRDefault="00BE5039" w14:paraId="7A9B6222" w14:textId="2EE0A822">
            <w:pPr>
              <w:jc w:val="both"/>
              <w:rPr>
                <w:rFonts w:cs="Arial"/>
                <w:i/>
                <w:iCs/>
                <w:sz w:val="20"/>
                <w:szCs w:val="20"/>
              </w:rPr>
            </w:pPr>
            <w:r>
              <w:rPr>
                <w:rFonts w:cs="Arial"/>
                <w:i/>
                <w:iCs/>
                <w:sz w:val="20"/>
                <w:szCs w:val="20"/>
              </w:rPr>
              <w:t xml:space="preserve">July 2025 </w:t>
            </w:r>
          </w:p>
        </w:tc>
      </w:tr>
      <w:tr w:rsidRPr="00752551" w:rsidR="00FA51CA" w:rsidTr="4D185046" w14:paraId="117CE988" w14:textId="77777777">
        <w:tc>
          <w:tcPr>
            <w:tcW w:w="1417" w:type="dxa"/>
            <w:tcMar/>
          </w:tcPr>
          <w:p w:rsidRPr="00CF6A49" w:rsidR="00FA51CA" w:rsidP="1FB07046" w:rsidRDefault="099CA57B" w14:paraId="17CE4FC2" w14:textId="110C74C8">
            <w:pPr>
              <w:jc w:val="both"/>
              <w:rPr>
                <w:rFonts w:cs="Arial"/>
                <w:sz w:val="20"/>
                <w:szCs w:val="20"/>
              </w:rPr>
            </w:pPr>
            <w:r w:rsidRPr="1FB07046">
              <w:rPr>
                <w:rFonts w:cs="Arial"/>
                <w:sz w:val="20"/>
                <w:szCs w:val="20"/>
              </w:rPr>
              <w:t>9</w:t>
            </w:r>
          </w:p>
        </w:tc>
        <w:tc>
          <w:tcPr>
            <w:tcW w:w="6001" w:type="dxa"/>
            <w:tcMar/>
          </w:tcPr>
          <w:p w:rsidRPr="00752551" w:rsidR="00FA51CA" w:rsidP="1FB07046" w:rsidRDefault="00E555C4" w14:paraId="43325B37" w14:textId="3F146879">
            <w:pPr>
              <w:pStyle w:val="ListParagraph"/>
              <w:numPr>
                <w:ilvl w:val="0"/>
                <w:numId w:val="1"/>
              </w:numPr>
              <w:jc w:val="both"/>
              <w:rPr>
                <w:rFonts w:cs="Arial"/>
                <w:sz w:val="20"/>
              </w:rPr>
            </w:pPr>
            <w:r w:rsidRPr="1FB07046">
              <w:rPr>
                <w:rFonts w:cs="Arial"/>
                <w:b/>
                <w:bCs/>
                <w:sz w:val="20"/>
              </w:rPr>
              <w:t>Rolled over:</w:t>
            </w:r>
            <w:r w:rsidRPr="1FB07046">
              <w:rPr>
                <w:rFonts w:cs="Arial"/>
                <w:sz w:val="20"/>
              </w:rPr>
              <w:t xml:space="preserve"> </w:t>
            </w:r>
            <w:r w:rsidRPr="1FB07046" w:rsidR="00FA51CA">
              <w:rPr>
                <w:rFonts w:cs="Arial"/>
                <w:sz w:val="20"/>
              </w:rPr>
              <w:t>DESNZ to make log frame for Phase 2, including Colombia and Mato Grosso</w:t>
            </w:r>
            <w:r w:rsidRPr="1FB07046" w:rsidR="00CE6515">
              <w:rPr>
                <w:rFonts w:cs="Arial"/>
                <w:sz w:val="20"/>
              </w:rPr>
              <w:t xml:space="preserve">, and start reporting on Phase 2. </w:t>
            </w:r>
          </w:p>
          <w:p w:rsidRPr="00752551" w:rsidR="00FA51CA" w:rsidP="65B64BEB" w:rsidRDefault="0B246751" w14:paraId="60D693A0" w14:textId="5D663684">
            <w:pPr>
              <w:pStyle w:val="ListParagraph"/>
              <w:numPr>
                <w:ilvl w:val="0"/>
                <w:numId w:val="1"/>
              </w:numPr>
              <w:jc w:val="both"/>
              <w:rPr>
                <w:rFonts w:cs="Arial"/>
                <w:sz w:val="20"/>
              </w:rPr>
            </w:pPr>
            <w:r w:rsidRPr="65B64BEB">
              <w:rPr>
                <w:rFonts w:cs="Arial"/>
                <w:sz w:val="20"/>
              </w:rPr>
              <w:t xml:space="preserve">Jointly make </w:t>
            </w:r>
            <w:r w:rsidRPr="65B64BEB" w:rsidR="509737B5">
              <w:rPr>
                <w:rFonts w:cs="Arial"/>
                <w:sz w:val="20"/>
              </w:rPr>
              <w:t xml:space="preserve">decisions with KfW, BMZ and partners on clear way forward on reporting, including using the Global Investment Plan. </w:t>
            </w:r>
          </w:p>
        </w:tc>
        <w:tc>
          <w:tcPr>
            <w:tcW w:w="1791" w:type="dxa"/>
            <w:tcMar/>
          </w:tcPr>
          <w:p w:rsidRPr="00752551" w:rsidR="00FA51CA" w:rsidRDefault="00420C4D" w14:paraId="22EA4C46" w14:textId="659DA188">
            <w:pPr>
              <w:jc w:val="both"/>
              <w:rPr>
                <w:rFonts w:cs="Arial"/>
                <w:i/>
                <w:iCs/>
                <w:sz w:val="20"/>
                <w:szCs w:val="20"/>
              </w:rPr>
            </w:pPr>
            <w:r>
              <w:rPr>
                <w:rFonts w:cs="Arial"/>
                <w:i/>
                <w:iCs/>
                <w:sz w:val="20"/>
                <w:szCs w:val="20"/>
              </w:rPr>
              <w:t xml:space="preserve">December 2024 </w:t>
            </w:r>
          </w:p>
        </w:tc>
      </w:tr>
      <w:tr w:rsidRPr="00752551" w:rsidR="009A58C3" w:rsidTr="4D185046" w14:paraId="52EB098B" w14:textId="77777777">
        <w:tc>
          <w:tcPr>
            <w:tcW w:w="1417" w:type="dxa"/>
            <w:tcMar/>
          </w:tcPr>
          <w:p w:rsidR="009A58C3" w:rsidP="65B64BEB" w:rsidRDefault="009A58C3" w14:paraId="46AAA914" w14:textId="74BBE616">
            <w:pPr>
              <w:jc w:val="both"/>
              <w:rPr>
                <w:rFonts w:cs="Arial"/>
                <w:sz w:val="20"/>
                <w:szCs w:val="20"/>
              </w:rPr>
            </w:pPr>
            <w:r w:rsidRPr="65B64BEB">
              <w:rPr>
                <w:rFonts w:cs="Arial"/>
                <w:sz w:val="20"/>
                <w:szCs w:val="20"/>
              </w:rPr>
              <w:t>1</w:t>
            </w:r>
            <w:r w:rsidRPr="65B64BEB" w:rsidR="2D68E25B">
              <w:rPr>
                <w:rFonts w:cs="Arial"/>
                <w:sz w:val="20"/>
                <w:szCs w:val="20"/>
              </w:rPr>
              <w:t>0</w:t>
            </w:r>
          </w:p>
        </w:tc>
        <w:tc>
          <w:tcPr>
            <w:tcW w:w="6001" w:type="dxa"/>
            <w:tcMar/>
          </w:tcPr>
          <w:p w:rsidR="009A58C3" w:rsidRDefault="009A58C3" w14:paraId="6E881029" w14:textId="77777777">
            <w:pPr>
              <w:jc w:val="both"/>
              <w:rPr>
                <w:rFonts w:cs="Arial"/>
                <w:sz w:val="20"/>
                <w:szCs w:val="20"/>
              </w:rPr>
            </w:pPr>
            <w:r>
              <w:rPr>
                <w:rFonts w:cs="Arial"/>
                <w:sz w:val="20"/>
                <w:szCs w:val="20"/>
              </w:rPr>
              <w:t xml:space="preserve">Acre to receive final payments of remaining £7.35 million. </w:t>
            </w:r>
          </w:p>
          <w:p w:rsidR="009A58C3" w:rsidP="009A58C3" w:rsidRDefault="009A58C3" w14:paraId="30D6AA1A" w14:textId="77777777">
            <w:pPr>
              <w:pStyle w:val="ListParagraph"/>
              <w:numPr>
                <w:ilvl w:val="0"/>
                <w:numId w:val="48"/>
              </w:numPr>
              <w:jc w:val="both"/>
              <w:rPr>
                <w:rFonts w:cs="Arial"/>
                <w:sz w:val="20"/>
              </w:rPr>
            </w:pPr>
            <w:r>
              <w:rPr>
                <w:rFonts w:cs="Arial"/>
                <w:sz w:val="20"/>
              </w:rPr>
              <w:t xml:space="preserve">Penultimate payment of £4.35 million. </w:t>
            </w:r>
          </w:p>
          <w:p w:rsidRPr="009A58C3" w:rsidR="009A58C3" w:rsidP="009A58C3" w:rsidRDefault="009A58C3" w14:paraId="1C253F28" w14:textId="44E2E491">
            <w:pPr>
              <w:pStyle w:val="ListParagraph"/>
              <w:numPr>
                <w:ilvl w:val="0"/>
                <w:numId w:val="48"/>
              </w:numPr>
              <w:jc w:val="both"/>
              <w:rPr>
                <w:rFonts w:cs="Arial"/>
                <w:sz w:val="20"/>
              </w:rPr>
            </w:pPr>
            <w:r>
              <w:rPr>
                <w:rFonts w:cs="Arial"/>
                <w:sz w:val="20"/>
              </w:rPr>
              <w:t>Resolve issue of rubber subsidies to receive final payment</w:t>
            </w:r>
            <w:r w:rsidR="005B2400">
              <w:rPr>
                <w:rFonts w:cs="Arial"/>
                <w:sz w:val="20"/>
              </w:rPr>
              <w:t xml:space="preserve">. </w:t>
            </w:r>
          </w:p>
        </w:tc>
        <w:tc>
          <w:tcPr>
            <w:tcW w:w="1791" w:type="dxa"/>
            <w:tcMar/>
          </w:tcPr>
          <w:p w:rsidR="005B2400" w:rsidRDefault="005B2400" w14:paraId="432A633B" w14:textId="77777777">
            <w:pPr>
              <w:jc w:val="both"/>
              <w:rPr>
                <w:rFonts w:cs="Arial"/>
                <w:i/>
                <w:iCs/>
                <w:sz w:val="20"/>
                <w:szCs w:val="20"/>
              </w:rPr>
            </w:pPr>
          </w:p>
          <w:p w:rsidR="009A58C3" w:rsidRDefault="005B2400" w14:paraId="5AA5F42B" w14:textId="0C9B76D4">
            <w:pPr>
              <w:jc w:val="both"/>
              <w:rPr>
                <w:rFonts w:cs="Arial"/>
                <w:i/>
                <w:iCs/>
                <w:sz w:val="20"/>
                <w:szCs w:val="20"/>
              </w:rPr>
            </w:pPr>
            <w:r>
              <w:rPr>
                <w:rFonts w:cs="Arial"/>
                <w:i/>
                <w:iCs/>
                <w:sz w:val="20"/>
                <w:szCs w:val="20"/>
              </w:rPr>
              <w:t>September 2024</w:t>
            </w:r>
          </w:p>
          <w:p w:rsidR="005B2400" w:rsidP="005B2400" w:rsidRDefault="005B2400" w14:paraId="4B335D9F" w14:textId="77777777">
            <w:pPr>
              <w:jc w:val="both"/>
              <w:rPr>
                <w:rFonts w:cs="Arial"/>
                <w:i/>
                <w:iCs/>
                <w:sz w:val="20"/>
              </w:rPr>
            </w:pPr>
            <w:r>
              <w:rPr>
                <w:rFonts w:cs="Arial"/>
                <w:i/>
                <w:iCs/>
                <w:sz w:val="20"/>
              </w:rPr>
              <w:t>March 2025</w:t>
            </w:r>
          </w:p>
          <w:p w:rsidRPr="005B2400" w:rsidR="005B2400" w:rsidP="005B2400" w:rsidRDefault="005B2400" w14:paraId="5BF4A1AB" w14:textId="1C180D41">
            <w:pPr>
              <w:jc w:val="both"/>
              <w:rPr>
                <w:rFonts w:cs="Arial"/>
                <w:i/>
                <w:iCs/>
                <w:sz w:val="20"/>
              </w:rPr>
            </w:pPr>
          </w:p>
        </w:tc>
      </w:tr>
      <w:tr w:rsidRPr="00752551" w:rsidR="00BE5039" w:rsidTr="4D185046" w14:paraId="1204F527" w14:textId="77777777">
        <w:trPr>
          <w:trHeight w:val="283"/>
        </w:trPr>
        <w:tc>
          <w:tcPr>
            <w:tcW w:w="1417" w:type="dxa"/>
            <w:tcMar/>
          </w:tcPr>
          <w:p w:rsidR="00BE5039" w:rsidP="1FB07046" w:rsidRDefault="00BE5039" w14:paraId="68F5E57C" w14:textId="0CB05A71">
            <w:pPr>
              <w:jc w:val="both"/>
              <w:rPr>
                <w:rFonts w:cs="Arial"/>
                <w:sz w:val="20"/>
                <w:szCs w:val="20"/>
              </w:rPr>
            </w:pPr>
            <w:r w:rsidRPr="65B64BEB">
              <w:rPr>
                <w:rFonts w:cs="Arial"/>
                <w:sz w:val="20"/>
                <w:szCs w:val="20"/>
              </w:rPr>
              <w:t>1</w:t>
            </w:r>
            <w:r w:rsidRPr="65B64BEB" w:rsidR="32952652">
              <w:rPr>
                <w:rFonts w:cs="Arial"/>
                <w:sz w:val="20"/>
                <w:szCs w:val="20"/>
              </w:rPr>
              <w:t>1</w:t>
            </w:r>
          </w:p>
        </w:tc>
        <w:tc>
          <w:tcPr>
            <w:tcW w:w="6001" w:type="dxa"/>
            <w:tcMar/>
          </w:tcPr>
          <w:p w:rsidR="00BE5039" w:rsidRDefault="00393C1B" w14:paraId="3C71BE02" w14:textId="0C0D2136">
            <w:pPr>
              <w:jc w:val="both"/>
              <w:rPr>
                <w:rFonts w:cs="Arial"/>
                <w:sz w:val="20"/>
                <w:szCs w:val="20"/>
              </w:rPr>
            </w:pPr>
            <w:r w:rsidRPr="665A25F4">
              <w:rPr>
                <w:rFonts w:cs="Arial"/>
                <w:b/>
                <w:bCs/>
                <w:sz w:val="20"/>
                <w:szCs w:val="20"/>
              </w:rPr>
              <w:t>Rolled over (twice):</w:t>
            </w:r>
            <w:r w:rsidRPr="665A25F4">
              <w:rPr>
                <w:rFonts w:cs="Arial"/>
                <w:sz w:val="20"/>
                <w:szCs w:val="20"/>
              </w:rPr>
              <w:t xml:space="preserve"> </w:t>
            </w:r>
            <w:r w:rsidRPr="665A25F4" w:rsidR="00BE5039">
              <w:rPr>
                <w:rFonts w:cs="Arial"/>
                <w:sz w:val="20"/>
                <w:szCs w:val="20"/>
              </w:rPr>
              <w:t xml:space="preserve">Acre to </w:t>
            </w:r>
            <w:r w:rsidRPr="665A25F4">
              <w:rPr>
                <w:rFonts w:cs="Arial"/>
                <w:sz w:val="20"/>
                <w:szCs w:val="20"/>
              </w:rPr>
              <w:t>finalise safeguards in line with Cancun safeguard systems</w:t>
            </w:r>
          </w:p>
        </w:tc>
        <w:tc>
          <w:tcPr>
            <w:tcW w:w="1791" w:type="dxa"/>
            <w:tcMar/>
          </w:tcPr>
          <w:p w:rsidR="00BE5039" w:rsidP="1FB07046" w:rsidRDefault="00393C1B" w14:paraId="72932525" w14:textId="18BA8F43">
            <w:pPr>
              <w:jc w:val="both"/>
              <w:rPr>
                <w:rFonts w:cs="Arial"/>
                <w:i/>
                <w:iCs/>
                <w:sz w:val="20"/>
                <w:szCs w:val="20"/>
              </w:rPr>
            </w:pPr>
            <w:r w:rsidRPr="1FB07046">
              <w:rPr>
                <w:rFonts w:cs="Arial"/>
                <w:i/>
                <w:iCs/>
                <w:sz w:val="20"/>
                <w:szCs w:val="20"/>
              </w:rPr>
              <w:t>December 2025</w:t>
            </w:r>
          </w:p>
        </w:tc>
      </w:tr>
      <w:tr w:rsidRPr="00752551" w:rsidR="00D61DBF" w:rsidTr="4D185046" w14:paraId="077D468D" w14:textId="77777777">
        <w:trPr>
          <w:trHeight w:val="283"/>
        </w:trPr>
        <w:tc>
          <w:tcPr>
            <w:tcW w:w="1417" w:type="dxa"/>
            <w:tcMar/>
          </w:tcPr>
          <w:p w:rsidR="00D61DBF" w:rsidP="65B64BEB" w:rsidRDefault="00D61DBF" w14:paraId="38AAD5AE" w14:textId="2E6754AF">
            <w:pPr>
              <w:jc w:val="both"/>
              <w:rPr>
                <w:rFonts w:cs="Arial"/>
                <w:sz w:val="20"/>
                <w:szCs w:val="20"/>
              </w:rPr>
            </w:pPr>
            <w:r w:rsidRPr="65B64BEB">
              <w:rPr>
                <w:rFonts w:cs="Arial"/>
                <w:sz w:val="20"/>
                <w:szCs w:val="20"/>
              </w:rPr>
              <w:t>1</w:t>
            </w:r>
            <w:r w:rsidRPr="65B64BEB" w:rsidR="76D13864">
              <w:rPr>
                <w:rFonts w:cs="Arial"/>
                <w:sz w:val="20"/>
                <w:szCs w:val="20"/>
              </w:rPr>
              <w:t>2</w:t>
            </w:r>
          </w:p>
        </w:tc>
        <w:tc>
          <w:tcPr>
            <w:tcW w:w="6001" w:type="dxa"/>
            <w:tcMar/>
          </w:tcPr>
          <w:p w:rsidRPr="00D61DBF" w:rsidR="00D61DBF" w:rsidRDefault="4E502E2F" w14:paraId="0CD44583" w14:textId="7E2FE9CF">
            <w:pPr>
              <w:jc w:val="both"/>
              <w:rPr>
                <w:rFonts w:cs="Arial"/>
                <w:sz w:val="20"/>
                <w:szCs w:val="20"/>
              </w:rPr>
            </w:pPr>
            <w:r w:rsidRPr="65B64BEB">
              <w:rPr>
                <w:rFonts w:cs="Arial"/>
                <w:sz w:val="20"/>
                <w:szCs w:val="20"/>
              </w:rPr>
              <w:t xml:space="preserve">Make decisions about potential for </w:t>
            </w:r>
            <w:r w:rsidRPr="65B64BEB" w:rsidR="00D61DBF">
              <w:rPr>
                <w:rFonts w:cs="Arial"/>
                <w:sz w:val="20"/>
                <w:szCs w:val="20"/>
              </w:rPr>
              <w:t xml:space="preserve">KfW to build dashboard to showcase REM programmes with other donors/ more widely. </w:t>
            </w:r>
            <w:r w:rsidRPr="65B64BEB" w:rsidR="179675CF">
              <w:rPr>
                <w:rFonts w:cs="Arial"/>
                <w:sz w:val="20"/>
                <w:szCs w:val="20"/>
              </w:rPr>
              <w:t xml:space="preserve">Expected at annual donors meeting. </w:t>
            </w:r>
          </w:p>
        </w:tc>
        <w:tc>
          <w:tcPr>
            <w:tcW w:w="1791" w:type="dxa"/>
            <w:tcMar/>
          </w:tcPr>
          <w:p w:rsidR="00D61DBF" w:rsidRDefault="00D61DBF" w14:paraId="467B6923" w14:textId="259D8189">
            <w:pPr>
              <w:jc w:val="both"/>
              <w:rPr>
                <w:rFonts w:cs="Arial"/>
                <w:i/>
                <w:iCs/>
                <w:sz w:val="20"/>
                <w:szCs w:val="20"/>
              </w:rPr>
            </w:pPr>
            <w:r>
              <w:rPr>
                <w:rFonts w:cs="Arial"/>
                <w:i/>
                <w:iCs/>
                <w:sz w:val="20"/>
                <w:szCs w:val="20"/>
              </w:rPr>
              <w:t>April 2025</w:t>
            </w:r>
          </w:p>
        </w:tc>
      </w:tr>
      <w:tr w:rsidRPr="00752551" w:rsidR="00B44190" w:rsidTr="4D185046" w14:paraId="751FB7F9" w14:textId="77777777">
        <w:trPr>
          <w:trHeight w:val="283"/>
        </w:trPr>
        <w:tc>
          <w:tcPr>
            <w:tcW w:w="1417" w:type="dxa"/>
            <w:tcMar/>
          </w:tcPr>
          <w:p w:rsidR="00B44190" w:rsidP="65B64BEB" w:rsidRDefault="00461204" w14:paraId="48828CF6" w14:textId="28ADAA7F">
            <w:pPr>
              <w:jc w:val="both"/>
              <w:rPr>
                <w:rFonts w:cs="Arial"/>
                <w:sz w:val="20"/>
                <w:szCs w:val="20"/>
              </w:rPr>
            </w:pPr>
            <w:r w:rsidRPr="65B64BEB">
              <w:rPr>
                <w:rFonts w:cs="Arial"/>
                <w:sz w:val="20"/>
                <w:szCs w:val="20"/>
              </w:rPr>
              <w:t>1</w:t>
            </w:r>
            <w:r w:rsidRPr="65B64BEB" w:rsidR="599D178E">
              <w:rPr>
                <w:rFonts w:cs="Arial"/>
                <w:sz w:val="20"/>
                <w:szCs w:val="20"/>
              </w:rPr>
              <w:t>3</w:t>
            </w:r>
          </w:p>
        </w:tc>
        <w:tc>
          <w:tcPr>
            <w:tcW w:w="6001" w:type="dxa"/>
            <w:tcMar/>
          </w:tcPr>
          <w:p w:rsidRPr="00D61DBF" w:rsidR="00B44190" w:rsidP="00B44190" w:rsidRDefault="00B44190" w14:paraId="53669E85" w14:textId="678B2020">
            <w:pPr>
              <w:jc w:val="both"/>
              <w:rPr>
                <w:rFonts w:cs="Arial"/>
                <w:sz w:val="20"/>
                <w:szCs w:val="20"/>
              </w:rPr>
            </w:pPr>
            <w:r w:rsidRPr="008A381E">
              <w:rPr>
                <w:rFonts w:cs="Arial"/>
                <w:sz w:val="20"/>
                <w:szCs w:val="20"/>
              </w:rPr>
              <w:t xml:space="preserve">For Mato Grosso, it will be essential that donors (Germany and UK) jointly decide on a strategy to encourage interventions of legal as well as illegal </w:t>
            </w:r>
            <w:r w:rsidRPr="008A381E" w:rsidR="7C406341">
              <w:rPr>
                <w:rFonts w:cs="Arial"/>
                <w:sz w:val="20"/>
                <w:szCs w:val="20"/>
              </w:rPr>
              <w:t>deforestation and</w:t>
            </w:r>
            <w:r w:rsidRPr="008A381E">
              <w:rPr>
                <w:rFonts w:cs="Arial"/>
                <w:sz w:val="20"/>
                <w:szCs w:val="20"/>
              </w:rPr>
              <w:t xml:space="preserve"> implement this. </w:t>
            </w:r>
          </w:p>
        </w:tc>
        <w:tc>
          <w:tcPr>
            <w:tcW w:w="1791" w:type="dxa"/>
            <w:tcMar/>
          </w:tcPr>
          <w:p w:rsidR="00B44190" w:rsidP="00B44190" w:rsidRDefault="00B44190" w14:paraId="22DC3666" w14:textId="5DCB21D5">
            <w:pPr>
              <w:jc w:val="both"/>
              <w:rPr>
                <w:rFonts w:cs="Arial"/>
                <w:i/>
                <w:iCs/>
                <w:sz w:val="20"/>
                <w:szCs w:val="20"/>
              </w:rPr>
            </w:pPr>
            <w:r>
              <w:rPr>
                <w:rFonts w:cs="Arial"/>
                <w:sz w:val="20"/>
                <w:szCs w:val="20"/>
              </w:rPr>
              <w:t>July 2025</w:t>
            </w:r>
            <w:r w:rsidRPr="007E39D2">
              <w:rPr>
                <w:rFonts w:cs="Arial"/>
                <w:sz w:val="20"/>
                <w:szCs w:val="20"/>
              </w:rPr>
              <w:t xml:space="preserve"> </w:t>
            </w:r>
          </w:p>
        </w:tc>
      </w:tr>
      <w:tr w:rsidRPr="00752551" w:rsidR="00863C10" w:rsidTr="4D185046" w14:paraId="746F86F5" w14:textId="77777777">
        <w:trPr>
          <w:trHeight w:val="283"/>
        </w:trPr>
        <w:tc>
          <w:tcPr>
            <w:tcW w:w="1417" w:type="dxa"/>
            <w:tcMar/>
          </w:tcPr>
          <w:p w:rsidR="00863C10" w:rsidP="00B44190" w:rsidRDefault="00863C10" w14:paraId="068114CE" w14:textId="7AB40FBE">
            <w:pPr>
              <w:jc w:val="both"/>
              <w:rPr>
                <w:rFonts w:cs="Arial"/>
                <w:sz w:val="20"/>
                <w:szCs w:val="20"/>
              </w:rPr>
            </w:pPr>
            <w:r w:rsidRPr="65B64BEB">
              <w:rPr>
                <w:rFonts w:cs="Arial"/>
                <w:sz w:val="20"/>
                <w:szCs w:val="20"/>
              </w:rPr>
              <w:t>1</w:t>
            </w:r>
            <w:r w:rsidRPr="65B64BEB" w:rsidR="67CC8E9D">
              <w:rPr>
                <w:rFonts w:cs="Arial"/>
                <w:sz w:val="20"/>
                <w:szCs w:val="20"/>
              </w:rPr>
              <w:t>4</w:t>
            </w:r>
          </w:p>
        </w:tc>
        <w:tc>
          <w:tcPr>
            <w:tcW w:w="6001" w:type="dxa"/>
            <w:tcMar/>
          </w:tcPr>
          <w:p w:rsidRPr="00863C10" w:rsidR="00863C10" w:rsidP="65B64BEB" w:rsidRDefault="00863C10" w14:paraId="2107CA7A" w14:textId="6FEE1C94">
            <w:pPr>
              <w:jc w:val="both"/>
              <w:rPr>
                <w:rFonts w:cs="Arial"/>
                <w:sz w:val="20"/>
                <w:szCs w:val="20"/>
              </w:rPr>
            </w:pPr>
            <w:r w:rsidRPr="722F6E6D">
              <w:rPr>
                <w:rFonts w:cs="Arial"/>
                <w:sz w:val="20"/>
                <w:szCs w:val="20"/>
              </w:rPr>
              <w:t xml:space="preserve">Potential for UK to conduct a Pause and Reflect of REM at REM annual donor meeting. </w:t>
            </w:r>
            <w:r w:rsidRPr="722F6E6D" w:rsidR="00DB0ACC">
              <w:rPr>
                <w:rFonts w:cs="Arial"/>
                <w:sz w:val="20"/>
                <w:szCs w:val="20"/>
              </w:rPr>
              <w:t>Potential to embed in annual meetings</w:t>
            </w:r>
            <w:r w:rsidRPr="722F6E6D" w:rsidR="5B7E3E18">
              <w:rPr>
                <w:rFonts w:cs="Arial"/>
                <w:sz w:val="20"/>
                <w:szCs w:val="20"/>
              </w:rPr>
              <w:t xml:space="preserve">. </w:t>
            </w:r>
          </w:p>
        </w:tc>
        <w:tc>
          <w:tcPr>
            <w:tcW w:w="1791" w:type="dxa"/>
            <w:tcMar/>
          </w:tcPr>
          <w:p w:rsidRPr="00863C10" w:rsidR="00863C10" w:rsidP="65B64BEB" w:rsidRDefault="00863C10" w14:paraId="42EF612B" w14:textId="06F80FCB">
            <w:pPr>
              <w:jc w:val="both"/>
              <w:rPr>
                <w:rFonts w:cs="Arial"/>
                <w:sz w:val="20"/>
                <w:szCs w:val="20"/>
              </w:rPr>
            </w:pPr>
            <w:r w:rsidRPr="65B64BEB">
              <w:rPr>
                <w:rFonts w:cs="Arial"/>
                <w:sz w:val="20"/>
                <w:szCs w:val="20"/>
              </w:rPr>
              <w:t>April 2025</w:t>
            </w:r>
          </w:p>
        </w:tc>
      </w:tr>
    </w:tbl>
    <w:p w:rsidRPr="00752551" w:rsidR="00CB2873" w:rsidP="004D5FD5" w:rsidRDefault="00CB2873" w14:paraId="59B119E0" w14:textId="77777777">
      <w:pPr>
        <w:jc w:val="both"/>
      </w:pPr>
    </w:p>
    <w:p w:rsidRPr="00752551" w:rsidR="00FD077F" w:rsidP="004D5FD5" w:rsidRDefault="00FD077F" w14:paraId="39C32CEC" w14:textId="77777777">
      <w:pPr>
        <w:jc w:val="both"/>
      </w:pPr>
    </w:p>
    <w:tbl>
      <w:tblPr>
        <w:tblStyle w:val="TableGrid"/>
        <w:tblW w:w="0" w:type="auto"/>
        <w:tblLook w:val="04A0" w:firstRow="1" w:lastRow="0" w:firstColumn="1" w:lastColumn="0" w:noHBand="0" w:noVBand="1"/>
      </w:tblPr>
      <w:tblGrid>
        <w:gridCol w:w="9016"/>
      </w:tblGrid>
      <w:tr w:rsidR="00CB2873" w:rsidTr="51BB3CA1" w14:paraId="3D63871C" w14:textId="77777777">
        <w:tc>
          <w:tcPr>
            <w:tcW w:w="9016" w:type="dxa"/>
            <w:shd w:val="clear" w:color="auto" w:fill="DEEAF6" w:themeFill="accent5" w:themeFillTint="33"/>
          </w:tcPr>
          <w:p w:rsidR="00CB2873" w:rsidP="004D5FD5" w:rsidRDefault="00CB2873" w14:paraId="3A432808" w14:textId="44B4458C">
            <w:pPr>
              <w:jc w:val="both"/>
            </w:pPr>
            <w:bookmarkStart w:name="_Toc1119001166" w:id="18"/>
            <w:bookmarkStart w:name="_Hlk110858960" w:id="19"/>
            <w:r w:rsidRPr="51BB3CA1">
              <w:rPr>
                <w:rStyle w:val="Heading1Char"/>
                <w:rFonts w:ascii="Arial" w:hAnsi="Arial" w:cs="Arial"/>
                <w:b/>
                <w:bCs/>
                <w:color w:val="auto"/>
                <w:sz w:val="28"/>
                <w:szCs w:val="28"/>
              </w:rPr>
              <w:t xml:space="preserve">Section B: Theory of </w:t>
            </w:r>
            <w:r w:rsidRPr="51BB3CA1" w:rsidR="00A5180E">
              <w:rPr>
                <w:rStyle w:val="Heading1Char"/>
                <w:rFonts w:ascii="Arial" w:hAnsi="Arial" w:cs="Arial"/>
                <w:b/>
                <w:bCs/>
                <w:color w:val="auto"/>
                <w:sz w:val="28"/>
                <w:szCs w:val="28"/>
              </w:rPr>
              <w:t>c</w:t>
            </w:r>
            <w:r w:rsidRPr="51BB3CA1">
              <w:rPr>
                <w:rStyle w:val="Heading1Char"/>
                <w:rFonts w:ascii="Arial" w:hAnsi="Arial" w:cs="Arial"/>
                <w:b/>
                <w:bCs/>
                <w:color w:val="auto"/>
                <w:sz w:val="28"/>
                <w:szCs w:val="28"/>
              </w:rPr>
              <w:t>hange and progress towards outcomes</w:t>
            </w:r>
            <w:bookmarkEnd w:id="18"/>
            <w:r w:rsidRPr="51BB3CA1">
              <w:rPr>
                <w:sz w:val="22"/>
                <w:szCs w:val="22"/>
              </w:rPr>
              <w:t xml:space="preserve"> </w:t>
            </w:r>
          </w:p>
        </w:tc>
      </w:tr>
      <w:bookmarkEnd w:id="19"/>
    </w:tbl>
    <w:p w:rsidRPr="00D80C6C" w:rsidR="003D222C" w:rsidP="004D5FD5" w:rsidRDefault="003D222C" w14:paraId="44435565" w14:textId="77777777">
      <w:pPr>
        <w:jc w:val="both"/>
        <w:rPr>
          <w:rFonts w:cs="Arial"/>
          <w:b/>
          <w:sz w:val="22"/>
          <w:szCs w:val="22"/>
        </w:rPr>
      </w:pPr>
    </w:p>
    <w:p w:rsidR="001A29FB" w:rsidP="0025594B" w:rsidRDefault="004F7017" w14:paraId="734AF09C" w14:textId="77777777">
      <w:pPr>
        <w:jc w:val="both"/>
        <w:rPr>
          <w:rFonts w:eastAsia="Arial" w:cs="Arial"/>
          <w:color w:val="000000" w:themeColor="text1"/>
          <w:sz w:val="20"/>
          <w:szCs w:val="20"/>
        </w:rPr>
      </w:pPr>
      <w:r w:rsidRPr="001C5F34">
        <w:rPr>
          <w:rFonts w:eastAsia="Arial" w:cs="Arial"/>
          <w:color w:val="000000" w:themeColor="text1"/>
          <w:sz w:val="20"/>
          <w:szCs w:val="20"/>
        </w:rPr>
        <w:t xml:space="preserve">The </w:t>
      </w:r>
      <w:r w:rsidRPr="001C5F34" w:rsidR="006535C2">
        <w:rPr>
          <w:rFonts w:eastAsia="Arial" w:cs="Arial"/>
          <w:color w:val="000000" w:themeColor="text1"/>
          <w:sz w:val="20"/>
          <w:szCs w:val="20"/>
        </w:rPr>
        <w:t>Theory of Change</w:t>
      </w:r>
      <w:r w:rsidRPr="001C5F34">
        <w:rPr>
          <w:rFonts w:eastAsia="Arial" w:cs="Arial"/>
          <w:color w:val="000000" w:themeColor="text1"/>
          <w:sz w:val="20"/>
          <w:szCs w:val="20"/>
        </w:rPr>
        <w:t xml:space="preserve"> (ToC)</w:t>
      </w:r>
      <w:r w:rsidRPr="001C5F34" w:rsidR="006535C2">
        <w:rPr>
          <w:rFonts w:eastAsia="Arial" w:cs="Arial"/>
          <w:color w:val="000000" w:themeColor="text1"/>
          <w:sz w:val="20"/>
          <w:szCs w:val="20"/>
        </w:rPr>
        <w:t xml:space="preserve"> </w:t>
      </w:r>
      <w:r w:rsidRPr="001C5F34">
        <w:rPr>
          <w:rFonts w:eastAsia="Arial" w:cs="Arial"/>
          <w:color w:val="000000" w:themeColor="text1"/>
          <w:sz w:val="20"/>
          <w:szCs w:val="20"/>
        </w:rPr>
        <w:t xml:space="preserve">from </w:t>
      </w:r>
      <w:r w:rsidRPr="001C5F34" w:rsidR="006535C2">
        <w:rPr>
          <w:rFonts w:eastAsia="Arial" w:cs="Arial"/>
          <w:color w:val="000000" w:themeColor="text1"/>
          <w:sz w:val="20"/>
          <w:szCs w:val="20"/>
        </w:rPr>
        <w:t>the original REM business case</w:t>
      </w:r>
      <w:r w:rsidRPr="001C5F34" w:rsidR="00DD3088">
        <w:rPr>
          <w:rFonts w:eastAsia="Arial" w:cs="Arial"/>
          <w:color w:val="000000" w:themeColor="text1"/>
          <w:sz w:val="20"/>
          <w:szCs w:val="20"/>
        </w:rPr>
        <w:t xml:space="preserve"> (Figure 1)</w:t>
      </w:r>
      <w:r w:rsidRPr="001C5F34" w:rsidR="006535C2">
        <w:rPr>
          <w:rFonts w:eastAsia="Arial" w:cs="Arial"/>
          <w:color w:val="000000" w:themeColor="text1"/>
          <w:sz w:val="20"/>
          <w:szCs w:val="20"/>
        </w:rPr>
        <w:t xml:space="preserve"> anticipated a range of outputs and activities relating to stronger forest governance, cross-sector low-deforestation development plans (including specifically for indigenous people), agri-environmental development, and </w:t>
      </w:r>
      <w:r w:rsidRPr="001C5F34" w:rsidR="006535C2">
        <w:rPr>
          <w:rFonts w:eastAsia="Arial" w:cs="Arial"/>
          <w:color w:val="000000" w:themeColor="text1"/>
          <w:sz w:val="20"/>
          <w:szCs w:val="20"/>
        </w:rPr>
        <w:lastRenderedPageBreak/>
        <w:t>enabling conditions, particular forest monitoring and implementation units. These outputs would contribute to a first tier of outcomes, namely, achievement of reduced deforestation, sustainable development and improved livelihoods of poor farmers and forest-dependent people. These in turn would lead to reduced GHG emissions and early demonstration of the rewards and lessons of REDD+, and ultimately (at the impact level), this early demonstration would lead to stronger delivery across the global REDD+ architecture, stronger political will to address deforestation globally, and an ambitious climate agreement. Inputs to the Theory of Change include results-based funding, governments’ own contributions, and private sector investment. The current log frame aligns generally</w:t>
      </w:r>
      <w:r w:rsidRPr="001C5F34" w:rsidR="006535C2">
        <w:rPr>
          <w:rStyle w:val="FootnoteReference"/>
          <w:rFonts w:eastAsia="Arial" w:cs="Arial"/>
          <w:color w:val="000000" w:themeColor="text1"/>
          <w:sz w:val="20"/>
          <w:szCs w:val="20"/>
        </w:rPr>
        <w:footnoteReference w:id="6"/>
      </w:r>
      <w:r w:rsidRPr="001C5F34" w:rsidR="006535C2">
        <w:rPr>
          <w:rFonts w:eastAsia="Arial" w:cs="Arial"/>
          <w:color w:val="000000" w:themeColor="text1"/>
          <w:sz w:val="20"/>
          <w:szCs w:val="20"/>
        </w:rPr>
        <w:t xml:space="preserve"> with th</w:t>
      </w:r>
      <w:r w:rsidRPr="001C5F34">
        <w:rPr>
          <w:rFonts w:eastAsia="Arial" w:cs="Arial"/>
          <w:color w:val="000000" w:themeColor="text1"/>
          <w:sz w:val="20"/>
          <w:szCs w:val="20"/>
        </w:rPr>
        <w:t>is</w:t>
      </w:r>
      <w:r w:rsidRPr="001C5F34" w:rsidR="006535C2">
        <w:rPr>
          <w:rFonts w:eastAsia="Arial" w:cs="Arial"/>
          <w:color w:val="000000" w:themeColor="text1"/>
          <w:sz w:val="20"/>
          <w:szCs w:val="20"/>
        </w:rPr>
        <w:t xml:space="preserve"> ToC, but there have been significant changes to the indicators due to extensions and under</w:t>
      </w:r>
      <w:r w:rsidRPr="001C5F34" w:rsidR="0372A564">
        <w:rPr>
          <w:rFonts w:eastAsia="Arial" w:cs="Arial"/>
          <w:color w:val="000000" w:themeColor="text1"/>
          <w:sz w:val="20"/>
          <w:szCs w:val="20"/>
        </w:rPr>
        <w:t>-</w:t>
      </w:r>
      <w:r w:rsidRPr="001C5F34" w:rsidR="338762E3">
        <w:rPr>
          <w:rFonts w:eastAsia="Arial" w:cs="Arial"/>
          <w:color w:val="000000" w:themeColor="text1"/>
          <w:sz w:val="20"/>
          <w:szCs w:val="20"/>
        </w:rPr>
        <w:t>/</w:t>
      </w:r>
      <w:r w:rsidRPr="001C5F34" w:rsidR="00DD3088">
        <w:rPr>
          <w:rFonts w:eastAsia="Arial" w:cs="Arial"/>
          <w:color w:val="000000" w:themeColor="text1"/>
          <w:sz w:val="20"/>
          <w:szCs w:val="20"/>
        </w:rPr>
        <w:t>over</w:t>
      </w:r>
      <w:r w:rsidRPr="001C5F34" w:rsidR="7ACEFE0C">
        <w:rPr>
          <w:rFonts w:eastAsia="Arial" w:cs="Arial"/>
          <w:color w:val="000000" w:themeColor="text1"/>
          <w:sz w:val="20"/>
          <w:szCs w:val="20"/>
        </w:rPr>
        <w:t>-</w:t>
      </w:r>
      <w:r w:rsidRPr="001C5F34" w:rsidR="00DD3088">
        <w:rPr>
          <w:rFonts w:eastAsia="Arial" w:cs="Arial"/>
          <w:color w:val="000000" w:themeColor="text1"/>
          <w:sz w:val="20"/>
          <w:szCs w:val="20"/>
        </w:rPr>
        <w:t>achievements</w:t>
      </w:r>
      <w:r w:rsidRPr="001C5F34" w:rsidR="006535C2">
        <w:rPr>
          <w:rFonts w:eastAsia="Arial" w:cs="Arial"/>
          <w:color w:val="000000" w:themeColor="text1"/>
          <w:sz w:val="20"/>
          <w:szCs w:val="20"/>
        </w:rPr>
        <w:t>.</w:t>
      </w:r>
    </w:p>
    <w:p w:rsidR="001A29FB" w:rsidP="0025594B" w:rsidRDefault="001A29FB" w14:paraId="462A5904" w14:textId="77777777">
      <w:pPr>
        <w:jc w:val="both"/>
        <w:rPr>
          <w:rFonts w:eastAsia="Arial" w:cs="Arial"/>
          <w:color w:val="000000" w:themeColor="text1"/>
          <w:sz w:val="20"/>
          <w:szCs w:val="20"/>
        </w:rPr>
      </w:pPr>
    </w:p>
    <w:p w:rsidRPr="001743B5" w:rsidR="006535C2" w:rsidP="0025594B" w:rsidRDefault="001C5F34" w14:paraId="3E0EB304" w14:textId="5943A425">
      <w:pPr>
        <w:jc w:val="both"/>
        <w:rPr>
          <w:rFonts w:eastAsia="Arial" w:cs="Arial"/>
          <w:color w:val="000000" w:themeColor="text1"/>
          <w:sz w:val="20"/>
          <w:szCs w:val="20"/>
        </w:rPr>
      </w:pPr>
      <w:r>
        <w:rPr>
          <w:rFonts w:eastAsia="Arial" w:cs="Arial"/>
          <w:color w:val="000000" w:themeColor="text1"/>
          <w:sz w:val="20"/>
          <w:szCs w:val="20"/>
        </w:rPr>
        <w:t xml:space="preserve">The programme developing based on local context has also been positive for the programme, however challenging for the </w:t>
      </w:r>
      <w:r w:rsidR="001A29FB">
        <w:rPr>
          <w:rFonts w:eastAsia="Arial" w:cs="Arial"/>
          <w:color w:val="000000" w:themeColor="text1"/>
          <w:sz w:val="20"/>
          <w:szCs w:val="20"/>
        </w:rPr>
        <w:t xml:space="preserve">monitoring of the programme, as indicators and definitions look different in each jurisdiction. This is something to consider for REM 2, where the programme will also be starting at different times with different aims. </w:t>
      </w:r>
    </w:p>
    <w:p w:rsidR="006535C2" w:rsidP="006535C2" w:rsidRDefault="006535C2" w14:paraId="5E1B3BF0" w14:textId="77777777">
      <w:pPr>
        <w:rPr>
          <w:rFonts w:eastAsia="Arial" w:cs="Arial"/>
          <w:color w:val="000000" w:themeColor="text1"/>
          <w:sz w:val="22"/>
          <w:szCs w:val="22"/>
        </w:rPr>
      </w:pPr>
    </w:p>
    <w:p w:rsidR="00DD3088" w:rsidP="00124247" w:rsidRDefault="00DD3088" w14:paraId="125C71FB" w14:textId="77777777">
      <w:pPr>
        <w:keepNext/>
        <w:jc w:val="both"/>
      </w:pPr>
      <w:r>
        <w:rPr>
          <w:noProof/>
        </w:rPr>
        <w:drawing>
          <wp:inline distT="0" distB="0" distL="0" distR="0" wp14:anchorId="091CFF49" wp14:editId="02C04BAD">
            <wp:extent cx="5731510" cy="3005131"/>
            <wp:effectExtent l="0" t="0" r="2540" b="5080"/>
            <wp:docPr id="1790195851" name="Picture 179019585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610323"/>
                    <pic:cNvPicPr/>
                  </pic:nvPicPr>
                  <pic:blipFill>
                    <a:blip r:embed="rId24" cstate="print">
                      <a:extLst>
                        <a:ext uri="{28A0092B-C50C-407E-A947-70E740481C1C}">
                          <a14:useLocalDpi xmlns:a14="http://schemas.microsoft.com/office/drawing/2010/main" val="0"/>
                        </a:ext>
                      </a:extLst>
                    </a:blip>
                    <a:srcRect l="4373" r="1457"/>
                    <a:stretch>
                      <a:fillRect/>
                    </a:stretch>
                  </pic:blipFill>
                  <pic:spPr>
                    <a:xfrm>
                      <a:off x="0" y="0"/>
                      <a:ext cx="5731510" cy="3005131"/>
                    </a:xfrm>
                    <a:prstGeom prst="rect">
                      <a:avLst/>
                    </a:prstGeom>
                  </pic:spPr>
                </pic:pic>
              </a:graphicData>
            </a:graphic>
          </wp:inline>
        </w:drawing>
      </w:r>
    </w:p>
    <w:p w:rsidRPr="001A29FB" w:rsidR="00DD3088" w:rsidP="19BB20F3" w:rsidRDefault="00DD3088" w14:paraId="7F8D6E24" w14:textId="096B6699">
      <w:pPr>
        <w:pStyle w:val="Caption"/>
        <w:jc w:val="both"/>
        <w:rPr>
          <w:b/>
          <w:bCs/>
          <w:color w:val="auto"/>
          <w:sz w:val="20"/>
          <w:szCs w:val="20"/>
        </w:rPr>
      </w:pPr>
      <w:r w:rsidRPr="19BB20F3">
        <w:rPr>
          <w:b/>
          <w:bCs/>
          <w:color w:val="auto"/>
          <w:sz w:val="20"/>
          <w:szCs w:val="20"/>
        </w:rPr>
        <w:t xml:space="preserve">Figure </w:t>
      </w:r>
      <w:r w:rsidRPr="19BB20F3">
        <w:rPr>
          <w:b/>
          <w:bCs/>
          <w:color w:val="auto"/>
          <w:sz w:val="20"/>
          <w:szCs w:val="20"/>
          <w:u w:val="single"/>
        </w:rPr>
        <w:fldChar w:fldCharType="begin"/>
      </w:r>
      <w:r w:rsidRPr="19BB20F3">
        <w:rPr>
          <w:b/>
          <w:bCs/>
          <w:color w:val="auto"/>
          <w:sz w:val="20"/>
          <w:szCs w:val="20"/>
          <w:u w:val="single"/>
        </w:rPr>
        <w:instrText xml:space="preserve"> SEQ Figure \* ARABIC </w:instrText>
      </w:r>
      <w:r w:rsidRPr="19BB20F3">
        <w:rPr>
          <w:b/>
          <w:bCs/>
          <w:color w:val="auto"/>
          <w:sz w:val="20"/>
          <w:szCs w:val="20"/>
          <w:u w:val="single"/>
        </w:rPr>
        <w:fldChar w:fldCharType="separate"/>
      </w:r>
      <w:r w:rsidRPr="19BB20F3">
        <w:rPr>
          <w:b/>
          <w:bCs/>
          <w:color w:val="auto"/>
          <w:sz w:val="20"/>
          <w:szCs w:val="20"/>
          <w:u w:val="single"/>
        </w:rPr>
        <w:t>1</w:t>
      </w:r>
      <w:r w:rsidRPr="19BB20F3">
        <w:rPr>
          <w:b/>
          <w:bCs/>
          <w:color w:val="auto"/>
          <w:sz w:val="20"/>
          <w:szCs w:val="20"/>
          <w:u w:val="single"/>
        </w:rPr>
        <w:fldChar w:fldCharType="end"/>
      </w:r>
      <w:r w:rsidRPr="19BB20F3" w:rsidR="00DE3147">
        <w:rPr>
          <w:b/>
          <w:bCs/>
          <w:color w:val="auto"/>
          <w:sz w:val="20"/>
          <w:szCs w:val="20"/>
        </w:rPr>
        <w:t xml:space="preserve">: </w:t>
      </w:r>
      <w:r w:rsidRPr="19BB20F3">
        <w:rPr>
          <w:b/>
          <w:bCs/>
          <w:color w:val="auto"/>
          <w:sz w:val="20"/>
          <w:szCs w:val="20"/>
        </w:rPr>
        <w:t>Theory of Change for REM1</w:t>
      </w:r>
    </w:p>
    <w:p w:rsidRPr="00B84B57" w:rsidR="00DD3088" w:rsidP="0025594B" w:rsidRDefault="00DD3088" w14:paraId="75052438" w14:textId="5BDE8A9E">
      <w:pPr>
        <w:jc w:val="both"/>
        <w:rPr>
          <w:rFonts w:eastAsia="Arial" w:cs="Arial"/>
          <w:color w:val="000000" w:themeColor="text1"/>
          <w:sz w:val="22"/>
          <w:szCs w:val="22"/>
          <w:highlight w:val="yellow"/>
        </w:rPr>
      </w:pPr>
    </w:p>
    <w:p w:rsidRPr="001A29FB" w:rsidR="006535C2" w:rsidP="0025594B" w:rsidRDefault="006535C2" w14:paraId="3413DD0B" w14:textId="77777777">
      <w:pPr>
        <w:jc w:val="both"/>
        <w:rPr>
          <w:rFonts w:eastAsia="Arial" w:cs="Arial"/>
          <w:color w:val="000000" w:themeColor="text1"/>
          <w:sz w:val="20"/>
          <w:szCs w:val="20"/>
        </w:rPr>
      </w:pPr>
      <w:r w:rsidRPr="001A29FB">
        <w:rPr>
          <w:rFonts w:eastAsia="Arial" w:cs="Arial"/>
          <w:color w:val="000000" w:themeColor="text1"/>
          <w:sz w:val="20"/>
          <w:szCs w:val="20"/>
        </w:rPr>
        <w:t xml:space="preserve">Broadly REM’s Theory of Change remains valid and is supported by evidence set out in previous annual reviews and summarised below: </w:t>
      </w:r>
    </w:p>
    <w:p w:rsidRPr="001A29FB" w:rsidR="006535C2" w:rsidP="0025594B" w:rsidRDefault="00035972" w14:paraId="6300EA79" w14:textId="26941AD5">
      <w:pPr>
        <w:pStyle w:val="ListParagraph"/>
        <w:numPr>
          <w:ilvl w:val="0"/>
          <w:numId w:val="17"/>
        </w:numPr>
        <w:jc w:val="both"/>
        <w:rPr>
          <w:rFonts w:eastAsia="Arial" w:cs="Arial"/>
          <w:color w:val="000000" w:themeColor="text1"/>
          <w:sz w:val="20"/>
        </w:rPr>
      </w:pPr>
      <w:r w:rsidRPr="585345C4">
        <w:rPr>
          <w:rFonts w:eastAsia="Arial" w:cs="Arial"/>
          <w:color w:val="000000" w:themeColor="text1"/>
          <w:sz w:val="20"/>
        </w:rPr>
        <w:t xml:space="preserve">At </w:t>
      </w:r>
      <w:r w:rsidRPr="585345C4">
        <w:rPr>
          <w:rFonts w:eastAsia="Arial" w:cs="Arial"/>
          <w:b/>
          <w:color w:val="000000" w:themeColor="text1"/>
          <w:sz w:val="20"/>
        </w:rPr>
        <w:t>input</w:t>
      </w:r>
      <w:r w:rsidRPr="585345C4">
        <w:rPr>
          <w:rFonts w:eastAsia="Arial" w:cs="Arial"/>
          <w:color w:val="000000" w:themeColor="text1"/>
          <w:sz w:val="20"/>
        </w:rPr>
        <w:t xml:space="preserve"> level: </w:t>
      </w:r>
      <w:r w:rsidRPr="585345C4" w:rsidR="006535C2">
        <w:rPr>
          <w:rFonts w:eastAsia="Arial" w:cs="Arial"/>
          <w:color w:val="000000" w:themeColor="text1"/>
          <w:sz w:val="20"/>
        </w:rPr>
        <w:t xml:space="preserve">Governments have now started to input their own funding into the programme and strategic delivery of projects set </w:t>
      </w:r>
      <w:r w:rsidRPr="585345C4" w:rsidR="00C23BDC">
        <w:rPr>
          <w:rFonts w:eastAsia="Arial" w:cs="Arial"/>
          <w:color w:val="000000" w:themeColor="text1"/>
          <w:sz w:val="20"/>
        </w:rPr>
        <w:t>u</w:t>
      </w:r>
      <w:r w:rsidRPr="585345C4" w:rsidR="006535C2">
        <w:rPr>
          <w:rFonts w:eastAsia="Arial" w:cs="Arial"/>
          <w:color w:val="000000" w:themeColor="text1"/>
          <w:sz w:val="20"/>
        </w:rPr>
        <w:t>p by REM</w:t>
      </w:r>
      <w:r w:rsidRPr="585345C4" w:rsidR="00DD3088">
        <w:rPr>
          <w:rFonts w:eastAsia="Arial" w:cs="Arial"/>
          <w:color w:val="000000" w:themeColor="text1"/>
          <w:sz w:val="20"/>
        </w:rPr>
        <w:t>. I</w:t>
      </w:r>
      <w:r w:rsidRPr="585345C4" w:rsidR="006535C2">
        <w:rPr>
          <w:rFonts w:eastAsia="Arial" w:cs="Arial"/>
          <w:color w:val="000000" w:themeColor="text1"/>
          <w:sz w:val="20"/>
        </w:rPr>
        <w:t>n Colombia,</w:t>
      </w:r>
      <w:r w:rsidRPr="585345C4" w:rsidR="00DD3088">
        <w:rPr>
          <w:sz w:val="20"/>
        </w:rPr>
        <w:t xml:space="preserve"> </w:t>
      </w:r>
      <w:r w:rsidRPr="585345C4" w:rsidR="00DD3088">
        <w:rPr>
          <w:rFonts w:eastAsia="Arial" w:cs="Arial"/>
          <w:color w:val="000000" w:themeColor="text1"/>
          <w:sz w:val="20"/>
        </w:rPr>
        <w:t>t</w:t>
      </w:r>
      <w:r w:rsidRPr="585345C4" w:rsidR="00F10734">
        <w:rPr>
          <w:rFonts w:eastAsia="Arial" w:cs="Arial"/>
          <w:color w:val="000000" w:themeColor="text1"/>
          <w:sz w:val="20"/>
        </w:rPr>
        <w:t xml:space="preserve">he </w:t>
      </w:r>
      <w:r w:rsidRPr="585345C4" w:rsidR="00DD3088">
        <w:rPr>
          <w:rFonts w:eastAsia="Arial" w:cs="Arial"/>
          <w:color w:val="000000" w:themeColor="text1"/>
          <w:sz w:val="20"/>
        </w:rPr>
        <w:t xml:space="preserve">Government </w:t>
      </w:r>
      <w:r w:rsidRPr="585345C4" w:rsidR="00F10734">
        <w:rPr>
          <w:rFonts w:eastAsia="Arial" w:cs="Arial"/>
          <w:color w:val="000000" w:themeColor="text1"/>
          <w:sz w:val="20"/>
        </w:rPr>
        <w:t xml:space="preserve">has committed </w:t>
      </w:r>
      <w:r w:rsidRPr="585345C4" w:rsidR="0057688C">
        <w:rPr>
          <w:rFonts w:eastAsia="Arial" w:cs="Arial"/>
          <w:color w:val="000000" w:themeColor="text1"/>
          <w:sz w:val="20"/>
        </w:rPr>
        <w:t>its own funding</w:t>
      </w:r>
      <w:r w:rsidRPr="585345C4" w:rsidR="00F10734">
        <w:rPr>
          <w:rFonts w:eastAsia="Arial" w:cs="Arial"/>
          <w:color w:val="000000" w:themeColor="text1"/>
          <w:sz w:val="20"/>
        </w:rPr>
        <w:t xml:space="preserve"> </w:t>
      </w:r>
      <w:r w:rsidRPr="585345C4" w:rsidR="001A29FB">
        <w:rPr>
          <w:rFonts w:eastAsia="Arial" w:cs="Arial"/>
          <w:color w:val="000000" w:themeColor="text1"/>
          <w:sz w:val="20"/>
        </w:rPr>
        <w:t>for the REM strategy</w:t>
      </w:r>
      <w:r w:rsidR="005B337E">
        <w:rPr>
          <w:rFonts w:eastAsia="Arial" w:cs="Arial"/>
          <w:color w:val="000000" w:themeColor="text1"/>
          <w:sz w:val="20"/>
        </w:rPr>
        <w:t xml:space="preserve"> (the government has funded some additional NDF and allocated funding through other international sources such as GCF, research institutes etc). </w:t>
      </w:r>
      <w:r w:rsidRPr="585345C4" w:rsidR="004B2DF3">
        <w:rPr>
          <w:rFonts w:eastAsia="Arial" w:cs="Arial"/>
          <w:color w:val="000000" w:themeColor="text1"/>
          <w:sz w:val="20"/>
        </w:rPr>
        <w:t xml:space="preserve">The </w:t>
      </w:r>
      <w:r w:rsidRPr="585345C4">
        <w:rPr>
          <w:rFonts w:eastAsia="Arial" w:cs="Arial"/>
          <w:color w:val="000000" w:themeColor="text1"/>
          <w:sz w:val="20"/>
        </w:rPr>
        <w:t>Mato Grosso government ha</w:t>
      </w:r>
      <w:r w:rsidRPr="585345C4" w:rsidR="004B2DF3">
        <w:rPr>
          <w:rFonts w:eastAsia="Arial" w:cs="Arial"/>
          <w:color w:val="000000" w:themeColor="text1"/>
          <w:sz w:val="20"/>
        </w:rPr>
        <w:t>s</w:t>
      </w:r>
      <w:r w:rsidRPr="585345C4">
        <w:rPr>
          <w:rFonts w:eastAsia="Arial" w:cs="Arial"/>
          <w:color w:val="000000" w:themeColor="text1"/>
          <w:sz w:val="20"/>
        </w:rPr>
        <w:t xml:space="preserve"> also </w:t>
      </w:r>
      <w:r w:rsidRPr="585345C4" w:rsidR="00C2563C">
        <w:rPr>
          <w:rFonts w:eastAsia="Arial" w:cs="Arial"/>
          <w:color w:val="000000" w:themeColor="text1"/>
          <w:sz w:val="20"/>
        </w:rPr>
        <w:t>promised to take on further funding</w:t>
      </w:r>
      <w:r w:rsidRPr="585345C4" w:rsidR="005A0458">
        <w:rPr>
          <w:rFonts w:eastAsia="Arial" w:cs="Arial"/>
          <w:color w:val="000000" w:themeColor="text1"/>
          <w:sz w:val="20"/>
        </w:rPr>
        <w:t xml:space="preserve"> to deliver any shortfalls in projects started under REM that cannot be covered in Phase 2</w:t>
      </w:r>
      <w:r w:rsidRPr="585345C4" w:rsidR="001A29FB">
        <w:rPr>
          <w:rFonts w:eastAsia="Arial" w:cs="Arial"/>
          <w:color w:val="000000" w:themeColor="text1"/>
          <w:sz w:val="20"/>
        </w:rPr>
        <w:t xml:space="preserve"> and Acre has agreed to pay subsidies at the end of the programme. </w:t>
      </w:r>
      <w:r w:rsidRPr="585345C4" w:rsidR="00C2563C">
        <w:rPr>
          <w:rFonts w:eastAsia="Arial" w:cs="Arial"/>
          <w:color w:val="000000" w:themeColor="text1"/>
          <w:sz w:val="20"/>
        </w:rPr>
        <w:t xml:space="preserve"> </w:t>
      </w:r>
    </w:p>
    <w:p w:rsidRPr="00637FAF" w:rsidR="004453F1" w:rsidP="0025594B" w:rsidRDefault="00500FDD" w14:paraId="227BDF04" w14:textId="2392A501">
      <w:pPr>
        <w:pStyle w:val="ListParagraph"/>
        <w:numPr>
          <w:ilvl w:val="0"/>
          <w:numId w:val="17"/>
        </w:numPr>
        <w:jc w:val="both"/>
        <w:rPr>
          <w:rFonts w:eastAsia="Arial" w:cs="Arial"/>
          <w:color w:val="000000" w:themeColor="text1"/>
          <w:sz w:val="20"/>
          <w:szCs w:val="16"/>
        </w:rPr>
      </w:pPr>
      <w:r w:rsidRPr="6D6666F9">
        <w:rPr>
          <w:rFonts w:eastAsia="Arial" w:cs="Arial"/>
          <w:color w:val="000000" w:themeColor="text1"/>
          <w:sz w:val="20"/>
        </w:rPr>
        <w:t xml:space="preserve">At </w:t>
      </w:r>
      <w:r w:rsidRPr="6D6666F9">
        <w:rPr>
          <w:rFonts w:eastAsia="Arial" w:cs="Arial"/>
          <w:b/>
          <w:bCs/>
          <w:color w:val="000000" w:themeColor="text1"/>
          <w:sz w:val="20"/>
        </w:rPr>
        <w:t>output</w:t>
      </w:r>
      <w:r w:rsidRPr="6D6666F9">
        <w:rPr>
          <w:rFonts w:eastAsia="Arial" w:cs="Arial"/>
          <w:color w:val="000000" w:themeColor="text1"/>
          <w:sz w:val="20"/>
        </w:rPr>
        <w:t xml:space="preserve"> level, </w:t>
      </w:r>
      <w:r w:rsidRPr="6D6666F9" w:rsidR="007A7F92">
        <w:rPr>
          <w:rFonts w:eastAsia="Arial" w:cs="Arial"/>
          <w:color w:val="000000" w:themeColor="text1"/>
          <w:sz w:val="20"/>
        </w:rPr>
        <w:t>as the activities under</w:t>
      </w:r>
      <w:r w:rsidRPr="6D6666F9">
        <w:rPr>
          <w:rFonts w:eastAsia="Arial" w:cs="Arial"/>
          <w:color w:val="000000" w:themeColor="text1"/>
          <w:sz w:val="20"/>
        </w:rPr>
        <w:t xml:space="preserve"> REM are driven by local context and priorities, there is variance across outputs/activities in</w:t>
      </w:r>
      <w:r w:rsidRPr="6D6666F9" w:rsidR="007A7F92">
        <w:rPr>
          <w:rFonts w:eastAsia="Arial" w:cs="Arial"/>
          <w:color w:val="000000" w:themeColor="text1"/>
          <w:sz w:val="20"/>
        </w:rPr>
        <w:t xml:space="preserve"> different locations in</w:t>
      </w:r>
      <w:r w:rsidRPr="6D6666F9">
        <w:rPr>
          <w:rFonts w:eastAsia="Arial" w:cs="Arial"/>
          <w:color w:val="000000" w:themeColor="text1"/>
          <w:sz w:val="20"/>
        </w:rPr>
        <w:t xml:space="preserve"> terms of emphasis and design. </w:t>
      </w:r>
      <w:r w:rsidRPr="6D6666F9" w:rsidR="00FF4EA0">
        <w:rPr>
          <w:rFonts w:eastAsia="Arial" w:cs="Arial"/>
          <w:color w:val="000000" w:themeColor="text1"/>
          <w:sz w:val="20"/>
        </w:rPr>
        <w:t xml:space="preserve">This allows </w:t>
      </w:r>
      <w:r w:rsidRPr="6D6666F9">
        <w:rPr>
          <w:rFonts w:eastAsia="Arial" w:cs="Arial"/>
          <w:color w:val="000000" w:themeColor="text1"/>
          <w:sz w:val="20"/>
        </w:rPr>
        <w:t>test</w:t>
      </w:r>
      <w:r w:rsidRPr="6D6666F9" w:rsidR="00FF4EA0">
        <w:rPr>
          <w:rFonts w:eastAsia="Arial" w:cs="Arial"/>
          <w:color w:val="000000" w:themeColor="text1"/>
          <w:sz w:val="20"/>
        </w:rPr>
        <w:t>ing of</w:t>
      </w:r>
      <w:r w:rsidRPr="6D6666F9">
        <w:rPr>
          <w:rFonts w:eastAsia="Arial" w:cs="Arial"/>
          <w:color w:val="000000" w:themeColor="text1"/>
          <w:sz w:val="20"/>
        </w:rPr>
        <w:t xml:space="preserve"> new approaches; payments for policy milestones are being tested in Colombia, and the Mato Grosso programme is developing a Forest Reference Level (FREL) and rewarding emissions in the Cerrado savannah for the first time, as well as exploring the use of the ART TREES standard</w:t>
      </w:r>
      <w:r w:rsidRPr="6D6666F9" w:rsidR="00637FAF">
        <w:rPr>
          <w:rFonts w:eastAsia="Arial" w:cs="Arial"/>
          <w:color w:val="000000" w:themeColor="text1"/>
          <w:sz w:val="20"/>
        </w:rPr>
        <w:t xml:space="preserve"> (in Mato Grosso and Colombia)</w:t>
      </w:r>
      <w:r w:rsidRPr="6D6666F9">
        <w:rPr>
          <w:rFonts w:eastAsia="Arial" w:cs="Arial"/>
          <w:color w:val="000000" w:themeColor="text1"/>
          <w:sz w:val="20"/>
        </w:rPr>
        <w:t xml:space="preserve">. The simplification of the customer journey (the experience forest countries adopting REDD+ have) is evident too; REM in Colombia is being used as the main flagship programme of the GoC and in Mato </w:t>
      </w:r>
      <w:r w:rsidRPr="6D6666F9" w:rsidR="002B5839">
        <w:rPr>
          <w:rFonts w:eastAsia="Arial" w:cs="Arial"/>
          <w:color w:val="000000" w:themeColor="text1"/>
          <w:sz w:val="20"/>
        </w:rPr>
        <w:t>G</w:t>
      </w:r>
      <w:r w:rsidRPr="6D6666F9">
        <w:rPr>
          <w:rFonts w:eastAsia="Arial" w:cs="Arial"/>
          <w:color w:val="000000" w:themeColor="text1"/>
          <w:sz w:val="20"/>
        </w:rPr>
        <w:t xml:space="preserve">rosso and </w:t>
      </w:r>
      <w:r w:rsidRPr="6D6666F9">
        <w:rPr>
          <w:rFonts w:eastAsia="Arial" w:cs="Arial"/>
          <w:color w:val="000000" w:themeColor="text1"/>
          <w:sz w:val="20"/>
        </w:rPr>
        <w:lastRenderedPageBreak/>
        <w:t>Acre the REM blueprint is being used</w:t>
      </w:r>
      <w:r w:rsidRPr="6D6666F9" w:rsidR="009B1E59">
        <w:rPr>
          <w:rFonts w:eastAsia="Arial" w:cs="Arial"/>
          <w:color w:val="000000" w:themeColor="text1"/>
          <w:sz w:val="20"/>
        </w:rPr>
        <w:t xml:space="preserve"> </w:t>
      </w:r>
      <w:r w:rsidRPr="6D6666F9">
        <w:rPr>
          <w:rFonts w:eastAsia="Arial" w:cs="Arial"/>
          <w:color w:val="000000" w:themeColor="text1"/>
          <w:sz w:val="20"/>
        </w:rPr>
        <w:t>for other REDD+ and ICF programmes including by the World Bank</w:t>
      </w:r>
      <w:r w:rsidRPr="6D6666F9" w:rsidR="0026724D">
        <w:rPr>
          <w:rFonts w:eastAsia="Arial" w:cs="Arial"/>
          <w:color w:val="000000" w:themeColor="text1"/>
          <w:sz w:val="20"/>
        </w:rPr>
        <w:t>. R</w:t>
      </w:r>
      <w:r w:rsidRPr="6D6666F9" w:rsidR="002B5839">
        <w:rPr>
          <w:rFonts w:eastAsia="Arial" w:cs="Arial"/>
          <w:color w:val="000000" w:themeColor="text1"/>
          <w:sz w:val="20"/>
        </w:rPr>
        <w:t xml:space="preserve">EM </w:t>
      </w:r>
      <w:r w:rsidRPr="6D6666F9" w:rsidR="0026724D">
        <w:rPr>
          <w:rFonts w:eastAsia="Arial" w:cs="Arial"/>
          <w:color w:val="000000" w:themeColor="text1"/>
          <w:sz w:val="20"/>
        </w:rPr>
        <w:t xml:space="preserve">is also </w:t>
      </w:r>
      <w:r w:rsidRPr="6D6666F9" w:rsidR="002B5839">
        <w:rPr>
          <w:rFonts w:eastAsia="Arial" w:cs="Arial"/>
          <w:color w:val="000000" w:themeColor="text1"/>
          <w:sz w:val="20"/>
        </w:rPr>
        <w:t>support</w:t>
      </w:r>
      <w:r w:rsidRPr="6D6666F9" w:rsidR="0026724D">
        <w:rPr>
          <w:rFonts w:eastAsia="Arial" w:cs="Arial"/>
          <w:color w:val="000000" w:themeColor="text1"/>
          <w:sz w:val="20"/>
        </w:rPr>
        <w:t>ing</w:t>
      </w:r>
      <w:r w:rsidRPr="6D6666F9" w:rsidR="002B5839">
        <w:rPr>
          <w:rFonts w:eastAsia="Arial" w:cs="Arial"/>
          <w:color w:val="000000" w:themeColor="text1"/>
          <w:sz w:val="20"/>
        </w:rPr>
        <w:t xml:space="preserve"> countries to advance in REDD+ Readiness, including </w:t>
      </w:r>
      <w:r w:rsidRPr="6D6666F9" w:rsidR="0026724D">
        <w:rPr>
          <w:rFonts w:eastAsia="Arial" w:cs="Arial"/>
          <w:color w:val="000000" w:themeColor="text1"/>
          <w:sz w:val="20"/>
        </w:rPr>
        <w:t>for other REDD+ standards such as ART-TREES</w:t>
      </w:r>
      <w:r w:rsidRPr="6D6666F9" w:rsidR="00414F52">
        <w:rPr>
          <w:rFonts w:eastAsia="Arial" w:cs="Arial"/>
          <w:color w:val="000000" w:themeColor="text1"/>
          <w:sz w:val="20"/>
        </w:rPr>
        <w:t xml:space="preserve"> (in Colombia, the funding given by REM for monitoring has meant that IDEAM</w:t>
      </w:r>
      <w:r w:rsidRPr="6D6666F9" w:rsidR="005B337E">
        <w:rPr>
          <w:rStyle w:val="FootnoteReference"/>
          <w:rFonts w:eastAsia="Arial" w:cs="Arial"/>
          <w:color w:val="000000" w:themeColor="text1"/>
          <w:sz w:val="20"/>
        </w:rPr>
        <w:footnoteReference w:id="7"/>
      </w:r>
      <w:r w:rsidRPr="6D6666F9" w:rsidR="00414F52">
        <w:rPr>
          <w:rFonts w:eastAsia="Arial" w:cs="Arial"/>
          <w:color w:val="000000" w:themeColor="text1"/>
          <w:sz w:val="20"/>
        </w:rPr>
        <w:t xml:space="preserve"> have developed to be able to </w:t>
      </w:r>
      <w:r w:rsidRPr="6D6666F9" w:rsidR="00020937">
        <w:rPr>
          <w:rFonts w:eastAsia="Arial" w:cs="Arial"/>
          <w:color w:val="000000" w:themeColor="text1"/>
          <w:sz w:val="20"/>
        </w:rPr>
        <w:t>measure</w:t>
      </w:r>
      <w:r w:rsidRPr="6D6666F9" w:rsidR="00414F52">
        <w:rPr>
          <w:rFonts w:eastAsia="Arial" w:cs="Arial"/>
          <w:color w:val="000000" w:themeColor="text1"/>
          <w:sz w:val="20"/>
        </w:rPr>
        <w:t xml:space="preserve"> </w:t>
      </w:r>
      <w:r w:rsidRPr="6D6666F9" w:rsidR="00020937">
        <w:rPr>
          <w:rFonts w:eastAsia="Arial" w:cs="Arial"/>
          <w:color w:val="000000" w:themeColor="text1"/>
          <w:sz w:val="20"/>
        </w:rPr>
        <w:t>degradation</w:t>
      </w:r>
      <w:r w:rsidRPr="6D6666F9" w:rsidR="00414F52">
        <w:rPr>
          <w:rFonts w:eastAsia="Arial" w:cs="Arial"/>
          <w:color w:val="000000" w:themeColor="text1"/>
          <w:sz w:val="20"/>
        </w:rPr>
        <w:t>, a key challenge in meeting ART TREES</w:t>
      </w:r>
      <w:r w:rsidRPr="6D6666F9" w:rsidR="00020937">
        <w:rPr>
          <w:rFonts w:eastAsia="Arial" w:cs="Arial"/>
          <w:color w:val="000000" w:themeColor="text1"/>
          <w:sz w:val="20"/>
        </w:rPr>
        <w:t xml:space="preserve">). </w:t>
      </w:r>
    </w:p>
    <w:p w:rsidRPr="00637FAF" w:rsidR="009B1E59" w:rsidP="0025594B" w:rsidRDefault="009B1E59" w14:paraId="19AAE155" w14:textId="139A8600">
      <w:pPr>
        <w:pStyle w:val="ListParagraph"/>
        <w:numPr>
          <w:ilvl w:val="0"/>
          <w:numId w:val="17"/>
        </w:numPr>
        <w:jc w:val="both"/>
        <w:rPr>
          <w:rFonts w:eastAsia="Arial" w:cs="Arial"/>
          <w:color w:val="000000" w:themeColor="text1"/>
          <w:sz w:val="20"/>
          <w:szCs w:val="16"/>
        </w:rPr>
      </w:pPr>
      <w:r w:rsidRPr="00637FAF">
        <w:rPr>
          <w:rFonts w:eastAsia="Arial" w:cs="Arial"/>
          <w:color w:val="000000" w:themeColor="text1"/>
          <w:sz w:val="20"/>
          <w:szCs w:val="16"/>
        </w:rPr>
        <w:t xml:space="preserve">At an </w:t>
      </w:r>
      <w:r w:rsidRPr="00637FAF" w:rsidR="00D021AC">
        <w:rPr>
          <w:rFonts w:eastAsia="Arial" w:cs="Arial"/>
          <w:b/>
          <w:bCs/>
          <w:color w:val="000000" w:themeColor="text1"/>
          <w:sz w:val="20"/>
          <w:szCs w:val="16"/>
        </w:rPr>
        <w:t xml:space="preserve">outcome and </w:t>
      </w:r>
      <w:r w:rsidRPr="00637FAF">
        <w:rPr>
          <w:rFonts w:eastAsia="Arial" w:cs="Arial"/>
          <w:b/>
          <w:bCs/>
          <w:color w:val="000000" w:themeColor="text1"/>
          <w:sz w:val="20"/>
          <w:szCs w:val="16"/>
        </w:rPr>
        <w:t>impact</w:t>
      </w:r>
      <w:r w:rsidRPr="00637FAF">
        <w:rPr>
          <w:rFonts w:eastAsia="Arial" w:cs="Arial"/>
          <w:color w:val="000000" w:themeColor="text1"/>
          <w:sz w:val="20"/>
          <w:szCs w:val="16"/>
        </w:rPr>
        <w:t xml:space="preserve"> level, </w:t>
      </w:r>
      <w:r w:rsidRPr="00637FAF" w:rsidR="00B27886">
        <w:rPr>
          <w:rFonts w:eastAsia="Arial" w:cs="Arial"/>
          <w:color w:val="000000" w:themeColor="text1"/>
          <w:sz w:val="20"/>
          <w:szCs w:val="16"/>
        </w:rPr>
        <w:t xml:space="preserve">the impact of </w:t>
      </w:r>
      <w:r w:rsidRPr="00637FAF">
        <w:rPr>
          <w:rFonts w:eastAsia="Arial" w:cs="Arial"/>
          <w:color w:val="000000" w:themeColor="text1"/>
          <w:sz w:val="20"/>
          <w:szCs w:val="16"/>
        </w:rPr>
        <w:t>REM</w:t>
      </w:r>
      <w:r w:rsidRPr="00637FAF" w:rsidR="00906B73">
        <w:rPr>
          <w:rFonts w:eastAsia="Arial" w:cs="Arial"/>
          <w:color w:val="000000" w:themeColor="text1"/>
          <w:sz w:val="20"/>
          <w:szCs w:val="16"/>
        </w:rPr>
        <w:t xml:space="preserve"> </w:t>
      </w:r>
      <w:r w:rsidRPr="00637FAF" w:rsidR="00B27886">
        <w:rPr>
          <w:rFonts w:eastAsia="Arial" w:cs="Arial"/>
          <w:color w:val="000000" w:themeColor="text1"/>
          <w:sz w:val="20"/>
          <w:szCs w:val="16"/>
        </w:rPr>
        <w:t xml:space="preserve">can be seen through </w:t>
      </w:r>
      <w:r w:rsidRPr="00637FAF" w:rsidR="00E93527">
        <w:rPr>
          <w:rFonts w:eastAsia="Arial" w:cs="Arial"/>
          <w:color w:val="000000" w:themeColor="text1"/>
          <w:sz w:val="20"/>
          <w:szCs w:val="16"/>
        </w:rPr>
        <w:t xml:space="preserve">the </w:t>
      </w:r>
      <w:r w:rsidRPr="00637FAF" w:rsidR="009238D7">
        <w:rPr>
          <w:rFonts w:eastAsia="Arial" w:cs="Arial"/>
          <w:color w:val="000000" w:themeColor="text1"/>
          <w:sz w:val="20"/>
          <w:szCs w:val="16"/>
        </w:rPr>
        <w:t>advancement of REM countries to</w:t>
      </w:r>
      <w:r w:rsidRPr="00637FAF" w:rsidR="00633F73">
        <w:rPr>
          <w:rFonts w:eastAsia="Arial" w:cs="Arial"/>
          <w:color w:val="000000" w:themeColor="text1"/>
          <w:sz w:val="20"/>
          <w:szCs w:val="16"/>
        </w:rPr>
        <w:t>wards</w:t>
      </w:r>
      <w:r w:rsidRPr="00637FAF" w:rsidR="009238D7">
        <w:rPr>
          <w:rFonts w:eastAsia="Arial" w:cs="Arial"/>
          <w:color w:val="000000" w:themeColor="text1"/>
          <w:sz w:val="20"/>
          <w:szCs w:val="16"/>
        </w:rPr>
        <w:t xml:space="preserve"> </w:t>
      </w:r>
      <w:r w:rsidRPr="00637FAF" w:rsidR="008A6EC8">
        <w:rPr>
          <w:rFonts w:eastAsia="Arial" w:cs="Arial"/>
          <w:color w:val="000000" w:themeColor="text1"/>
          <w:sz w:val="20"/>
          <w:szCs w:val="16"/>
        </w:rPr>
        <w:t xml:space="preserve">harder REDD+ standards </w:t>
      </w:r>
      <w:r w:rsidRPr="00637FAF" w:rsidR="000D4135">
        <w:rPr>
          <w:rFonts w:eastAsia="Arial" w:cs="Arial"/>
          <w:color w:val="000000" w:themeColor="text1"/>
          <w:sz w:val="20"/>
          <w:szCs w:val="16"/>
        </w:rPr>
        <w:t xml:space="preserve">and other REDD+ </w:t>
      </w:r>
      <w:r w:rsidRPr="00637FAF" w:rsidR="006272CF">
        <w:rPr>
          <w:rFonts w:eastAsia="Arial" w:cs="Arial"/>
          <w:color w:val="000000" w:themeColor="text1"/>
          <w:sz w:val="20"/>
          <w:szCs w:val="16"/>
        </w:rPr>
        <w:t>opportunities beyond the programme</w:t>
      </w:r>
      <w:r w:rsidRPr="00637FAF" w:rsidR="000D4135">
        <w:rPr>
          <w:rFonts w:eastAsia="Arial" w:cs="Arial"/>
          <w:color w:val="000000" w:themeColor="text1"/>
          <w:sz w:val="20"/>
          <w:szCs w:val="16"/>
        </w:rPr>
        <w:t xml:space="preserve">. </w:t>
      </w:r>
      <w:r w:rsidRPr="00637FAF">
        <w:rPr>
          <w:rFonts w:eastAsia="Arial" w:cs="Arial"/>
          <w:color w:val="000000" w:themeColor="text1"/>
          <w:sz w:val="20"/>
          <w:szCs w:val="16"/>
        </w:rPr>
        <w:t xml:space="preserve">Both Mato Grosso and Acre are close to signing ERPAs with the LEAF Coalition (especially Mato Grosso) and are more advanced than other Brazilian states. </w:t>
      </w:r>
    </w:p>
    <w:p w:rsidRPr="00637FAF" w:rsidR="00325AEA" w:rsidP="0025594B" w:rsidRDefault="009B1E59" w14:paraId="3DDB2176" w14:textId="07381789">
      <w:pPr>
        <w:pStyle w:val="ListParagraph"/>
        <w:numPr>
          <w:ilvl w:val="0"/>
          <w:numId w:val="17"/>
        </w:numPr>
        <w:jc w:val="both"/>
        <w:rPr>
          <w:rFonts w:eastAsia="Arial" w:cs="Arial"/>
          <w:color w:val="000000" w:themeColor="text1"/>
          <w:sz w:val="20"/>
          <w:szCs w:val="16"/>
        </w:rPr>
      </w:pPr>
      <w:r w:rsidRPr="00637FAF">
        <w:rPr>
          <w:rFonts w:eastAsia="Arial" w:cs="Arial"/>
          <w:color w:val="000000" w:themeColor="text1"/>
          <w:sz w:val="20"/>
          <w:szCs w:val="16"/>
        </w:rPr>
        <w:t xml:space="preserve">Although the results for deforestation have been varied, REM has achieved, in part, its transformative impact of showing that REDD+ can deliver results, </w:t>
      </w:r>
      <w:r w:rsidRPr="00637FAF" w:rsidR="004E2B89">
        <w:rPr>
          <w:rFonts w:eastAsia="Arial" w:cs="Arial"/>
          <w:color w:val="000000" w:themeColor="text1"/>
          <w:sz w:val="20"/>
          <w:szCs w:val="16"/>
        </w:rPr>
        <w:t xml:space="preserve">with its methodologies and policies </w:t>
      </w:r>
      <w:r w:rsidRPr="00637FAF">
        <w:rPr>
          <w:rFonts w:eastAsia="Arial" w:cs="Arial"/>
          <w:color w:val="000000" w:themeColor="text1"/>
          <w:sz w:val="20"/>
          <w:szCs w:val="16"/>
        </w:rPr>
        <w:t>adopted by national and subnational governments and</w:t>
      </w:r>
      <w:r w:rsidRPr="00637FAF" w:rsidR="00325AEA">
        <w:rPr>
          <w:rFonts w:eastAsia="Arial" w:cs="Arial"/>
          <w:color w:val="000000" w:themeColor="text1"/>
          <w:sz w:val="20"/>
          <w:szCs w:val="16"/>
        </w:rPr>
        <w:t xml:space="preserve"> </w:t>
      </w:r>
      <w:r w:rsidRPr="00637FAF" w:rsidR="00345E64">
        <w:rPr>
          <w:rFonts w:eastAsia="Arial" w:cs="Arial"/>
          <w:color w:val="000000" w:themeColor="text1"/>
          <w:sz w:val="20"/>
          <w:szCs w:val="16"/>
        </w:rPr>
        <w:t>the continuation of REDD+ methodologies into further programming.</w:t>
      </w:r>
      <w:r w:rsidRPr="00637FAF" w:rsidR="00325AEA">
        <w:rPr>
          <w:rFonts w:eastAsia="Arial" w:cs="Arial"/>
          <w:color w:val="000000" w:themeColor="text1"/>
          <w:sz w:val="20"/>
          <w:szCs w:val="16"/>
        </w:rPr>
        <w:t xml:space="preserve"> </w:t>
      </w:r>
    </w:p>
    <w:p w:rsidRPr="00637FAF" w:rsidR="00C0500D" w:rsidP="0025594B" w:rsidRDefault="00896A36" w14:paraId="48DE2C49" w14:textId="432172AE">
      <w:pPr>
        <w:jc w:val="both"/>
        <w:rPr>
          <w:rFonts w:eastAsia="Arial" w:cs="Arial"/>
          <w:color w:val="000000" w:themeColor="text1"/>
          <w:sz w:val="20"/>
          <w:szCs w:val="20"/>
        </w:rPr>
      </w:pPr>
      <w:r w:rsidRPr="00637FAF">
        <w:rPr>
          <w:rFonts w:eastAsia="Arial" w:cs="Arial"/>
          <w:color w:val="000000" w:themeColor="text1"/>
          <w:sz w:val="20"/>
          <w:szCs w:val="20"/>
        </w:rPr>
        <w:t xml:space="preserve">REM aligns strongly with the </w:t>
      </w:r>
      <w:r w:rsidRPr="00637FAF" w:rsidR="00BB597D">
        <w:rPr>
          <w:rFonts w:eastAsia="Arial" w:cs="Arial"/>
          <w:b/>
          <w:bCs/>
          <w:color w:val="000000" w:themeColor="text1"/>
          <w:sz w:val="20"/>
          <w:szCs w:val="20"/>
        </w:rPr>
        <w:t xml:space="preserve">DESNZ </w:t>
      </w:r>
      <w:r w:rsidRPr="00637FAF">
        <w:rPr>
          <w:rFonts w:eastAsia="Arial" w:cs="Arial"/>
          <w:b/>
          <w:bCs/>
          <w:color w:val="000000" w:themeColor="text1"/>
          <w:sz w:val="20"/>
          <w:szCs w:val="20"/>
        </w:rPr>
        <w:t>ICF Theory of Change</w:t>
      </w:r>
      <w:r w:rsidRPr="00637FAF">
        <w:rPr>
          <w:rStyle w:val="FootnoteReference"/>
          <w:rFonts w:eastAsia="Arial" w:cs="Arial"/>
          <w:color w:val="000000" w:themeColor="text1"/>
          <w:sz w:val="20"/>
          <w:szCs w:val="20"/>
        </w:rPr>
        <w:footnoteReference w:id="8"/>
      </w:r>
      <w:r w:rsidRPr="00637FAF">
        <w:rPr>
          <w:rFonts w:eastAsia="Arial" w:cs="Arial"/>
          <w:color w:val="000000" w:themeColor="text1"/>
          <w:sz w:val="20"/>
          <w:szCs w:val="20"/>
        </w:rPr>
        <w:t>. At the activity level, REM demonstrates strong collaboration with partner governments (through their strong investment and involvement in programme delivery and design, this is especially true of the Colombian government); promotion of gender and social equality (</w:t>
      </w:r>
      <w:r w:rsidRPr="00637FAF" w:rsidR="00C940BA">
        <w:rPr>
          <w:rFonts w:eastAsia="Arial" w:cs="Arial"/>
          <w:color w:val="000000" w:themeColor="text1"/>
          <w:sz w:val="20"/>
          <w:szCs w:val="20"/>
        </w:rPr>
        <w:t>e.g</w:t>
      </w:r>
      <w:r w:rsidR="00BE104A">
        <w:rPr>
          <w:rFonts w:eastAsia="Arial" w:cs="Arial"/>
          <w:color w:val="000000" w:themeColor="text1"/>
          <w:sz w:val="20"/>
          <w:szCs w:val="20"/>
        </w:rPr>
        <w:t>.</w:t>
      </w:r>
      <w:r w:rsidRPr="00637FAF">
        <w:rPr>
          <w:rFonts w:eastAsia="Arial" w:cs="Arial"/>
          <w:color w:val="000000" w:themeColor="text1"/>
          <w:sz w:val="20"/>
          <w:szCs w:val="20"/>
        </w:rPr>
        <w:t xml:space="preserve"> through funding activities specifically oriented to women and/or Indigenous Peoples, which Mato Grosso has focused on this year through its funding for indigenous and local projects); and addressing key drivers of deforestation. </w:t>
      </w:r>
    </w:p>
    <w:p w:rsidRPr="00637FAF" w:rsidR="00C0500D" w:rsidP="00896A36" w:rsidRDefault="00C0500D" w14:paraId="3644A586" w14:textId="77777777">
      <w:pPr>
        <w:rPr>
          <w:rFonts w:eastAsia="Arial" w:cs="Arial"/>
          <w:color w:val="000000" w:themeColor="text1"/>
          <w:sz w:val="20"/>
          <w:szCs w:val="20"/>
        </w:rPr>
      </w:pPr>
    </w:p>
    <w:p w:rsidRPr="00637FAF" w:rsidR="00AB7763" w:rsidP="00A76B19" w:rsidRDefault="00B86E0F" w14:paraId="6543346B" w14:textId="254181EC">
      <w:pPr>
        <w:pStyle w:val="Caption"/>
        <w:jc w:val="both"/>
        <w:rPr>
          <w:rFonts w:cs="Arial"/>
          <w:i w:val="0"/>
          <w:iCs w:val="0"/>
          <w:color w:val="auto"/>
          <w:sz w:val="20"/>
          <w:szCs w:val="20"/>
        </w:rPr>
      </w:pPr>
      <w:r w:rsidRPr="00637FAF">
        <w:rPr>
          <w:rFonts w:eastAsia="Arial" w:cs="Arial"/>
          <w:i w:val="0"/>
          <w:iCs w:val="0"/>
          <w:color w:val="auto"/>
          <w:sz w:val="20"/>
          <w:szCs w:val="20"/>
        </w:rPr>
        <w:t>The</w:t>
      </w:r>
      <w:r w:rsidRPr="00637FAF" w:rsidR="00C0500D">
        <w:rPr>
          <w:rFonts w:eastAsia="Arial" w:cs="Arial"/>
          <w:i w:val="0"/>
          <w:iCs w:val="0"/>
          <w:color w:val="auto"/>
          <w:sz w:val="20"/>
          <w:szCs w:val="20"/>
        </w:rPr>
        <w:t xml:space="preserve"> </w:t>
      </w:r>
      <w:r w:rsidRPr="00637FAF" w:rsidR="00C0500D">
        <w:rPr>
          <w:rFonts w:cs="Arial"/>
          <w:i w:val="0"/>
          <w:iCs w:val="0"/>
          <w:color w:val="auto"/>
          <w:sz w:val="20"/>
          <w:szCs w:val="20"/>
        </w:rPr>
        <w:t>Theory of Change for REM</w:t>
      </w:r>
      <w:r w:rsidRPr="00637FAF" w:rsidR="4E60853B">
        <w:rPr>
          <w:rFonts w:cs="Arial"/>
          <w:i w:val="0"/>
          <w:iCs w:val="0"/>
          <w:color w:val="auto"/>
          <w:sz w:val="20"/>
          <w:szCs w:val="20"/>
        </w:rPr>
        <w:t xml:space="preserve"> </w:t>
      </w:r>
      <w:r w:rsidRPr="00637FAF" w:rsidR="00C0500D">
        <w:rPr>
          <w:rFonts w:cs="Arial"/>
          <w:i w:val="0"/>
          <w:iCs w:val="0"/>
          <w:color w:val="auto"/>
          <w:sz w:val="20"/>
          <w:szCs w:val="20"/>
        </w:rPr>
        <w:t xml:space="preserve">2 </w:t>
      </w:r>
      <w:r w:rsidRPr="00637FAF" w:rsidR="0027142D">
        <w:rPr>
          <w:rFonts w:cs="Arial"/>
          <w:i w:val="0"/>
          <w:iCs w:val="0"/>
          <w:color w:val="auto"/>
          <w:sz w:val="20"/>
          <w:szCs w:val="20"/>
        </w:rPr>
        <w:t>(</w:t>
      </w:r>
      <w:r w:rsidRPr="00637FAF" w:rsidR="00C0500D">
        <w:rPr>
          <w:rFonts w:cs="Arial"/>
          <w:i w:val="0"/>
          <w:iCs w:val="0"/>
          <w:color w:val="auto"/>
          <w:sz w:val="20"/>
          <w:szCs w:val="20"/>
        </w:rPr>
        <w:t>Figure 2</w:t>
      </w:r>
      <w:r w:rsidRPr="00637FAF" w:rsidR="0027142D">
        <w:rPr>
          <w:rFonts w:cs="Arial"/>
          <w:i w:val="0"/>
          <w:iCs w:val="0"/>
          <w:color w:val="auto"/>
          <w:sz w:val="20"/>
          <w:szCs w:val="20"/>
        </w:rPr>
        <w:t xml:space="preserve">) </w:t>
      </w:r>
      <w:r w:rsidRPr="00637FAF" w:rsidR="00AB7763">
        <w:rPr>
          <w:rFonts w:cs="Arial"/>
          <w:i w:val="0"/>
          <w:iCs w:val="0"/>
          <w:color w:val="auto"/>
          <w:sz w:val="20"/>
          <w:szCs w:val="20"/>
        </w:rPr>
        <w:t xml:space="preserve">has been developed based on past learning of the </w:t>
      </w:r>
      <w:r w:rsidRPr="00637FAF" w:rsidR="003C6298">
        <w:rPr>
          <w:rFonts w:cs="Arial"/>
          <w:i w:val="0"/>
          <w:iCs w:val="0"/>
          <w:color w:val="auto"/>
          <w:sz w:val="20"/>
          <w:szCs w:val="20"/>
        </w:rPr>
        <w:t>programme and</w:t>
      </w:r>
      <w:r w:rsidRPr="00637FAF">
        <w:rPr>
          <w:rFonts w:cs="Arial"/>
          <w:i w:val="0"/>
          <w:iCs w:val="0"/>
          <w:color w:val="auto"/>
          <w:sz w:val="20"/>
          <w:szCs w:val="20"/>
        </w:rPr>
        <w:t xml:space="preserve"> will scale up </w:t>
      </w:r>
      <w:r w:rsidRPr="00637FAF">
        <w:rPr>
          <w:rFonts w:eastAsia="Arial" w:cs="Arial"/>
          <w:i w:val="0"/>
          <w:iCs w:val="0"/>
          <w:color w:val="auto"/>
          <w:sz w:val="20"/>
          <w:szCs w:val="20"/>
        </w:rPr>
        <w:t>successful activities seen under REM</w:t>
      </w:r>
      <w:r w:rsidRPr="00637FAF" w:rsidR="0E22BC83">
        <w:rPr>
          <w:rFonts w:eastAsia="Arial" w:cs="Arial"/>
          <w:i w:val="0"/>
          <w:iCs w:val="0"/>
          <w:color w:val="auto"/>
          <w:sz w:val="20"/>
          <w:szCs w:val="20"/>
        </w:rPr>
        <w:t xml:space="preserve"> </w:t>
      </w:r>
      <w:r w:rsidRPr="00637FAF">
        <w:rPr>
          <w:rFonts w:eastAsia="Arial" w:cs="Arial"/>
          <w:i w:val="0"/>
          <w:iCs w:val="0"/>
          <w:color w:val="auto"/>
          <w:sz w:val="20"/>
          <w:szCs w:val="20"/>
        </w:rPr>
        <w:t>1</w:t>
      </w:r>
      <w:r w:rsidRPr="00637FAF" w:rsidR="0027142D">
        <w:rPr>
          <w:rFonts w:cs="Arial"/>
          <w:i w:val="0"/>
          <w:iCs w:val="0"/>
          <w:color w:val="auto"/>
          <w:sz w:val="20"/>
          <w:szCs w:val="20"/>
        </w:rPr>
        <w:t xml:space="preserve">. </w:t>
      </w:r>
      <w:r w:rsidRPr="00637FAF">
        <w:rPr>
          <w:rFonts w:cs="Arial"/>
          <w:i w:val="0"/>
          <w:iCs w:val="0"/>
          <w:color w:val="auto"/>
          <w:sz w:val="20"/>
          <w:szCs w:val="20"/>
        </w:rPr>
        <w:t xml:space="preserve">As the programme </w:t>
      </w:r>
      <w:r w:rsidRPr="00637FAF" w:rsidR="001E3560">
        <w:rPr>
          <w:rFonts w:cs="Arial"/>
          <w:i w:val="0"/>
          <w:iCs w:val="0"/>
          <w:color w:val="auto"/>
          <w:sz w:val="20"/>
          <w:szCs w:val="20"/>
        </w:rPr>
        <w:t xml:space="preserve">progresses into this second phase, the update ToC and corresponding logframe </w:t>
      </w:r>
      <w:r w:rsidRPr="00637FAF" w:rsidR="0027142D">
        <w:rPr>
          <w:rFonts w:cs="Arial"/>
          <w:i w:val="0"/>
          <w:iCs w:val="0"/>
          <w:color w:val="auto"/>
          <w:sz w:val="20"/>
          <w:szCs w:val="20"/>
        </w:rPr>
        <w:t xml:space="preserve">will be used to </w:t>
      </w:r>
      <w:r w:rsidRPr="00637FAF" w:rsidR="00E76382">
        <w:rPr>
          <w:rFonts w:cs="Arial"/>
          <w:i w:val="0"/>
          <w:iCs w:val="0"/>
          <w:color w:val="auto"/>
          <w:sz w:val="20"/>
          <w:szCs w:val="20"/>
        </w:rPr>
        <w:t xml:space="preserve">monitor the </w:t>
      </w:r>
      <w:r w:rsidRPr="00637FAF" w:rsidR="00312DB3">
        <w:rPr>
          <w:rFonts w:cs="Arial"/>
          <w:i w:val="0"/>
          <w:iCs w:val="0"/>
          <w:color w:val="auto"/>
          <w:sz w:val="20"/>
          <w:szCs w:val="20"/>
        </w:rPr>
        <w:t>impacts of REM 2</w:t>
      </w:r>
      <w:r w:rsidRPr="00637FAF" w:rsidR="001E3560">
        <w:rPr>
          <w:rFonts w:cs="Arial"/>
          <w:i w:val="0"/>
          <w:iCs w:val="0"/>
          <w:color w:val="auto"/>
          <w:sz w:val="20"/>
          <w:szCs w:val="20"/>
        </w:rPr>
        <w:t xml:space="preserve"> in future Annual Reviews</w:t>
      </w:r>
      <w:r w:rsidRPr="00637FAF" w:rsidR="00A76B19">
        <w:rPr>
          <w:rFonts w:cs="Arial"/>
          <w:i w:val="0"/>
          <w:iCs w:val="0"/>
          <w:color w:val="auto"/>
          <w:sz w:val="20"/>
          <w:szCs w:val="20"/>
        </w:rPr>
        <w:t xml:space="preserve">. </w:t>
      </w:r>
    </w:p>
    <w:p w:rsidRPr="00B84B57" w:rsidR="009A15ED" w:rsidP="009A15ED" w:rsidRDefault="009A15ED" w14:paraId="74A6ABD9" w14:textId="77777777">
      <w:pPr>
        <w:rPr>
          <w:highlight w:val="yellow"/>
        </w:rPr>
      </w:pPr>
    </w:p>
    <w:p w:rsidRPr="00B84B57" w:rsidR="009A15ED" w:rsidP="009A15ED" w:rsidRDefault="009A15ED" w14:paraId="54227609" w14:textId="1A384D3D">
      <w:pPr>
        <w:rPr>
          <w:highlight w:val="yellow"/>
        </w:rPr>
      </w:pPr>
      <w:r w:rsidRPr="00B84B57">
        <w:rPr>
          <w:noProof/>
          <w:highlight w:val="yellow"/>
        </w:rPr>
        <w:drawing>
          <wp:inline distT="0" distB="0" distL="0" distR="0" wp14:anchorId="7CF7D5BA" wp14:editId="5B457E57">
            <wp:extent cx="5767593" cy="3248025"/>
            <wp:effectExtent l="0" t="0" r="5080" b="0"/>
            <wp:docPr id="128095765" name="Picture 128095765"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765" name="Picture 1" descr="A screenshot of a diagram&#10;&#10;Description automatically generated"/>
                    <pic:cNvPicPr/>
                  </pic:nvPicPr>
                  <pic:blipFill>
                    <a:blip r:embed="rId25"/>
                    <a:stretch>
                      <a:fillRect/>
                    </a:stretch>
                  </pic:blipFill>
                  <pic:spPr>
                    <a:xfrm>
                      <a:off x="0" y="0"/>
                      <a:ext cx="5777044" cy="3253347"/>
                    </a:xfrm>
                    <a:prstGeom prst="rect">
                      <a:avLst/>
                    </a:prstGeom>
                  </pic:spPr>
                </pic:pic>
              </a:graphicData>
            </a:graphic>
          </wp:inline>
        </w:drawing>
      </w:r>
    </w:p>
    <w:p w:rsidRPr="00637FAF" w:rsidR="009A15ED" w:rsidP="009A15ED" w:rsidRDefault="009A15ED" w14:paraId="712964C7" w14:textId="44EBDFF7">
      <w:pPr>
        <w:rPr>
          <w:b/>
          <w:bCs/>
          <w:i/>
          <w:iCs/>
          <w:sz w:val="20"/>
          <w:szCs w:val="20"/>
        </w:rPr>
      </w:pPr>
      <w:r w:rsidRPr="00637FAF">
        <w:rPr>
          <w:b/>
          <w:bCs/>
          <w:i/>
          <w:iCs/>
          <w:sz w:val="20"/>
          <w:szCs w:val="20"/>
        </w:rPr>
        <w:t>Figure 2: REM 2 Theory of Change</w:t>
      </w:r>
    </w:p>
    <w:p w:rsidRPr="00B84B57" w:rsidR="009A15ED" w:rsidP="0025594B" w:rsidRDefault="009A15ED" w14:paraId="7BD88B9D" w14:textId="77777777">
      <w:pPr>
        <w:jc w:val="both"/>
        <w:rPr>
          <w:highlight w:val="yellow"/>
        </w:rPr>
      </w:pPr>
    </w:p>
    <w:p w:rsidRPr="00A512E1" w:rsidR="00105D6F" w:rsidP="51BB3CA1" w:rsidRDefault="4701A682" w14:paraId="6DD2A63D" w14:textId="7B8F493D">
      <w:pPr>
        <w:spacing w:after="160" w:line="259" w:lineRule="auto"/>
        <w:jc w:val="both"/>
        <w:rPr>
          <w:b/>
          <w:bCs/>
          <w:i/>
          <w:iCs/>
          <w:kern w:val="28"/>
        </w:rPr>
      </w:pPr>
      <w:bookmarkStart w:name="_Toc1535417658" w:id="20"/>
      <w:r w:rsidRPr="51BB3CA1">
        <w:rPr>
          <w:rStyle w:val="Heading2Char"/>
          <w:sz w:val="24"/>
          <w:szCs w:val="24"/>
        </w:rPr>
        <w:t>Progress against</w:t>
      </w:r>
      <w:r w:rsidRPr="51BB3CA1" w:rsidR="4280B332">
        <w:rPr>
          <w:rStyle w:val="Heading2Char"/>
          <w:sz w:val="24"/>
          <w:szCs w:val="24"/>
        </w:rPr>
        <w:t xml:space="preserve"> the expected outcomes and </w:t>
      </w:r>
      <w:r w:rsidRPr="51BB3CA1">
        <w:rPr>
          <w:rStyle w:val="Heading2Char"/>
          <w:sz w:val="24"/>
          <w:szCs w:val="24"/>
        </w:rPr>
        <w:t>impact, and</w:t>
      </w:r>
      <w:r w:rsidRPr="51BB3CA1" w:rsidR="4280B332">
        <w:rPr>
          <w:rStyle w:val="Heading2Char"/>
          <w:sz w:val="24"/>
          <w:szCs w:val="24"/>
        </w:rPr>
        <w:t xml:space="preserve"> action</w:t>
      </w:r>
      <w:r w:rsidRPr="51BB3CA1">
        <w:rPr>
          <w:rStyle w:val="Heading2Char"/>
          <w:sz w:val="24"/>
          <w:szCs w:val="24"/>
        </w:rPr>
        <w:t>s</w:t>
      </w:r>
      <w:r w:rsidRPr="51BB3CA1" w:rsidR="4280B332">
        <w:rPr>
          <w:rStyle w:val="Heading2Char"/>
          <w:sz w:val="24"/>
          <w:szCs w:val="24"/>
        </w:rPr>
        <w:t xml:space="preserve"> planned </w:t>
      </w:r>
      <w:r w:rsidRPr="51BB3CA1" w:rsidR="7A1B545A">
        <w:rPr>
          <w:rStyle w:val="Heading2Char"/>
          <w:sz w:val="24"/>
          <w:szCs w:val="24"/>
        </w:rPr>
        <w:t>for</w:t>
      </w:r>
      <w:r w:rsidRPr="51BB3CA1" w:rsidR="4280B332">
        <w:rPr>
          <w:rStyle w:val="Heading2Char"/>
          <w:sz w:val="24"/>
          <w:szCs w:val="24"/>
        </w:rPr>
        <w:t xml:space="preserve"> the year ahead</w:t>
      </w:r>
      <w:bookmarkEnd w:id="20"/>
      <w:r w:rsidRPr="51BB3CA1" w:rsidR="4280B332">
        <w:rPr>
          <w:rFonts w:cs="Arial"/>
          <w:sz w:val="20"/>
          <w:szCs w:val="20"/>
        </w:rPr>
        <w:t xml:space="preserve"> </w:t>
      </w:r>
    </w:p>
    <w:p w:rsidR="00F621EC" w:rsidP="0025594B" w:rsidRDefault="3933D9EA" w14:paraId="495F0B5C" w14:textId="77777777">
      <w:pPr>
        <w:jc w:val="both"/>
        <w:rPr>
          <w:rFonts w:eastAsia="Arial" w:cs="Arial"/>
          <w:color w:val="000000" w:themeColor="text1"/>
          <w:sz w:val="20"/>
          <w:szCs w:val="20"/>
        </w:rPr>
      </w:pPr>
      <w:r w:rsidRPr="59460479" w:rsidR="3933D9EA">
        <w:rPr>
          <w:rFonts w:eastAsia="Arial" w:cs="Arial"/>
          <w:color w:val="000000" w:themeColor="text1" w:themeTint="FF" w:themeShade="FF"/>
          <w:sz w:val="20"/>
          <w:szCs w:val="20"/>
        </w:rPr>
        <w:t>Overall, the programme is progressing towards its high-level aims</w:t>
      </w:r>
      <w:r w:rsidRPr="59460479" w:rsidR="757E654E">
        <w:rPr>
          <w:rFonts w:eastAsia="Arial" w:cs="Arial"/>
          <w:color w:val="000000" w:themeColor="text1" w:themeTint="FF" w:themeShade="FF"/>
          <w:sz w:val="20"/>
          <w:szCs w:val="20"/>
        </w:rPr>
        <w:t xml:space="preserve">, although some issues with reporting are still </w:t>
      </w:r>
      <w:r w:rsidRPr="59460479" w:rsidR="757E654E">
        <w:rPr>
          <w:rFonts w:eastAsia="Arial" w:cs="Arial"/>
          <w:color w:val="000000" w:themeColor="text1" w:themeTint="FF" w:themeShade="FF"/>
          <w:sz w:val="20"/>
          <w:szCs w:val="20"/>
        </w:rPr>
        <w:t>evident</w:t>
      </w:r>
      <w:r w:rsidRPr="59460479" w:rsidR="757E654E">
        <w:rPr>
          <w:rFonts w:eastAsia="Arial" w:cs="Arial"/>
          <w:color w:val="000000" w:themeColor="text1" w:themeTint="FF" w:themeShade="FF"/>
          <w:sz w:val="20"/>
          <w:szCs w:val="20"/>
        </w:rPr>
        <w:t>, this has improved</w:t>
      </w:r>
      <w:r w:rsidRPr="59460479" w:rsidR="25D4FE68">
        <w:rPr>
          <w:rFonts w:eastAsia="Arial" w:cs="Arial"/>
          <w:color w:val="000000" w:themeColor="text1" w:themeTint="FF" w:themeShade="FF"/>
          <w:sz w:val="20"/>
          <w:szCs w:val="20"/>
        </w:rPr>
        <w:t xml:space="preserve"> year on year, as the </w:t>
      </w:r>
      <w:r w:rsidRPr="59460479" w:rsidR="25D4FE68">
        <w:rPr>
          <w:rFonts w:eastAsia="Arial" w:cs="Arial"/>
          <w:color w:val="000000" w:themeColor="text1" w:themeTint="FF" w:themeShade="FF"/>
          <w:sz w:val="20"/>
          <w:szCs w:val="20"/>
        </w:rPr>
        <w:t>jurisdictions</w:t>
      </w:r>
      <w:r w:rsidRPr="59460479" w:rsidR="25D4FE68">
        <w:rPr>
          <w:rFonts w:eastAsia="Arial" w:cs="Arial"/>
          <w:color w:val="000000" w:themeColor="text1" w:themeTint="FF" w:themeShade="FF"/>
          <w:sz w:val="20"/>
          <w:szCs w:val="20"/>
        </w:rPr>
        <w:t xml:space="preserve"> become more adept at monitoring</w:t>
      </w:r>
      <w:r w:rsidRPr="59460479" w:rsidR="757E654E">
        <w:rPr>
          <w:rFonts w:eastAsia="Arial" w:cs="Arial"/>
          <w:color w:val="000000" w:themeColor="text1" w:themeTint="FF" w:themeShade="FF"/>
          <w:sz w:val="20"/>
          <w:szCs w:val="20"/>
        </w:rPr>
        <w:t>.</w:t>
      </w:r>
      <w:r w:rsidRPr="59460479" w:rsidR="12CF6898">
        <w:rPr>
          <w:rFonts w:eastAsia="Arial" w:cs="Arial"/>
          <w:color w:val="000000" w:themeColor="text1" w:themeTint="FF" w:themeShade="FF"/>
          <w:sz w:val="20"/>
          <w:szCs w:val="20"/>
        </w:rPr>
        <w:t xml:space="preserve"> More realistic targets and expectations must be set by donors with regards to expectations on lowering levels of deforestation</w:t>
      </w:r>
      <w:r w:rsidRPr="59460479" w:rsidR="72995BEC">
        <w:rPr>
          <w:rFonts w:eastAsia="Arial" w:cs="Arial"/>
          <w:color w:val="000000" w:themeColor="text1" w:themeTint="FF" w:themeShade="FF"/>
          <w:sz w:val="20"/>
          <w:szCs w:val="20"/>
        </w:rPr>
        <w:t xml:space="preserve">. </w:t>
      </w:r>
      <w:r w:rsidRPr="59460479" w:rsidR="00D601EF">
        <w:rPr>
          <w:rFonts w:eastAsia="Arial" w:cs="Arial"/>
          <w:color w:val="000000" w:themeColor="text1" w:themeTint="FF" w:themeShade="FF"/>
          <w:sz w:val="20"/>
          <w:szCs w:val="20"/>
        </w:rPr>
        <w:t xml:space="preserve">Additionally, the programmes work on jurisdictional level, meaning that the overall country trends </w:t>
      </w:r>
      <w:r w:rsidRPr="59460479" w:rsidR="00EA6824">
        <w:rPr>
          <w:rFonts w:eastAsia="Arial" w:cs="Arial"/>
          <w:color w:val="000000" w:themeColor="text1" w:themeTint="FF" w:themeShade="FF"/>
          <w:sz w:val="20"/>
          <w:szCs w:val="20"/>
        </w:rPr>
        <w:t>have a profound impact on the stat</w:t>
      </w:r>
      <w:r w:rsidRPr="59460479" w:rsidR="00F621EC">
        <w:rPr>
          <w:rFonts w:eastAsia="Arial" w:cs="Arial"/>
          <w:color w:val="000000" w:themeColor="text1" w:themeTint="FF" w:themeShade="FF"/>
          <w:sz w:val="20"/>
          <w:szCs w:val="20"/>
        </w:rPr>
        <w:t xml:space="preserve">e level results, as could be seen in Brazil between 2019-2022. </w:t>
      </w:r>
    </w:p>
    <w:p w:rsidR="00F621EC" w:rsidP="0025594B" w:rsidRDefault="00F621EC" w14:paraId="576D04FA" w14:textId="77777777">
      <w:pPr>
        <w:jc w:val="both"/>
        <w:rPr>
          <w:rFonts w:eastAsia="Arial" w:cs="Arial"/>
          <w:color w:val="000000" w:themeColor="text1"/>
          <w:sz w:val="20"/>
          <w:szCs w:val="20"/>
        </w:rPr>
      </w:pPr>
    </w:p>
    <w:p w:rsidR="00105D6F" w:rsidP="0025594B" w:rsidRDefault="72995BEC" w14:paraId="3DF09A4C" w14:textId="2188CB08">
      <w:pPr>
        <w:jc w:val="both"/>
        <w:rPr>
          <w:rFonts w:eastAsia="Arial" w:cs="Arial"/>
          <w:color w:val="000000" w:themeColor="text1"/>
          <w:sz w:val="20"/>
          <w:szCs w:val="20"/>
        </w:rPr>
      </w:pPr>
      <w:r w:rsidRPr="00A512E1" w:rsidR="72995BEC">
        <w:rPr>
          <w:rFonts w:eastAsia="Arial" w:cs="Arial"/>
          <w:color w:val="000000" w:themeColor="text1"/>
          <w:sz w:val="20"/>
          <w:szCs w:val="20"/>
        </w:rPr>
        <w:t xml:space="preserve">Although all jurisdictions saw lowering levels of deforestation during this reporting period, </w:t>
      </w:r>
      <w:r w:rsidRPr="00A512E1" w:rsidR="5CF8BD21">
        <w:rPr>
          <w:rFonts w:eastAsia="Arial" w:cs="Arial"/>
          <w:color w:val="000000" w:themeColor="text1"/>
          <w:sz w:val="20"/>
          <w:szCs w:val="20"/>
        </w:rPr>
        <w:t>these results were seen many years after the disbursements were made for ERs</w:t>
      </w:r>
      <w:r w:rsidRPr="00A512E1" w:rsidR="2895AA60">
        <w:rPr>
          <w:rFonts w:eastAsia="Arial" w:cs="Arial"/>
          <w:color w:val="000000" w:themeColor="text1"/>
          <w:sz w:val="20"/>
          <w:szCs w:val="20"/>
        </w:rPr>
        <w:t xml:space="preserve"> or decisions on policy milestones</w:t>
      </w:r>
      <w:r w:rsidR="34480BC3">
        <w:rPr>
          <w:rFonts w:eastAsia="Arial" w:cs="Arial"/>
          <w:color w:val="000000" w:themeColor="text1"/>
          <w:sz w:val="20"/>
          <w:szCs w:val="20"/>
        </w:rPr>
        <w:t xml:space="preserve">, </w:t>
      </w:r>
      <w:r w:rsidRPr="00A512E1" w:rsidR="27F64BC2">
        <w:rPr>
          <w:rFonts w:eastAsia="Arial" w:cs="Arial"/>
          <w:color w:val="000000" w:themeColor="text1"/>
          <w:sz w:val="20"/>
          <w:szCs w:val="20"/>
        </w:rPr>
        <w:t xml:space="preserve">showing that the </w:t>
      </w:r>
      <w:r w:rsidRPr="00A512E1" w:rsidR="27F64BC2">
        <w:rPr>
          <w:rFonts w:eastAsia="Arial" w:cs="Arial"/>
          <w:color w:val="000000" w:themeColor="text1"/>
          <w:sz w:val="20"/>
          <w:szCs w:val="20"/>
        </w:rPr>
        <w:t>direct link between paying for</w:t>
      </w:r>
      <w:r w:rsidRPr="00A512E1" w:rsidR="2895AA60">
        <w:rPr>
          <w:rFonts w:eastAsia="Arial" w:cs="Arial"/>
          <w:color w:val="000000" w:themeColor="text1"/>
          <w:sz w:val="20"/>
          <w:szCs w:val="20"/>
        </w:rPr>
        <w:t xml:space="preserve"> results</w:t>
      </w:r>
      <w:r w:rsidRPr="00A512E1" w:rsidR="226EDCF2">
        <w:rPr>
          <w:rFonts w:eastAsia="Arial" w:cs="Arial"/>
          <w:color w:val="000000" w:themeColor="text1"/>
          <w:sz w:val="20"/>
          <w:szCs w:val="20"/>
        </w:rPr>
        <w:t xml:space="preserve"> and</w:t>
      </w:r>
      <w:r w:rsidRPr="00A512E1" w:rsidR="27F64BC2">
        <w:rPr>
          <w:rFonts w:eastAsia="Arial" w:cs="Arial"/>
          <w:color w:val="000000" w:themeColor="text1"/>
          <w:sz w:val="20"/>
          <w:szCs w:val="20"/>
        </w:rPr>
        <w:t xml:space="preserve"> </w:t>
      </w:r>
      <w:r w:rsidRPr="00A512E1" w:rsidR="32D6FE11">
        <w:rPr>
          <w:rFonts w:eastAsia="Arial" w:cs="Arial"/>
          <w:color w:val="000000" w:themeColor="text1"/>
          <w:sz w:val="20"/>
          <w:szCs w:val="20"/>
        </w:rPr>
        <w:t>benefit-sharing</w:t>
      </w:r>
      <w:r w:rsidRPr="00A512E1" w:rsidR="3DD30F85">
        <w:rPr>
          <w:rFonts w:eastAsia="Arial" w:cs="Arial"/>
          <w:color w:val="000000" w:themeColor="text1"/>
          <w:sz w:val="20"/>
          <w:szCs w:val="20"/>
        </w:rPr>
        <w:t xml:space="preserve"> resulting in </w:t>
      </w:r>
      <w:r w:rsidRPr="00A512E1" w:rsidR="32D6FE11">
        <w:rPr>
          <w:rFonts w:eastAsia="Arial" w:cs="Arial"/>
          <w:color w:val="000000" w:themeColor="text1"/>
          <w:sz w:val="20"/>
          <w:szCs w:val="20"/>
        </w:rPr>
        <w:t>lowering levels of deforestation are not linear and are often slow to be realised</w:t>
      </w:r>
      <w:r w:rsidRPr="00A512E1" w:rsidR="3DD30F85">
        <w:rPr>
          <w:rFonts w:eastAsia="Arial" w:cs="Arial"/>
          <w:color w:val="000000" w:themeColor="text1"/>
          <w:sz w:val="20"/>
          <w:szCs w:val="20"/>
        </w:rPr>
        <w:t xml:space="preserve"> (i.e. there is a large gap between receiving disbursements, designing benefit-sharing, sharing the benefits, and reaping the rewards through lowering deforestation</w:t>
      </w:r>
      <w:r w:rsidR="34480BC3">
        <w:rPr>
          <w:rFonts w:eastAsia="Arial" w:cs="Arial"/>
          <w:color w:val="000000" w:themeColor="text1"/>
          <w:sz w:val="20"/>
          <w:szCs w:val="20"/>
        </w:rPr>
        <w:t>, or a causal link cannot be established</w:t>
      </w:r>
      <w:r w:rsidRPr="256C2E5B" w:rsidR="2B780F19">
        <w:rPr>
          <w:rFonts w:eastAsia="Arial" w:cs="Arial"/>
          <w:color w:val="000000" w:themeColor="text1"/>
          <w:sz w:val="20"/>
          <w:szCs w:val="20"/>
        </w:rPr>
        <w:t>.</w:t>
      </w:r>
      <w:r w:rsidRPr="256C2E5B" w:rsidR="5D031089">
        <w:rPr>
          <w:rFonts w:eastAsia="Arial" w:cs="Arial"/>
          <w:color w:val="000000" w:themeColor="text1"/>
          <w:sz w:val="20"/>
          <w:szCs w:val="20"/>
        </w:rPr>
        <w:t xml:space="preserve"> While there is some evidence, such as the Mato Grosso counterfactual study, that interventions can contribute to reduced deforestation, these findings should be interpreted cautiously due to the challenges of verifying causal links and the overall scar</w:t>
      </w:r>
      <w:r w:rsidRPr="256C2E5B" w:rsidR="085A112D">
        <w:rPr>
          <w:rFonts w:eastAsia="Arial" w:cs="Arial"/>
          <w:color w:val="000000" w:themeColor="text1"/>
          <w:sz w:val="20"/>
          <w:szCs w:val="20"/>
        </w:rPr>
        <w:t>city of robust evidence</w:t>
      </w:r>
      <w:r w:rsidR="34480BC3">
        <w:rPr>
          <w:rFonts w:eastAsia="Arial" w:cs="Arial"/>
          <w:color w:val="000000" w:themeColor="text1"/>
          <w:sz w:val="20"/>
          <w:szCs w:val="20"/>
        </w:rPr>
        <w:t>.</w:t>
      </w:r>
      <w:r w:rsidRPr="00A512E1" w:rsidR="3DD30F85">
        <w:rPr>
          <w:rFonts w:eastAsia="Arial" w:cs="Arial"/>
          <w:color w:val="000000" w:themeColor="text1"/>
          <w:sz w:val="20"/>
          <w:szCs w:val="20"/>
        </w:rPr>
        <w:t xml:space="preserve"> </w:t>
      </w:r>
      <w:r w:rsidRPr="00A512E1" w:rsidR="7B2C1E98">
        <w:rPr>
          <w:rFonts w:eastAsia="Arial" w:cs="Arial"/>
          <w:color w:val="000000" w:themeColor="text1"/>
          <w:sz w:val="20"/>
          <w:szCs w:val="20"/>
        </w:rPr>
        <w:t xml:space="preserve">Therefore, although progress in benefit-sharing has been </w:t>
      </w:r>
      <w:r w:rsidRPr="00A512E1" w:rsidR="7B2C1E98">
        <w:rPr>
          <w:rFonts w:eastAsia="Arial" w:cs="Arial"/>
          <w:color w:val="000000" w:themeColor="text1"/>
          <w:sz w:val="20"/>
          <w:szCs w:val="20"/>
        </w:rPr>
        <w:t xml:space="preserve">very good</w:t>
      </w:r>
      <w:r w:rsidRPr="00A512E1" w:rsidR="7B2C1E98">
        <w:rPr>
          <w:rFonts w:eastAsia="Arial" w:cs="Arial"/>
          <w:color w:val="000000" w:themeColor="text1"/>
          <w:sz w:val="20"/>
          <w:szCs w:val="20"/>
        </w:rPr>
        <w:t xml:space="preserve">, it cannot be assumed that the funding provided by donors is </w:t>
      </w:r>
      <w:r w:rsidRPr="00A512E1" w:rsidR="76C2A546">
        <w:rPr>
          <w:rFonts w:eastAsia="Arial" w:cs="Arial"/>
          <w:color w:val="000000" w:themeColor="text1"/>
          <w:sz w:val="20"/>
          <w:szCs w:val="20"/>
        </w:rPr>
        <w:t xml:space="preserve">solely </w:t>
      </w:r>
      <w:r w:rsidRPr="00A512E1" w:rsidR="7B2C1E98">
        <w:rPr>
          <w:rFonts w:eastAsia="Arial" w:cs="Arial"/>
          <w:color w:val="000000" w:themeColor="text1"/>
          <w:sz w:val="20"/>
          <w:szCs w:val="20"/>
        </w:rPr>
        <w:t>enough t</w:t>
      </w:r>
      <w:r w:rsidRPr="00A512E1" w:rsidR="76C2A546">
        <w:rPr>
          <w:rFonts w:eastAsia="Arial" w:cs="Arial"/>
          <w:color w:val="000000" w:themeColor="text1"/>
          <w:sz w:val="20"/>
          <w:szCs w:val="20"/>
        </w:rPr>
        <w:t>o</w:t>
      </w:r>
      <w:r w:rsidRPr="00A512E1" w:rsidR="7B2C1E98">
        <w:rPr>
          <w:rFonts w:eastAsia="Arial" w:cs="Arial"/>
          <w:color w:val="000000" w:themeColor="text1"/>
          <w:sz w:val="20"/>
          <w:szCs w:val="20"/>
        </w:rPr>
        <w:t xml:space="preserve"> stop deforestation. This was discussed in the last AR, and further thinking needs to be done by DESNZ programme teams and KFW about how to tell this narrative. </w:t>
      </w:r>
      <w:r w:rsidRPr="00A512E1" w:rsidR="0403BFB8">
        <w:rPr>
          <w:rFonts w:eastAsia="Arial" w:cs="Arial"/>
          <w:color w:val="000000" w:themeColor="text1"/>
          <w:sz w:val="20"/>
          <w:szCs w:val="20"/>
        </w:rPr>
        <w:t xml:space="preserve">The </w:t>
      </w:r>
      <w:r w:rsidRPr="00A512E1" w:rsidR="0403BFB8">
        <w:rPr>
          <w:rFonts w:eastAsia="Arial" w:cs="Arial"/>
          <w:color w:val="000000" w:themeColor="text1"/>
          <w:sz w:val="20"/>
          <w:szCs w:val="20"/>
        </w:rPr>
        <w:t>jurisdictions</w:t>
      </w:r>
      <w:r w:rsidRPr="00A512E1" w:rsidR="0403BFB8">
        <w:rPr>
          <w:rFonts w:eastAsia="Arial" w:cs="Arial"/>
          <w:color w:val="000000" w:themeColor="text1"/>
          <w:sz w:val="20"/>
          <w:szCs w:val="20"/>
        </w:rPr>
        <w:t xml:space="preserve"> are now aiming to include counterfactuals into the design of REM Phase 2</w:t>
      </w:r>
      <w:r w:rsidRPr="00A512E1" w:rsidR="7E18A8CD">
        <w:rPr>
          <w:rFonts w:eastAsia="Arial" w:cs="Arial"/>
          <w:color w:val="000000" w:themeColor="text1"/>
          <w:sz w:val="20"/>
          <w:szCs w:val="20"/>
        </w:rPr>
        <w:t xml:space="preserve"> and are presenting results for counterfactuals for the </w:t>
      </w:r>
      <w:r w:rsidRPr="00A512E1" w:rsidR="7E18A8CD">
        <w:rPr>
          <w:rFonts w:eastAsia="Arial" w:cs="Arial"/>
          <w:color w:val="000000" w:themeColor="text1"/>
          <w:sz w:val="20"/>
          <w:szCs w:val="20"/>
        </w:rPr>
        <w:t xml:space="preserve">jurisdictions</w:t>
      </w:r>
      <w:r w:rsidRPr="00A512E1" w:rsidR="00811D6F">
        <w:rPr>
          <w:rStyle w:val="FootnoteReference"/>
          <w:rFonts w:eastAsia="Arial" w:cs="Arial"/>
          <w:color w:val="000000" w:themeColor="text1"/>
          <w:sz w:val="20"/>
          <w:szCs w:val="20"/>
        </w:rPr>
        <w:footnoteReference w:id="9"/>
      </w:r>
      <w:r w:rsidRPr="00A512E1" w:rsidR="1553F83E">
        <w:rPr>
          <w:rFonts w:eastAsia="Arial" w:cs="Arial"/>
          <w:color w:val="000000" w:themeColor="text1"/>
          <w:sz w:val="20"/>
          <w:szCs w:val="20"/>
        </w:rPr>
        <w:t>.</w:t>
      </w:r>
      <w:r w:rsidR="1553F83E">
        <w:rPr>
          <w:rFonts w:eastAsia="Arial" w:cs="Arial"/>
          <w:color w:val="000000" w:themeColor="text1"/>
          <w:sz w:val="20"/>
          <w:szCs w:val="20"/>
        </w:rPr>
        <w:t xml:space="preserve"> </w:t>
      </w:r>
      <w:r w:rsidR="2BACF15D">
        <w:rPr>
          <w:rFonts w:eastAsia="Arial" w:cs="Arial"/>
          <w:color w:val="000000" w:themeColor="text1"/>
          <w:sz w:val="20"/>
          <w:szCs w:val="20"/>
        </w:rPr>
        <w:t>As mentioned above, this has already been a</w:t>
      </w:r>
      <w:r w:rsidR="0F93802D">
        <w:rPr>
          <w:rFonts w:eastAsia="Arial" w:cs="Arial"/>
          <w:color w:val="000000" w:themeColor="text1"/>
          <w:sz w:val="20"/>
          <w:szCs w:val="20"/>
        </w:rPr>
        <w:t xml:space="preserve"> </w:t>
      </w:r>
      <w:r w:rsidR="5DCF9C9F">
        <w:rPr>
          <w:rFonts w:eastAsia="Arial" w:cs="Arial"/>
          <w:color w:val="000000" w:themeColor="text1"/>
          <w:sz w:val="20"/>
          <w:szCs w:val="20"/>
        </w:rPr>
        <w:t>counterfactual</w:t>
      </w:r>
      <w:r w:rsidR="0F93802D">
        <w:rPr>
          <w:rFonts w:eastAsia="Arial" w:cs="Arial"/>
          <w:color w:val="000000" w:themeColor="text1"/>
          <w:sz w:val="20"/>
          <w:szCs w:val="20"/>
        </w:rPr>
        <w:t xml:space="preserve"> undertaken for REM Mato </w:t>
      </w:r>
      <w:r w:rsidR="5DCF9C9F">
        <w:rPr>
          <w:rFonts w:eastAsia="Arial" w:cs="Arial"/>
          <w:color w:val="000000" w:themeColor="text1"/>
          <w:sz w:val="20"/>
          <w:szCs w:val="20"/>
        </w:rPr>
        <w:t>G</w:t>
      </w:r>
      <w:r w:rsidR="0F93802D">
        <w:rPr>
          <w:rFonts w:eastAsia="Arial" w:cs="Arial"/>
          <w:color w:val="000000" w:themeColor="text1"/>
          <w:sz w:val="20"/>
          <w:szCs w:val="20"/>
        </w:rPr>
        <w:t>rosso, which</w:t>
      </w:r>
      <w:r w:rsidR="5DCF9C9F">
        <w:rPr>
          <w:rFonts w:eastAsia="Arial" w:cs="Arial"/>
          <w:color w:val="000000" w:themeColor="text1"/>
          <w:sz w:val="20"/>
          <w:szCs w:val="20"/>
        </w:rPr>
        <w:t xml:space="preserve"> we are aiming to have published or peer </w:t>
      </w:r>
      <w:r w:rsidR="5DCF9C9F">
        <w:rPr>
          <w:rFonts w:eastAsia="Arial" w:cs="Arial"/>
          <w:color w:val="000000" w:themeColor="text1"/>
          <w:sz w:val="20"/>
          <w:szCs w:val="20"/>
        </w:rPr>
        <w:t xml:space="preserve">reviewed, and</w:t>
      </w:r>
      <w:r w:rsidR="5DCF9C9F">
        <w:rPr>
          <w:rFonts w:eastAsia="Arial" w:cs="Arial"/>
          <w:color w:val="000000" w:themeColor="text1"/>
          <w:sz w:val="20"/>
          <w:szCs w:val="20"/>
        </w:rPr>
        <w:t xml:space="preserve"> potentially apply to other programmes including REM and the Amazon Fund.</w:t>
      </w:r>
      <w:r w:rsidR="2BACF15D">
        <w:rPr>
          <w:rFonts w:eastAsia="Arial" w:cs="Arial"/>
          <w:color w:val="000000" w:themeColor="text1"/>
          <w:sz w:val="20"/>
          <w:szCs w:val="20"/>
        </w:rPr>
        <w:t xml:space="preserve"> </w:t>
      </w:r>
      <w:r w:rsidR="1553F83E">
        <w:rPr>
          <w:rFonts w:eastAsia="Arial" w:cs="Arial"/>
          <w:color w:val="000000" w:themeColor="text1"/>
          <w:sz w:val="20"/>
          <w:szCs w:val="20"/>
        </w:rPr>
        <w:t>The aims will be to further investigate these links in future years.</w:t>
      </w:r>
    </w:p>
    <w:p w:rsidR="008378AC" w:rsidP="0025594B" w:rsidRDefault="008378AC" w14:paraId="5572372C" w14:textId="77777777">
      <w:pPr>
        <w:jc w:val="both"/>
        <w:rPr>
          <w:rFonts w:eastAsia="Arial" w:cs="Arial"/>
          <w:color w:val="000000" w:themeColor="text1"/>
          <w:sz w:val="20"/>
          <w:szCs w:val="20"/>
        </w:rPr>
      </w:pPr>
    </w:p>
    <w:p w:rsidRPr="00130FE2" w:rsidR="00130FE2" w:rsidP="00EF73B7" w:rsidRDefault="00130FE2" w14:paraId="0B799A5C" w14:textId="75FC80AD">
      <w:pPr>
        <w:jc w:val="both"/>
        <w:rPr>
          <w:rFonts w:cs="Arial"/>
          <w:b/>
          <w:bCs/>
          <w:i/>
          <w:iCs/>
        </w:rPr>
      </w:pPr>
      <w:r w:rsidRPr="00130FE2">
        <w:rPr>
          <w:rFonts w:cs="Arial"/>
          <w:b/>
          <w:bCs/>
          <w:i/>
          <w:iCs/>
        </w:rPr>
        <w:t>Progress towards outcomes</w:t>
      </w:r>
    </w:p>
    <w:p w:rsidRPr="004331C6" w:rsidR="003E6256" w:rsidP="00EF73B7" w:rsidRDefault="003E6256" w14:paraId="483A6A8B" w14:textId="77777777">
      <w:pPr>
        <w:jc w:val="both"/>
        <w:rPr>
          <w:rFonts w:cs="Arial"/>
          <w:b/>
          <w:bCs/>
        </w:rPr>
      </w:pPr>
    </w:p>
    <w:tbl>
      <w:tblPr>
        <w:tblStyle w:val="TableGrid"/>
        <w:tblW w:w="0" w:type="auto"/>
        <w:tblInd w:w="-10" w:type="dxa"/>
        <w:tblLook w:val="04A0" w:firstRow="1" w:lastRow="0" w:firstColumn="1" w:lastColumn="0" w:noHBand="0" w:noVBand="1"/>
      </w:tblPr>
      <w:tblGrid>
        <w:gridCol w:w="5185"/>
        <w:gridCol w:w="1668"/>
        <w:gridCol w:w="2163"/>
      </w:tblGrid>
      <w:tr w:rsidR="00D171FA" w14:paraId="3AD57279" w14:textId="77777777">
        <w:trPr>
          <w:trHeight w:val="270"/>
        </w:trPr>
        <w:tc>
          <w:tcPr>
            <w:tcW w:w="9016" w:type="dxa"/>
            <w:gridSpan w:val="3"/>
            <w:tcBorders>
              <w:top w:val="single" w:color="auto" w:sz="8" w:space="0"/>
              <w:left w:val="single" w:color="auto" w:sz="8" w:space="0"/>
              <w:bottom w:val="single" w:color="auto" w:sz="8" w:space="0"/>
              <w:right w:val="single" w:color="auto" w:sz="8" w:space="0"/>
            </w:tcBorders>
            <w:shd w:val="clear" w:color="auto" w:fill="D9E2F3" w:themeFill="accent1" w:themeFillTint="33"/>
          </w:tcPr>
          <w:p w:rsidR="00EF73B7" w:rsidRDefault="00EF73B7" w14:paraId="6BFBED8F" w14:textId="77777777">
            <w:r w:rsidRPr="41B7823F">
              <w:rPr>
                <w:rFonts w:eastAsia="Arial" w:cs="Arial"/>
                <w:b/>
                <w:bCs/>
                <w:color w:val="000000" w:themeColor="text1"/>
                <w:sz w:val="20"/>
                <w:szCs w:val="20"/>
              </w:rPr>
              <w:t>Outcome 1: Greenhouse gas emissions resulting from deforestation in the relevant Amazon biome reduced</w:t>
            </w:r>
          </w:p>
        </w:tc>
      </w:tr>
      <w:tr w:rsidR="00711087" w14:paraId="104C74E7" w14:textId="77777777">
        <w:trPr>
          <w:trHeight w:val="270"/>
        </w:trPr>
        <w:tc>
          <w:tcPr>
            <w:tcW w:w="518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EF73B7" w:rsidRDefault="00EF73B7" w14:paraId="2995589C" w14:textId="77777777">
            <w:r w:rsidRPr="426512A0">
              <w:rPr>
                <w:rFonts w:eastAsia="Arial" w:cs="Arial"/>
                <w:b/>
                <w:bCs/>
                <w:color w:val="000000" w:themeColor="text1"/>
                <w:sz w:val="20"/>
                <w:szCs w:val="20"/>
              </w:rPr>
              <w:t>Indicator(s)</w:t>
            </w:r>
          </w:p>
        </w:tc>
        <w:tc>
          <w:tcPr>
            <w:tcW w:w="1668" w:type="dxa"/>
            <w:tcBorders>
              <w:top w:val="nil"/>
              <w:left w:val="single" w:color="auto" w:sz="8" w:space="0"/>
              <w:bottom w:val="single" w:color="auto" w:sz="8" w:space="0"/>
              <w:right w:val="single" w:color="auto" w:sz="8" w:space="0"/>
            </w:tcBorders>
            <w:shd w:val="clear" w:color="auto" w:fill="D9E2F3" w:themeFill="accent1" w:themeFillTint="33"/>
          </w:tcPr>
          <w:p w:rsidR="00EF73B7" w:rsidRDefault="00EF73B7" w14:paraId="61752B8A" w14:textId="77777777">
            <w:r w:rsidRPr="426512A0">
              <w:rPr>
                <w:rFonts w:eastAsia="Arial" w:cs="Arial"/>
                <w:b/>
                <w:bCs/>
                <w:color w:val="000000" w:themeColor="text1"/>
                <w:sz w:val="20"/>
                <w:szCs w:val="20"/>
              </w:rPr>
              <w:t>Milestone(s) for this review</w:t>
            </w:r>
          </w:p>
        </w:tc>
        <w:tc>
          <w:tcPr>
            <w:tcW w:w="2163" w:type="dxa"/>
            <w:tcBorders>
              <w:top w:val="nil"/>
              <w:left w:val="single" w:color="auto" w:sz="8" w:space="0"/>
              <w:bottom w:val="single" w:color="auto" w:sz="8" w:space="0"/>
              <w:right w:val="single" w:color="auto" w:sz="8" w:space="0"/>
            </w:tcBorders>
            <w:shd w:val="clear" w:color="auto" w:fill="D9E2F3" w:themeFill="accent1" w:themeFillTint="33"/>
          </w:tcPr>
          <w:p w:rsidR="00EF73B7" w:rsidRDefault="00EF73B7" w14:paraId="67144949" w14:textId="77777777">
            <w:r w:rsidRPr="426512A0">
              <w:rPr>
                <w:rFonts w:eastAsia="Arial" w:cs="Arial"/>
                <w:b/>
                <w:bCs/>
                <w:color w:val="000000" w:themeColor="text1"/>
                <w:sz w:val="20"/>
                <w:szCs w:val="20"/>
              </w:rPr>
              <w:t xml:space="preserve">Progress </w:t>
            </w:r>
          </w:p>
        </w:tc>
      </w:tr>
      <w:tr w:rsidR="005D43D3" w14:paraId="2E29959D" w14:textId="77777777">
        <w:trPr>
          <w:trHeight w:val="300"/>
        </w:trPr>
        <w:tc>
          <w:tcPr>
            <w:tcW w:w="5185" w:type="dxa"/>
            <w:tcBorders>
              <w:top w:val="single" w:color="auto" w:sz="8" w:space="0"/>
              <w:left w:val="single" w:color="auto" w:sz="8" w:space="0"/>
              <w:bottom w:val="single" w:color="auto" w:sz="8" w:space="0"/>
              <w:right w:val="single" w:color="auto" w:sz="8" w:space="0"/>
            </w:tcBorders>
          </w:tcPr>
          <w:p w:rsidR="00EF73B7" w:rsidRDefault="00EF73B7" w14:paraId="602D6D4D" w14:textId="77777777">
            <w:r w:rsidRPr="426512A0">
              <w:rPr>
                <w:rFonts w:eastAsia="Arial" w:cs="Arial"/>
                <w:sz w:val="20"/>
                <w:szCs w:val="20"/>
              </w:rPr>
              <w:t>Indicator 3: amount of emission reductions resulting from reduced deforestation financed through REM (tonnes CO2 equivalent) - cumulative</w:t>
            </w:r>
          </w:p>
        </w:tc>
        <w:tc>
          <w:tcPr>
            <w:tcW w:w="1668" w:type="dxa"/>
            <w:tcBorders>
              <w:top w:val="single" w:color="auto" w:sz="8" w:space="0"/>
              <w:left w:val="single" w:color="auto" w:sz="8" w:space="0"/>
              <w:bottom w:val="single" w:color="auto" w:sz="8" w:space="0"/>
              <w:right w:val="single" w:color="auto" w:sz="8" w:space="0"/>
            </w:tcBorders>
          </w:tcPr>
          <w:p w:rsidR="00EF73B7" w:rsidRDefault="00EF73B7" w14:paraId="49C70355" w14:textId="77777777">
            <w:r w:rsidRPr="426512A0">
              <w:rPr>
                <w:rFonts w:eastAsia="Arial" w:cs="Arial"/>
                <w:sz w:val="20"/>
                <w:szCs w:val="20"/>
              </w:rPr>
              <w:t>34.2mt CO2eq</w:t>
            </w:r>
          </w:p>
        </w:tc>
        <w:tc>
          <w:tcPr>
            <w:tcW w:w="2163" w:type="dxa"/>
            <w:tcBorders>
              <w:top w:val="single" w:color="auto" w:sz="8" w:space="0"/>
              <w:left w:val="single" w:color="auto" w:sz="8" w:space="0"/>
              <w:bottom w:val="single" w:color="auto" w:sz="8" w:space="0"/>
              <w:right w:val="single" w:color="auto" w:sz="8" w:space="0"/>
            </w:tcBorders>
          </w:tcPr>
          <w:p w:rsidR="00EF73B7" w:rsidRDefault="00EF73B7" w14:paraId="72D79DFB" w14:textId="48828A99">
            <w:r w:rsidRPr="426512A0">
              <w:rPr>
                <w:rFonts w:eastAsia="Arial" w:cs="Arial"/>
                <w:sz w:val="20"/>
                <w:szCs w:val="20"/>
              </w:rPr>
              <w:t>31.16</w:t>
            </w:r>
            <w:r w:rsidR="00C642F0">
              <w:rPr>
                <w:rFonts w:eastAsia="Arial" w:cs="Arial"/>
                <w:sz w:val="20"/>
                <w:szCs w:val="20"/>
              </w:rPr>
              <w:t>mt</w:t>
            </w:r>
            <w:r w:rsidRPr="426512A0">
              <w:rPr>
                <w:rFonts w:eastAsia="Arial" w:cs="Arial"/>
                <w:sz w:val="20"/>
                <w:szCs w:val="20"/>
              </w:rPr>
              <w:t xml:space="preserve"> CO2eq</w:t>
            </w:r>
          </w:p>
          <w:p w:rsidR="00EF73B7" w:rsidRDefault="00EF73B7" w14:paraId="54D498AC" w14:textId="77777777">
            <w:r w:rsidRPr="426512A0">
              <w:rPr>
                <w:rFonts w:eastAsia="Arial" w:cs="Arial"/>
                <w:sz w:val="20"/>
                <w:szCs w:val="20"/>
              </w:rPr>
              <w:t xml:space="preserve"> </w:t>
            </w:r>
          </w:p>
          <w:p w:rsidR="00EF73B7" w:rsidRDefault="00EF73B7" w14:paraId="7AF1ED4D" w14:textId="77777777">
            <w:r w:rsidRPr="426512A0">
              <w:rPr>
                <w:rFonts w:ascii="Calibri" w:hAnsi="Calibri" w:eastAsia="Calibri" w:cs="Calibri"/>
                <w:sz w:val="16"/>
                <w:szCs w:val="16"/>
                <w:lang w:val="en"/>
              </w:rPr>
              <w:t xml:space="preserve"> </w:t>
            </w:r>
          </w:p>
        </w:tc>
      </w:tr>
    </w:tbl>
    <w:p w:rsidR="00F67E30" w:rsidP="00EF73B7" w:rsidRDefault="00F67E30" w14:paraId="0C5D7E95" w14:textId="77777777">
      <w:pPr>
        <w:jc w:val="both"/>
        <w:rPr>
          <w:rFonts w:cs="Arial"/>
          <w:sz w:val="22"/>
          <w:szCs w:val="22"/>
        </w:rPr>
      </w:pPr>
    </w:p>
    <w:p w:rsidR="00F67E30" w:rsidP="00EF73B7" w:rsidRDefault="00F67E30" w14:paraId="6D11C65A" w14:textId="10D67974">
      <w:pPr>
        <w:jc w:val="both"/>
        <w:rPr>
          <w:rFonts w:cs="Arial"/>
          <w:sz w:val="20"/>
          <w:szCs w:val="20"/>
        </w:rPr>
      </w:pPr>
      <w:r w:rsidRPr="722F6E6D">
        <w:rPr>
          <w:rFonts w:cs="Arial"/>
          <w:sz w:val="20"/>
          <w:szCs w:val="20"/>
        </w:rPr>
        <w:t xml:space="preserve">No further progress has been made on this outcome in this reporting period. The programme is fully disbursed in Mato Grosso </w:t>
      </w:r>
      <w:r w:rsidRPr="722F6E6D" w:rsidR="006D17E8">
        <w:rPr>
          <w:rFonts w:cs="Arial"/>
          <w:sz w:val="20"/>
          <w:szCs w:val="20"/>
        </w:rPr>
        <w:t>and Colombia,</w:t>
      </w:r>
      <w:r w:rsidRPr="722F6E6D" w:rsidR="00D70A42">
        <w:rPr>
          <w:rFonts w:cs="Arial"/>
          <w:sz w:val="20"/>
          <w:szCs w:val="20"/>
        </w:rPr>
        <w:t xml:space="preserve"> with the </w:t>
      </w:r>
      <w:r w:rsidRPr="722F6E6D" w:rsidR="001024BF">
        <w:rPr>
          <w:rFonts w:cs="Arial"/>
          <w:sz w:val="20"/>
          <w:szCs w:val="20"/>
        </w:rPr>
        <w:t xml:space="preserve">remaining £7.35 million to be disbursed </w:t>
      </w:r>
      <w:r w:rsidRPr="722F6E6D" w:rsidR="00677106">
        <w:rPr>
          <w:rFonts w:cs="Arial"/>
          <w:sz w:val="20"/>
          <w:szCs w:val="20"/>
        </w:rPr>
        <w:t>to Acre</w:t>
      </w:r>
      <w:r w:rsidRPr="722F6E6D" w:rsidR="00D60618">
        <w:rPr>
          <w:rFonts w:cs="Arial"/>
          <w:sz w:val="20"/>
          <w:szCs w:val="20"/>
        </w:rPr>
        <w:t xml:space="preserve">, meaning the </w:t>
      </w:r>
      <w:r w:rsidRPr="722F6E6D" w:rsidR="00C111A0">
        <w:rPr>
          <w:rFonts w:cs="Arial"/>
          <w:sz w:val="20"/>
          <w:szCs w:val="20"/>
        </w:rPr>
        <w:t>increase in ERs purchased will increase in the next annual review.</w:t>
      </w:r>
      <w:r w:rsidRPr="722F6E6D" w:rsidR="001024BF">
        <w:rPr>
          <w:rFonts w:cs="Arial"/>
          <w:sz w:val="20"/>
          <w:szCs w:val="20"/>
        </w:rPr>
        <w:t xml:space="preserve"> </w:t>
      </w:r>
      <w:r w:rsidRPr="722F6E6D" w:rsidR="00095D89">
        <w:rPr>
          <w:rFonts w:cs="Arial"/>
          <w:sz w:val="20"/>
          <w:szCs w:val="20"/>
        </w:rPr>
        <w:t>A payment</w:t>
      </w:r>
      <w:r w:rsidRPr="722F6E6D" w:rsidR="00D42CB5">
        <w:rPr>
          <w:rFonts w:cs="Arial"/>
          <w:sz w:val="20"/>
          <w:szCs w:val="20"/>
        </w:rPr>
        <w:t xml:space="preserve"> for </w:t>
      </w:r>
      <w:r w:rsidRPr="722F6E6D" w:rsidR="007E60A3">
        <w:rPr>
          <w:rFonts w:cs="Arial"/>
          <w:sz w:val="20"/>
          <w:szCs w:val="20"/>
        </w:rPr>
        <w:t>a little over half of the remaining funds</w:t>
      </w:r>
      <w:r w:rsidRPr="722F6E6D" w:rsidR="00095D89">
        <w:rPr>
          <w:rFonts w:cs="Arial"/>
          <w:sz w:val="20"/>
          <w:szCs w:val="20"/>
        </w:rPr>
        <w:t xml:space="preserve"> was forecast for June 2024, however this was delayed until August 2024, which f</w:t>
      </w:r>
      <w:r w:rsidRPr="722F6E6D" w:rsidR="005747F3">
        <w:rPr>
          <w:rFonts w:cs="Arial"/>
          <w:sz w:val="20"/>
          <w:szCs w:val="20"/>
        </w:rPr>
        <w:t>e</w:t>
      </w:r>
      <w:r w:rsidRPr="722F6E6D" w:rsidR="00095D89">
        <w:rPr>
          <w:rFonts w:cs="Arial"/>
          <w:sz w:val="20"/>
          <w:szCs w:val="20"/>
        </w:rPr>
        <w:t xml:space="preserve">ll into the next reporting period. </w:t>
      </w:r>
      <w:r w:rsidRPr="722F6E6D" w:rsidR="007F3D7C">
        <w:rPr>
          <w:rFonts w:cs="Arial"/>
          <w:sz w:val="20"/>
          <w:szCs w:val="20"/>
        </w:rPr>
        <w:t>A total of</w:t>
      </w:r>
      <w:r w:rsidRPr="722F6E6D" w:rsidR="00096630">
        <w:rPr>
          <w:rFonts w:cs="Arial"/>
          <w:sz w:val="20"/>
          <w:szCs w:val="20"/>
        </w:rPr>
        <w:t xml:space="preserve"> 2,807,762 tonnes of Co2 </w:t>
      </w:r>
      <w:r w:rsidRPr="722F6E6D" w:rsidR="00BF28ED">
        <w:rPr>
          <w:rFonts w:cs="Arial"/>
          <w:sz w:val="20"/>
          <w:szCs w:val="20"/>
        </w:rPr>
        <w:t xml:space="preserve">(£4.35 million) </w:t>
      </w:r>
      <w:r w:rsidRPr="722F6E6D" w:rsidR="00C74F3C">
        <w:rPr>
          <w:rFonts w:cs="Arial"/>
          <w:sz w:val="20"/>
          <w:szCs w:val="20"/>
        </w:rPr>
        <w:t>were rewarded and retired by the UK</w:t>
      </w:r>
      <w:r w:rsidRPr="722F6E6D" w:rsidR="007F3D7C">
        <w:rPr>
          <w:rFonts w:cs="Arial"/>
          <w:sz w:val="20"/>
          <w:szCs w:val="20"/>
        </w:rPr>
        <w:t xml:space="preserve"> </w:t>
      </w:r>
      <w:r w:rsidRPr="722F6E6D" w:rsidR="00C20539">
        <w:rPr>
          <w:rFonts w:cs="Arial"/>
          <w:sz w:val="20"/>
          <w:szCs w:val="20"/>
        </w:rPr>
        <w:t>and</w:t>
      </w:r>
      <w:r w:rsidRPr="722F6E6D" w:rsidR="00C74F3C">
        <w:rPr>
          <w:rFonts w:cs="Arial"/>
          <w:sz w:val="20"/>
          <w:szCs w:val="20"/>
        </w:rPr>
        <w:t xml:space="preserve"> 815,100</w:t>
      </w:r>
      <w:r w:rsidRPr="722F6E6D" w:rsidR="00BF28ED">
        <w:rPr>
          <w:rFonts w:cs="Arial"/>
          <w:sz w:val="20"/>
          <w:szCs w:val="20"/>
        </w:rPr>
        <w:t xml:space="preserve"> (EUR 1.5 million)</w:t>
      </w:r>
      <w:r w:rsidRPr="722F6E6D" w:rsidR="00C74F3C">
        <w:rPr>
          <w:rFonts w:cs="Arial"/>
          <w:sz w:val="20"/>
          <w:szCs w:val="20"/>
        </w:rPr>
        <w:t xml:space="preserve"> by Germany </w:t>
      </w:r>
      <w:r w:rsidRPr="722F6E6D" w:rsidR="00BF28ED">
        <w:rPr>
          <w:rFonts w:cs="Arial"/>
          <w:sz w:val="20"/>
          <w:szCs w:val="20"/>
        </w:rPr>
        <w:t xml:space="preserve">were rewarded in August 2024, which will fall into the next reporting period. </w:t>
      </w:r>
      <w:r w:rsidRPr="722F6E6D" w:rsidR="00CA33F2">
        <w:rPr>
          <w:rFonts w:cs="Arial"/>
          <w:sz w:val="20"/>
          <w:szCs w:val="20"/>
        </w:rPr>
        <w:t xml:space="preserve"> </w:t>
      </w:r>
    </w:p>
    <w:p w:rsidR="007F3D7C" w:rsidP="00EF73B7" w:rsidRDefault="007F3D7C" w14:paraId="2EF9B9FA" w14:textId="77777777">
      <w:pPr>
        <w:jc w:val="both"/>
        <w:rPr>
          <w:rFonts w:cs="Arial"/>
          <w:sz w:val="20"/>
          <w:szCs w:val="20"/>
        </w:rPr>
      </w:pPr>
    </w:p>
    <w:p w:rsidRPr="00D70A42" w:rsidR="007F3D7C" w:rsidP="007F3D7C" w:rsidRDefault="007F3D7C" w14:paraId="40BDA0E4" w14:textId="77777777">
      <w:pPr>
        <w:jc w:val="both"/>
        <w:rPr>
          <w:rFonts w:cs="Arial"/>
          <w:b/>
          <w:bCs/>
          <w:sz w:val="20"/>
          <w:szCs w:val="20"/>
        </w:rPr>
      </w:pPr>
      <w:r w:rsidRPr="00D70A42">
        <w:rPr>
          <w:rFonts w:cs="Arial"/>
          <w:b/>
          <w:bCs/>
          <w:sz w:val="20"/>
          <w:szCs w:val="20"/>
        </w:rPr>
        <w:t>Acre final payments</w:t>
      </w:r>
      <w:r>
        <w:rPr>
          <w:rFonts w:cs="Arial"/>
          <w:b/>
          <w:bCs/>
          <w:sz w:val="20"/>
          <w:szCs w:val="20"/>
        </w:rPr>
        <w:t xml:space="preserve"> with updates </w:t>
      </w:r>
    </w:p>
    <w:p w:rsidR="007F3D7C" w:rsidP="007F3D7C" w:rsidRDefault="007F3D7C" w14:paraId="45D22D0F" w14:textId="14F79886">
      <w:pPr>
        <w:jc w:val="both"/>
        <w:rPr>
          <w:rFonts w:cs="Arial"/>
          <w:sz w:val="20"/>
          <w:szCs w:val="20"/>
        </w:rPr>
      </w:pPr>
      <w:r w:rsidRPr="0027165C">
        <w:rPr>
          <w:rFonts w:cs="Arial"/>
          <w:sz w:val="20"/>
          <w:szCs w:val="20"/>
        </w:rPr>
        <w:t xml:space="preserve">Agreement was taken </w:t>
      </w:r>
      <w:r w:rsidR="00C20539">
        <w:rPr>
          <w:rFonts w:cs="Arial"/>
          <w:sz w:val="20"/>
          <w:szCs w:val="20"/>
        </w:rPr>
        <w:t>last</w:t>
      </w:r>
      <w:r w:rsidRPr="0027165C">
        <w:rPr>
          <w:rFonts w:cs="Arial"/>
          <w:sz w:val="20"/>
          <w:szCs w:val="20"/>
        </w:rPr>
        <w:t xml:space="preserve"> year </w:t>
      </w:r>
      <w:r>
        <w:rPr>
          <w:rFonts w:cs="Arial"/>
          <w:sz w:val="20"/>
          <w:szCs w:val="20"/>
        </w:rPr>
        <w:t xml:space="preserve">to extend the Acre programme </w:t>
      </w:r>
      <w:r w:rsidRPr="0027165C">
        <w:rPr>
          <w:rFonts w:cs="Arial"/>
          <w:sz w:val="20"/>
          <w:szCs w:val="20"/>
        </w:rPr>
        <w:t>to 2025, and pay for historical ERs (from 2017/18), but with the following conditions</w:t>
      </w:r>
      <w:r w:rsidR="00C20539">
        <w:rPr>
          <w:rFonts w:cs="Arial"/>
          <w:sz w:val="20"/>
          <w:szCs w:val="20"/>
        </w:rPr>
        <w:t xml:space="preserve"> to account for the </w:t>
      </w:r>
      <w:r w:rsidR="00EA61B2">
        <w:rPr>
          <w:rFonts w:cs="Arial"/>
          <w:sz w:val="20"/>
          <w:szCs w:val="20"/>
        </w:rPr>
        <w:t xml:space="preserve">high deforestation </w:t>
      </w:r>
      <w:r w:rsidR="001C7178">
        <w:rPr>
          <w:rFonts w:cs="Arial"/>
          <w:sz w:val="20"/>
          <w:szCs w:val="20"/>
        </w:rPr>
        <w:t>seen between 2</w:t>
      </w:r>
      <w:r w:rsidR="00DD1B39">
        <w:rPr>
          <w:rFonts w:cs="Arial"/>
          <w:sz w:val="20"/>
          <w:szCs w:val="20"/>
        </w:rPr>
        <w:t xml:space="preserve">019-2022. Updates </w:t>
      </w:r>
      <w:r w:rsidR="00F15E7F">
        <w:rPr>
          <w:rFonts w:cs="Arial"/>
          <w:sz w:val="20"/>
          <w:szCs w:val="20"/>
        </w:rPr>
        <w:t xml:space="preserve">from 2023-24 have been outlined below. </w:t>
      </w:r>
    </w:p>
    <w:p w:rsidR="00F15E7F" w:rsidP="007F3D7C" w:rsidRDefault="00F15E7F" w14:paraId="7EE7BD94" w14:textId="77777777">
      <w:pPr>
        <w:jc w:val="both"/>
        <w:rPr>
          <w:rFonts w:cs="Arial"/>
          <w:sz w:val="20"/>
          <w:szCs w:val="20"/>
        </w:rPr>
      </w:pPr>
    </w:p>
    <w:tbl>
      <w:tblPr>
        <w:tblStyle w:val="TableGrid"/>
        <w:tblW w:w="0" w:type="auto"/>
        <w:tblLook w:val="04A0" w:firstRow="1" w:lastRow="0" w:firstColumn="1" w:lastColumn="0" w:noHBand="0" w:noVBand="1"/>
      </w:tblPr>
      <w:tblGrid>
        <w:gridCol w:w="5665"/>
        <w:gridCol w:w="3351"/>
      </w:tblGrid>
      <w:tr w:rsidR="00F15E7F" w:rsidTr="6D6666F9" w14:paraId="34006486" w14:textId="77777777">
        <w:tc>
          <w:tcPr>
            <w:tcW w:w="5665" w:type="dxa"/>
            <w:shd w:val="clear" w:color="auto" w:fill="D9D9D9" w:themeFill="background1" w:themeFillShade="D9"/>
          </w:tcPr>
          <w:p w:rsidRPr="00963FF3" w:rsidR="00F15E7F" w:rsidP="007F3D7C" w:rsidRDefault="00F15E7F" w14:paraId="4E0BE514" w14:textId="753D3B39">
            <w:pPr>
              <w:jc w:val="both"/>
              <w:rPr>
                <w:rFonts w:cs="Arial"/>
                <w:b/>
                <w:bCs/>
                <w:sz w:val="18"/>
                <w:szCs w:val="18"/>
              </w:rPr>
            </w:pPr>
            <w:r w:rsidRPr="00963FF3">
              <w:rPr>
                <w:rFonts w:cs="Arial"/>
                <w:b/>
                <w:bCs/>
                <w:sz w:val="18"/>
                <w:szCs w:val="18"/>
              </w:rPr>
              <w:t>Condition</w:t>
            </w:r>
          </w:p>
        </w:tc>
        <w:tc>
          <w:tcPr>
            <w:tcW w:w="3351" w:type="dxa"/>
            <w:shd w:val="clear" w:color="auto" w:fill="D9D9D9" w:themeFill="background1" w:themeFillShade="D9"/>
          </w:tcPr>
          <w:p w:rsidRPr="00963FF3" w:rsidR="00F15E7F" w:rsidP="007F3D7C" w:rsidRDefault="00F15E7F" w14:paraId="3960072F" w14:textId="5183D2A2">
            <w:pPr>
              <w:jc w:val="both"/>
              <w:rPr>
                <w:rFonts w:cs="Arial"/>
                <w:b/>
                <w:bCs/>
                <w:sz w:val="18"/>
                <w:szCs w:val="18"/>
              </w:rPr>
            </w:pPr>
            <w:r w:rsidRPr="00963FF3">
              <w:rPr>
                <w:rFonts w:cs="Arial"/>
                <w:b/>
                <w:bCs/>
                <w:sz w:val="18"/>
                <w:szCs w:val="18"/>
              </w:rPr>
              <w:t>Progress 23-24</w:t>
            </w:r>
          </w:p>
        </w:tc>
      </w:tr>
      <w:tr w:rsidR="00F15E7F" w:rsidTr="6D6666F9" w14:paraId="722C9C59" w14:textId="77777777">
        <w:tc>
          <w:tcPr>
            <w:tcW w:w="5665" w:type="dxa"/>
          </w:tcPr>
          <w:p w:rsidRPr="00963FF3" w:rsidR="00F15E7F" w:rsidP="00F15E7F" w:rsidRDefault="00F15E7F" w14:paraId="150E318F" w14:textId="50D557F2">
            <w:pPr>
              <w:pStyle w:val="ListParagraph"/>
              <w:numPr>
                <w:ilvl w:val="0"/>
                <w:numId w:val="44"/>
              </w:numPr>
              <w:jc w:val="both"/>
              <w:rPr>
                <w:rFonts w:cs="Arial"/>
                <w:sz w:val="18"/>
                <w:szCs w:val="18"/>
              </w:rPr>
            </w:pPr>
            <w:r w:rsidRPr="00963FF3">
              <w:rPr>
                <w:rFonts w:cs="Arial"/>
                <w:sz w:val="18"/>
                <w:szCs w:val="18"/>
              </w:rPr>
              <w:t xml:space="preserve">For each ton of ER paid, 1.5 tonnes will be retired by the state (as opposed to the normal 1:1 ratio in other REM jurisdictions). This higher buffer pool will account for the lower integrity of the ERs due to the higher rates of deforestation.  </w:t>
            </w:r>
          </w:p>
          <w:p w:rsidRPr="00963FF3" w:rsidR="00F15E7F" w:rsidP="007F3D7C" w:rsidRDefault="00F15E7F" w14:paraId="0E1D4957" w14:textId="77777777">
            <w:pPr>
              <w:jc w:val="both"/>
              <w:rPr>
                <w:rFonts w:cs="Arial"/>
                <w:sz w:val="18"/>
                <w:szCs w:val="18"/>
              </w:rPr>
            </w:pPr>
          </w:p>
        </w:tc>
        <w:tc>
          <w:tcPr>
            <w:tcW w:w="3351" w:type="dxa"/>
          </w:tcPr>
          <w:p w:rsidRPr="00963FF3" w:rsidR="00F15E7F" w:rsidP="007F3D7C" w:rsidRDefault="00F15E7F" w14:paraId="14934E39" w14:textId="51B92891">
            <w:pPr>
              <w:jc w:val="both"/>
              <w:rPr>
                <w:rFonts w:cs="Arial"/>
                <w:sz w:val="18"/>
                <w:szCs w:val="18"/>
              </w:rPr>
            </w:pPr>
            <w:r w:rsidRPr="00963FF3">
              <w:rPr>
                <w:rFonts w:cs="Arial"/>
                <w:sz w:val="18"/>
                <w:szCs w:val="18"/>
              </w:rPr>
              <w:t xml:space="preserve">N/A, agreed with state and will be </w:t>
            </w:r>
            <w:r w:rsidRPr="00963FF3" w:rsidR="003F122C">
              <w:rPr>
                <w:rFonts w:cs="Arial"/>
                <w:sz w:val="18"/>
                <w:szCs w:val="18"/>
              </w:rPr>
              <w:t>applied</w:t>
            </w:r>
            <w:r w:rsidRPr="00963FF3">
              <w:rPr>
                <w:rFonts w:cs="Arial"/>
                <w:sz w:val="18"/>
                <w:szCs w:val="18"/>
              </w:rPr>
              <w:t xml:space="preserve"> in 24-25 reporting period. </w:t>
            </w:r>
          </w:p>
        </w:tc>
      </w:tr>
      <w:tr w:rsidR="00F15E7F" w:rsidTr="6D6666F9" w14:paraId="230EDE7E" w14:textId="77777777">
        <w:tc>
          <w:tcPr>
            <w:tcW w:w="5665" w:type="dxa"/>
          </w:tcPr>
          <w:p w:rsidRPr="00963FF3" w:rsidR="00F15E7F" w:rsidP="00F15E7F" w:rsidRDefault="00F15E7F" w14:paraId="56286B2E" w14:textId="58593BDA">
            <w:pPr>
              <w:pStyle w:val="ListParagraph"/>
              <w:numPr>
                <w:ilvl w:val="0"/>
                <w:numId w:val="44"/>
              </w:numPr>
              <w:jc w:val="both"/>
              <w:rPr>
                <w:rFonts w:cs="Arial"/>
                <w:sz w:val="18"/>
                <w:szCs w:val="18"/>
              </w:rPr>
            </w:pPr>
            <w:r w:rsidRPr="00963FF3">
              <w:rPr>
                <w:rFonts w:cs="Arial"/>
                <w:sz w:val="18"/>
                <w:szCs w:val="18"/>
              </w:rPr>
              <w:lastRenderedPageBreak/>
              <w:t>The first disbursement is conditional on the publication of the decree that established the new PPCDQ – State´s plan to combat deforestation and fires for 2023-2027 period</w:t>
            </w:r>
            <w:r w:rsidRPr="00963FF3">
              <w:rPr>
                <w:rStyle w:val="FootnoteReference"/>
                <w:rFonts w:cs="Arial"/>
                <w:sz w:val="18"/>
                <w:szCs w:val="18"/>
              </w:rPr>
              <w:footnoteReference w:id="10"/>
            </w:r>
            <w:r w:rsidRPr="00963FF3">
              <w:rPr>
                <w:rFonts w:cs="Arial"/>
                <w:sz w:val="18"/>
                <w:szCs w:val="18"/>
              </w:rPr>
              <w:t xml:space="preserve">. </w:t>
            </w:r>
          </w:p>
          <w:p w:rsidRPr="00963FF3" w:rsidR="00F15E7F" w:rsidP="007F3D7C" w:rsidRDefault="00F15E7F" w14:paraId="3476F2A7" w14:textId="77777777">
            <w:pPr>
              <w:jc w:val="both"/>
              <w:rPr>
                <w:rFonts w:cs="Arial"/>
                <w:sz w:val="18"/>
                <w:szCs w:val="18"/>
              </w:rPr>
            </w:pPr>
          </w:p>
        </w:tc>
        <w:tc>
          <w:tcPr>
            <w:tcW w:w="3351" w:type="dxa"/>
          </w:tcPr>
          <w:p w:rsidRPr="00963FF3" w:rsidR="00F15E7F" w:rsidP="007F3D7C" w:rsidRDefault="00A61A00" w14:paraId="5247AEEF" w14:textId="21278F04">
            <w:pPr>
              <w:jc w:val="both"/>
              <w:rPr>
                <w:rFonts w:cs="Arial"/>
                <w:sz w:val="18"/>
                <w:szCs w:val="18"/>
              </w:rPr>
            </w:pPr>
            <w:r w:rsidRPr="00963FF3">
              <w:rPr>
                <w:rFonts w:cs="Arial"/>
                <w:sz w:val="18"/>
                <w:szCs w:val="18"/>
              </w:rPr>
              <w:t>Completed</w:t>
            </w:r>
            <w:r w:rsidRPr="00963FF3" w:rsidR="00912597">
              <w:rPr>
                <w:rFonts w:cs="Arial"/>
                <w:sz w:val="18"/>
                <w:szCs w:val="18"/>
              </w:rPr>
              <w:t xml:space="preserve">, published in November 2023. </w:t>
            </w:r>
          </w:p>
        </w:tc>
      </w:tr>
      <w:tr w:rsidR="00F15E7F" w:rsidTr="6D6666F9" w14:paraId="6975590A" w14:textId="77777777">
        <w:tc>
          <w:tcPr>
            <w:tcW w:w="5665" w:type="dxa"/>
          </w:tcPr>
          <w:p w:rsidRPr="00963FF3" w:rsidR="00F15E7F" w:rsidP="00F15E7F" w:rsidRDefault="00F15E7F" w14:paraId="31D808D9" w14:textId="77777777">
            <w:pPr>
              <w:pStyle w:val="ListParagraph"/>
              <w:numPr>
                <w:ilvl w:val="0"/>
                <w:numId w:val="44"/>
              </w:numPr>
              <w:jc w:val="both"/>
              <w:rPr>
                <w:rFonts w:cs="Arial"/>
                <w:sz w:val="18"/>
                <w:szCs w:val="18"/>
              </w:rPr>
            </w:pPr>
            <w:r w:rsidRPr="00963FF3">
              <w:rPr>
                <w:rFonts w:cs="Arial"/>
                <w:sz w:val="18"/>
                <w:szCs w:val="18"/>
              </w:rPr>
              <w:t xml:space="preserve">The second disbursement is conditional on the deforestation rate being within the limit of 678 km2, estimated for the year 2024, or 20% below the level of 2022, which will demonstrate that the state is on the right track. </w:t>
            </w:r>
          </w:p>
          <w:p w:rsidRPr="00963FF3" w:rsidR="00F15E7F" w:rsidP="007F3D7C" w:rsidRDefault="00F15E7F" w14:paraId="0C7A4F2F" w14:textId="77777777">
            <w:pPr>
              <w:jc w:val="both"/>
              <w:rPr>
                <w:rFonts w:cs="Arial"/>
                <w:sz w:val="18"/>
                <w:szCs w:val="18"/>
              </w:rPr>
            </w:pPr>
          </w:p>
        </w:tc>
        <w:tc>
          <w:tcPr>
            <w:tcW w:w="3351" w:type="dxa"/>
          </w:tcPr>
          <w:p w:rsidRPr="00963FF3" w:rsidR="00F15E7F" w:rsidP="007F3D7C" w:rsidRDefault="00D11DEC" w14:paraId="4B3C7585" w14:textId="7BF5F238">
            <w:pPr>
              <w:jc w:val="both"/>
              <w:rPr>
                <w:rFonts w:cs="Arial"/>
                <w:sz w:val="18"/>
                <w:szCs w:val="18"/>
              </w:rPr>
            </w:pPr>
            <w:r w:rsidRPr="00963FF3">
              <w:rPr>
                <w:rFonts w:cs="Arial"/>
                <w:sz w:val="18"/>
                <w:szCs w:val="18"/>
              </w:rPr>
              <w:t>Completed, t</w:t>
            </w:r>
            <w:r w:rsidRPr="00963FF3" w:rsidR="00912597">
              <w:rPr>
                <w:rFonts w:cs="Arial"/>
                <w:sz w:val="18"/>
                <w:szCs w:val="18"/>
              </w:rPr>
              <w:t xml:space="preserve">he result was already achieved for 2023, </w:t>
            </w:r>
            <w:r w:rsidRPr="00963FF3" w:rsidR="00B23B5D">
              <w:rPr>
                <w:rFonts w:cs="Arial"/>
                <w:sz w:val="18"/>
                <w:szCs w:val="18"/>
              </w:rPr>
              <w:t>where deforestation fell by 29% between 2022-2023, arriving at a rate of 601km2.</w:t>
            </w:r>
          </w:p>
        </w:tc>
      </w:tr>
      <w:tr w:rsidR="00F15E7F" w:rsidTr="6D6666F9" w14:paraId="6DC9545E" w14:textId="77777777">
        <w:tc>
          <w:tcPr>
            <w:tcW w:w="5665" w:type="dxa"/>
          </w:tcPr>
          <w:p w:rsidRPr="00963FF3" w:rsidR="00F15E7F" w:rsidP="00F15E7F" w:rsidRDefault="00F15E7F" w14:paraId="0B79F5E1" w14:textId="77777777">
            <w:pPr>
              <w:pStyle w:val="ListParagraph"/>
              <w:numPr>
                <w:ilvl w:val="0"/>
                <w:numId w:val="44"/>
              </w:numPr>
              <w:jc w:val="both"/>
              <w:rPr>
                <w:rFonts w:cs="Arial"/>
                <w:sz w:val="18"/>
                <w:szCs w:val="18"/>
              </w:rPr>
            </w:pPr>
            <w:r w:rsidRPr="00963FF3">
              <w:rPr>
                <w:rFonts w:cs="Arial"/>
                <w:sz w:val="18"/>
                <w:szCs w:val="18"/>
              </w:rPr>
              <w:t xml:space="preserve">Payments will also be conditional on an elaboration of an exit strategy that guarantees the continuation of the subsidies payments to the local and traditional communities that work with the Murumuru and rubber supply chains.  </w:t>
            </w:r>
          </w:p>
          <w:p w:rsidRPr="00963FF3" w:rsidR="00F15E7F" w:rsidP="007F3D7C" w:rsidRDefault="00F15E7F" w14:paraId="55E5B9C9" w14:textId="77777777">
            <w:pPr>
              <w:jc w:val="both"/>
              <w:rPr>
                <w:rFonts w:cs="Arial"/>
                <w:sz w:val="18"/>
                <w:szCs w:val="18"/>
              </w:rPr>
            </w:pPr>
          </w:p>
        </w:tc>
        <w:tc>
          <w:tcPr>
            <w:tcW w:w="3351" w:type="dxa"/>
          </w:tcPr>
          <w:p w:rsidRPr="00963FF3" w:rsidR="00F15E7F" w:rsidP="007F3D7C" w:rsidRDefault="00D11DEC" w14:paraId="69153619" w14:textId="4B0206DF">
            <w:pPr>
              <w:jc w:val="both"/>
              <w:rPr>
                <w:rFonts w:cs="Arial"/>
                <w:sz w:val="18"/>
                <w:szCs w:val="18"/>
              </w:rPr>
            </w:pPr>
            <w:r w:rsidRPr="00963FF3">
              <w:rPr>
                <w:rFonts w:cs="Arial"/>
                <w:sz w:val="18"/>
                <w:szCs w:val="18"/>
              </w:rPr>
              <w:t xml:space="preserve">Achieved, the state </w:t>
            </w:r>
            <w:r w:rsidRPr="00963FF3" w:rsidR="00664EE2">
              <w:rPr>
                <w:rFonts w:cs="Arial"/>
                <w:sz w:val="18"/>
                <w:szCs w:val="18"/>
              </w:rPr>
              <w:t xml:space="preserve">has agreed to take on these payments from REM at the end of the programme. </w:t>
            </w:r>
          </w:p>
        </w:tc>
      </w:tr>
    </w:tbl>
    <w:p w:rsidRPr="0027165C" w:rsidR="00AF3B66" w:rsidP="00EF73B7" w:rsidRDefault="00AF3B66" w14:paraId="5F796254" w14:textId="77777777">
      <w:pPr>
        <w:jc w:val="both"/>
        <w:rPr>
          <w:rFonts w:cs="Arial"/>
          <w:sz w:val="20"/>
          <w:szCs w:val="20"/>
        </w:rPr>
      </w:pPr>
    </w:p>
    <w:p w:rsidRPr="00B44190" w:rsidR="00EF73B7" w:rsidP="45FE75A7" w:rsidRDefault="00D82806" w14:paraId="7B0D61C5" w14:textId="54B8CCBD">
      <w:pPr>
        <w:jc w:val="both"/>
        <w:rPr>
          <w:rFonts w:cs="Arial"/>
          <w:sz w:val="20"/>
          <w:szCs w:val="20"/>
        </w:rPr>
      </w:pPr>
      <w:r>
        <w:rPr>
          <w:rFonts w:cs="Arial"/>
          <w:sz w:val="20"/>
          <w:szCs w:val="20"/>
        </w:rPr>
        <w:t xml:space="preserve">During </w:t>
      </w:r>
      <w:r w:rsidR="00027F25">
        <w:rPr>
          <w:rFonts w:cs="Arial"/>
          <w:sz w:val="20"/>
          <w:szCs w:val="20"/>
        </w:rPr>
        <w:t>2023</w:t>
      </w:r>
      <w:r>
        <w:rPr>
          <w:rFonts w:cs="Arial"/>
          <w:sz w:val="20"/>
          <w:szCs w:val="20"/>
        </w:rPr>
        <w:t xml:space="preserve">, Colombia further reduced its rates of deforestation </w:t>
      </w:r>
      <w:r w:rsidR="00511D88">
        <w:rPr>
          <w:rFonts w:cs="Arial"/>
          <w:sz w:val="20"/>
          <w:szCs w:val="20"/>
        </w:rPr>
        <w:t>to 79,256 ha,</w:t>
      </w:r>
      <w:r w:rsidR="00084B35">
        <w:rPr>
          <w:rFonts w:cs="Arial"/>
          <w:sz w:val="20"/>
          <w:szCs w:val="20"/>
        </w:rPr>
        <w:t xml:space="preserve"> down </w:t>
      </w:r>
      <w:r w:rsidR="00511D88">
        <w:rPr>
          <w:rFonts w:cs="Arial"/>
          <w:sz w:val="20"/>
          <w:szCs w:val="20"/>
        </w:rPr>
        <w:t>from the previous year</w:t>
      </w:r>
      <w:r w:rsidR="00084B35">
        <w:rPr>
          <w:rFonts w:cs="Arial"/>
          <w:sz w:val="20"/>
          <w:szCs w:val="20"/>
        </w:rPr>
        <w:t>’s total of 123,517 ha</w:t>
      </w:r>
      <w:r w:rsidR="00F97AB2">
        <w:rPr>
          <w:rFonts w:cs="Arial"/>
          <w:sz w:val="20"/>
          <w:szCs w:val="20"/>
        </w:rPr>
        <w:t xml:space="preserve">, </w:t>
      </w:r>
      <w:r w:rsidR="00084B35">
        <w:rPr>
          <w:rFonts w:cs="Arial"/>
          <w:sz w:val="20"/>
          <w:szCs w:val="20"/>
        </w:rPr>
        <w:t xml:space="preserve">in itself lower than the </w:t>
      </w:r>
      <w:r w:rsidR="00D10A54">
        <w:rPr>
          <w:rFonts w:cs="Arial"/>
          <w:sz w:val="20"/>
          <w:szCs w:val="20"/>
        </w:rPr>
        <w:t>174,103 ha</w:t>
      </w:r>
      <w:r w:rsidR="00250BF7">
        <w:rPr>
          <w:rFonts w:cs="Arial"/>
          <w:sz w:val="20"/>
          <w:szCs w:val="20"/>
        </w:rPr>
        <w:t xml:space="preserve"> in</w:t>
      </w:r>
      <w:r w:rsidR="00084B35">
        <w:rPr>
          <w:rFonts w:cs="Arial"/>
          <w:sz w:val="20"/>
          <w:szCs w:val="20"/>
        </w:rPr>
        <w:t xml:space="preserve"> 2021</w:t>
      </w:r>
      <w:r w:rsidR="00D10A54">
        <w:rPr>
          <w:rFonts w:cs="Arial"/>
          <w:sz w:val="20"/>
          <w:szCs w:val="20"/>
        </w:rPr>
        <w:t>. Th</w:t>
      </w:r>
      <w:r w:rsidR="00A94FB5">
        <w:rPr>
          <w:rFonts w:cs="Arial"/>
          <w:sz w:val="20"/>
          <w:szCs w:val="20"/>
        </w:rPr>
        <w:t>e</w:t>
      </w:r>
      <w:r w:rsidR="00734428">
        <w:rPr>
          <w:rFonts w:cs="Arial"/>
          <w:sz w:val="20"/>
          <w:szCs w:val="20"/>
        </w:rPr>
        <w:t xml:space="preserve"> </w:t>
      </w:r>
      <w:r w:rsidR="00D10A54">
        <w:rPr>
          <w:rFonts w:cs="Arial"/>
          <w:sz w:val="20"/>
          <w:szCs w:val="20"/>
        </w:rPr>
        <w:t>2023</w:t>
      </w:r>
      <w:r w:rsidR="00A94FB5">
        <w:rPr>
          <w:rFonts w:cs="Arial"/>
          <w:sz w:val="20"/>
          <w:szCs w:val="20"/>
        </w:rPr>
        <w:t xml:space="preserve"> deforestation rate</w:t>
      </w:r>
      <w:r w:rsidR="00D10A54">
        <w:rPr>
          <w:rFonts w:cs="Arial"/>
          <w:sz w:val="20"/>
          <w:szCs w:val="20"/>
        </w:rPr>
        <w:t xml:space="preserve"> represents </w:t>
      </w:r>
      <w:r w:rsidR="00987B3A">
        <w:rPr>
          <w:rFonts w:cs="Arial"/>
          <w:sz w:val="20"/>
          <w:szCs w:val="20"/>
        </w:rPr>
        <w:t xml:space="preserve">a reduction of </w:t>
      </w:r>
      <w:r w:rsidR="007A226A">
        <w:rPr>
          <w:rFonts w:cs="Arial"/>
          <w:sz w:val="20"/>
          <w:szCs w:val="20"/>
        </w:rPr>
        <w:t>69%</w:t>
      </w:r>
      <w:r w:rsidR="00E74696">
        <w:rPr>
          <w:rFonts w:cs="Arial"/>
          <w:sz w:val="20"/>
          <w:szCs w:val="20"/>
        </w:rPr>
        <w:t xml:space="preserve"> compared to the highest rates of 2</w:t>
      </w:r>
      <w:r w:rsidR="000351EB">
        <w:rPr>
          <w:rFonts w:cs="Arial"/>
          <w:sz w:val="20"/>
          <w:szCs w:val="20"/>
        </w:rPr>
        <w:t>,</w:t>
      </w:r>
      <w:r w:rsidR="00E74696">
        <w:rPr>
          <w:rFonts w:cs="Arial"/>
          <w:sz w:val="20"/>
          <w:szCs w:val="20"/>
        </w:rPr>
        <w:t>19,552</w:t>
      </w:r>
      <w:r w:rsidR="00734428">
        <w:rPr>
          <w:rFonts w:cs="Arial"/>
          <w:sz w:val="20"/>
          <w:szCs w:val="20"/>
        </w:rPr>
        <w:t xml:space="preserve"> </w:t>
      </w:r>
      <w:r w:rsidR="000351EB">
        <w:rPr>
          <w:rFonts w:cs="Arial"/>
          <w:sz w:val="20"/>
          <w:szCs w:val="20"/>
        </w:rPr>
        <w:t>ha</w:t>
      </w:r>
      <w:r w:rsidR="00E74696">
        <w:rPr>
          <w:rFonts w:cs="Arial"/>
          <w:sz w:val="20"/>
          <w:szCs w:val="20"/>
        </w:rPr>
        <w:t xml:space="preserve"> in 2017, shortly after the signing of the peace p</w:t>
      </w:r>
      <w:r w:rsidR="00642E94">
        <w:rPr>
          <w:rFonts w:cs="Arial"/>
          <w:sz w:val="20"/>
          <w:szCs w:val="20"/>
        </w:rPr>
        <w:t xml:space="preserve">rocess (2016). </w:t>
      </w:r>
      <w:r w:rsidR="00B227E9">
        <w:rPr>
          <w:rFonts w:cs="Arial"/>
          <w:sz w:val="20"/>
          <w:szCs w:val="20"/>
        </w:rPr>
        <w:t xml:space="preserve">The reductions have been in part attributed </w:t>
      </w:r>
      <w:r w:rsidR="00E24373">
        <w:rPr>
          <w:rFonts w:cs="Arial"/>
          <w:sz w:val="20"/>
          <w:szCs w:val="20"/>
        </w:rPr>
        <w:t xml:space="preserve">to Visión Amazonia; when Minister </w:t>
      </w:r>
      <w:r w:rsidR="00F94EE6">
        <w:rPr>
          <w:rFonts w:cs="Arial"/>
          <w:sz w:val="20"/>
          <w:szCs w:val="20"/>
        </w:rPr>
        <w:t>Muhamed presented the results for 2023, she</w:t>
      </w:r>
      <w:r w:rsidRPr="00F94EE6" w:rsidR="00F94EE6">
        <w:rPr>
          <w:rFonts w:cs="Arial"/>
          <w:sz w:val="20"/>
          <w:szCs w:val="20"/>
        </w:rPr>
        <w:t xml:space="preserve"> cited REM Visión Amazonía as one of the efforts that contributed to the reduction in deforestation through the support provided to structure the payments of Conservar Paga (Payment for Environmental Services) to families</w:t>
      </w:r>
      <w:r w:rsidRPr="00F94EE6" w:rsidR="00F94EE6">
        <w:rPr>
          <w:rFonts w:cs="Arial"/>
          <w:b/>
          <w:bCs/>
          <w:sz w:val="20"/>
          <w:szCs w:val="20"/>
        </w:rPr>
        <w:t xml:space="preserve">, </w:t>
      </w:r>
      <w:r w:rsidRPr="00F94EE6" w:rsidR="00F94EE6">
        <w:rPr>
          <w:rFonts w:cs="Arial"/>
          <w:sz w:val="20"/>
          <w:szCs w:val="20"/>
        </w:rPr>
        <w:t>showing the impact the support of UK has had in these results.</w:t>
      </w:r>
      <w:r w:rsidRPr="00130371" w:rsidR="00130371">
        <w:rPr>
          <w:rFonts w:cs="Arial"/>
          <w:sz w:val="20"/>
          <w:szCs w:val="20"/>
        </w:rPr>
        <w:t xml:space="preserve"> </w:t>
      </w:r>
      <w:r w:rsidR="00130371">
        <w:rPr>
          <w:rFonts w:cs="Arial"/>
          <w:sz w:val="20"/>
          <w:szCs w:val="20"/>
        </w:rPr>
        <w:t xml:space="preserve">There are expected to be some increases in deforestation in 2024, due to unrest amongst the armed groups, however, this is to be expected and has been calculated </w:t>
      </w:r>
      <w:r w:rsidRPr="00B44190" w:rsidR="00130371">
        <w:rPr>
          <w:rFonts w:cs="Arial"/>
          <w:sz w:val="20"/>
          <w:szCs w:val="20"/>
        </w:rPr>
        <w:t>into IDEAM</w:t>
      </w:r>
      <w:r w:rsidRPr="00B44190" w:rsidR="00130371">
        <w:rPr>
          <w:rStyle w:val="FootnoteReference"/>
          <w:rFonts w:cs="Arial"/>
          <w:sz w:val="20"/>
          <w:szCs w:val="20"/>
        </w:rPr>
        <w:footnoteReference w:id="11"/>
      </w:r>
      <w:r w:rsidRPr="00B44190" w:rsidR="00130371">
        <w:rPr>
          <w:rFonts w:cs="Arial"/>
          <w:sz w:val="20"/>
          <w:szCs w:val="20"/>
        </w:rPr>
        <w:t>’s project</w:t>
      </w:r>
      <w:r w:rsidR="00734428">
        <w:rPr>
          <w:rFonts w:cs="Arial"/>
          <w:sz w:val="20"/>
          <w:szCs w:val="20"/>
        </w:rPr>
        <w:t>ions</w:t>
      </w:r>
      <w:r w:rsidRPr="00B44190" w:rsidR="00130371">
        <w:rPr>
          <w:rFonts w:cs="Arial"/>
          <w:sz w:val="20"/>
          <w:szCs w:val="20"/>
        </w:rPr>
        <w:t xml:space="preserve"> of reaching net zero in 2030.</w:t>
      </w:r>
    </w:p>
    <w:p w:rsidRPr="00B44190" w:rsidR="00664EE2" w:rsidP="45FE75A7" w:rsidRDefault="00664EE2" w14:paraId="35163282" w14:textId="77777777">
      <w:pPr>
        <w:jc w:val="both"/>
        <w:rPr>
          <w:rFonts w:cs="Arial"/>
          <w:sz w:val="20"/>
          <w:szCs w:val="20"/>
        </w:rPr>
      </w:pPr>
    </w:p>
    <w:p w:rsidRPr="00B44190" w:rsidR="008F288F" w:rsidP="008F288F" w:rsidRDefault="00AA1E2E" w14:paraId="1E6FACAE" w14:textId="7020802B">
      <w:pPr>
        <w:jc w:val="both"/>
        <w:rPr>
          <w:rFonts w:cs="Arial"/>
          <w:sz w:val="20"/>
          <w:szCs w:val="20"/>
        </w:rPr>
      </w:pPr>
      <w:r w:rsidRPr="722F6E6D">
        <w:rPr>
          <w:rFonts w:cs="Arial"/>
          <w:sz w:val="20"/>
          <w:szCs w:val="20"/>
        </w:rPr>
        <w:t xml:space="preserve">In Brazil, </w:t>
      </w:r>
      <w:r w:rsidRPr="722F6E6D" w:rsidR="006D343A">
        <w:rPr>
          <w:rFonts w:cs="Arial"/>
          <w:sz w:val="20"/>
          <w:szCs w:val="20"/>
        </w:rPr>
        <w:t xml:space="preserve">deforestation data from November 2023 showed overall reductions of </w:t>
      </w:r>
      <w:r w:rsidRPr="722F6E6D" w:rsidR="00AD56A9">
        <w:rPr>
          <w:rFonts w:cs="Arial"/>
          <w:sz w:val="20"/>
          <w:szCs w:val="20"/>
        </w:rPr>
        <w:t>11.6</w:t>
      </w:r>
      <w:r w:rsidRPr="722F6E6D" w:rsidR="00A94F3C">
        <w:rPr>
          <w:rFonts w:cs="Arial"/>
          <w:sz w:val="20"/>
          <w:szCs w:val="20"/>
        </w:rPr>
        <w:t>%</w:t>
      </w:r>
      <w:r w:rsidRPr="722F6E6D" w:rsidR="00974D2B">
        <w:rPr>
          <w:rFonts w:cs="Arial"/>
          <w:sz w:val="20"/>
          <w:szCs w:val="20"/>
        </w:rPr>
        <w:t xml:space="preserve"> between 2022-2023</w:t>
      </w:r>
      <w:r w:rsidRPr="722F6E6D" w:rsidR="00490DDA">
        <w:rPr>
          <w:rFonts w:cs="Arial"/>
          <w:sz w:val="20"/>
          <w:szCs w:val="20"/>
        </w:rPr>
        <w:t xml:space="preserve"> across all biomes</w:t>
      </w:r>
      <w:r w:rsidRPr="722F6E6D" w:rsidR="00C52C0F">
        <w:rPr>
          <w:rFonts w:cs="Arial"/>
          <w:sz w:val="20"/>
          <w:szCs w:val="20"/>
        </w:rPr>
        <w:t xml:space="preserve">. This varies massively by region the Amazon saw </w:t>
      </w:r>
      <w:r w:rsidRPr="722F6E6D" w:rsidR="00490DDA">
        <w:rPr>
          <w:rFonts w:cs="Arial"/>
          <w:sz w:val="20"/>
          <w:szCs w:val="20"/>
        </w:rPr>
        <w:t>62.2% reduc</w:t>
      </w:r>
      <w:r w:rsidRPr="722F6E6D" w:rsidR="00C52C0F">
        <w:rPr>
          <w:rFonts w:cs="Arial"/>
          <w:sz w:val="20"/>
          <w:szCs w:val="20"/>
        </w:rPr>
        <w:t>tions</w:t>
      </w:r>
      <w:r w:rsidRPr="722F6E6D" w:rsidR="00490DDA">
        <w:rPr>
          <w:rFonts w:cs="Arial"/>
          <w:sz w:val="20"/>
          <w:szCs w:val="20"/>
        </w:rPr>
        <w:t>, whilst the Cerrado increased by 67.7%</w:t>
      </w:r>
      <w:r w:rsidRPr="722F6E6D" w:rsidR="008C6437">
        <w:rPr>
          <w:rFonts w:cs="Arial"/>
          <w:sz w:val="20"/>
          <w:szCs w:val="20"/>
        </w:rPr>
        <w:t>, and the Pantanal saw an increase of 59%</w:t>
      </w:r>
      <w:r w:rsidRPr="722F6E6D" w:rsidR="00974D2B">
        <w:rPr>
          <w:rFonts w:cs="Arial"/>
          <w:sz w:val="20"/>
          <w:szCs w:val="20"/>
        </w:rPr>
        <w:t>.</w:t>
      </w:r>
      <w:r w:rsidRPr="722F6E6D" w:rsidR="008F288F">
        <w:rPr>
          <w:rFonts w:cs="Arial"/>
          <w:sz w:val="20"/>
          <w:szCs w:val="20"/>
        </w:rPr>
        <w:t xml:space="preserve"> In the Amazon, most deforestation is illegal - and has been tackled, with significant results, through systematic command and control actions led by Brazilian Institute of Environment and Renewable Natural Resources (IBAMA) guided by the new Action Plan for Deforestation Prevention and Control in the Legal Amazon (PPCDAm), a public policy that came to force in 2004, was cancelled during the Bolsonaro mandate, and reinstated in 2023, after President Lula took office. Official data from MapBiomas published in early November 2024, shows that deforestation between August 23 and July 24 has reduced by 30.6% (6,288km2) in the Amazon, and a 25.7% reduction in Cerrado (8,174km2 deforested). </w:t>
      </w:r>
    </w:p>
    <w:p w:rsidR="008F288F" w:rsidP="005B43D8" w:rsidRDefault="008F288F" w14:paraId="3101092A" w14:textId="3D405126">
      <w:pPr>
        <w:jc w:val="both"/>
        <w:rPr>
          <w:rFonts w:cs="Arial"/>
          <w:sz w:val="20"/>
          <w:szCs w:val="20"/>
        </w:rPr>
      </w:pPr>
    </w:p>
    <w:p w:rsidRPr="00B44190" w:rsidR="005B43D8" w:rsidP="005B43D8" w:rsidRDefault="008C6437" w14:paraId="2666D1CD" w14:textId="29E1EE9A">
      <w:pPr>
        <w:jc w:val="both"/>
        <w:rPr>
          <w:rFonts w:cs="Arial"/>
          <w:sz w:val="20"/>
          <w:szCs w:val="20"/>
        </w:rPr>
      </w:pPr>
      <w:r w:rsidRPr="722F6E6D">
        <w:rPr>
          <w:rFonts w:cs="Arial"/>
          <w:sz w:val="20"/>
          <w:szCs w:val="20"/>
        </w:rPr>
        <w:t>Mato Grosso has all three biomes</w:t>
      </w:r>
      <w:r w:rsidRPr="722F6E6D" w:rsidR="000A72CA">
        <w:rPr>
          <w:rFonts w:cs="Arial"/>
          <w:sz w:val="20"/>
          <w:szCs w:val="20"/>
        </w:rPr>
        <w:t>, and these trends hold at the state level as well</w:t>
      </w:r>
      <w:r w:rsidRPr="722F6E6D">
        <w:rPr>
          <w:rFonts w:cs="Arial"/>
          <w:sz w:val="20"/>
          <w:szCs w:val="20"/>
        </w:rPr>
        <w:t>.</w:t>
      </w:r>
      <w:r w:rsidRPr="722F6E6D" w:rsidR="0036504A">
        <w:rPr>
          <w:rFonts w:cs="Arial"/>
          <w:sz w:val="20"/>
          <w:szCs w:val="20"/>
        </w:rPr>
        <w:t xml:space="preserve"> </w:t>
      </w:r>
      <w:r w:rsidRPr="722F6E6D" w:rsidR="008E2270">
        <w:rPr>
          <w:rFonts w:cs="Arial"/>
          <w:sz w:val="20"/>
          <w:szCs w:val="20"/>
        </w:rPr>
        <w:t xml:space="preserve">Between </w:t>
      </w:r>
      <w:r w:rsidRPr="722F6E6D" w:rsidR="007105E8">
        <w:rPr>
          <w:rFonts w:cs="Arial"/>
          <w:sz w:val="20"/>
          <w:szCs w:val="20"/>
        </w:rPr>
        <w:t>August 23</w:t>
      </w:r>
      <w:r w:rsidRPr="722F6E6D" w:rsidR="00E1523F">
        <w:rPr>
          <w:rFonts w:cs="Arial"/>
          <w:sz w:val="20"/>
          <w:szCs w:val="20"/>
        </w:rPr>
        <w:t xml:space="preserve"> </w:t>
      </w:r>
      <w:r w:rsidRPr="722F6E6D" w:rsidR="007105E8">
        <w:rPr>
          <w:rFonts w:cs="Arial"/>
          <w:sz w:val="20"/>
          <w:szCs w:val="20"/>
        </w:rPr>
        <w:t xml:space="preserve">- July 24, deforestation in the </w:t>
      </w:r>
      <w:r w:rsidRPr="722F6E6D" w:rsidR="00E1523F">
        <w:rPr>
          <w:rFonts w:cs="Arial"/>
          <w:sz w:val="20"/>
          <w:szCs w:val="20"/>
        </w:rPr>
        <w:t xml:space="preserve">Mato Grosso region of the </w:t>
      </w:r>
      <w:r w:rsidRPr="722F6E6D" w:rsidR="007105E8">
        <w:rPr>
          <w:rFonts w:cs="Arial"/>
          <w:sz w:val="20"/>
          <w:szCs w:val="20"/>
        </w:rPr>
        <w:t xml:space="preserve">Amazon dropped </w:t>
      </w:r>
      <w:r w:rsidRPr="722F6E6D" w:rsidR="000A72CA">
        <w:rPr>
          <w:rFonts w:cs="Arial"/>
          <w:sz w:val="20"/>
          <w:szCs w:val="20"/>
        </w:rPr>
        <w:t xml:space="preserve">by </w:t>
      </w:r>
      <w:r w:rsidRPr="722F6E6D" w:rsidR="007105E8">
        <w:rPr>
          <w:rFonts w:cs="Arial"/>
          <w:sz w:val="20"/>
          <w:szCs w:val="20"/>
        </w:rPr>
        <w:t>a total of 45%, while increasing in the Cerrado, making the Cerrado the new deforestation hotspot</w:t>
      </w:r>
      <w:r w:rsidRPr="722F6E6D" w:rsidR="000A72CA">
        <w:rPr>
          <w:rFonts w:cs="Arial"/>
          <w:sz w:val="20"/>
          <w:szCs w:val="20"/>
        </w:rPr>
        <w:t xml:space="preserve"> in </w:t>
      </w:r>
      <w:r w:rsidRPr="722F6E6D" w:rsidR="00615A4A">
        <w:rPr>
          <w:rFonts w:cs="Arial"/>
          <w:sz w:val="20"/>
          <w:szCs w:val="20"/>
        </w:rPr>
        <w:t>the state</w:t>
      </w:r>
      <w:r w:rsidRPr="722F6E6D" w:rsidR="007105E8">
        <w:rPr>
          <w:rFonts w:cs="Arial"/>
          <w:sz w:val="20"/>
          <w:szCs w:val="20"/>
        </w:rPr>
        <w:t xml:space="preserve">. </w:t>
      </w:r>
      <w:r w:rsidRPr="722F6E6D" w:rsidR="000A72CA">
        <w:rPr>
          <w:rFonts w:cs="Arial"/>
          <w:sz w:val="20"/>
          <w:szCs w:val="20"/>
        </w:rPr>
        <w:t>97% of these increases are due to farming, whilst mining, extreme climate events and urban expansion also play a role</w:t>
      </w:r>
      <w:r w:rsidRPr="722F6E6D" w:rsidR="00734428">
        <w:rPr>
          <w:rFonts w:cs="Arial"/>
          <w:sz w:val="20"/>
          <w:szCs w:val="20"/>
        </w:rPr>
        <w:t>, in Mato Grosso</w:t>
      </w:r>
      <w:r w:rsidRPr="722F6E6D" w:rsidR="000A72CA">
        <w:rPr>
          <w:rFonts w:cs="Arial"/>
          <w:sz w:val="20"/>
          <w:szCs w:val="20"/>
        </w:rPr>
        <w:t xml:space="preserve">. </w:t>
      </w:r>
    </w:p>
    <w:p w:rsidR="001A754B" w:rsidP="00EF73B7" w:rsidRDefault="001A754B" w14:paraId="01DD3902" w14:textId="77777777">
      <w:pPr>
        <w:jc w:val="both"/>
        <w:rPr>
          <w:rFonts w:cs="Arial"/>
          <w:sz w:val="20"/>
          <w:szCs w:val="20"/>
        </w:rPr>
      </w:pPr>
    </w:p>
    <w:p w:rsidRPr="0027165C" w:rsidR="001A754B" w:rsidP="00EF73B7" w:rsidRDefault="001A754B" w14:paraId="2FBF249B" w14:textId="794C1934">
      <w:pPr>
        <w:jc w:val="both"/>
        <w:rPr>
          <w:rFonts w:cs="Arial"/>
          <w:sz w:val="20"/>
          <w:szCs w:val="20"/>
        </w:rPr>
      </w:pPr>
      <w:r w:rsidRPr="3852DB3F">
        <w:rPr>
          <w:rFonts w:cs="Arial"/>
          <w:sz w:val="20"/>
          <w:szCs w:val="20"/>
        </w:rPr>
        <w:t>This year</w:t>
      </w:r>
      <w:r w:rsidRPr="3852DB3F" w:rsidR="00C15BC3">
        <w:rPr>
          <w:rFonts w:cs="Arial"/>
          <w:sz w:val="20"/>
          <w:szCs w:val="20"/>
        </w:rPr>
        <w:t xml:space="preserve"> (2023-2024)</w:t>
      </w:r>
      <w:r w:rsidRPr="3852DB3F">
        <w:rPr>
          <w:rFonts w:cs="Arial"/>
          <w:sz w:val="20"/>
          <w:szCs w:val="20"/>
        </w:rPr>
        <w:t xml:space="preserve"> the </w:t>
      </w:r>
      <w:r w:rsidRPr="3852DB3F" w:rsidR="18D9C8B0">
        <w:rPr>
          <w:rFonts w:cs="Arial"/>
          <w:sz w:val="20"/>
          <w:szCs w:val="20"/>
        </w:rPr>
        <w:t>‘</w:t>
      </w:r>
      <w:r w:rsidRPr="3852DB3F">
        <w:rPr>
          <w:rFonts w:cs="Arial"/>
          <w:sz w:val="20"/>
          <w:szCs w:val="20"/>
        </w:rPr>
        <w:t>Planet</w:t>
      </w:r>
      <w:r w:rsidRPr="3852DB3F" w:rsidR="4B06CBD6">
        <w:rPr>
          <w:rFonts w:cs="Arial"/>
          <w:sz w:val="20"/>
          <w:szCs w:val="20"/>
        </w:rPr>
        <w:t>’</w:t>
      </w:r>
      <w:r w:rsidRPr="3852DB3F">
        <w:rPr>
          <w:rFonts w:cs="Arial"/>
          <w:sz w:val="20"/>
          <w:szCs w:val="20"/>
        </w:rPr>
        <w:t xml:space="preserve"> system</w:t>
      </w:r>
      <w:r w:rsidR="00D21140">
        <w:rPr>
          <w:rStyle w:val="FootnoteReference"/>
          <w:rFonts w:cs="Arial"/>
          <w:sz w:val="20"/>
          <w:szCs w:val="20"/>
        </w:rPr>
        <w:footnoteReference w:id="12"/>
      </w:r>
      <w:r w:rsidRPr="3852DB3F">
        <w:rPr>
          <w:rFonts w:cs="Arial"/>
          <w:sz w:val="20"/>
          <w:szCs w:val="20"/>
        </w:rPr>
        <w:t xml:space="preserve"> </w:t>
      </w:r>
      <w:r w:rsidRPr="3852DB3F" w:rsidR="002356AB">
        <w:rPr>
          <w:rFonts w:cs="Arial"/>
          <w:sz w:val="20"/>
          <w:szCs w:val="20"/>
        </w:rPr>
        <w:t xml:space="preserve">in Mato Grosso </w:t>
      </w:r>
      <w:r w:rsidRPr="3852DB3F" w:rsidR="00B457BB">
        <w:rPr>
          <w:rFonts w:cs="Arial"/>
          <w:sz w:val="20"/>
          <w:szCs w:val="20"/>
        </w:rPr>
        <w:t>received 34,017 deforestation alerts totally 1.3 million km</w:t>
      </w:r>
      <w:r w:rsidRPr="3852DB3F" w:rsidR="00B457BB">
        <w:rPr>
          <w:rFonts w:cs="Arial"/>
          <w:sz w:val="20"/>
          <w:szCs w:val="20"/>
          <w:vertAlign w:val="superscript"/>
        </w:rPr>
        <w:t>2</w:t>
      </w:r>
      <w:r w:rsidRPr="3852DB3F" w:rsidR="00B457BB">
        <w:rPr>
          <w:rFonts w:cs="Arial"/>
          <w:sz w:val="20"/>
          <w:szCs w:val="20"/>
        </w:rPr>
        <w:t xml:space="preserve">, 29% of which was </w:t>
      </w:r>
      <w:r w:rsidRPr="3852DB3F" w:rsidR="003F122C">
        <w:rPr>
          <w:rFonts w:cs="Arial"/>
          <w:sz w:val="20"/>
          <w:szCs w:val="20"/>
        </w:rPr>
        <w:t>authorised</w:t>
      </w:r>
      <w:r w:rsidRPr="3852DB3F" w:rsidR="00B457BB">
        <w:rPr>
          <w:rFonts w:cs="Arial"/>
          <w:sz w:val="20"/>
          <w:szCs w:val="20"/>
        </w:rPr>
        <w:t xml:space="preserve"> and 71% illega</w:t>
      </w:r>
      <w:r w:rsidRPr="3852DB3F" w:rsidR="00A1252E">
        <w:rPr>
          <w:rFonts w:cs="Arial"/>
          <w:sz w:val="20"/>
          <w:szCs w:val="20"/>
        </w:rPr>
        <w:t>l.  Most of this was in the Amazon (59.5% followed by the Cerrado (29.5%) and 11% in the Pantanal</w:t>
      </w:r>
      <w:r w:rsidRPr="3852DB3F" w:rsidR="003768FF">
        <w:rPr>
          <w:rFonts w:cs="Arial"/>
          <w:sz w:val="20"/>
          <w:szCs w:val="20"/>
        </w:rPr>
        <w:t xml:space="preserve">, and 5% were in Indigenous Territories. </w:t>
      </w:r>
      <w:r w:rsidRPr="3852DB3F" w:rsidR="004078FC">
        <w:rPr>
          <w:rFonts w:cs="Arial"/>
          <w:sz w:val="20"/>
          <w:szCs w:val="20"/>
        </w:rPr>
        <w:t xml:space="preserve">SEMA and the Environmental police performed 301 in loco visits to </w:t>
      </w:r>
      <w:r w:rsidRPr="3852DB3F" w:rsidR="00300905">
        <w:rPr>
          <w:rFonts w:cs="Arial"/>
          <w:sz w:val="20"/>
          <w:szCs w:val="20"/>
        </w:rPr>
        <w:t xml:space="preserve">areas of deforestation, with over $4 billion BRL </w:t>
      </w:r>
      <w:r w:rsidRPr="3852DB3F" w:rsidR="00B02803">
        <w:rPr>
          <w:rFonts w:cs="Arial"/>
          <w:sz w:val="20"/>
          <w:szCs w:val="20"/>
        </w:rPr>
        <w:t xml:space="preserve">given out in fines. </w:t>
      </w:r>
    </w:p>
    <w:p w:rsidR="00D47212" w:rsidP="00D47212" w:rsidRDefault="00D47212" w14:paraId="65282C30" w14:textId="59AC052E">
      <w:pPr>
        <w:jc w:val="both"/>
        <w:rPr>
          <w:rFonts w:cs="Arial"/>
          <w:sz w:val="20"/>
          <w:szCs w:val="20"/>
        </w:rPr>
      </w:pPr>
    </w:p>
    <w:p w:rsidR="00B44190" w:rsidP="00B44190" w:rsidRDefault="00B44190" w14:paraId="5B25AB2B" w14:textId="4C10F474">
      <w:pPr>
        <w:jc w:val="both"/>
        <w:rPr>
          <w:rFonts w:cs="Arial"/>
          <w:sz w:val="20"/>
          <w:szCs w:val="20"/>
        </w:rPr>
      </w:pPr>
      <w:r w:rsidRPr="722F6E6D">
        <w:rPr>
          <w:rFonts w:cs="Arial"/>
          <w:sz w:val="20"/>
          <w:szCs w:val="20"/>
        </w:rPr>
        <w:t>Around 80% of deforestation in the Amazon in Mato Grosso is legal</w:t>
      </w:r>
      <w:r w:rsidRPr="722F6E6D" w:rsidR="008F288F">
        <w:rPr>
          <w:rFonts w:cs="Arial"/>
          <w:sz w:val="20"/>
          <w:szCs w:val="20"/>
        </w:rPr>
        <w:t>, unlike across the rest of the Amazon</w:t>
      </w:r>
      <w:r w:rsidRPr="722F6E6D">
        <w:rPr>
          <w:rFonts w:cs="Arial"/>
          <w:sz w:val="20"/>
          <w:szCs w:val="20"/>
        </w:rPr>
        <w:t xml:space="preserve">, as the state does not have a policy on tackling legal deforestation (the national decree shows that 20% of the Amazon can legally be deforested). However, in terms of fighting illegal deforestation, Mato Grosso claims to be amongst the states with the highest interventions of all the states. This makes </w:t>
      </w:r>
      <w:r w:rsidRPr="722F6E6D">
        <w:rPr>
          <w:rFonts w:cs="Arial"/>
          <w:sz w:val="20"/>
          <w:szCs w:val="20"/>
        </w:rPr>
        <w:lastRenderedPageBreak/>
        <w:t xml:space="preserve">Mato Grosso an increasingly challenging state with regards to increasing deforestation, despite interventions through REM. </w:t>
      </w:r>
      <w:r w:rsidRPr="722F6E6D" w:rsidR="00402AD0">
        <w:rPr>
          <w:rFonts w:cs="Arial"/>
          <w:sz w:val="20"/>
          <w:szCs w:val="20"/>
        </w:rPr>
        <w:t xml:space="preserve">Results from 23-24 show the state to be on a better trajectory, and </w:t>
      </w:r>
      <w:r w:rsidRPr="722F6E6D" w:rsidR="00B14C8C">
        <w:rPr>
          <w:rFonts w:cs="Arial"/>
          <w:sz w:val="20"/>
          <w:szCs w:val="20"/>
        </w:rPr>
        <w:t xml:space="preserve">the Amazon Fund steering committee meeting in November 24 urged states to consider how to tackle legal deforestation as well as illegal, so we hope to see </w:t>
      </w:r>
      <w:r w:rsidRPr="722F6E6D" w:rsidR="00426EC9">
        <w:rPr>
          <w:rFonts w:cs="Arial"/>
          <w:sz w:val="20"/>
          <w:szCs w:val="20"/>
        </w:rPr>
        <w:t>to see improvements throughout this current government.</w:t>
      </w:r>
    </w:p>
    <w:p w:rsidR="00D47212" w:rsidP="00D47212" w:rsidRDefault="00D47212" w14:paraId="75BC64D6" w14:textId="2F730EC3">
      <w:pPr>
        <w:jc w:val="both"/>
        <w:rPr>
          <w:rFonts w:cs="Arial"/>
          <w:sz w:val="20"/>
          <w:szCs w:val="20"/>
        </w:rPr>
      </w:pPr>
    </w:p>
    <w:p w:rsidR="00A67DCC" w:rsidP="1340296B" w:rsidRDefault="0025360D" w14:paraId="5784048D" w14:textId="26D78098">
      <w:pPr>
        <w:spacing w:before="240" w:after="200"/>
        <w:contextualSpacing/>
        <w:rPr>
          <w:rFonts w:eastAsia="Arial" w:cs="Arial"/>
          <w:b/>
          <w:bCs/>
          <w:i/>
          <w:iCs/>
          <w:sz w:val="22"/>
          <w:szCs w:val="22"/>
        </w:rPr>
      </w:pPr>
      <w:r w:rsidRPr="1340296B">
        <w:rPr>
          <w:rFonts w:eastAsia="Arial" w:cs="Arial"/>
          <w:b/>
          <w:bCs/>
          <w:i/>
          <w:iCs/>
          <w:sz w:val="22"/>
          <w:szCs w:val="22"/>
        </w:rPr>
        <w:t>Lessons identified this year, and recommendations for the year ahead linked to this output </w:t>
      </w:r>
    </w:p>
    <w:p w:rsidR="005E47C3" w:rsidP="0025594B" w:rsidRDefault="005E47C3" w14:paraId="2D9778CB" w14:textId="77777777">
      <w:pPr>
        <w:spacing w:before="240" w:after="200"/>
        <w:contextualSpacing/>
        <w:jc w:val="both"/>
        <w:rPr>
          <w:rFonts w:cs="Arial"/>
          <w:sz w:val="20"/>
          <w:szCs w:val="20"/>
        </w:rPr>
      </w:pPr>
    </w:p>
    <w:p w:rsidRPr="0027165C" w:rsidR="00081E66" w:rsidP="0025594B" w:rsidRDefault="00653F82" w14:paraId="665932F4" w14:textId="382936F2">
      <w:pPr>
        <w:spacing w:before="240" w:after="200"/>
        <w:contextualSpacing/>
        <w:jc w:val="both"/>
        <w:rPr>
          <w:rFonts w:cs="Arial"/>
          <w:sz w:val="20"/>
          <w:szCs w:val="20"/>
        </w:rPr>
      </w:pPr>
      <w:r w:rsidRPr="71BB0AF2">
        <w:rPr>
          <w:rFonts w:cs="Arial"/>
          <w:sz w:val="20"/>
          <w:szCs w:val="20"/>
        </w:rPr>
        <w:t xml:space="preserve">Last year’s recommendation has been </w:t>
      </w:r>
      <w:r w:rsidRPr="71BB0AF2" w:rsidR="00FF57C8">
        <w:rPr>
          <w:rFonts w:cs="Arial"/>
          <w:sz w:val="20"/>
          <w:szCs w:val="20"/>
        </w:rPr>
        <w:t>(</w:t>
      </w:r>
      <w:r w:rsidRPr="71BB0AF2">
        <w:rPr>
          <w:rFonts w:cs="Arial"/>
          <w:sz w:val="20"/>
          <w:szCs w:val="20"/>
        </w:rPr>
        <w:t>partially achieved and will be achieved in 23/24</w:t>
      </w:r>
      <w:r w:rsidRPr="71BB0AF2" w:rsidR="00FF57C8">
        <w:rPr>
          <w:rFonts w:cs="Arial"/>
          <w:sz w:val="20"/>
          <w:szCs w:val="20"/>
        </w:rPr>
        <w:t>)</w:t>
      </w:r>
      <w:r w:rsidRPr="71BB0AF2">
        <w:rPr>
          <w:rFonts w:cs="Arial"/>
          <w:sz w:val="20"/>
          <w:szCs w:val="20"/>
        </w:rPr>
        <w:t xml:space="preserve">. </w:t>
      </w:r>
      <w:r w:rsidRPr="71BB0AF2" w:rsidR="00CB36B6">
        <w:rPr>
          <w:rFonts w:cs="Arial"/>
          <w:sz w:val="20"/>
          <w:szCs w:val="20"/>
        </w:rPr>
        <w:t>As with last year, f</w:t>
      </w:r>
      <w:r w:rsidRPr="71BB0AF2" w:rsidR="00367838">
        <w:rPr>
          <w:rFonts w:cs="Arial"/>
          <w:sz w:val="20"/>
          <w:szCs w:val="20"/>
        </w:rPr>
        <w:t xml:space="preserve">or all three locations it will be necessary to focus on </w:t>
      </w:r>
      <w:r w:rsidRPr="71BB0AF2" w:rsidR="008E3E01">
        <w:rPr>
          <w:rFonts w:cs="Arial"/>
          <w:sz w:val="20"/>
          <w:szCs w:val="20"/>
        </w:rPr>
        <w:t>maintaining reduced</w:t>
      </w:r>
      <w:r w:rsidRPr="71BB0AF2" w:rsidR="00367838">
        <w:rPr>
          <w:rFonts w:cs="Arial"/>
          <w:sz w:val="20"/>
          <w:szCs w:val="20"/>
        </w:rPr>
        <w:t xml:space="preserve"> deforestation rates, despite having reached the maximum disbursements</w:t>
      </w:r>
      <w:r w:rsidRPr="71BB0AF2" w:rsidR="00F0232D">
        <w:rPr>
          <w:rFonts w:cs="Arial"/>
          <w:sz w:val="20"/>
          <w:szCs w:val="20"/>
        </w:rPr>
        <w:t xml:space="preserve">, </w:t>
      </w:r>
      <w:r w:rsidRPr="71BB0AF2" w:rsidR="002D3973">
        <w:rPr>
          <w:rFonts w:cs="Arial"/>
          <w:sz w:val="20"/>
          <w:szCs w:val="20"/>
        </w:rPr>
        <w:t>to</w:t>
      </w:r>
      <w:r w:rsidRPr="71BB0AF2" w:rsidR="00F0232D">
        <w:rPr>
          <w:rFonts w:cs="Arial"/>
          <w:sz w:val="20"/>
          <w:szCs w:val="20"/>
        </w:rPr>
        <w:t xml:space="preserve"> show continued success in Phase 2.</w:t>
      </w:r>
      <w:r w:rsidRPr="71BB0AF2" w:rsidR="00594D84">
        <w:rPr>
          <w:rFonts w:cs="Arial"/>
          <w:sz w:val="20"/>
          <w:szCs w:val="20"/>
        </w:rPr>
        <w:t xml:space="preserve"> </w:t>
      </w:r>
      <w:r w:rsidRPr="71BB0AF2" w:rsidR="00B44190">
        <w:rPr>
          <w:rFonts w:cs="Arial"/>
          <w:sz w:val="20"/>
          <w:szCs w:val="20"/>
        </w:rPr>
        <w:t xml:space="preserve">For Mato Grosso, it will be essential that donors (Germany and UK) jointly decide on a strategy to encourage interventions of legal as well as illegal deforestation and implement this. </w:t>
      </w:r>
    </w:p>
    <w:p w:rsidR="00427978" w:rsidP="00427978" w:rsidRDefault="00427978" w14:paraId="4FF4B8BB" w14:textId="77777777">
      <w:pPr>
        <w:spacing w:before="240"/>
        <w:contextualSpacing/>
        <w:rPr>
          <w:rFonts w:eastAsia="Arial" w:cs="Arial"/>
        </w:rPr>
      </w:pPr>
    </w:p>
    <w:tbl>
      <w:tblPr>
        <w:tblStyle w:val="TableGrid"/>
        <w:tblW w:w="0" w:type="auto"/>
        <w:tblInd w:w="-152" w:type="dxa"/>
        <w:tblLook w:val="04A0" w:firstRow="1" w:lastRow="0" w:firstColumn="1" w:lastColumn="0" w:noHBand="0" w:noVBand="1"/>
      </w:tblPr>
      <w:tblGrid>
        <w:gridCol w:w="1985"/>
        <w:gridCol w:w="2821"/>
        <w:gridCol w:w="4352"/>
      </w:tblGrid>
      <w:tr w:rsidR="00D171FA" w:rsidTr="6D6666F9" w14:paraId="46CEE4F2" w14:textId="77777777">
        <w:trPr>
          <w:trHeight w:val="270"/>
        </w:trPr>
        <w:tc>
          <w:tcPr>
            <w:tcW w:w="9158" w:type="dxa"/>
            <w:gridSpan w:val="3"/>
            <w:tcBorders>
              <w:top w:val="single" w:color="auto" w:sz="8" w:space="0"/>
              <w:left w:val="single" w:color="auto" w:sz="8" w:space="0"/>
              <w:bottom w:val="single" w:color="auto" w:sz="8" w:space="0"/>
              <w:right w:val="single" w:color="auto" w:sz="8" w:space="0"/>
            </w:tcBorders>
            <w:shd w:val="clear" w:color="auto" w:fill="D9E2F3" w:themeFill="accent1" w:themeFillTint="33"/>
          </w:tcPr>
          <w:p w:rsidRPr="002D3973" w:rsidR="00427978" w:rsidRDefault="00427978" w14:paraId="7A5FC329" w14:textId="77777777">
            <w:pPr>
              <w:rPr>
                <w:rFonts w:eastAsia="Arial" w:cs="Arial"/>
                <w:b/>
                <w:bCs/>
                <w:color w:val="000000" w:themeColor="text1"/>
                <w:sz w:val="18"/>
                <w:szCs w:val="18"/>
              </w:rPr>
            </w:pPr>
            <w:r w:rsidRPr="002D3973">
              <w:rPr>
                <w:rFonts w:eastAsia="Arial" w:cs="Arial"/>
                <w:b/>
                <w:bCs/>
                <w:color w:val="000000" w:themeColor="text1"/>
                <w:sz w:val="18"/>
                <w:szCs w:val="18"/>
              </w:rPr>
              <w:t>Outcome 2: Generation of multiple benefits, resulting from reduction in deforestation, that improve the livelihoods of local communities and indigenous groups.</w:t>
            </w:r>
          </w:p>
        </w:tc>
      </w:tr>
      <w:tr w:rsidR="00711087" w:rsidTr="6D6666F9" w14:paraId="24D2D97F" w14:textId="77777777">
        <w:trPr>
          <w:trHeight w:val="270"/>
        </w:trPr>
        <w:tc>
          <w:tcPr>
            <w:tcW w:w="198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Pr="002D3973" w:rsidR="00427978" w:rsidRDefault="00427978" w14:paraId="0A31E4DE" w14:textId="77777777">
            <w:pPr>
              <w:rPr>
                <w:rFonts w:eastAsia="Arial" w:cs="Arial"/>
                <w:b/>
                <w:bCs/>
                <w:color w:val="000000" w:themeColor="text1"/>
                <w:sz w:val="18"/>
                <w:szCs w:val="18"/>
              </w:rPr>
            </w:pPr>
            <w:r w:rsidRPr="002D3973">
              <w:rPr>
                <w:rFonts w:eastAsia="Arial" w:cs="Arial"/>
                <w:b/>
                <w:bCs/>
                <w:color w:val="000000" w:themeColor="text1"/>
                <w:sz w:val="18"/>
                <w:szCs w:val="18"/>
              </w:rPr>
              <w:t>Indicator(s)</w:t>
            </w:r>
          </w:p>
        </w:tc>
        <w:tc>
          <w:tcPr>
            <w:tcW w:w="2821" w:type="dxa"/>
            <w:tcBorders>
              <w:top w:val="nil"/>
              <w:left w:val="single" w:color="auto" w:sz="8" w:space="0"/>
              <w:bottom w:val="single" w:color="auto" w:sz="8" w:space="0"/>
              <w:right w:val="single" w:color="auto" w:sz="8" w:space="0"/>
            </w:tcBorders>
            <w:shd w:val="clear" w:color="auto" w:fill="D9E2F3" w:themeFill="accent1" w:themeFillTint="33"/>
          </w:tcPr>
          <w:p w:rsidRPr="002D3973" w:rsidR="00427978" w:rsidRDefault="00427978" w14:paraId="3725E108" w14:textId="77777777">
            <w:pPr>
              <w:rPr>
                <w:rFonts w:eastAsia="Arial" w:cs="Arial"/>
                <w:b/>
                <w:bCs/>
                <w:color w:val="000000" w:themeColor="text1"/>
                <w:sz w:val="18"/>
                <w:szCs w:val="18"/>
              </w:rPr>
            </w:pPr>
            <w:r w:rsidRPr="002D3973">
              <w:rPr>
                <w:rFonts w:eastAsia="Arial" w:cs="Arial"/>
                <w:b/>
                <w:bCs/>
                <w:color w:val="000000" w:themeColor="text1"/>
                <w:sz w:val="18"/>
                <w:szCs w:val="18"/>
              </w:rPr>
              <w:t>Milestone(s) for this review</w:t>
            </w:r>
          </w:p>
        </w:tc>
        <w:tc>
          <w:tcPr>
            <w:tcW w:w="4352" w:type="dxa"/>
            <w:tcBorders>
              <w:top w:val="nil"/>
              <w:left w:val="single" w:color="auto" w:sz="8" w:space="0"/>
              <w:bottom w:val="single" w:color="auto" w:sz="8" w:space="0"/>
              <w:right w:val="single" w:color="auto" w:sz="8" w:space="0"/>
            </w:tcBorders>
            <w:shd w:val="clear" w:color="auto" w:fill="D9E2F3" w:themeFill="accent1" w:themeFillTint="33"/>
          </w:tcPr>
          <w:p w:rsidRPr="002D3973" w:rsidR="00427978" w:rsidRDefault="00427978" w14:paraId="4336B537" w14:textId="77777777">
            <w:pPr>
              <w:rPr>
                <w:rFonts w:eastAsia="Arial" w:cs="Arial"/>
                <w:b/>
                <w:bCs/>
                <w:color w:val="000000" w:themeColor="text1"/>
                <w:sz w:val="18"/>
                <w:szCs w:val="18"/>
              </w:rPr>
            </w:pPr>
            <w:r w:rsidRPr="002D3973">
              <w:rPr>
                <w:rFonts w:eastAsia="Arial" w:cs="Arial"/>
                <w:b/>
                <w:bCs/>
                <w:color w:val="000000" w:themeColor="text1"/>
                <w:sz w:val="18"/>
                <w:szCs w:val="18"/>
              </w:rPr>
              <w:t xml:space="preserve">Progress </w:t>
            </w:r>
          </w:p>
        </w:tc>
      </w:tr>
      <w:tr w:rsidR="00A973BA" w:rsidTr="6D6666F9" w14:paraId="505B63B2" w14:textId="77777777">
        <w:trPr>
          <w:trHeight w:val="270"/>
        </w:trPr>
        <w:tc>
          <w:tcPr>
            <w:tcW w:w="1985" w:type="dxa"/>
            <w:tcBorders>
              <w:top w:val="single" w:color="auto" w:sz="8" w:space="0"/>
              <w:left w:val="single" w:color="auto" w:sz="8" w:space="0"/>
              <w:bottom w:val="single" w:color="auto" w:sz="8" w:space="0"/>
              <w:right w:val="single" w:color="auto" w:sz="8" w:space="0"/>
            </w:tcBorders>
          </w:tcPr>
          <w:p w:rsidRPr="002D3973" w:rsidR="00427978" w:rsidRDefault="00427978" w14:paraId="47EEA0CC" w14:textId="77777777">
            <w:pPr>
              <w:rPr>
                <w:rFonts w:cs="Arial"/>
                <w:sz w:val="18"/>
                <w:szCs w:val="18"/>
              </w:rPr>
            </w:pPr>
            <w:r w:rsidRPr="002D3973">
              <w:rPr>
                <w:rFonts w:eastAsia="Arial" w:cs="Arial"/>
                <w:sz w:val="18"/>
                <w:szCs w:val="18"/>
              </w:rPr>
              <w:t>Indicator 4: percentage of REM finance disbursed to activities taking place ‘at the local level’ i.e.: rather than used in the operational framework of implementation</w:t>
            </w:r>
          </w:p>
          <w:p w:rsidRPr="002D3973" w:rsidR="00427978" w:rsidRDefault="00427978" w14:paraId="289B8CC6" w14:textId="77777777">
            <w:pPr>
              <w:rPr>
                <w:rFonts w:eastAsia="Arial" w:cs="Arial"/>
                <w:b/>
                <w:bCs/>
                <w:color w:val="000000" w:themeColor="text1"/>
                <w:sz w:val="18"/>
                <w:szCs w:val="18"/>
              </w:rPr>
            </w:pPr>
          </w:p>
        </w:tc>
        <w:tc>
          <w:tcPr>
            <w:tcW w:w="2821" w:type="dxa"/>
            <w:tcBorders>
              <w:top w:val="nil"/>
              <w:left w:val="single" w:color="auto" w:sz="8" w:space="0"/>
              <w:bottom w:val="single" w:color="auto" w:sz="8" w:space="0"/>
              <w:right w:val="single" w:color="auto" w:sz="8" w:space="0"/>
            </w:tcBorders>
          </w:tcPr>
          <w:p w:rsidRPr="002D3973" w:rsidR="00427978" w:rsidRDefault="00427978" w14:paraId="72745986" w14:textId="77777777">
            <w:pPr>
              <w:rPr>
                <w:rFonts w:eastAsia="Arial" w:cs="Arial"/>
                <w:sz w:val="18"/>
                <w:szCs w:val="18"/>
              </w:rPr>
            </w:pPr>
            <w:r w:rsidRPr="002D3973">
              <w:rPr>
                <w:rFonts w:eastAsia="Arial" w:cs="Arial"/>
                <w:sz w:val="18"/>
                <w:szCs w:val="18"/>
              </w:rPr>
              <w:t>60%</w:t>
            </w:r>
          </w:p>
          <w:p w:rsidRPr="002D3973" w:rsidR="00556A7D" w:rsidRDefault="00556A7D" w14:paraId="771F948D" w14:textId="02EC8477">
            <w:pPr>
              <w:rPr>
                <w:rFonts w:cs="Arial"/>
                <w:sz w:val="18"/>
                <w:szCs w:val="18"/>
              </w:rPr>
            </w:pPr>
            <w:r w:rsidRPr="002D3973">
              <w:rPr>
                <w:rFonts w:eastAsia="Arial" w:cs="Arial"/>
                <w:sz w:val="18"/>
                <w:szCs w:val="18"/>
              </w:rPr>
              <w:t>(70% in Acre)</w:t>
            </w:r>
          </w:p>
          <w:p w:rsidRPr="002D3973" w:rsidR="00427978" w:rsidRDefault="00427978" w14:paraId="749B6276" w14:textId="77777777">
            <w:pPr>
              <w:rPr>
                <w:rFonts w:eastAsia="Arial" w:cs="Arial"/>
                <w:b/>
                <w:bCs/>
                <w:color w:val="000000" w:themeColor="text1"/>
                <w:sz w:val="18"/>
                <w:szCs w:val="18"/>
              </w:rPr>
            </w:pPr>
          </w:p>
        </w:tc>
        <w:tc>
          <w:tcPr>
            <w:tcW w:w="4352" w:type="dxa"/>
            <w:tcBorders>
              <w:top w:val="nil"/>
              <w:left w:val="single" w:color="auto" w:sz="8" w:space="0"/>
              <w:bottom w:val="single" w:color="auto" w:sz="8" w:space="0"/>
              <w:right w:val="single" w:color="auto" w:sz="8" w:space="0"/>
            </w:tcBorders>
          </w:tcPr>
          <w:p w:rsidRPr="002D3973" w:rsidR="00427978" w:rsidRDefault="3503FC40" w14:paraId="081D4195" w14:textId="0555E152">
            <w:pPr>
              <w:rPr>
                <w:rFonts w:eastAsia="Arial" w:cs="Arial"/>
                <w:color w:val="000000" w:themeColor="text1"/>
                <w:sz w:val="18"/>
                <w:szCs w:val="18"/>
              </w:rPr>
            </w:pPr>
            <w:r w:rsidRPr="002D3973">
              <w:rPr>
                <w:rFonts w:eastAsia="Arial" w:cs="Arial"/>
                <w:color w:val="000000" w:themeColor="text1"/>
                <w:sz w:val="18"/>
                <w:szCs w:val="18"/>
              </w:rPr>
              <w:t>6</w:t>
            </w:r>
            <w:r w:rsidRPr="002D3973" w:rsidR="00201B1C">
              <w:rPr>
                <w:rFonts w:eastAsia="Arial" w:cs="Arial"/>
                <w:color w:val="000000" w:themeColor="text1"/>
                <w:sz w:val="18"/>
                <w:szCs w:val="18"/>
              </w:rPr>
              <w:t>5</w:t>
            </w:r>
            <w:r w:rsidRPr="002D3973">
              <w:rPr>
                <w:rFonts w:eastAsia="Arial" w:cs="Arial"/>
                <w:color w:val="000000" w:themeColor="text1"/>
                <w:sz w:val="18"/>
                <w:szCs w:val="18"/>
              </w:rPr>
              <w:t xml:space="preserve">% in Colombia </w:t>
            </w:r>
          </w:p>
          <w:p w:rsidRPr="002D3973" w:rsidR="00427978" w:rsidRDefault="3503FC40" w14:paraId="65699637" w14:textId="77777777">
            <w:pPr>
              <w:rPr>
                <w:rFonts w:eastAsia="Arial" w:cs="Arial"/>
                <w:color w:val="000000" w:themeColor="text1"/>
                <w:sz w:val="18"/>
                <w:szCs w:val="18"/>
              </w:rPr>
            </w:pPr>
            <w:r w:rsidRPr="002D3973">
              <w:rPr>
                <w:rFonts w:eastAsia="Arial" w:cs="Arial"/>
                <w:color w:val="000000" w:themeColor="text1"/>
                <w:sz w:val="18"/>
                <w:szCs w:val="18"/>
              </w:rPr>
              <w:t>60% in Mato Grosso</w:t>
            </w:r>
          </w:p>
          <w:p w:rsidRPr="002D3973" w:rsidR="00427978" w:rsidRDefault="004B78DE" w14:paraId="1EB4B8D0" w14:textId="223CA633">
            <w:pPr>
              <w:rPr>
                <w:rFonts w:eastAsia="Arial" w:cs="Arial"/>
                <w:strike/>
                <w:color w:val="000000" w:themeColor="text1"/>
                <w:sz w:val="18"/>
                <w:szCs w:val="18"/>
              </w:rPr>
            </w:pPr>
            <w:r w:rsidRPr="002D3973">
              <w:rPr>
                <w:rFonts w:eastAsia="Arial" w:cs="Arial"/>
                <w:color w:val="000000" w:themeColor="text1"/>
                <w:sz w:val="18"/>
                <w:szCs w:val="18"/>
              </w:rPr>
              <w:t>62</w:t>
            </w:r>
            <w:r w:rsidRPr="002D3973" w:rsidR="00FF57C8">
              <w:rPr>
                <w:rFonts w:eastAsia="Arial" w:cs="Arial"/>
                <w:color w:val="000000" w:themeColor="text1"/>
                <w:sz w:val="18"/>
                <w:szCs w:val="18"/>
              </w:rPr>
              <w:t>% in Acre</w:t>
            </w:r>
            <w:r w:rsidRPr="002D3973">
              <w:rPr>
                <w:rStyle w:val="FootnoteReference"/>
                <w:rFonts w:eastAsia="Arial" w:cs="Arial"/>
                <w:color w:val="000000" w:themeColor="text1"/>
                <w:sz w:val="18"/>
                <w:szCs w:val="18"/>
              </w:rPr>
              <w:footnoteReference w:id="13"/>
            </w:r>
            <w:r w:rsidRPr="002D3973" w:rsidR="00FF57C8">
              <w:rPr>
                <w:rFonts w:eastAsia="Arial" w:cs="Arial"/>
                <w:color w:val="000000" w:themeColor="text1"/>
                <w:sz w:val="18"/>
                <w:szCs w:val="18"/>
              </w:rPr>
              <w:t xml:space="preserve"> (</w:t>
            </w:r>
            <w:r w:rsidRPr="002D3973" w:rsidR="531D2686">
              <w:rPr>
                <w:rFonts w:eastAsia="Arial" w:cs="Arial"/>
                <w:color w:val="000000" w:themeColor="text1"/>
                <w:sz w:val="18"/>
                <w:szCs w:val="18"/>
              </w:rPr>
              <w:t>target</w:t>
            </w:r>
            <w:r w:rsidRPr="002D3973" w:rsidR="00FF57C8">
              <w:rPr>
                <w:rFonts w:eastAsia="Arial" w:cs="Arial"/>
                <w:color w:val="000000" w:themeColor="text1"/>
                <w:sz w:val="18"/>
                <w:szCs w:val="18"/>
              </w:rPr>
              <w:t xml:space="preserve"> </w:t>
            </w:r>
            <w:r w:rsidRPr="002D3973" w:rsidR="34616A92">
              <w:rPr>
                <w:rFonts w:eastAsia="Arial" w:cs="Arial"/>
                <w:color w:val="000000" w:themeColor="text1"/>
                <w:sz w:val="18"/>
                <w:szCs w:val="18"/>
              </w:rPr>
              <w:t>o</w:t>
            </w:r>
            <w:r w:rsidRPr="002D3973" w:rsidR="00FF57C8">
              <w:rPr>
                <w:rFonts w:eastAsia="Arial" w:cs="Arial"/>
                <w:color w:val="000000" w:themeColor="text1"/>
                <w:sz w:val="18"/>
                <w:szCs w:val="18"/>
              </w:rPr>
              <w:t>f 70%)</w:t>
            </w:r>
            <w:r w:rsidRPr="002D3973" w:rsidR="00D91F93">
              <w:rPr>
                <w:rFonts w:eastAsia="Arial" w:cs="Arial"/>
                <w:color w:val="000000" w:themeColor="text1"/>
                <w:sz w:val="18"/>
                <w:szCs w:val="18"/>
              </w:rPr>
              <w:t xml:space="preserve">. </w:t>
            </w:r>
            <w:r w:rsidRPr="002D3973" w:rsidR="6CFA640A">
              <w:rPr>
                <w:rFonts w:eastAsia="Arial" w:cs="Arial"/>
                <w:color w:val="000000" w:themeColor="text1"/>
                <w:sz w:val="18"/>
                <w:szCs w:val="18"/>
              </w:rPr>
              <w:t xml:space="preserve"> </w:t>
            </w:r>
          </w:p>
          <w:p w:rsidRPr="002D3973" w:rsidR="00427978" w:rsidRDefault="00427978" w14:paraId="1622CE92" w14:textId="77777777">
            <w:pPr>
              <w:rPr>
                <w:rFonts w:eastAsia="Arial" w:cs="Arial"/>
                <w:b/>
                <w:bCs/>
                <w:color w:val="000000" w:themeColor="text1"/>
                <w:sz w:val="18"/>
                <w:szCs w:val="18"/>
              </w:rPr>
            </w:pPr>
          </w:p>
        </w:tc>
      </w:tr>
      <w:tr w:rsidR="005D43D3" w:rsidTr="6D6666F9" w14:paraId="11F8D1C5" w14:textId="77777777">
        <w:trPr>
          <w:trHeight w:val="300"/>
        </w:trPr>
        <w:tc>
          <w:tcPr>
            <w:tcW w:w="1985" w:type="dxa"/>
            <w:tcBorders>
              <w:top w:val="single" w:color="auto" w:sz="8" w:space="0"/>
              <w:left w:val="single" w:color="auto" w:sz="8" w:space="0"/>
              <w:bottom w:val="single" w:color="auto" w:sz="8" w:space="0"/>
              <w:right w:val="single" w:color="auto" w:sz="8" w:space="0"/>
            </w:tcBorders>
          </w:tcPr>
          <w:p w:rsidRPr="002D3973" w:rsidR="00427978" w:rsidRDefault="00427978" w14:paraId="5D0C8764" w14:textId="77777777">
            <w:pPr>
              <w:rPr>
                <w:rFonts w:cs="Arial"/>
                <w:sz w:val="18"/>
                <w:szCs w:val="18"/>
              </w:rPr>
            </w:pPr>
            <w:r w:rsidRPr="002D3973">
              <w:rPr>
                <w:rFonts w:eastAsia="Arial" w:cs="Arial"/>
                <w:sz w:val="18"/>
                <w:szCs w:val="18"/>
              </w:rPr>
              <w:t>Indicator 5: number of rural families, farming families and indigenous peoples benefitting from the partnership</w:t>
            </w:r>
          </w:p>
        </w:tc>
        <w:tc>
          <w:tcPr>
            <w:tcW w:w="2821" w:type="dxa"/>
            <w:tcBorders>
              <w:top w:val="single" w:color="auto" w:sz="8" w:space="0"/>
              <w:left w:val="single" w:color="auto" w:sz="8" w:space="0"/>
              <w:bottom w:val="single" w:color="auto" w:sz="8" w:space="0"/>
              <w:right w:val="single" w:color="auto" w:sz="8" w:space="0"/>
            </w:tcBorders>
          </w:tcPr>
          <w:p w:rsidRPr="002D3973" w:rsidR="00427978" w:rsidRDefault="00427978" w14:paraId="44B2FE77" w14:textId="0C1A1F98">
            <w:pPr>
              <w:rPr>
                <w:rFonts w:cs="Arial"/>
                <w:sz w:val="18"/>
                <w:szCs w:val="18"/>
              </w:rPr>
            </w:pPr>
            <w:r w:rsidRPr="002D3973">
              <w:rPr>
                <w:rFonts w:eastAsia="Arial" w:cs="Arial"/>
                <w:sz w:val="18"/>
                <w:szCs w:val="18"/>
              </w:rPr>
              <w:t>69,000</w:t>
            </w:r>
          </w:p>
          <w:p w:rsidRPr="002D3973" w:rsidR="00427978" w:rsidRDefault="00427978" w14:paraId="1A24D1E3" w14:textId="0FA7ECE1">
            <w:pPr>
              <w:rPr>
                <w:rFonts w:eastAsia="Arial" w:cs="Arial"/>
                <w:strike/>
                <w:sz w:val="18"/>
                <w:szCs w:val="18"/>
              </w:rPr>
            </w:pPr>
          </w:p>
        </w:tc>
        <w:tc>
          <w:tcPr>
            <w:tcW w:w="4352" w:type="dxa"/>
            <w:tcBorders>
              <w:top w:val="single" w:color="auto" w:sz="8" w:space="0"/>
              <w:left w:val="single" w:color="auto" w:sz="8" w:space="0"/>
              <w:bottom w:val="single" w:color="auto" w:sz="8" w:space="0"/>
              <w:right w:val="single" w:color="auto" w:sz="8" w:space="0"/>
            </w:tcBorders>
          </w:tcPr>
          <w:p w:rsidRPr="002D3973" w:rsidR="00427978" w:rsidRDefault="540702CA" w14:paraId="117F6115" w14:textId="44906400">
            <w:pPr>
              <w:rPr>
                <w:rFonts w:eastAsia="aria" w:cs="Arial"/>
                <w:b/>
                <w:bCs/>
                <w:sz w:val="18"/>
                <w:szCs w:val="18"/>
                <w:lang w:val="en"/>
              </w:rPr>
            </w:pPr>
            <w:r w:rsidRPr="002D3973">
              <w:rPr>
                <w:rFonts w:eastAsia="aria" w:cs="Arial"/>
                <w:b/>
                <w:bCs/>
                <w:sz w:val="18"/>
                <w:szCs w:val="18"/>
                <w:lang w:val="en"/>
              </w:rPr>
              <w:t>121, 081</w:t>
            </w:r>
          </w:p>
          <w:p w:rsidRPr="002D3973" w:rsidR="00556A7D" w:rsidRDefault="00556A7D" w14:paraId="29658C0D" w14:textId="77777777">
            <w:pPr>
              <w:rPr>
                <w:rFonts w:eastAsia="aria" w:cs="Arial"/>
                <w:b/>
                <w:bCs/>
                <w:sz w:val="18"/>
                <w:szCs w:val="18"/>
                <w:lang w:val="en"/>
              </w:rPr>
            </w:pPr>
          </w:p>
          <w:p w:rsidRPr="002D3973" w:rsidR="00427978" w:rsidRDefault="3503FC40" w14:paraId="5EBC2E3B" w14:textId="5B240FEF">
            <w:pPr>
              <w:rPr>
                <w:rFonts w:eastAsia="aria" w:cs="Arial"/>
                <w:sz w:val="18"/>
                <w:szCs w:val="18"/>
                <w:lang w:val="en"/>
              </w:rPr>
            </w:pPr>
            <w:r w:rsidRPr="002D3973">
              <w:rPr>
                <w:rFonts w:eastAsia="aria" w:cs="Arial"/>
                <w:sz w:val="18"/>
                <w:szCs w:val="18"/>
                <w:lang w:val="en"/>
              </w:rPr>
              <w:t>Of which</w:t>
            </w:r>
            <w:r w:rsidRPr="002D3973" w:rsidR="00265EF9">
              <w:rPr>
                <w:rFonts w:eastAsia="aria" w:cs="Arial"/>
                <w:sz w:val="18"/>
                <w:szCs w:val="18"/>
                <w:lang w:val="en"/>
              </w:rPr>
              <w:t xml:space="preserve">: </w:t>
            </w:r>
          </w:p>
          <w:p w:rsidRPr="002D3973" w:rsidR="00427978" w:rsidRDefault="3503FC40" w14:paraId="744671D6" w14:textId="1D5BC14F">
            <w:pPr>
              <w:rPr>
                <w:rFonts w:eastAsia="aria" w:cs="Arial"/>
                <w:sz w:val="18"/>
                <w:szCs w:val="18"/>
                <w:lang w:val="en"/>
              </w:rPr>
            </w:pPr>
            <w:r w:rsidRPr="002D3973">
              <w:rPr>
                <w:rFonts w:eastAsia="aria" w:cs="Arial"/>
                <w:sz w:val="18"/>
                <w:szCs w:val="18"/>
                <w:lang w:val="en"/>
              </w:rPr>
              <w:t xml:space="preserve">Colombia: </w:t>
            </w:r>
            <w:r w:rsidRPr="002D3973" w:rsidR="00B35463">
              <w:rPr>
                <w:rFonts w:eastAsia="aria" w:cs="Arial"/>
                <w:sz w:val="18"/>
                <w:szCs w:val="18"/>
                <w:lang w:val="en"/>
              </w:rPr>
              <w:t>3</w:t>
            </w:r>
            <w:r w:rsidRPr="002D3973" w:rsidR="00B35463">
              <w:rPr>
                <w:rFonts w:eastAsia="aria"/>
                <w:sz w:val="18"/>
                <w:szCs w:val="18"/>
                <w:lang w:val="en"/>
              </w:rPr>
              <w:t xml:space="preserve">7, 945 </w:t>
            </w:r>
          </w:p>
          <w:p w:rsidRPr="002D3973" w:rsidR="00427978" w:rsidRDefault="2C372213" w14:paraId="4D8A07DE" w14:textId="7830FA34">
            <w:pPr>
              <w:rPr>
                <w:rFonts w:eastAsia="aria" w:cs="Arial"/>
                <w:sz w:val="18"/>
                <w:szCs w:val="18"/>
                <w:lang w:val="en"/>
              </w:rPr>
            </w:pPr>
            <w:r w:rsidRPr="002D3973">
              <w:rPr>
                <w:rFonts w:eastAsia="aria" w:cs="Arial"/>
                <w:color w:val="000000" w:themeColor="text1"/>
                <w:sz w:val="18"/>
                <w:szCs w:val="18"/>
                <w:lang w:val="en"/>
              </w:rPr>
              <w:t xml:space="preserve">Mato Grosso: </w:t>
            </w:r>
            <w:r w:rsidRPr="002D3973" w:rsidR="0097341F">
              <w:rPr>
                <w:rFonts w:eastAsia="aria" w:cs="Arial"/>
                <w:color w:val="000000" w:themeColor="text1"/>
                <w:sz w:val="18"/>
                <w:szCs w:val="18"/>
                <w:lang w:val="en"/>
              </w:rPr>
              <w:t>43, 753</w:t>
            </w:r>
            <w:r w:rsidRPr="002D3973" w:rsidR="007E26A3">
              <w:rPr>
                <w:rStyle w:val="FootnoteReference"/>
                <w:rFonts w:eastAsia="aria" w:cs="Arial"/>
                <w:color w:val="000000" w:themeColor="text1"/>
                <w:sz w:val="18"/>
                <w:szCs w:val="18"/>
                <w:lang w:val="en"/>
              </w:rPr>
              <w:footnoteReference w:id="14"/>
            </w:r>
            <w:r w:rsidRPr="002D3973" w:rsidR="0097341F">
              <w:rPr>
                <w:rFonts w:eastAsia="aria" w:cs="Arial"/>
                <w:color w:val="000000" w:themeColor="text1"/>
                <w:sz w:val="18"/>
                <w:szCs w:val="18"/>
                <w:lang w:val="en"/>
              </w:rPr>
              <w:t xml:space="preserve"> </w:t>
            </w:r>
          </w:p>
          <w:p w:rsidRPr="002D3973" w:rsidR="00427978" w:rsidRDefault="3503FC40" w14:paraId="53F8FC6D" w14:textId="33964E87">
            <w:pPr>
              <w:rPr>
                <w:rFonts w:eastAsia="Calibri" w:cs="Arial"/>
                <w:sz w:val="18"/>
                <w:szCs w:val="18"/>
                <w:lang w:val="en"/>
              </w:rPr>
            </w:pPr>
            <w:r w:rsidRPr="002D3973">
              <w:rPr>
                <w:rFonts w:eastAsia="aria" w:cs="Arial"/>
                <w:color w:val="000000" w:themeColor="text1"/>
                <w:sz w:val="18"/>
                <w:szCs w:val="18"/>
                <w:lang w:val="en"/>
              </w:rPr>
              <w:t>Acre:</w:t>
            </w:r>
            <w:r w:rsidRPr="002D3973" w:rsidR="48C261EF">
              <w:rPr>
                <w:rFonts w:eastAsia="aria" w:cs="Arial"/>
                <w:color w:val="000000" w:themeColor="text1"/>
                <w:sz w:val="18"/>
                <w:szCs w:val="18"/>
                <w:lang w:val="en"/>
              </w:rPr>
              <w:t xml:space="preserve"> </w:t>
            </w:r>
            <w:r w:rsidRPr="002D3973" w:rsidR="525C6E94">
              <w:rPr>
                <w:rFonts w:eastAsia="aria" w:cs="Arial"/>
                <w:color w:val="000000" w:themeColor="text1"/>
                <w:sz w:val="18"/>
                <w:szCs w:val="18"/>
                <w:lang w:val="en"/>
              </w:rPr>
              <w:t>39, 383</w:t>
            </w:r>
            <w:r w:rsidRPr="002D3973">
              <w:rPr>
                <w:rStyle w:val="FootnoteReference"/>
                <w:rFonts w:eastAsia="aria" w:cs="Arial"/>
                <w:sz w:val="18"/>
                <w:szCs w:val="18"/>
                <w:lang w:val="en"/>
              </w:rPr>
              <w:footnoteReference w:id="15"/>
            </w:r>
          </w:p>
        </w:tc>
      </w:tr>
    </w:tbl>
    <w:p w:rsidR="00C0263B" w:rsidP="0025594B" w:rsidRDefault="00C0263B" w14:paraId="73EAC1B4" w14:textId="77777777">
      <w:pPr>
        <w:jc w:val="both"/>
        <w:rPr>
          <w:rFonts w:cs="Arial"/>
          <w:sz w:val="20"/>
          <w:szCs w:val="20"/>
        </w:rPr>
      </w:pPr>
    </w:p>
    <w:p w:rsidRPr="00F0232D" w:rsidR="0008690A" w:rsidP="0025594B" w:rsidRDefault="0008690A" w14:paraId="07BFBFCC" w14:textId="4E83E4A8">
      <w:pPr>
        <w:jc w:val="both"/>
        <w:rPr>
          <w:rFonts w:cs="Arial"/>
          <w:b/>
          <w:bCs/>
          <w:sz w:val="20"/>
          <w:szCs w:val="20"/>
        </w:rPr>
      </w:pPr>
      <w:r w:rsidRPr="00F0232D">
        <w:rPr>
          <w:rFonts w:cs="Arial"/>
          <w:b/>
          <w:bCs/>
          <w:sz w:val="20"/>
          <w:szCs w:val="20"/>
        </w:rPr>
        <w:t>Progress on recommendations from the previous AR (if completed) and/or lessons learned this year and recommendations for the year ahead.</w:t>
      </w:r>
    </w:p>
    <w:p w:rsidRPr="00F0232D" w:rsidR="00623A77" w:rsidP="0025594B" w:rsidRDefault="00623A77" w14:paraId="6E039BFE" w14:textId="42332720">
      <w:pPr>
        <w:jc w:val="both"/>
        <w:rPr>
          <w:rFonts w:cs="Arial"/>
          <w:sz w:val="20"/>
          <w:szCs w:val="20"/>
        </w:rPr>
      </w:pPr>
    </w:p>
    <w:p w:rsidRPr="00F0232D" w:rsidR="00055931" w:rsidP="0025594B" w:rsidRDefault="002037B8" w14:paraId="664D9326" w14:textId="4BF50D32">
      <w:pPr>
        <w:jc w:val="both"/>
        <w:rPr>
          <w:rFonts w:cs="Arial"/>
          <w:sz w:val="18"/>
          <w:szCs w:val="18"/>
        </w:rPr>
      </w:pPr>
      <w:r w:rsidRPr="00F0232D">
        <w:rPr>
          <w:rFonts w:cs="Arial"/>
          <w:sz w:val="20"/>
          <w:szCs w:val="20"/>
        </w:rPr>
        <w:t xml:space="preserve">A target for last year was for Acre to reach the aim of 70% </w:t>
      </w:r>
      <w:r w:rsidRPr="00F0232D" w:rsidR="000A46A3">
        <w:rPr>
          <w:rFonts w:cs="Arial"/>
          <w:sz w:val="20"/>
          <w:szCs w:val="20"/>
        </w:rPr>
        <w:t>spend at a local level. This has almost been achieved (up f</w:t>
      </w:r>
      <w:r w:rsidRPr="00F0232D" w:rsidR="009F1F69">
        <w:rPr>
          <w:rFonts w:cs="Arial"/>
          <w:sz w:val="20"/>
          <w:szCs w:val="20"/>
        </w:rPr>
        <w:t xml:space="preserve">rom 47% last year to 62% this year) and will need to be increased and maintained as part of next years’ targets. </w:t>
      </w:r>
    </w:p>
    <w:p w:rsidRPr="00A67642" w:rsidR="0008690A" w:rsidP="0025594B" w:rsidRDefault="0008690A" w14:paraId="43B76458" w14:textId="77777777">
      <w:pPr>
        <w:jc w:val="both"/>
        <w:rPr>
          <w:rFonts w:cs="Arial"/>
          <w:sz w:val="22"/>
          <w:szCs w:val="22"/>
          <w:highlight w:val="yellow"/>
        </w:rPr>
      </w:pPr>
    </w:p>
    <w:p w:rsidRPr="00CE7B79" w:rsidR="0008690A" w:rsidP="0025594B" w:rsidRDefault="0008690A" w14:paraId="5A1C42FE" w14:textId="77777777">
      <w:pPr>
        <w:spacing w:before="240" w:after="200"/>
        <w:contextualSpacing/>
        <w:jc w:val="both"/>
        <w:rPr>
          <w:rFonts w:eastAsia="Arial" w:cs="Arial"/>
          <w:b/>
          <w:bCs/>
          <w:i/>
          <w:iCs/>
        </w:rPr>
      </w:pPr>
      <w:r w:rsidRPr="00CE7B79">
        <w:rPr>
          <w:rFonts w:eastAsia="Arial" w:cs="Arial"/>
          <w:b/>
          <w:bCs/>
          <w:i/>
          <w:iCs/>
        </w:rPr>
        <w:t>Lessons identified this year, and recommendations for the year ahead linked to this output </w:t>
      </w:r>
    </w:p>
    <w:p w:rsidRPr="00CE7B79" w:rsidR="00290369" w:rsidP="0025594B" w:rsidRDefault="00290369" w14:paraId="30BC6EFB" w14:textId="77777777">
      <w:pPr>
        <w:jc w:val="both"/>
        <w:rPr>
          <w:rFonts w:cs="Arial"/>
          <w:sz w:val="22"/>
          <w:szCs w:val="22"/>
        </w:rPr>
      </w:pPr>
    </w:p>
    <w:p w:rsidRPr="00F0232D" w:rsidR="00623A77" w:rsidP="6E285F8D" w:rsidRDefault="007E26A3" w14:paraId="7A094129" w14:textId="700A23B3">
      <w:pPr>
        <w:pStyle w:val="ListParagraph"/>
        <w:numPr>
          <w:ilvl w:val="0"/>
          <w:numId w:val="46"/>
        </w:numPr>
        <w:jc w:val="both"/>
        <w:rPr>
          <w:rFonts w:cs="Arial"/>
          <w:sz w:val="20"/>
        </w:rPr>
      </w:pPr>
      <w:r w:rsidRPr="6E285F8D">
        <w:rPr>
          <w:rFonts w:cs="Arial"/>
          <w:sz w:val="20"/>
        </w:rPr>
        <w:t xml:space="preserve">Acre to continue to work towards the 70% target. </w:t>
      </w:r>
    </w:p>
    <w:p w:rsidR="0BF41B3A" w:rsidP="6E285F8D" w:rsidRDefault="0BF41B3A" w14:paraId="5DA4B345" w14:textId="580DEB4E">
      <w:pPr>
        <w:pStyle w:val="ListParagraph"/>
        <w:numPr>
          <w:ilvl w:val="0"/>
          <w:numId w:val="46"/>
        </w:numPr>
        <w:jc w:val="both"/>
        <w:rPr>
          <w:rFonts w:cs="Arial"/>
          <w:sz w:val="20"/>
        </w:rPr>
      </w:pPr>
      <w:r w:rsidRPr="41A0BE45">
        <w:rPr>
          <w:rFonts w:cs="Arial"/>
          <w:sz w:val="20"/>
        </w:rPr>
        <w:t xml:space="preserve">UK to create log frame for Phase 2 of programme taking into account current baselines. </w:t>
      </w:r>
    </w:p>
    <w:p w:rsidRPr="00E61210" w:rsidR="003D222C" w:rsidP="51BB3CA1" w:rsidRDefault="560ADB41" w14:paraId="0ACF7E8D" w14:textId="63902102">
      <w:pPr>
        <w:contextualSpacing/>
        <w:jc w:val="both"/>
        <w:rPr>
          <w:rFonts w:cs="Arial"/>
          <w:sz w:val="20"/>
          <w:szCs w:val="20"/>
        </w:rPr>
      </w:pPr>
      <w:bookmarkStart w:name="_Toc182298750" w:id="28"/>
      <w:r w:rsidRPr="51BB3CA1">
        <w:rPr>
          <w:rStyle w:val="Heading2Char"/>
          <w:sz w:val="24"/>
          <w:szCs w:val="24"/>
        </w:rPr>
        <w:t>L</w:t>
      </w:r>
      <w:r w:rsidRPr="51BB3CA1" w:rsidR="4280B332">
        <w:rPr>
          <w:rStyle w:val="Heading2Char"/>
          <w:sz w:val="24"/>
          <w:szCs w:val="24"/>
        </w:rPr>
        <w:t>og</w:t>
      </w:r>
      <w:r w:rsidRPr="51BB3CA1" w:rsidR="1E5F6B79">
        <w:rPr>
          <w:rStyle w:val="Heading2Char"/>
          <w:sz w:val="24"/>
          <w:szCs w:val="24"/>
        </w:rPr>
        <w:t xml:space="preserve"> </w:t>
      </w:r>
      <w:r w:rsidRPr="51BB3CA1" w:rsidR="4280B332">
        <w:rPr>
          <w:rStyle w:val="Heading2Char"/>
          <w:sz w:val="24"/>
          <w:szCs w:val="24"/>
        </w:rPr>
        <w:t>frame</w:t>
      </w:r>
      <w:r w:rsidRPr="51BB3CA1">
        <w:rPr>
          <w:rStyle w:val="Heading2Char"/>
          <w:sz w:val="24"/>
          <w:szCs w:val="24"/>
        </w:rPr>
        <w:t xml:space="preserve"> </w:t>
      </w:r>
      <w:r w:rsidRPr="51BB3CA1" w:rsidR="4280B332">
        <w:rPr>
          <w:rStyle w:val="Heading2Char"/>
          <w:sz w:val="24"/>
          <w:szCs w:val="24"/>
        </w:rPr>
        <w:t>update</w:t>
      </w:r>
      <w:r w:rsidRPr="51BB3CA1">
        <w:rPr>
          <w:rStyle w:val="Heading2Char"/>
          <w:sz w:val="24"/>
          <w:szCs w:val="24"/>
        </w:rPr>
        <w:t>s</w:t>
      </w:r>
      <w:r w:rsidRPr="51BB3CA1" w:rsidR="4280B332">
        <w:rPr>
          <w:rStyle w:val="Heading2Char"/>
          <w:sz w:val="24"/>
          <w:szCs w:val="24"/>
        </w:rPr>
        <w:t xml:space="preserve"> since the last review</w:t>
      </w:r>
      <w:bookmarkEnd w:id="28"/>
      <w:r w:rsidRPr="51BB3CA1" w:rsidR="2FD3C6D4">
        <w:rPr>
          <w:rFonts w:cs="Arial"/>
          <w:b/>
          <w:bCs/>
          <w:sz w:val="20"/>
          <w:szCs w:val="20"/>
        </w:rPr>
        <w:t xml:space="preserve"> </w:t>
      </w:r>
    </w:p>
    <w:p w:rsidRPr="00B423CF" w:rsidR="004331C6" w:rsidP="0025594B" w:rsidRDefault="00B051CB" w14:paraId="2071E1CF" w14:textId="4847BA55">
      <w:pPr>
        <w:jc w:val="both"/>
        <w:rPr>
          <w:rFonts w:cs="Arial"/>
          <w:sz w:val="20"/>
          <w:szCs w:val="20"/>
        </w:rPr>
      </w:pPr>
      <w:r w:rsidRPr="00B54AEE">
        <w:rPr>
          <w:rFonts w:cs="Arial"/>
          <w:sz w:val="20"/>
          <w:szCs w:val="20"/>
        </w:rPr>
        <w:t>No further changes have been mad</w:t>
      </w:r>
      <w:r w:rsidR="005B0D26">
        <w:rPr>
          <w:rFonts w:cs="Arial"/>
          <w:sz w:val="20"/>
          <w:szCs w:val="20"/>
        </w:rPr>
        <w:t>e.</w:t>
      </w:r>
      <w:r w:rsidRPr="00B54AEE" w:rsidR="00A13970">
        <w:rPr>
          <w:rFonts w:cs="Arial"/>
          <w:sz w:val="20"/>
          <w:szCs w:val="20"/>
        </w:rPr>
        <w:t xml:space="preserve"> </w:t>
      </w:r>
    </w:p>
    <w:p w:rsidR="00F256C6" w:rsidRDefault="00F256C6" w14:paraId="6EE25D21" w14:textId="47FA9C7E"/>
    <w:tbl>
      <w:tblPr>
        <w:tblStyle w:val="TableGrid"/>
        <w:tblW w:w="0" w:type="auto"/>
        <w:tblLook w:val="04A0" w:firstRow="1" w:lastRow="0" w:firstColumn="1" w:lastColumn="0" w:noHBand="0" w:noVBand="1"/>
      </w:tblPr>
      <w:tblGrid>
        <w:gridCol w:w="9016"/>
      </w:tblGrid>
      <w:tr w:rsidR="00CB2873" w:rsidTr="51BB3CA1" w14:paraId="13F66B93" w14:textId="77777777">
        <w:tc>
          <w:tcPr>
            <w:tcW w:w="9016" w:type="dxa"/>
            <w:shd w:val="clear" w:color="auto" w:fill="DEEAF6" w:themeFill="accent5" w:themeFillTint="33"/>
          </w:tcPr>
          <w:p w:rsidR="00CB2873" w:rsidP="004D5FD5" w:rsidRDefault="00CB2873" w14:paraId="3D58D529" w14:textId="21F92A8E">
            <w:pPr>
              <w:jc w:val="both"/>
            </w:pPr>
            <w:bookmarkStart w:name="_Toc808914489" w:id="29"/>
            <w:r w:rsidRPr="51BB3CA1">
              <w:rPr>
                <w:rStyle w:val="Heading1Char"/>
                <w:rFonts w:ascii="Arial" w:hAnsi="Arial" w:cs="Arial"/>
                <w:b/>
                <w:bCs/>
                <w:color w:val="auto"/>
                <w:sz w:val="28"/>
                <w:szCs w:val="28"/>
              </w:rPr>
              <w:t xml:space="preserve">Section C: Output </w:t>
            </w:r>
            <w:r w:rsidRPr="51BB3CA1" w:rsidR="00401217">
              <w:rPr>
                <w:rStyle w:val="Heading1Char"/>
                <w:rFonts w:ascii="Arial" w:hAnsi="Arial" w:cs="Arial"/>
                <w:b/>
                <w:bCs/>
                <w:color w:val="auto"/>
                <w:sz w:val="28"/>
                <w:szCs w:val="28"/>
              </w:rPr>
              <w:t>s</w:t>
            </w:r>
            <w:r w:rsidRPr="51BB3CA1">
              <w:rPr>
                <w:rStyle w:val="Heading1Char"/>
                <w:rFonts w:ascii="Arial" w:hAnsi="Arial" w:cs="Arial"/>
                <w:b/>
                <w:bCs/>
                <w:color w:val="auto"/>
                <w:sz w:val="28"/>
                <w:szCs w:val="28"/>
              </w:rPr>
              <w:t>coring</w:t>
            </w:r>
            <w:bookmarkEnd w:id="29"/>
            <w:r w:rsidRPr="51BB3CA1">
              <w:rPr>
                <w:sz w:val="22"/>
                <w:szCs w:val="22"/>
              </w:rPr>
              <w:t xml:space="preserve"> </w:t>
            </w:r>
          </w:p>
        </w:tc>
      </w:tr>
    </w:tbl>
    <w:p w:rsidRPr="007A515F" w:rsidR="008E2F9B" w:rsidP="008E2F9B" w:rsidRDefault="007A515F" w14:paraId="6446126E" w14:textId="5EBF1744">
      <w:pPr>
        <w:spacing w:before="240"/>
        <w:jc w:val="both"/>
        <w:rPr>
          <w:sz w:val="20"/>
          <w:szCs w:val="20"/>
        </w:rPr>
      </w:pPr>
      <w:r w:rsidRPr="7597CF9B">
        <w:rPr>
          <w:sz w:val="20"/>
          <w:szCs w:val="20"/>
        </w:rPr>
        <w:t xml:space="preserve">Overall output scoring: </w:t>
      </w:r>
    </w:p>
    <w:p w:rsidR="7710C497" w:rsidP="7597CF9B" w:rsidRDefault="00633482" w14:paraId="0574073E" w14:textId="5E213683">
      <w:pPr>
        <w:spacing w:before="240"/>
        <w:jc w:val="both"/>
        <w:rPr>
          <w:rFonts w:eastAsia="Arial" w:cs="Arial"/>
          <w:sz w:val="20"/>
          <w:szCs w:val="20"/>
          <w:highlight w:val="yellow"/>
        </w:rPr>
      </w:pPr>
      <w:r w:rsidRPr="00D05709">
        <w:rPr>
          <w:rFonts w:eastAsia="Arial" w:cs="Arial"/>
          <w:sz w:val="20"/>
          <w:szCs w:val="20"/>
        </w:rPr>
        <w:lastRenderedPageBreak/>
        <w:t xml:space="preserve">We have scored the REM programme a B for this year, given the repeated underperformance under </w:t>
      </w:r>
      <w:r w:rsidRPr="00D05709" w:rsidR="000F61FF">
        <w:rPr>
          <w:rFonts w:eastAsia="Arial" w:cs="Arial"/>
          <w:sz w:val="20"/>
          <w:szCs w:val="20"/>
        </w:rPr>
        <w:t xml:space="preserve">Output 1, as well as a few delays this reporting year in setting up new programmes. However, we have a clear plan in place for next year and expect the programme to achieve an A or an A+ by the end of the cycle of REM </w:t>
      </w:r>
      <w:r w:rsidR="00D05709">
        <w:rPr>
          <w:rFonts w:eastAsia="Arial" w:cs="Arial"/>
          <w:sz w:val="20"/>
          <w:szCs w:val="20"/>
        </w:rPr>
        <w:t xml:space="preserve">1. </w:t>
      </w:r>
    </w:p>
    <w:p w:rsidRPr="00C92039" w:rsidR="007A515F" w:rsidDel="00614D6C" w:rsidP="007A515F" w:rsidRDefault="007A515F" w14:paraId="295DBF73" w14:textId="79ED6357">
      <w:pPr>
        <w:rPr>
          <w:rFonts w:eastAsia="Arial" w:cs="Arial"/>
          <w:color w:val="000000" w:themeColor="text1"/>
          <w:sz w:val="20"/>
          <w:szCs w:val="20"/>
        </w:rPr>
      </w:pPr>
    </w:p>
    <w:tbl>
      <w:tblPr>
        <w:tblStyle w:val="TableGrid"/>
        <w:tblW w:w="9030" w:type="dxa"/>
        <w:tblLayout w:type="fixed"/>
        <w:tblLook w:val="04A0" w:firstRow="1" w:lastRow="0" w:firstColumn="1" w:lastColumn="0" w:noHBand="0" w:noVBand="1"/>
      </w:tblPr>
      <w:tblGrid>
        <w:gridCol w:w="6755"/>
        <w:gridCol w:w="1035"/>
        <w:gridCol w:w="1240"/>
      </w:tblGrid>
      <w:tr w:rsidRPr="00C92039" w:rsidR="007A515F" w:rsidDel="0006385E" w:rsidTr="665A25F4" w14:paraId="05C097B4" w14:textId="77777777">
        <w:trPr>
          <w:trHeight w:val="300"/>
        </w:trPr>
        <w:tc>
          <w:tcPr>
            <w:tcW w:w="675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0C8678FF" w14:textId="77777777">
            <w:pPr>
              <w:rPr>
                <w:rFonts w:cs="Arial"/>
                <w:sz w:val="20"/>
                <w:szCs w:val="20"/>
              </w:rPr>
            </w:pPr>
            <w:r w:rsidRPr="00290369" w:rsidDel="0006385E">
              <w:rPr>
                <w:rFonts w:eastAsia="Arial" w:cs="Arial"/>
                <w:b/>
                <w:bCs/>
                <w:sz w:val="20"/>
                <w:szCs w:val="20"/>
              </w:rPr>
              <w:t>Output #</w:t>
            </w:r>
          </w:p>
        </w:tc>
        <w:tc>
          <w:tcPr>
            <w:tcW w:w="103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1DDC766D" w14:textId="77777777">
            <w:pPr>
              <w:rPr>
                <w:rFonts w:cs="Arial"/>
                <w:sz w:val="20"/>
                <w:szCs w:val="20"/>
              </w:rPr>
            </w:pPr>
            <w:r w:rsidRPr="00290369" w:rsidDel="0006385E">
              <w:rPr>
                <w:rFonts w:eastAsia="Arial" w:cs="Arial"/>
                <w:b/>
                <w:bCs/>
                <w:sz w:val="20"/>
                <w:szCs w:val="20"/>
              </w:rPr>
              <w:t>Weight</w:t>
            </w:r>
          </w:p>
        </w:tc>
        <w:tc>
          <w:tcPr>
            <w:tcW w:w="1240"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2DB7F862" w14:textId="002D68C6">
            <w:pPr>
              <w:rPr>
                <w:rFonts w:cs="Arial"/>
                <w:sz w:val="20"/>
                <w:szCs w:val="20"/>
              </w:rPr>
            </w:pPr>
            <w:r w:rsidRPr="5CFF717B">
              <w:rPr>
                <w:rFonts w:eastAsia="Arial" w:cs="Arial"/>
                <w:b/>
                <w:bCs/>
                <w:sz w:val="20"/>
                <w:szCs w:val="20"/>
              </w:rPr>
              <w:t>Score</w:t>
            </w:r>
          </w:p>
        </w:tc>
      </w:tr>
      <w:tr w:rsidRPr="00C92039" w:rsidR="007A515F" w:rsidDel="0006385E" w:rsidTr="665A25F4" w14:paraId="747F34FB" w14:textId="77777777">
        <w:trPr>
          <w:trHeight w:val="300"/>
        </w:trPr>
        <w:tc>
          <w:tcPr>
            <w:tcW w:w="675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48888E89" w14:textId="77777777">
            <w:pPr>
              <w:rPr>
                <w:rFonts w:eastAsia="Arial" w:cs="Arial"/>
                <w:sz w:val="20"/>
                <w:szCs w:val="20"/>
              </w:rPr>
            </w:pPr>
            <w:r w:rsidRPr="00290369" w:rsidDel="0006385E">
              <w:rPr>
                <w:rFonts w:eastAsia="Arial" w:cs="Arial"/>
                <w:sz w:val="20"/>
                <w:szCs w:val="20"/>
              </w:rPr>
              <w:t>1. Results-based payments from REM to country/state</w:t>
            </w:r>
          </w:p>
        </w:tc>
        <w:tc>
          <w:tcPr>
            <w:tcW w:w="103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39D0F5D0" w14:textId="77777777">
            <w:pPr>
              <w:rPr>
                <w:rFonts w:eastAsia="Arial" w:cs="Arial"/>
                <w:sz w:val="20"/>
                <w:szCs w:val="20"/>
              </w:rPr>
            </w:pPr>
            <w:r w:rsidRPr="00290369" w:rsidDel="0006385E">
              <w:rPr>
                <w:rFonts w:eastAsia="Arial" w:cs="Arial"/>
                <w:sz w:val="20"/>
                <w:szCs w:val="20"/>
              </w:rPr>
              <w:t>50%</w:t>
            </w:r>
          </w:p>
        </w:tc>
        <w:tc>
          <w:tcPr>
            <w:tcW w:w="1240" w:type="dxa"/>
            <w:tcBorders>
              <w:top w:val="single" w:color="auto" w:sz="8" w:space="0"/>
              <w:left w:val="single" w:color="auto" w:sz="8" w:space="0"/>
              <w:bottom w:val="single" w:color="auto" w:sz="8" w:space="0"/>
              <w:right w:val="single" w:color="auto" w:sz="8" w:space="0"/>
            </w:tcBorders>
          </w:tcPr>
          <w:p w:rsidRPr="000D1045" w:rsidR="007A515F" w:rsidDel="0006385E" w:rsidRDefault="007A515F" w14:paraId="2072F073" w14:textId="77777777">
            <w:pPr>
              <w:rPr>
                <w:rFonts w:eastAsia="Arial" w:cs="Arial"/>
                <w:sz w:val="20"/>
                <w:szCs w:val="20"/>
              </w:rPr>
            </w:pPr>
            <w:r w:rsidRPr="000D1045">
              <w:rPr>
                <w:rFonts w:eastAsia="Arial" w:cs="Arial"/>
                <w:sz w:val="20"/>
                <w:szCs w:val="20"/>
              </w:rPr>
              <w:t>B</w:t>
            </w:r>
          </w:p>
        </w:tc>
      </w:tr>
      <w:tr w:rsidRPr="00C92039" w:rsidR="007A515F" w:rsidDel="0006385E" w:rsidTr="665A25F4" w14:paraId="0483F2C7" w14:textId="77777777">
        <w:trPr>
          <w:trHeight w:val="300"/>
        </w:trPr>
        <w:tc>
          <w:tcPr>
            <w:tcW w:w="675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4F206CC8" w14:textId="77777777">
            <w:pPr>
              <w:rPr>
                <w:rFonts w:cs="Arial"/>
                <w:sz w:val="20"/>
                <w:szCs w:val="20"/>
              </w:rPr>
            </w:pPr>
            <w:r w:rsidRPr="00290369" w:rsidDel="0006385E">
              <w:rPr>
                <w:rFonts w:eastAsia="Arial" w:cs="Arial"/>
                <w:sz w:val="20"/>
                <w:szCs w:val="20"/>
              </w:rPr>
              <w:t>2. Establishing and maintaining the capacity of implementing Ministry, the finance mechanism and implementing entities to effectively and efficiently implement the results-based payment scheme/REDD+ in the Amazon region</w:t>
            </w:r>
          </w:p>
        </w:tc>
        <w:tc>
          <w:tcPr>
            <w:tcW w:w="103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29FA0834" w14:textId="77777777">
            <w:pPr>
              <w:rPr>
                <w:rFonts w:cs="Arial"/>
                <w:sz w:val="20"/>
                <w:szCs w:val="20"/>
              </w:rPr>
            </w:pPr>
            <w:r w:rsidRPr="00290369" w:rsidDel="0006385E">
              <w:rPr>
                <w:rFonts w:eastAsia="Arial" w:cs="Arial"/>
                <w:sz w:val="20"/>
                <w:szCs w:val="20"/>
              </w:rPr>
              <w:t>12.5%</w:t>
            </w:r>
          </w:p>
        </w:tc>
        <w:tc>
          <w:tcPr>
            <w:tcW w:w="1240" w:type="dxa"/>
            <w:tcBorders>
              <w:top w:val="single" w:color="auto" w:sz="8" w:space="0"/>
              <w:left w:val="single" w:color="auto" w:sz="8" w:space="0"/>
              <w:bottom w:val="single" w:color="auto" w:sz="8" w:space="0"/>
              <w:right w:val="single" w:color="auto" w:sz="8" w:space="0"/>
            </w:tcBorders>
          </w:tcPr>
          <w:p w:rsidRPr="000D1045" w:rsidR="007A515F" w:rsidDel="0006385E" w:rsidRDefault="007A515F" w14:paraId="78197AAB" w14:textId="77777777">
            <w:pPr>
              <w:rPr>
                <w:rFonts w:eastAsia="Arial" w:cs="Arial"/>
                <w:sz w:val="20"/>
                <w:szCs w:val="20"/>
              </w:rPr>
            </w:pPr>
            <w:r w:rsidRPr="000D1045">
              <w:rPr>
                <w:rFonts w:eastAsia="Arial" w:cs="Arial"/>
                <w:sz w:val="20"/>
                <w:szCs w:val="20"/>
              </w:rPr>
              <w:t>A</w:t>
            </w:r>
          </w:p>
        </w:tc>
      </w:tr>
      <w:tr w:rsidRPr="00C92039" w:rsidR="007A515F" w:rsidDel="0006385E" w:rsidTr="665A25F4" w14:paraId="4D7DE5E0" w14:textId="77777777">
        <w:trPr>
          <w:trHeight w:val="615"/>
        </w:trPr>
        <w:tc>
          <w:tcPr>
            <w:tcW w:w="675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55056B1F" w14:textId="77777777">
            <w:pPr>
              <w:rPr>
                <w:rFonts w:cs="Arial"/>
                <w:sz w:val="20"/>
                <w:szCs w:val="20"/>
              </w:rPr>
            </w:pPr>
            <w:r w:rsidRPr="00290369" w:rsidDel="0006385E">
              <w:rPr>
                <w:rFonts w:eastAsia="Arial" w:cs="Arial"/>
                <w:sz w:val="20"/>
                <w:szCs w:val="20"/>
              </w:rPr>
              <w:t>3. Forest and territorial governance implemented and consolidated</w:t>
            </w:r>
          </w:p>
        </w:tc>
        <w:tc>
          <w:tcPr>
            <w:tcW w:w="103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4BEB7242" w14:textId="77777777">
            <w:pPr>
              <w:rPr>
                <w:rFonts w:cs="Arial"/>
                <w:sz w:val="20"/>
                <w:szCs w:val="20"/>
              </w:rPr>
            </w:pPr>
            <w:r w:rsidRPr="00290369" w:rsidDel="0006385E">
              <w:rPr>
                <w:rFonts w:eastAsia="Arial" w:cs="Arial"/>
                <w:sz w:val="20"/>
                <w:szCs w:val="20"/>
              </w:rPr>
              <w:t>12.5%</w:t>
            </w:r>
          </w:p>
        </w:tc>
        <w:tc>
          <w:tcPr>
            <w:tcW w:w="1240" w:type="dxa"/>
            <w:tcBorders>
              <w:top w:val="single" w:color="auto" w:sz="8" w:space="0"/>
              <w:left w:val="single" w:color="auto" w:sz="8" w:space="0"/>
              <w:bottom w:val="single" w:color="auto" w:sz="8" w:space="0"/>
              <w:right w:val="single" w:color="auto" w:sz="8" w:space="0"/>
            </w:tcBorders>
          </w:tcPr>
          <w:p w:rsidRPr="000D1045" w:rsidR="007A515F" w:rsidDel="0006385E" w:rsidRDefault="007A515F" w14:paraId="228B1A55" w14:textId="77777777">
            <w:pPr>
              <w:rPr>
                <w:rFonts w:eastAsia="Arial" w:cs="Arial"/>
                <w:sz w:val="20"/>
                <w:szCs w:val="20"/>
              </w:rPr>
            </w:pPr>
            <w:r w:rsidRPr="000D1045">
              <w:rPr>
                <w:rFonts w:eastAsia="Arial" w:cs="Arial"/>
                <w:sz w:val="20"/>
                <w:szCs w:val="20"/>
              </w:rPr>
              <w:t>A+</w:t>
            </w:r>
          </w:p>
        </w:tc>
      </w:tr>
      <w:tr w:rsidRPr="00C92039" w:rsidR="007A515F" w:rsidDel="0006385E" w:rsidTr="665A25F4" w14:paraId="42944255" w14:textId="77777777">
        <w:trPr>
          <w:trHeight w:val="60"/>
        </w:trPr>
        <w:tc>
          <w:tcPr>
            <w:tcW w:w="675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71E8A8A6" w14:textId="77777777">
            <w:pPr>
              <w:rPr>
                <w:rFonts w:cs="Arial"/>
                <w:sz w:val="20"/>
                <w:szCs w:val="20"/>
              </w:rPr>
            </w:pPr>
            <w:r w:rsidRPr="00290369" w:rsidDel="0006385E">
              <w:rPr>
                <w:rFonts w:eastAsia="Arial" w:cs="Arial"/>
                <w:sz w:val="20"/>
                <w:szCs w:val="20"/>
              </w:rPr>
              <w:t>4. Sustainable agro-environmental activities consolidated and expanded in the intervention areas</w:t>
            </w:r>
          </w:p>
        </w:tc>
        <w:tc>
          <w:tcPr>
            <w:tcW w:w="103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059AE630" w14:textId="77777777">
            <w:pPr>
              <w:rPr>
                <w:rFonts w:cs="Arial"/>
                <w:sz w:val="20"/>
                <w:szCs w:val="20"/>
              </w:rPr>
            </w:pPr>
            <w:r w:rsidRPr="00290369" w:rsidDel="0006385E">
              <w:rPr>
                <w:rFonts w:eastAsia="Arial" w:cs="Arial"/>
                <w:sz w:val="20"/>
                <w:szCs w:val="20"/>
              </w:rPr>
              <w:t>12.5%</w:t>
            </w:r>
          </w:p>
        </w:tc>
        <w:tc>
          <w:tcPr>
            <w:tcW w:w="1240" w:type="dxa"/>
            <w:tcBorders>
              <w:top w:val="single" w:color="auto" w:sz="8" w:space="0"/>
              <w:left w:val="single" w:color="auto" w:sz="8" w:space="0"/>
              <w:bottom w:val="single" w:color="auto" w:sz="8" w:space="0"/>
              <w:right w:val="single" w:color="auto" w:sz="8" w:space="0"/>
            </w:tcBorders>
          </w:tcPr>
          <w:p w:rsidRPr="000D1045" w:rsidR="007A515F" w:rsidDel="0006385E" w:rsidRDefault="007A515F" w14:paraId="227D78E9" w14:textId="77777777">
            <w:pPr>
              <w:rPr>
                <w:rFonts w:eastAsia="Arial" w:cs="Arial"/>
                <w:sz w:val="20"/>
                <w:szCs w:val="20"/>
              </w:rPr>
            </w:pPr>
            <w:r w:rsidRPr="000D1045">
              <w:rPr>
                <w:rFonts w:eastAsia="Arial" w:cs="Arial"/>
                <w:sz w:val="20"/>
                <w:szCs w:val="20"/>
              </w:rPr>
              <w:t>A</w:t>
            </w:r>
          </w:p>
        </w:tc>
      </w:tr>
      <w:tr w:rsidRPr="00C92039" w:rsidR="007A515F" w:rsidDel="0006385E" w:rsidTr="665A25F4" w14:paraId="10E41828" w14:textId="77777777">
        <w:trPr>
          <w:trHeight w:val="300"/>
        </w:trPr>
        <w:tc>
          <w:tcPr>
            <w:tcW w:w="675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4CC19FDA" w14:textId="77777777">
            <w:pPr>
              <w:rPr>
                <w:rFonts w:cs="Arial"/>
                <w:sz w:val="20"/>
                <w:szCs w:val="20"/>
              </w:rPr>
            </w:pPr>
            <w:r w:rsidRPr="00290369" w:rsidDel="0006385E">
              <w:rPr>
                <w:rFonts w:eastAsia="Arial" w:cs="Arial"/>
                <w:sz w:val="20"/>
                <w:szCs w:val="20"/>
              </w:rPr>
              <w:t>5. Environmental governance with indigenous peoples improved</w:t>
            </w:r>
          </w:p>
        </w:tc>
        <w:tc>
          <w:tcPr>
            <w:tcW w:w="1035" w:type="dxa"/>
            <w:tcBorders>
              <w:top w:val="single" w:color="auto" w:sz="8" w:space="0"/>
              <w:left w:val="single" w:color="auto" w:sz="8" w:space="0"/>
              <w:bottom w:val="single" w:color="auto" w:sz="8" w:space="0"/>
              <w:right w:val="single" w:color="auto" w:sz="8" w:space="0"/>
            </w:tcBorders>
          </w:tcPr>
          <w:p w:rsidRPr="00290369" w:rsidR="007A515F" w:rsidDel="0006385E" w:rsidRDefault="007A515F" w14:paraId="3B1E5A64" w14:textId="77777777">
            <w:pPr>
              <w:rPr>
                <w:rFonts w:cs="Arial"/>
                <w:sz w:val="20"/>
                <w:szCs w:val="20"/>
              </w:rPr>
            </w:pPr>
            <w:r w:rsidRPr="00290369" w:rsidDel="0006385E">
              <w:rPr>
                <w:rFonts w:eastAsia="Arial" w:cs="Arial"/>
                <w:sz w:val="20"/>
                <w:szCs w:val="20"/>
              </w:rPr>
              <w:t>12.5%</w:t>
            </w:r>
          </w:p>
        </w:tc>
        <w:tc>
          <w:tcPr>
            <w:tcW w:w="1240" w:type="dxa"/>
            <w:tcBorders>
              <w:top w:val="single" w:color="auto" w:sz="8" w:space="0"/>
              <w:left w:val="single" w:color="auto" w:sz="8" w:space="0"/>
              <w:bottom w:val="single" w:color="auto" w:sz="8" w:space="0"/>
              <w:right w:val="single" w:color="auto" w:sz="8" w:space="0"/>
            </w:tcBorders>
          </w:tcPr>
          <w:p w:rsidRPr="000D1045" w:rsidR="007A515F" w:rsidDel="0006385E" w:rsidRDefault="007A515F" w14:paraId="167E9342" w14:textId="69192801">
            <w:pPr>
              <w:rPr>
                <w:rFonts w:eastAsia="Arial" w:cs="Arial"/>
                <w:sz w:val="20"/>
                <w:szCs w:val="20"/>
              </w:rPr>
            </w:pPr>
            <w:r w:rsidRPr="665A25F4">
              <w:rPr>
                <w:rFonts w:eastAsia="Arial" w:cs="Arial"/>
                <w:sz w:val="20"/>
                <w:szCs w:val="20"/>
              </w:rPr>
              <w:t>A+</w:t>
            </w:r>
          </w:p>
        </w:tc>
      </w:tr>
    </w:tbl>
    <w:p w:rsidR="007A515F" w:rsidP="008E2F9B" w:rsidRDefault="007A515F" w14:paraId="146CB4B8" w14:textId="77777777">
      <w:pPr>
        <w:spacing w:before="240"/>
        <w:jc w:val="both"/>
      </w:pPr>
    </w:p>
    <w:tbl>
      <w:tblPr>
        <w:tblStyle w:val="TableGrid"/>
        <w:tblW w:w="9469" w:type="dxa"/>
        <w:tblLayout w:type="fixed"/>
        <w:tblLook w:val="04A0" w:firstRow="1" w:lastRow="0" w:firstColumn="1" w:lastColumn="0" w:noHBand="0" w:noVBand="1"/>
      </w:tblPr>
      <w:tblGrid>
        <w:gridCol w:w="1710"/>
        <w:gridCol w:w="615"/>
        <w:gridCol w:w="1209"/>
        <w:gridCol w:w="3006"/>
        <w:gridCol w:w="2929"/>
      </w:tblGrid>
      <w:tr w:rsidR="008E2F9B" w:rsidTr="665A25F4" w14:paraId="3A237069" w14:textId="77777777">
        <w:trPr>
          <w:trHeight w:val="495"/>
        </w:trPr>
        <w:tc>
          <w:tcPr>
            <w:tcW w:w="171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6F3E0317" w14:textId="77777777">
            <w:r w:rsidRPr="61AB1AE6">
              <w:rPr>
                <w:rFonts w:eastAsia="Arial" w:cs="Arial"/>
                <w:b/>
                <w:bCs/>
                <w:color w:val="000000" w:themeColor="text1"/>
                <w:sz w:val="20"/>
                <w:szCs w:val="20"/>
              </w:rPr>
              <w:t xml:space="preserve">Output Title </w:t>
            </w:r>
          </w:p>
        </w:tc>
        <w:tc>
          <w:tcPr>
            <w:tcW w:w="7759" w:type="dxa"/>
            <w:gridSpan w:val="4"/>
            <w:tcBorders>
              <w:top w:val="single" w:color="auto" w:sz="8" w:space="0"/>
              <w:left w:val="single" w:color="auto" w:sz="8" w:space="0"/>
              <w:bottom w:val="single" w:color="auto" w:sz="8" w:space="0"/>
              <w:right w:val="single" w:color="auto" w:sz="8" w:space="0"/>
            </w:tcBorders>
            <w:shd w:val="clear" w:color="auto" w:fill="FFFFFF" w:themeFill="background1"/>
          </w:tcPr>
          <w:p w:rsidR="008E2F9B" w:rsidRDefault="008E2F9B" w14:paraId="3909703C" w14:textId="2A1004BF">
            <w:r w:rsidRPr="00A43D0D">
              <w:rPr>
                <w:rFonts w:eastAsia="Arial" w:cs="Arial"/>
                <w:color w:val="000000" w:themeColor="text1"/>
                <w:sz w:val="20"/>
                <w:szCs w:val="20"/>
              </w:rPr>
              <w:t>Results-based payments from REM to country/state</w:t>
            </w:r>
          </w:p>
        </w:tc>
      </w:tr>
      <w:tr w:rsidR="008E2F9B" w:rsidTr="665A25F4" w14:paraId="1E179FCE" w14:textId="77777777">
        <w:trPr>
          <w:trHeight w:val="345"/>
        </w:trPr>
        <w:tc>
          <w:tcPr>
            <w:tcW w:w="232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7C9C31F9" w14:textId="1B23C1B1">
            <w:r w:rsidRPr="61AB1AE6">
              <w:rPr>
                <w:rFonts w:eastAsia="Arial" w:cs="Arial"/>
                <w:color w:val="000000" w:themeColor="text1"/>
                <w:sz w:val="20"/>
                <w:szCs w:val="20"/>
              </w:rPr>
              <w:t xml:space="preserve">Output number: </w:t>
            </w:r>
          </w:p>
        </w:tc>
        <w:tc>
          <w:tcPr>
            <w:tcW w:w="1209" w:type="dxa"/>
            <w:tcBorders>
              <w:top w:val="nil"/>
              <w:left w:val="nil"/>
              <w:bottom w:val="single" w:color="auto" w:sz="8" w:space="0"/>
              <w:right w:val="single" w:color="auto" w:sz="8" w:space="0"/>
            </w:tcBorders>
          </w:tcPr>
          <w:p w:rsidR="008E2F9B" w:rsidP="578D5448" w:rsidRDefault="008E2F9B" w14:paraId="0F3628C1" w14:textId="77777777">
            <w:pPr>
              <w:rPr>
                <w:rFonts w:eastAsia="Arial" w:cs="Arial"/>
                <w:sz w:val="20"/>
                <w:szCs w:val="20"/>
              </w:rPr>
            </w:pPr>
            <w:r w:rsidRPr="578D5448">
              <w:rPr>
                <w:rFonts w:eastAsia="Arial" w:cs="Arial"/>
                <w:sz w:val="20"/>
                <w:szCs w:val="20"/>
              </w:rPr>
              <w:t>1</w:t>
            </w:r>
          </w:p>
        </w:tc>
        <w:tc>
          <w:tcPr>
            <w:tcW w:w="3006" w:type="dxa"/>
            <w:tcBorders>
              <w:top w:val="nil"/>
              <w:left w:val="single" w:color="auto" w:sz="8" w:space="0"/>
              <w:bottom w:val="single" w:color="auto" w:sz="8" w:space="0"/>
              <w:right w:val="single" w:color="auto" w:sz="8" w:space="0"/>
            </w:tcBorders>
            <w:shd w:val="clear" w:color="auto" w:fill="D9E2F3" w:themeFill="accent1" w:themeFillTint="33"/>
          </w:tcPr>
          <w:p w:rsidRPr="00102CE1" w:rsidR="008E2F9B" w:rsidP="578D5448" w:rsidRDefault="008E2F9B" w14:paraId="2BC61B01" w14:textId="77777777">
            <w:pPr>
              <w:rPr>
                <w:rFonts w:eastAsia="Arial" w:cs="Arial"/>
                <w:color w:val="000000" w:themeColor="text1"/>
                <w:sz w:val="20"/>
                <w:szCs w:val="20"/>
              </w:rPr>
            </w:pPr>
            <w:r w:rsidRPr="578D5448">
              <w:rPr>
                <w:rFonts w:eastAsia="Arial" w:cs="Arial"/>
                <w:color w:val="000000" w:themeColor="text1"/>
                <w:sz w:val="20"/>
                <w:szCs w:val="20"/>
              </w:rPr>
              <w:t xml:space="preserve">Output Score: </w:t>
            </w:r>
          </w:p>
        </w:tc>
        <w:tc>
          <w:tcPr>
            <w:tcW w:w="2929" w:type="dxa"/>
            <w:tcBorders>
              <w:top w:val="nil"/>
              <w:left w:val="single" w:color="auto" w:sz="8" w:space="0"/>
              <w:bottom w:val="single" w:color="auto" w:sz="8" w:space="0"/>
              <w:right w:val="single" w:color="auto" w:sz="8" w:space="0"/>
            </w:tcBorders>
          </w:tcPr>
          <w:p w:rsidRPr="00102CE1" w:rsidR="008E2F9B" w:rsidP="578D5448" w:rsidRDefault="03EF45D0" w14:paraId="6A06B340" w14:textId="0E47FE78">
            <w:pPr>
              <w:rPr>
                <w:rFonts w:eastAsia="Arial" w:cs="Arial"/>
                <w:sz w:val="20"/>
                <w:szCs w:val="20"/>
              </w:rPr>
            </w:pPr>
            <w:r w:rsidRPr="665A25F4">
              <w:rPr>
                <w:rFonts w:eastAsia="Arial" w:cs="Arial"/>
                <w:sz w:val="20"/>
                <w:szCs w:val="20"/>
              </w:rPr>
              <w:t>B</w:t>
            </w:r>
          </w:p>
        </w:tc>
      </w:tr>
      <w:tr w:rsidR="008E2F9B" w:rsidTr="665A25F4" w14:paraId="4F9F8AB6" w14:textId="77777777">
        <w:trPr>
          <w:trHeight w:val="525"/>
        </w:trPr>
        <w:tc>
          <w:tcPr>
            <w:tcW w:w="232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0B5A577D" w14:textId="77777777">
            <w:r w:rsidRPr="61AB1AE6">
              <w:rPr>
                <w:rFonts w:eastAsia="Arial" w:cs="Arial"/>
                <w:color w:val="000000" w:themeColor="text1"/>
                <w:sz w:val="20"/>
                <w:szCs w:val="20"/>
              </w:rPr>
              <w:t xml:space="preserve">Impact weighting (%):  </w:t>
            </w:r>
          </w:p>
        </w:tc>
        <w:tc>
          <w:tcPr>
            <w:tcW w:w="1209" w:type="dxa"/>
            <w:tcBorders>
              <w:top w:val="single" w:color="auto" w:sz="8" w:space="0"/>
              <w:left w:val="nil"/>
              <w:bottom w:val="single" w:color="auto" w:sz="8" w:space="0"/>
              <w:right w:val="single" w:color="auto" w:sz="8" w:space="0"/>
            </w:tcBorders>
          </w:tcPr>
          <w:p w:rsidR="008E2F9B" w:rsidRDefault="008E2F9B" w14:paraId="23DB0BFC" w14:textId="77777777">
            <w:r w:rsidRPr="61AB1AE6">
              <w:rPr>
                <w:rFonts w:eastAsia="Arial" w:cs="Arial"/>
                <w:sz w:val="20"/>
                <w:szCs w:val="20"/>
              </w:rPr>
              <w:t>50%</w:t>
            </w:r>
          </w:p>
        </w:tc>
        <w:tc>
          <w:tcPr>
            <w:tcW w:w="3006"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25679784" w14:textId="77777777">
            <w:r w:rsidRPr="61AB1AE6">
              <w:rPr>
                <w:rFonts w:eastAsia="Arial" w:cs="Arial"/>
                <w:color w:val="000000" w:themeColor="text1"/>
                <w:sz w:val="20"/>
                <w:szCs w:val="20"/>
              </w:rPr>
              <w:t xml:space="preserve">Weighting revised since last AR? </w:t>
            </w:r>
          </w:p>
        </w:tc>
        <w:tc>
          <w:tcPr>
            <w:tcW w:w="2929" w:type="dxa"/>
            <w:tcBorders>
              <w:top w:val="single" w:color="auto" w:sz="8" w:space="0"/>
              <w:left w:val="single" w:color="auto" w:sz="8" w:space="0"/>
              <w:bottom w:val="single" w:color="auto" w:sz="8" w:space="0"/>
              <w:right w:val="single" w:color="auto" w:sz="8" w:space="0"/>
            </w:tcBorders>
          </w:tcPr>
          <w:p w:rsidR="008E2F9B" w:rsidRDefault="008E2F9B" w14:paraId="122C7C0C" w14:textId="77777777">
            <w:r w:rsidRPr="61AB1AE6">
              <w:rPr>
                <w:rFonts w:eastAsia="Arial" w:cs="Arial"/>
                <w:sz w:val="20"/>
                <w:szCs w:val="20"/>
              </w:rPr>
              <w:t>No</w:t>
            </w:r>
          </w:p>
        </w:tc>
      </w:tr>
      <w:tr w:rsidR="008E2F9B" w:rsidTr="665A25F4" w14:paraId="6237A686" w14:textId="77777777">
        <w:trPr>
          <w:trHeight w:val="345"/>
        </w:trPr>
        <w:tc>
          <w:tcPr>
            <w:tcW w:w="232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3699445B" w14:textId="77777777">
            <w:r w:rsidRPr="61AB1AE6">
              <w:rPr>
                <w:rFonts w:eastAsia="Arial" w:cs="Arial"/>
                <w:color w:val="000000" w:themeColor="text1"/>
                <w:sz w:val="20"/>
                <w:szCs w:val="20"/>
              </w:rPr>
              <w:t>Risk rating</w:t>
            </w:r>
          </w:p>
        </w:tc>
        <w:tc>
          <w:tcPr>
            <w:tcW w:w="1209" w:type="dxa"/>
            <w:tcBorders>
              <w:top w:val="single" w:color="auto" w:sz="8" w:space="0"/>
              <w:left w:val="nil"/>
              <w:bottom w:val="single" w:color="auto" w:sz="8" w:space="0"/>
              <w:right w:val="single" w:color="auto" w:sz="8" w:space="0"/>
            </w:tcBorders>
          </w:tcPr>
          <w:p w:rsidR="008E2F9B" w:rsidRDefault="0AFBC3BE" w14:paraId="30E0218A" w14:textId="7B194A61">
            <w:pPr>
              <w:spacing w:line="259" w:lineRule="auto"/>
            </w:pPr>
            <w:r w:rsidRPr="578D5448">
              <w:rPr>
                <w:sz w:val="20"/>
                <w:szCs w:val="20"/>
              </w:rPr>
              <w:t>Moderate</w:t>
            </w:r>
          </w:p>
        </w:tc>
        <w:tc>
          <w:tcPr>
            <w:tcW w:w="3006"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217373BE" w14:textId="77777777">
            <w:r w:rsidRPr="61AB1AE6">
              <w:rPr>
                <w:rFonts w:eastAsia="Arial" w:cs="Arial"/>
                <w:color w:val="000000" w:themeColor="text1"/>
                <w:sz w:val="20"/>
                <w:szCs w:val="20"/>
              </w:rPr>
              <w:t>Risk revised since last AR?</w:t>
            </w:r>
          </w:p>
        </w:tc>
        <w:tc>
          <w:tcPr>
            <w:tcW w:w="2929" w:type="dxa"/>
            <w:tcBorders>
              <w:top w:val="single" w:color="auto" w:sz="8" w:space="0"/>
              <w:left w:val="single" w:color="auto" w:sz="8" w:space="0"/>
              <w:bottom w:val="single" w:color="auto" w:sz="8" w:space="0"/>
              <w:right w:val="single" w:color="auto" w:sz="8" w:space="0"/>
            </w:tcBorders>
          </w:tcPr>
          <w:p w:rsidR="008E2F9B" w:rsidRDefault="008E2F9B" w14:paraId="652BF3DF" w14:textId="7C633AFD">
            <w:pPr>
              <w:spacing w:line="259" w:lineRule="auto"/>
            </w:pPr>
            <w:r w:rsidRPr="61AB1AE6">
              <w:rPr>
                <w:rFonts w:eastAsia="Arial" w:cs="Arial"/>
                <w:sz w:val="20"/>
                <w:szCs w:val="20"/>
              </w:rPr>
              <w:t>No</w:t>
            </w:r>
          </w:p>
        </w:tc>
      </w:tr>
    </w:tbl>
    <w:p w:rsidR="008E2F9B" w:rsidP="008E2F9B" w:rsidRDefault="008E2F9B" w14:paraId="0BFC4DD5" w14:textId="77777777">
      <w:pPr>
        <w:rPr>
          <w:rFonts w:eastAsia="Arial" w:cs="Arial"/>
          <w:i/>
          <w:iCs/>
          <w:color w:val="000000" w:themeColor="text1"/>
          <w:sz w:val="20"/>
          <w:szCs w:val="20"/>
        </w:rPr>
      </w:pPr>
    </w:p>
    <w:tbl>
      <w:tblPr>
        <w:tblStyle w:val="TableGrid"/>
        <w:tblW w:w="9490" w:type="dxa"/>
        <w:tblInd w:w="-10" w:type="dxa"/>
        <w:tblLayout w:type="fixed"/>
        <w:tblLook w:val="04A0" w:firstRow="1" w:lastRow="0" w:firstColumn="1" w:lastColumn="0" w:noHBand="0" w:noVBand="1"/>
      </w:tblPr>
      <w:tblGrid>
        <w:gridCol w:w="2905"/>
        <w:gridCol w:w="2835"/>
        <w:gridCol w:w="3750"/>
      </w:tblGrid>
      <w:tr w:rsidR="00092737" w:rsidTr="6D6666F9" w14:paraId="2BDD9085" w14:textId="77777777">
        <w:trPr>
          <w:trHeight w:val="270"/>
        </w:trPr>
        <w:tc>
          <w:tcPr>
            <w:tcW w:w="290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69428E1D" w14:textId="77777777">
            <w:r w:rsidRPr="4E81ABC2">
              <w:rPr>
                <w:rFonts w:eastAsia="Arial" w:cs="Arial"/>
                <w:b/>
                <w:bCs/>
                <w:color w:val="000000" w:themeColor="text1"/>
                <w:sz w:val="20"/>
                <w:szCs w:val="20"/>
              </w:rPr>
              <w:t>Indicator(s)</w:t>
            </w:r>
          </w:p>
        </w:tc>
        <w:tc>
          <w:tcPr>
            <w:tcW w:w="283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3952CF0B" w14:textId="77777777">
            <w:r w:rsidRPr="4E81ABC2">
              <w:rPr>
                <w:rFonts w:eastAsia="Arial" w:cs="Arial"/>
                <w:b/>
                <w:bCs/>
                <w:color w:val="000000" w:themeColor="text1"/>
                <w:sz w:val="20"/>
                <w:szCs w:val="20"/>
              </w:rPr>
              <w:t>Milestone(s) for this review</w:t>
            </w:r>
          </w:p>
        </w:tc>
        <w:tc>
          <w:tcPr>
            <w:tcW w:w="375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8E2F9B" w:rsidRDefault="008E2F9B" w14:paraId="38DDB10A" w14:textId="77777777">
            <w:r w:rsidRPr="4E81ABC2">
              <w:rPr>
                <w:rFonts w:eastAsia="Arial" w:cs="Arial"/>
                <w:b/>
                <w:bCs/>
                <w:color w:val="000000" w:themeColor="text1"/>
                <w:sz w:val="20"/>
                <w:szCs w:val="20"/>
              </w:rPr>
              <w:t xml:space="preserve">Progress </w:t>
            </w:r>
          </w:p>
        </w:tc>
      </w:tr>
      <w:tr w:rsidRPr="00AA5593" w:rsidR="005D43D3" w:rsidTr="6D6666F9" w14:paraId="3596A60E" w14:textId="77777777">
        <w:tc>
          <w:tcPr>
            <w:tcW w:w="2905" w:type="dxa"/>
            <w:tcBorders>
              <w:top w:val="single" w:color="auto" w:sz="8" w:space="0"/>
              <w:left w:val="single" w:color="auto" w:sz="8" w:space="0"/>
              <w:bottom w:val="single" w:color="auto" w:sz="8" w:space="0"/>
              <w:right w:val="single" w:color="auto" w:sz="8" w:space="0"/>
            </w:tcBorders>
          </w:tcPr>
          <w:p w:rsidR="008E2F9B" w:rsidRDefault="008E2F9B" w14:paraId="6DFE0785" w14:textId="77777777">
            <w:r w:rsidRPr="4E81ABC2">
              <w:rPr>
                <w:rFonts w:eastAsia="Arial" w:cs="Arial"/>
                <w:b/>
                <w:bCs/>
                <w:sz w:val="20"/>
                <w:szCs w:val="20"/>
              </w:rPr>
              <w:t>Indicator 6:</w:t>
            </w:r>
            <w:r w:rsidRPr="4E81ABC2">
              <w:rPr>
                <w:rFonts w:eastAsia="Arial" w:cs="Arial"/>
                <w:sz w:val="20"/>
                <w:szCs w:val="20"/>
              </w:rPr>
              <w:t xml:space="preserve"> Volume of results-based payments made by REM to country/state, cumulative, in millions of US Dollars (m USD) (Fluctuations in exchange rate to be taken into consideration).</w:t>
            </w:r>
          </w:p>
        </w:tc>
        <w:tc>
          <w:tcPr>
            <w:tcW w:w="2835" w:type="dxa"/>
            <w:tcBorders>
              <w:top w:val="single" w:color="auto" w:sz="8" w:space="0"/>
              <w:left w:val="single" w:color="auto" w:sz="8" w:space="0"/>
              <w:bottom w:val="single" w:color="auto" w:sz="8" w:space="0"/>
              <w:right w:val="single" w:color="auto" w:sz="8" w:space="0"/>
            </w:tcBorders>
          </w:tcPr>
          <w:p w:rsidR="008E2F9B" w:rsidRDefault="008E2F9B" w14:paraId="457364EA" w14:textId="7FC8595B">
            <w:r w:rsidRPr="1340296B">
              <w:rPr>
                <w:rFonts w:eastAsia="Arial" w:cs="Arial"/>
                <w:sz w:val="20"/>
                <w:szCs w:val="20"/>
              </w:rPr>
              <w:t>202</w:t>
            </w:r>
            <w:r w:rsidR="005820C6">
              <w:rPr>
                <w:rFonts w:eastAsia="Arial" w:cs="Arial"/>
                <w:sz w:val="20"/>
                <w:szCs w:val="20"/>
              </w:rPr>
              <w:t>3</w:t>
            </w:r>
            <w:r w:rsidRPr="1340296B">
              <w:rPr>
                <w:rFonts w:eastAsia="Arial" w:cs="Arial"/>
                <w:sz w:val="20"/>
                <w:szCs w:val="20"/>
              </w:rPr>
              <w:t>-2</w:t>
            </w:r>
            <w:r w:rsidR="005820C6">
              <w:rPr>
                <w:rFonts w:eastAsia="Arial" w:cs="Arial"/>
                <w:sz w:val="20"/>
                <w:szCs w:val="20"/>
              </w:rPr>
              <w:t>4</w:t>
            </w:r>
            <w:r w:rsidR="006C09D5">
              <w:rPr>
                <w:rFonts w:eastAsia="Arial" w:cs="Arial"/>
                <w:sz w:val="20"/>
                <w:szCs w:val="20"/>
              </w:rPr>
              <w:t xml:space="preserve"> </w:t>
            </w:r>
            <w:r w:rsidRPr="1340296B">
              <w:rPr>
                <w:rFonts w:eastAsia="Arial" w:cs="Arial"/>
                <w:sz w:val="20"/>
                <w:szCs w:val="20"/>
              </w:rPr>
              <w:t>target: $173.84m</w:t>
            </w:r>
          </w:p>
          <w:p w:rsidR="008E2F9B" w:rsidRDefault="008E2F9B" w14:paraId="76F3388D" w14:textId="77777777">
            <w:r w:rsidRPr="006D1DBC">
              <w:rPr>
                <w:rFonts w:eastAsia="Arial" w:cs="Arial"/>
                <w:sz w:val="20"/>
                <w:szCs w:val="20"/>
              </w:rPr>
              <w:t xml:space="preserve"> </w:t>
            </w:r>
          </w:p>
          <w:p w:rsidR="008E2F9B" w:rsidRDefault="008E2F9B" w14:paraId="6BCD675D" w14:textId="77777777">
            <w:r w:rsidRPr="006D1DBC">
              <w:rPr>
                <w:rFonts w:eastAsia="Arial" w:cs="Arial"/>
                <w:i/>
                <w:sz w:val="20"/>
                <w:szCs w:val="20"/>
              </w:rPr>
              <w:t>Of which:</w:t>
            </w:r>
          </w:p>
          <w:p w:rsidR="008E2F9B" w:rsidRDefault="008E2F9B" w14:paraId="42035B96" w14:textId="77777777">
            <w:r w:rsidRPr="006D1DBC">
              <w:rPr>
                <w:rFonts w:eastAsia="Arial" w:cs="Arial"/>
                <w:sz w:val="20"/>
                <w:szCs w:val="20"/>
              </w:rPr>
              <w:t>Colombia – $90 (UK, Germany, Norway)</w:t>
            </w:r>
          </w:p>
          <w:p w:rsidR="008E2F9B" w:rsidRDefault="008E2F9B" w14:paraId="15DD6CA0" w14:textId="77777777">
            <w:r w:rsidRPr="006D1DBC">
              <w:rPr>
                <w:rFonts w:eastAsia="Arial" w:cs="Arial"/>
                <w:sz w:val="20"/>
                <w:szCs w:val="20"/>
              </w:rPr>
              <w:t>Mato Grosso – $49.8 (UK, Germany)</w:t>
            </w:r>
          </w:p>
          <w:p w:rsidR="008E2F9B" w:rsidRDefault="008E2F9B" w14:paraId="6A9CF583" w14:textId="77777777">
            <w:r w:rsidRPr="006D1DBC">
              <w:rPr>
                <w:rFonts w:eastAsia="Arial" w:cs="Arial"/>
                <w:sz w:val="20"/>
                <w:szCs w:val="20"/>
              </w:rPr>
              <w:t xml:space="preserve">Acre – $34.04 (UK, Germany) </w:t>
            </w:r>
          </w:p>
        </w:tc>
        <w:tc>
          <w:tcPr>
            <w:tcW w:w="3750" w:type="dxa"/>
            <w:tcBorders>
              <w:top w:val="single" w:color="auto" w:sz="8" w:space="0"/>
              <w:left w:val="single" w:color="auto" w:sz="8" w:space="0"/>
              <w:bottom w:val="single" w:color="auto" w:sz="8" w:space="0"/>
              <w:right w:val="single" w:color="auto" w:sz="8" w:space="0"/>
            </w:tcBorders>
          </w:tcPr>
          <w:p w:rsidR="008E2F9B" w:rsidRDefault="008E2F9B" w14:paraId="2283960E" w14:textId="77777777">
            <w:pPr>
              <w:rPr>
                <w:rFonts w:eastAsia="Arial" w:cs="Arial"/>
                <w:b/>
                <w:bCs/>
                <w:color w:val="000000" w:themeColor="text1"/>
                <w:sz w:val="20"/>
                <w:szCs w:val="20"/>
              </w:rPr>
            </w:pPr>
            <w:r w:rsidRPr="083C2AE2">
              <w:rPr>
                <w:rFonts w:eastAsia="Arial" w:cs="Arial"/>
                <w:b/>
                <w:bCs/>
                <w:color w:val="000000" w:themeColor="text1"/>
                <w:sz w:val="20"/>
                <w:szCs w:val="20"/>
              </w:rPr>
              <w:t>Progress moderately did not meet expectation</w:t>
            </w:r>
          </w:p>
          <w:p w:rsidR="008E2F9B" w:rsidRDefault="008E2F9B" w14:paraId="5011EBD9" w14:textId="77777777">
            <w:pPr>
              <w:rPr>
                <w:rFonts w:eastAsia="Arial" w:cs="Arial"/>
                <w:b/>
                <w:bCs/>
                <w:color w:val="000000" w:themeColor="text1"/>
                <w:sz w:val="20"/>
                <w:szCs w:val="20"/>
              </w:rPr>
            </w:pPr>
          </w:p>
          <w:p w:rsidR="008E2F9B" w:rsidP="008D2E07" w:rsidRDefault="008E2F9B" w14:paraId="245CDEB3" w14:textId="60CDEB25">
            <w:pPr>
              <w:rPr>
                <w:rFonts w:eastAsia="Arial" w:cs="Arial"/>
                <w:color w:val="000000" w:themeColor="text1"/>
                <w:sz w:val="20"/>
                <w:szCs w:val="20"/>
              </w:rPr>
            </w:pPr>
            <w:r w:rsidRPr="61AB1AE6">
              <w:rPr>
                <w:rFonts w:eastAsia="Arial" w:cs="Arial"/>
                <w:b/>
                <w:bCs/>
                <w:color w:val="000000" w:themeColor="text1"/>
                <w:sz w:val="20"/>
                <w:szCs w:val="20"/>
              </w:rPr>
              <w:t xml:space="preserve">Total: </w:t>
            </w:r>
            <w:r w:rsidRPr="61AB1AE6">
              <w:rPr>
                <w:rFonts w:eastAsia="Arial" w:cs="Arial"/>
                <w:color w:val="000000" w:themeColor="text1"/>
                <w:sz w:val="20"/>
                <w:szCs w:val="20"/>
              </w:rPr>
              <w:t>$160M (approx</w:t>
            </w:r>
            <w:r w:rsidR="0050421C">
              <w:rPr>
                <w:rFonts w:eastAsia="Arial" w:cs="Arial"/>
                <w:color w:val="000000" w:themeColor="text1"/>
                <w:sz w:val="20"/>
                <w:szCs w:val="20"/>
              </w:rPr>
              <w:t>imate</w:t>
            </w:r>
            <w:r w:rsidRPr="61AB1AE6">
              <w:rPr>
                <w:rFonts w:eastAsia="Arial" w:cs="Arial"/>
                <w:color w:val="000000" w:themeColor="text1"/>
                <w:sz w:val="20"/>
                <w:szCs w:val="20"/>
              </w:rPr>
              <w:t xml:space="preserve"> due to exchange rates)</w:t>
            </w:r>
          </w:p>
          <w:p w:rsidR="00495CF3" w:rsidP="008D2E07" w:rsidRDefault="00495CF3" w14:paraId="05187F1E" w14:textId="77777777">
            <w:pPr>
              <w:rPr>
                <w:rFonts w:eastAsia="Arial" w:cs="Arial"/>
                <w:color w:val="000000" w:themeColor="text1"/>
                <w:sz w:val="20"/>
                <w:szCs w:val="20"/>
              </w:rPr>
            </w:pPr>
          </w:p>
          <w:p w:rsidRPr="00BB7D1B" w:rsidR="008E2F9B" w:rsidRDefault="5CEEBADF" w14:paraId="1AA243D1" w14:textId="41261C37">
            <w:pPr>
              <w:rPr>
                <w:rFonts w:eastAsia="Arial" w:cs="Arial"/>
                <w:color w:val="000000" w:themeColor="text1"/>
                <w:sz w:val="20"/>
                <w:szCs w:val="20"/>
              </w:rPr>
            </w:pPr>
            <w:r w:rsidRPr="6D6666F9">
              <w:rPr>
                <w:rFonts w:eastAsia="Arial" w:cs="Arial"/>
                <w:i/>
                <w:iCs/>
                <w:color w:val="000000" w:themeColor="text1"/>
                <w:sz w:val="20"/>
                <w:szCs w:val="20"/>
              </w:rPr>
              <w:t xml:space="preserve">Of which: </w:t>
            </w:r>
            <w:r w:rsidRPr="00BB7D1B" w:rsidR="711DF27F">
              <w:rPr>
                <w:rFonts w:eastAsia="Arial" w:cs="Arial"/>
                <w:color w:val="000000" w:themeColor="text1"/>
                <w:sz w:val="20"/>
                <w:szCs w:val="20"/>
              </w:rPr>
              <w:t>Colombia: $88</w:t>
            </w:r>
            <w:r w:rsidRPr="2B474CEA" w:rsidR="008E2F9B">
              <w:rPr>
                <w:rStyle w:val="FootnoteReference"/>
                <w:rFonts w:eastAsia="Arial" w:cs="Arial"/>
                <w:color w:val="000000" w:themeColor="text1"/>
                <w:sz w:val="20"/>
                <w:szCs w:val="20"/>
              </w:rPr>
              <w:footnoteReference w:id="16"/>
            </w:r>
          </w:p>
          <w:p w:rsidRPr="00BB7D1B" w:rsidR="008E2F9B" w:rsidRDefault="008E2F9B" w14:paraId="5E105821" w14:textId="352112DF">
            <w:pPr>
              <w:rPr>
                <w:rFonts w:eastAsia="Arial" w:cs="Arial"/>
                <w:color w:val="000000" w:themeColor="text1"/>
                <w:sz w:val="20"/>
                <w:szCs w:val="20"/>
              </w:rPr>
            </w:pPr>
            <w:r w:rsidRPr="6E285F8D">
              <w:rPr>
                <w:rFonts w:eastAsia="Arial" w:cs="Arial"/>
                <w:color w:val="000000" w:themeColor="text1"/>
                <w:sz w:val="20"/>
                <w:szCs w:val="20"/>
              </w:rPr>
              <w:t>Mato Grosso: $49.8</w:t>
            </w:r>
          </w:p>
          <w:p w:rsidRPr="006D1DBC" w:rsidR="008E2F9B" w:rsidRDefault="711DF27F" w14:paraId="3411D476" w14:textId="77777777">
            <w:pPr>
              <w:rPr>
                <w:rFonts w:eastAsia="Arial" w:cs="Arial"/>
                <w:color w:val="000000" w:themeColor="text1"/>
                <w:sz w:val="20"/>
                <w:szCs w:val="20"/>
                <w:lang w:val="pt-BR"/>
              </w:rPr>
            </w:pPr>
            <w:r w:rsidRPr="006D1DBC">
              <w:rPr>
                <w:rFonts w:eastAsia="Arial" w:cs="Arial"/>
                <w:color w:val="000000" w:themeColor="text1"/>
                <w:sz w:val="20"/>
                <w:szCs w:val="20"/>
                <w:lang w:val="pt-BR"/>
              </w:rPr>
              <w:t>Acre: $20.5m</w:t>
            </w:r>
            <w:r w:rsidRPr="2B474CEA" w:rsidR="008E2F9B">
              <w:rPr>
                <w:rStyle w:val="FootnoteReference"/>
                <w:rFonts w:eastAsia="Arial" w:cs="Arial"/>
                <w:color w:val="000000" w:themeColor="text1"/>
                <w:sz w:val="20"/>
                <w:szCs w:val="20"/>
              </w:rPr>
              <w:footnoteReference w:id="17"/>
            </w:r>
          </w:p>
          <w:p w:rsidRPr="006D1DBC" w:rsidR="008E2F9B" w:rsidRDefault="008E2F9B" w14:paraId="2B1090FB" w14:textId="77777777">
            <w:pPr>
              <w:rPr>
                <w:rFonts w:eastAsia="Arial" w:cs="Arial"/>
                <w:b/>
                <w:sz w:val="20"/>
                <w:szCs w:val="20"/>
                <w:lang w:val="pt-BR"/>
              </w:rPr>
            </w:pPr>
          </w:p>
        </w:tc>
      </w:tr>
    </w:tbl>
    <w:p w:rsidRPr="00CA376B" w:rsidR="00C22C27" w:rsidP="004D5FD5" w:rsidRDefault="00C22C27" w14:paraId="055FDF8F" w14:textId="77777777">
      <w:pPr>
        <w:jc w:val="both"/>
        <w:rPr>
          <w:rFonts w:cs="Arial"/>
          <w:sz w:val="20"/>
          <w:szCs w:val="20"/>
        </w:rPr>
      </w:pPr>
    </w:p>
    <w:p w:rsidRPr="00CA376B" w:rsidR="00846850" w:rsidP="004D5FD5" w:rsidRDefault="00846850" w14:paraId="5EA1580B" w14:textId="6EBB823F">
      <w:pPr>
        <w:jc w:val="both"/>
        <w:rPr>
          <w:rFonts w:cs="Arial"/>
          <w:b/>
          <w:sz w:val="18"/>
          <w:szCs w:val="18"/>
        </w:rPr>
      </w:pPr>
      <w:r w:rsidRPr="00CA376B">
        <w:rPr>
          <w:b/>
          <w:bCs/>
          <w:i/>
          <w:iCs/>
          <w:sz w:val="22"/>
          <w:szCs w:val="22"/>
        </w:rPr>
        <w:t>Output summary and supporting narrative for the score</w:t>
      </w:r>
    </w:p>
    <w:p w:rsidR="00D63761" w:rsidP="004D5FD5" w:rsidRDefault="008E2F9B" w14:paraId="5C78A3BD" w14:textId="417ED411">
      <w:pPr>
        <w:jc w:val="both"/>
        <w:rPr>
          <w:rFonts w:cs="Arial"/>
          <w:bCs/>
          <w:sz w:val="20"/>
          <w:szCs w:val="20"/>
        </w:rPr>
      </w:pPr>
      <w:r w:rsidRPr="001A5E06">
        <w:rPr>
          <w:rFonts w:cs="Arial"/>
          <w:bCs/>
          <w:sz w:val="20"/>
          <w:szCs w:val="20"/>
        </w:rPr>
        <w:t xml:space="preserve">No further progress has been made against this indicator </w:t>
      </w:r>
      <w:r w:rsidR="002C48FF">
        <w:rPr>
          <w:rFonts w:cs="Arial"/>
          <w:bCs/>
          <w:sz w:val="20"/>
          <w:szCs w:val="20"/>
        </w:rPr>
        <w:t>for REM 1</w:t>
      </w:r>
      <w:r w:rsidRPr="001A5E06" w:rsidR="00846850">
        <w:rPr>
          <w:rFonts w:cs="Arial"/>
          <w:bCs/>
          <w:sz w:val="20"/>
          <w:szCs w:val="20"/>
        </w:rPr>
        <w:t xml:space="preserve">. </w:t>
      </w:r>
      <w:r w:rsidR="00F10D65">
        <w:rPr>
          <w:rFonts w:cs="Arial"/>
          <w:bCs/>
          <w:sz w:val="20"/>
          <w:szCs w:val="20"/>
        </w:rPr>
        <w:t xml:space="preserve">Colombia received funding for Phase 2 of REM </w:t>
      </w:r>
      <w:r w:rsidR="00D66311">
        <w:rPr>
          <w:rFonts w:cs="Arial"/>
          <w:bCs/>
          <w:sz w:val="20"/>
          <w:szCs w:val="20"/>
        </w:rPr>
        <w:t>($25 million approximately) in December 2022, but this was German and Norwegian funding</w:t>
      </w:r>
      <w:r w:rsidR="00266475">
        <w:rPr>
          <w:rFonts w:cs="Arial"/>
          <w:bCs/>
          <w:sz w:val="20"/>
          <w:szCs w:val="20"/>
        </w:rPr>
        <w:t>.</w:t>
      </w:r>
      <w:r w:rsidR="009D23A1">
        <w:rPr>
          <w:rFonts w:cs="Arial"/>
          <w:bCs/>
          <w:sz w:val="20"/>
          <w:szCs w:val="20"/>
        </w:rPr>
        <w:t xml:space="preserve"> Germany disbursed a further </w:t>
      </w:r>
      <w:r w:rsidR="00AE6597">
        <w:rPr>
          <w:rFonts w:cs="Arial"/>
          <w:bCs/>
          <w:sz w:val="20"/>
          <w:szCs w:val="20"/>
        </w:rPr>
        <w:t xml:space="preserve">EUR </w:t>
      </w:r>
      <w:r w:rsidRPr="00AE6597" w:rsidR="00AE6597">
        <w:rPr>
          <w:rFonts w:cs="Arial"/>
          <w:bCs/>
          <w:sz w:val="20"/>
          <w:szCs w:val="20"/>
        </w:rPr>
        <w:t>4.150.000</w:t>
      </w:r>
      <w:r w:rsidR="00AE6597">
        <w:rPr>
          <w:rFonts w:cs="Arial"/>
          <w:bCs/>
          <w:sz w:val="20"/>
          <w:szCs w:val="20"/>
        </w:rPr>
        <w:t xml:space="preserve"> in November of 2023, for policy milestones</w:t>
      </w:r>
      <w:r w:rsidR="00364254">
        <w:rPr>
          <w:rFonts w:cs="Arial"/>
          <w:bCs/>
          <w:sz w:val="20"/>
          <w:szCs w:val="20"/>
        </w:rPr>
        <w:t xml:space="preserve"> achieved in 2021</w:t>
      </w:r>
      <w:r w:rsidR="00AD32A2">
        <w:rPr>
          <w:rFonts w:cs="Arial"/>
          <w:bCs/>
          <w:sz w:val="20"/>
          <w:szCs w:val="20"/>
        </w:rPr>
        <w:t>, bringing the total paid for REM 2 up to EUR 32 million from Germany and Norway</w:t>
      </w:r>
      <w:r w:rsidR="00773151">
        <w:rPr>
          <w:rFonts w:cs="Arial"/>
          <w:bCs/>
          <w:sz w:val="20"/>
          <w:szCs w:val="20"/>
        </w:rPr>
        <w:t xml:space="preserve">. </w:t>
      </w:r>
      <w:r w:rsidR="006A0A1F">
        <w:rPr>
          <w:rFonts w:cs="Arial"/>
          <w:bCs/>
          <w:sz w:val="20"/>
          <w:szCs w:val="20"/>
        </w:rPr>
        <w:t xml:space="preserve">No UK funding has been </w:t>
      </w:r>
      <w:r w:rsidR="002A616E">
        <w:rPr>
          <w:rFonts w:cs="Arial"/>
          <w:bCs/>
          <w:sz w:val="20"/>
          <w:szCs w:val="20"/>
        </w:rPr>
        <w:t xml:space="preserve">disbursed </w:t>
      </w:r>
      <w:r w:rsidR="006A0A1F">
        <w:rPr>
          <w:rFonts w:cs="Arial"/>
          <w:bCs/>
          <w:sz w:val="20"/>
          <w:szCs w:val="20"/>
        </w:rPr>
        <w:t xml:space="preserve">to Colombia yet, but in this reporting period the </w:t>
      </w:r>
      <w:r w:rsidR="005030E3">
        <w:rPr>
          <w:rFonts w:cs="Arial"/>
          <w:bCs/>
          <w:sz w:val="20"/>
          <w:szCs w:val="20"/>
        </w:rPr>
        <w:t>Promissory Note for £15 million was laid for Phase 2 (March 202</w:t>
      </w:r>
      <w:r w:rsidR="00B9679E">
        <w:rPr>
          <w:rFonts w:cs="Arial"/>
          <w:bCs/>
          <w:sz w:val="20"/>
          <w:szCs w:val="20"/>
        </w:rPr>
        <w:t>4</w:t>
      </w:r>
      <w:r w:rsidR="005030E3">
        <w:rPr>
          <w:rFonts w:cs="Arial"/>
          <w:bCs/>
          <w:sz w:val="20"/>
          <w:szCs w:val="20"/>
        </w:rPr>
        <w:t xml:space="preserve">), as well as the </w:t>
      </w:r>
      <w:r w:rsidR="00B9679E">
        <w:rPr>
          <w:rFonts w:cs="Arial"/>
          <w:bCs/>
          <w:sz w:val="20"/>
          <w:szCs w:val="20"/>
        </w:rPr>
        <w:t>Promissory</w:t>
      </w:r>
      <w:r w:rsidR="005030E3">
        <w:rPr>
          <w:rFonts w:cs="Arial"/>
          <w:bCs/>
          <w:sz w:val="20"/>
          <w:szCs w:val="20"/>
        </w:rPr>
        <w:t xml:space="preserve"> Note for Mato Grosso Phase 2 (December 202</w:t>
      </w:r>
      <w:r w:rsidR="00B9679E">
        <w:rPr>
          <w:rFonts w:cs="Arial"/>
          <w:bCs/>
          <w:sz w:val="20"/>
          <w:szCs w:val="20"/>
        </w:rPr>
        <w:t>3).</w:t>
      </w:r>
      <w:r w:rsidR="005030E3">
        <w:rPr>
          <w:rFonts w:cs="Arial"/>
          <w:bCs/>
          <w:sz w:val="20"/>
          <w:szCs w:val="20"/>
        </w:rPr>
        <w:t xml:space="preserve"> </w:t>
      </w:r>
      <w:r w:rsidR="002C48FF">
        <w:rPr>
          <w:rFonts w:cs="Arial"/>
          <w:bCs/>
          <w:sz w:val="20"/>
          <w:szCs w:val="20"/>
        </w:rPr>
        <w:t xml:space="preserve">For Phase 2, </w:t>
      </w:r>
      <w:r w:rsidR="00A33287">
        <w:rPr>
          <w:rFonts w:cs="Arial"/>
          <w:bCs/>
          <w:sz w:val="20"/>
          <w:szCs w:val="20"/>
        </w:rPr>
        <w:t>disbursements have been made for Mato Grosso</w:t>
      </w:r>
      <w:r w:rsidR="00773151">
        <w:rPr>
          <w:rFonts w:cs="Arial"/>
          <w:bCs/>
          <w:sz w:val="20"/>
          <w:szCs w:val="20"/>
        </w:rPr>
        <w:t xml:space="preserve"> in the next reporting period</w:t>
      </w:r>
      <w:r w:rsidR="00B9679E">
        <w:rPr>
          <w:rFonts w:cs="Arial"/>
          <w:bCs/>
          <w:sz w:val="20"/>
          <w:szCs w:val="20"/>
        </w:rPr>
        <w:t xml:space="preserve">, and a disbursement is expected for policy milestones in Colombia </w:t>
      </w:r>
      <w:r w:rsidR="0010755F">
        <w:rPr>
          <w:rFonts w:cs="Arial"/>
          <w:bCs/>
          <w:sz w:val="20"/>
          <w:szCs w:val="20"/>
        </w:rPr>
        <w:t xml:space="preserve">during the 24-25 period too. </w:t>
      </w:r>
    </w:p>
    <w:p w:rsidRPr="00D80C6C" w:rsidR="003D222C" w:rsidP="004D5FD5" w:rsidRDefault="003D222C" w14:paraId="45AE6586" w14:textId="41D54493">
      <w:pPr>
        <w:jc w:val="both"/>
        <w:rPr>
          <w:rFonts w:cs="Arial"/>
          <w:bCs/>
          <w:sz w:val="22"/>
          <w:szCs w:val="22"/>
        </w:rPr>
      </w:pPr>
    </w:p>
    <w:p w:rsidR="00C02966" w:rsidP="4ABD8DC8" w:rsidRDefault="00C02966" w14:paraId="30615A85" w14:textId="22D0277C">
      <w:pPr>
        <w:jc w:val="both"/>
        <w:rPr>
          <w:rFonts w:cs="Arial"/>
          <w:sz w:val="20"/>
          <w:szCs w:val="20"/>
        </w:rPr>
      </w:pPr>
      <w:r w:rsidRPr="4ABD8DC8">
        <w:rPr>
          <w:b/>
          <w:bCs/>
          <w:i/>
          <w:iCs/>
          <w:sz w:val="22"/>
          <w:szCs w:val="22"/>
        </w:rPr>
        <w:t>C</w:t>
      </w:r>
      <w:r w:rsidRPr="4ABD8DC8" w:rsidR="003D222C">
        <w:rPr>
          <w:b/>
          <w:bCs/>
          <w:i/>
          <w:iCs/>
          <w:sz w:val="22"/>
          <w:szCs w:val="22"/>
        </w:rPr>
        <w:t xml:space="preserve">hanges </w:t>
      </w:r>
      <w:r w:rsidRPr="4ABD8DC8" w:rsidR="5AA7F347">
        <w:rPr>
          <w:b/>
          <w:bCs/>
          <w:i/>
          <w:iCs/>
          <w:sz w:val="22"/>
          <w:szCs w:val="22"/>
        </w:rPr>
        <w:t xml:space="preserve">to </w:t>
      </w:r>
      <w:r w:rsidRPr="4ABD8DC8" w:rsidR="003D222C">
        <w:rPr>
          <w:b/>
          <w:bCs/>
          <w:i/>
          <w:iCs/>
          <w:sz w:val="22"/>
          <w:szCs w:val="22"/>
        </w:rPr>
        <w:t>this output, and any planned changes as a result of this review</w:t>
      </w:r>
    </w:p>
    <w:p w:rsidR="00C02966" w:rsidP="578D5448" w:rsidRDefault="663F6202" w14:paraId="2F77B3FA" w14:textId="0B390426">
      <w:pPr>
        <w:jc w:val="both"/>
        <w:rPr>
          <w:rFonts w:cs="Arial"/>
          <w:sz w:val="20"/>
          <w:szCs w:val="20"/>
        </w:rPr>
      </w:pPr>
      <w:r w:rsidRPr="4ABD8DC8">
        <w:rPr>
          <w:rFonts w:cs="Arial"/>
          <w:sz w:val="20"/>
          <w:szCs w:val="20"/>
        </w:rPr>
        <w:t>No formal changes will be made to the log frame given the short period the programme is still operating in</w:t>
      </w:r>
      <w:r w:rsidR="0010755F">
        <w:rPr>
          <w:rFonts w:cs="Arial"/>
          <w:sz w:val="20"/>
          <w:szCs w:val="20"/>
        </w:rPr>
        <w:t>, but next year the next phases of REM 2 will be included in the reporting</w:t>
      </w:r>
      <w:r w:rsidRPr="4ABD8DC8">
        <w:rPr>
          <w:rFonts w:cs="Arial"/>
          <w:sz w:val="20"/>
          <w:szCs w:val="20"/>
        </w:rPr>
        <w:t xml:space="preserve"> </w:t>
      </w:r>
      <w:r w:rsidR="0010755F">
        <w:rPr>
          <w:rFonts w:cs="Arial"/>
          <w:sz w:val="20"/>
          <w:szCs w:val="20"/>
        </w:rPr>
        <w:t xml:space="preserve">of this indicator. We will also see the disbursement to Acre included in </w:t>
      </w:r>
      <w:r w:rsidR="006F5D7E">
        <w:rPr>
          <w:rFonts w:cs="Arial"/>
          <w:sz w:val="20"/>
          <w:szCs w:val="20"/>
        </w:rPr>
        <w:t>the progress of this indicator</w:t>
      </w:r>
      <w:r w:rsidR="00891E28">
        <w:rPr>
          <w:rFonts w:cs="Arial"/>
          <w:sz w:val="20"/>
          <w:szCs w:val="20"/>
        </w:rPr>
        <w:t xml:space="preserve"> next year, completing REM 1 disbursements. </w:t>
      </w:r>
    </w:p>
    <w:p w:rsidR="578D5448" w:rsidP="578D5448" w:rsidRDefault="578D5448" w14:paraId="374193D8" w14:textId="3E4DBA13">
      <w:pPr>
        <w:jc w:val="both"/>
        <w:rPr>
          <w:rFonts w:cs="Arial"/>
          <w:sz w:val="20"/>
          <w:szCs w:val="20"/>
        </w:rPr>
      </w:pPr>
    </w:p>
    <w:p w:rsidRPr="00CA376B" w:rsidR="00D02EF2" w:rsidP="3A221014" w:rsidRDefault="00D02EF2" w14:paraId="7AEC50D0" w14:textId="56E523F0">
      <w:pPr>
        <w:jc w:val="both"/>
        <w:rPr>
          <w:b/>
          <w:bCs/>
          <w:i/>
          <w:iCs/>
          <w:sz w:val="22"/>
          <w:szCs w:val="22"/>
        </w:rPr>
      </w:pPr>
      <w:r w:rsidRPr="00CA376B">
        <w:rPr>
          <w:b/>
          <w:bCs/>
          <w:i/>
          <w:iCs/>
          <w:sz w:val="22"/>
          <w:szCs w:val="22"/>
        </w:rPr>
        <w:lastRenderedPageBreak/>
        <w:t>Progress on recommendations from the previous AR, lessons learned this year, and recommendations for the year ahead</w:t>
      </w:r>
    </w:p>
    <w:p w:rsidR="00B02517" w:rsidP="00AA4CF1" w:rsidRDefault="00FE5FD6" w14:paraId="10239D3F" w14:textId="77777777">
      <w:pPr>
        <w:jc w:val="both"/>
        <w:rPr>
          <w:sz w:val="20"/>
          <w:szCs w:val="20"/>
        </w:rPr>
      </w:pPr>
      <w:r>
        <w:rPr>
          <w:sz w:val="20"/>
          <w:szCs w:val="20"/>
        </w:rPr>
        <w:t>Next year</w:t>
      </w:r>
      <w:r w:rsidR="00B02517">
        <w:rPr>
          <w:sz w:val="20"/>
          <w:szCs w:val="20"/>
        </w:rPr>
        <w:t>’s targets</w:t>
      </w:r>
      <w:r>
        <w:rPr>
          <w:sz w:val="20"/>
          <w:szCs w:val="20"/>
        </w:rPr>
        <w:t xml:space="preserve"> will include</w:t>
      </w:r>
      <w:r w:rsidR="00B02517">
        <w:rPr>
          <w:sz w:val="20"/>
          <w:szCs w:val="20"/>
        </w:rPr>
        <w:t xml:space="preserve">: </w:t>
      </w:r>
    </w:p>
    <w:p w:rsidR="00AA4CF1" w:rsidP="00B02517" w:rsidRDefault="00B02517" w14:paraId="6ECF9FD1" w14:textId="07BE70BC">
      <w:pPr>
        <w:pStyle w:val="ListParagraph"/>
        <w:numPr>
          <w:ilvl w:val="0"/>
          <w:numId w:val="42"/>
        </w:numPr>
        <w:jc w:val="both"/>
        <w:rPr>
          <w:sz w:val="20"/>
        </w:rPr>
      </w:pPr>
      <w:r>
        <w:rPr>
          <w:sz w:val="20"/>
        </w:rPr>
        <w:t>C</w:t>
      </w:r>
      <w:r w:rsidRPr="00B02517" w:rsidR="00FE5FD6">
        <w:rPr>
          <w:sz w:val="20"/>
        </w:rPr>
        <w:t>ompleting the</w:t>
      </w:r>
      <w:r w:rsidRPr="00B02517">
        <w:rPr>
          <w:sz w:val="20"/>
        </w:rPr>
        <w:t xml:space="preserve"> disbursement</w:t>
      </w:r>
      <w:r>
        <w:rPr>
          <w:sz w:val="20"/>
        </w:rPr>
        <w:t xml:space="preserve">s to Acre (for more detail see Outcome 1). </w:t>
      </w:r>
    </w:p>
    <w:p w:rsidRPr="00963FF3" w:rsidR="0038158E" w:rsidRDefault="00CC0927" w14:paraId="6F470C72" w14:textId="1D6358F0">
      <w:pPr>
        <w:pStyle w:val="ListParagraph"/>
        <w:numPr>
          <w:ilvl w:val="0"/>
          <w:numId w:val="42"/>
        </w:numPr>
        <w:jc w:val="both"/>
        <w:rPr>
          <w:rFonts w:cs="Arial"/>
          <w:sz w:val="22"/>
          <w:szCs w:val="22"/>
        </w:rPr>
      </w:pPr>
      <w:r w:rsidRPr="00963FF3">
        <w:rPr>
          <w:sz w:val="20"/>
        </w:rPr>
        <w:t>For DESNZ to include targets for Phase 2 of REM in the log frame indicators (begin reporting on</w:t>
      </w:r>
      <w:r w:rsidRPr="00963FF3" w:rsidR="00485080">
        <w:rPr>
          <w:sz w:val="20"/>
        </w:rPr>
        <w:t xml:space="preserve"> REM 2, including making a log frame for Phase 2). </w:t>
      </w:r>
    </w:p>
    <w:tbl>
      <w:tblPr>
        <w:tblStyle w:val="TableGrid"/>
        <w:tblW w:w="0" w:type="auto"/>
        <w:tblLayout w:type="fixed"/>
        <w:tblLook w:val="04A0" w:firstRow="1" w:lastRow="0" w:firstColumn="1" w:lastColumn="0" w:noHBand="0" w:noVBand="1"/>
      </w:tblPr>
      <w:tblGrid>
        <w:gridCol w:w="1695"/>
        <w:gridCol w:w="600"/>
        <w:gridCol w:w="1065"/>
        <w:gridCol w:w="3240"/>
        <w:gridCol w:w="2760"/>
      </w:tblGrid>
      <w:tr w:rsidR="00CA2016" w:rsidTr="578D5448" w14:paraId="3FAF6FC4" w14:textId="77777777">
        <w:trPr>
          <w:trHeight w:val="495"/>
        </w:trPr>
        <w:tc>
          <w:tcPr>
            <w:tcW w:w="169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Pr="00346CDC" w:rsidR="00CA2016" w:rsidRDefault="00CA2016" w14:paraId="0138E5CD" w14:textId="77777777">
            <w:r w:rsidRPr="00346CDC">
              <w:rPr>
                <w:rFonts w:eastAsia="Arial" w:cs="Arial"/>
                <w:b/>
                <w:bCs/>
                <w:color w:val="000000" w:themeColor="text1"/>
                <w:sz w:val="20"/>
                <w:szCs w:val="20"/>
              </w:rPr>
              <w:t xml:space="preserve">Output Title </w:t>
            </w:r>
          </w:p>
        </w:tc>
        <w:tc>
          <w:tcPr>
            <w:tcW w:w="7665" w:type="dxa"/>
            <w:gridSpan w:val="4"/>
            <w:tcBorders>
              <w:top w:val="single" w:color="auto" w:sz="8" w:space="0"/>
              <w:left w:val="single" w:color="auto" w:sz="8" w:space="0"/>
              <w:bottom w:val="single" w:color="auto" w:sz="8" w:space="0"/>
              <w:right w:val="single" w:color="auto" w:sz="8" w:space="0"/>
            </w:tcBorders>
            <w:shd w:val="clear" w:color="auto" w:fill="FFFFFF" w:themeFill="background1"/>
          </w:tcPr>
          <w:p w:rsidRPr="00346CDC" w:rsidR="00CA2016" w:rsidRDefault="00CA2016" w14:paraId="7ED4AAF5" w14:textId="77777777">
            <w:r w:rsidRPr="00346CDC">
              <w:rPr>
                <w:rFonts w:eastAsia="Arial" w:cs="Arial"/>
                <w:color w:val="000000" w:themeColor="text1"/>
                <w:sz w:val="20"/>
                <w:szCs w:val="20"/>
              </w:rPr>
              <w:t>Establishing and maintaining the capacity of implementing Ministry, the finance mechanism and implementing entities to effectively and efficiently implement the results-based payment scheme/REDD+ in the Amazon region</w:t>
            </w:r>
          </w:p>
        </w:tc>
      </w:tr>
      <w:tr w:rsidR="00CA2016" w:rsidTr="578D5448" w14:paraId="67E58F0D" w14:textId="77777777">
        <w:trPr>
          <w:trHeight w:val="345"/>
        </w:trPr>
        <w:tc>
          <w:tcPr>
            <w:tcW w:w="229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CA2016" w:rsidRDefault="00CA2016" w14:paraId="485F93D6" w14:textId="77777777">
            <w:r w:rsidRPr="4E81ABC2">
              <w:rPr>
                <w:rFonts w:eastAsia="Arial" w:cs="Arial"/>
                <w:color w:val="000000" w:themeColor="text1"/>
                <w:sz w:val="20"/>
                <w:szCs w:val="20"/>
              </w:rPr>
              <w:t xml:space="preserve">Output number: </w:t>
            </w:r>
          </w:p>
        </w:tc>
        <w:tc>
          <w:tcPr>
            <w:tcW w:w="1065" w:type="dxa"/>
            <w:tcBorders>
              <w:top w:val="nil"/>
              <w:left w:val="nil"/>
              <w:bottom w:val="single" w:color="auto" w:sz="8" w:space="0"/>
              <w:right w:val="single" w:color="auto" w:sz="8" w:space="0"/>
            </w:tcBorders>
          </w:tcPr>
          <w:p w:rsidR="00CA2016" w:rsidRDefault="00CA2016" w14:paraId="15B74639" w14:textId="77777777">
            <w:r w:rsidRPr="4E81ABC2">
              <w:rPr>
                <w:rFonts w:eastAsia="Arial" w:cs="Arial"/>
                <w:sz w:val="20"/>
                <w:szCs w:val="20"/>
              </w:rPr>
              <w:t>2</w:t>
            </w:r>
          </w:p>
        </w:tc>
        <w:tc>
          <w:tcPr>
            <w:tcW w:w="3240" w:type="dxa"/>
            <w:tcBorders>
              <w:top w:val="nil"/>
              <w:left w:val="single" w:color="auto" w:sz="8" w:space="0"/>
              <w:bottom w:val="single" w:color="auto" w:sz="8" w:space="0"/>
              <w:right w:val="single" w:color="auto" w:sz="8" w:space="0"/>
            </w:tcBorders>
            <w:shd w:val="clear" w:color="auto" w:fill="D9E2F3" w:themeFill="accent1" w:themeFillTint="33"/>
          </w:tcPr>
          <w:p w:rsidR="00CA2016" w:rsidRDefault="00CA2016" w14:paraId="330DA524" w14:textId="77777777">
            <w:r w:rsidRPr="3A6F7E13">
              <w:rPr>
                <w:rFonts w:eastAsia="Arial" w:cs="Arial"/>
                <w:color w:val="000000" w:themeColor="text1"/>
                <w:sz w:val="20"/>
                <w:szCs w:val="20"/>
              </w:rPr>
              <w:t xml:space="preserve">Output Score: </w:t>
            </w:r>
          </w:p>
        </w:tc>
        <w:tc>
          <w:tcPr>
            <w:tcW w:w="2760" w:type="dxa"/>
            <w:tcBorders>
              <w:top w:val="nil"/>
              <w:left w:val="single" w:color="auto" w:sz="8" w:space="0"/>
              <w:bottom w:val="single" w:color="auto" w:sz="8" w:space="0"/>
              <w:right w:val="single" w:color="auto" w:sz="8" w:space="0"/>
            </w:tcBorders>
          </w:tcPr>
          <w:p w:rsidR="00CA2016" w:rsidRDefault="18071AA5" w14:paraId="2D8524E7" w14:textId="2CBB7CBC">
            <w:pPr>
              <w:rPr>
                <w:rFonts w:eastAsia="Arial" w:cs="Arial"/>
                <w:b/>
                <w:bCs/>
                <w:sz w:val="20"/>
                <w:szCs w:val="20"/>
              </w:rPr>
            </w:pPr>
            <w:r w:rsidRPr="578D5448">
              <w:rPr>
                <w:rFonts w:eastAsia="Arial" w:cs="Arial"/>
                <w:b/>
                <w:bCs/>
                <w:sz w:val="20"/>
                <w:szCs w:val="20"/>
              </w:rPr>
              <w:t>A</w:t>
            </w:r>
          </w:p>
        </w:tc>
      </w:tr>
      <w:tr w:rsidR="00CA2016" w:rsidTr="578D5448" w14:paraId="3F36B961" w14:textId="77777777">
        <w:trPr>
          <w:trHeight w:val="345"/>
        </w:trPr>
        <w:tc>
          <w:tcPr>
            <w:tcW w:w="229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CA2016" w:rsidRDefault="00CA2016" w14:paraId="6CADDD75" w14:textId="77777777">
            <w:r w:rsidRPr="4E81ABC2">
              <w:rPr>
                <w:rFonts w:eastAsia="Arial" w:cs="Arial"/>
                <w:color w:val="000000" w:themeColor="text1"/>
                <w:sz w:val="20"/>
                <w:szCs w:val="20"/>
              </w:rPr>
              <w:t xml:space="preserve">Impact weighting (%):  </w:t>
            </w:r>
          </w:p>
        </w:tc>
        <w:tc>
          <w:tcPr>
            <w:tcW w:w="1065" w:type="dxa"/>
            <w:tcBorders>
              <w:top w:val="single" w:color="auto" w:sz="8" w:space="0"/>
              <w:left w:val="nil"/>
              <w:bottom w:val="single" w:color="auto" w:sz="8" w:space="0"/>
              <w:right w:val="single" w:color="auto" w:sz="8" w:space="0"/>
            </w:tcBorders>
          </w:tcPr>
          <w:p w:rsidR="00CA2016" w:rsidRDefault="00CA2016" w14:paraId="6515B562" w14:textId="77777777">
            <w:r w:rsidRPr="4E81ABC2">
              <w:rPr>
                <w:rFonts w:eastAsia="Arial" w:cs="Arial"/>
                <w:sz w:val="20"/>
                <w:szCs w:val="20"/>
              </w:rPr>
              <w:t>12.5%</w:t>
            </w:r>
          </w:p>
        </w:tc>
        <w:tc>
          <w:tcPr>
            <w:tcW w:w="324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CA2016" w:rsidRDefault="00CA2016" w14:paraId="0CDC4F64" w14:textId="77777777">
            <w:r w:rsidRPr="4E81ABC2">
              <w:rPr>
                <w:rFonts w:eastAsia="Arial" w:cs="Arial"/>
                <w:color w:val="000000" w:themeColor="text1"/>
                <w:sz w:val="20"/>
                <w:szCs w:val="20"/>
              </w:rPr>
              <w:t xml:space="preserve">Weighting revised since last AR? </w:t>
            </w:r>
          </w:p>
        </w:tc>
        <w:tc>
          <w:tcPr>
            <w:tcW w:w="2760" w:type="dxa"/>
            <w:tcBorders>
              <w:top w:val="single" w:color="auto" w:sz="8" w:space="0"/>
              <w:left w:val="single" w:color="auto" w:sz="8" w:space="0"/>
              <w:bottom w:val="single" w:color="auto" w:sz="8" w:space="0"/>
              <w:right w:val="single" w:color="auto" w:sz="8" w:space="0"/>
            </w:tcBorders>
          </w:tcPr>
          <w:p w:rsidR="00CA2016" w:rsidRDefault="00CA2016" w14:paraId="7ADE5A2F" w14:textId="77777777">
            <w:r w:rsidRPr="4E81ABC2">
              <w:rPr>
                <w:rFonts w:eastAsia="Arial" w:cs="Arial"/>
                <w:sz w:val="20"/>
                <w:szCs w:val="20"/>
              </w:rPr>
              <w:t>No</w:t>
            </w:r>
          </w:p>
        </w:tc>
      </w:tr>
      <w:tr w:rsidR="00CA2016" w:rsidTr="578D5448" w14:paraId="152693F9" w14:textId="77777777">
        <w:trPr>
          <w:trHeight w:val="345"/>
        </w:trPr>
        <w:tc>
          <w:tcPr>
            <w:tcW w:w="229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CA2016" w:rsidRDefault="00CA2016" w14:paraId="3172A544" w14:textId="77777777">
            <w:r w:rsidRPr="4E81ABC2">
              <w:rPr>
                <w:rFonts w:eastAsia="Arial" w:cs="Arial"/>
                <w:color w:val="000000" w:themeColor="text1"/>
                <w:sz w:val="20"/>
                <w:szCs w:val="20"/>
              </w:rPr>
              <w:t>Risk rating</w:t>
            </w:r>
          </w:p>
        </w:tc>
        <w:tc>
          <w:tcPr>
            <w:tcW w:w="1065" w:type="dxa"/>
            <w:tcBorders>
              <w:top w:val="single" w:color="auto" w:sz="8" w:space="0"/>
              <w:left w:val="nil"/>
              <w:bottom w:val="single" w:color="auto" w:sz="8" w:space="0"/>
              <w:right w:val="single" w:color="auto" w:sz="8" w:space="0"/>
            </w:tcBorders>
          </w:tcPr>
          <w:p w:rsidR="00CA2016" w:rsidRDefault="00CA2016" w14:paraId="163AF22E" w14:textId="77777777">
            <w:r w:rsidRPr="4E81ABC2">
              <w:rPr>
                <w:rFonts w:eastAsia="Arial" w:cs="Arial"/>
                <w:sz w:val="20"/>
                <w:szCs w:val="20"/>
              </w:rPr>
              <w:t>Moderate</w:t>
            </w:r>
          </w:p>
        </w:tc>
        <w:tc>
          <w:tcPr>
            <w:tcW w:w="324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CA2016" w:rsidRDefault="00CA2016" w14:paraId="6E698555" w14:textId="77777777">
            <w:r w:rsidRPr="4E81ABC2">
              <w:rPr>
                <w:rFonts w:eastAsia="Arial" w:cs="Arial"/>
                <w:color w:val="000000" w:themeColor="text1"/>
                <w:sz w:val="20"/>
                <w:szCs w:val="20"/>
              </w:rPr>
              <w:t>Risk revised since last AR?</w:t>
            </w:r>
          </w:p>
        </w:tc>
        <w:tc>
          <w:tcPr>
            <w:tcW w:w="2760" w:type="dxa"/>
            <w:tcBorders>
              <w:top w:val="single" w:color="auto" w:sz="8" w:space="0"/>
              <w:left w:val="single" w:color="auto" w:sz="8" w:space="0"/>
              <w:bottom w:val="single" w:color="auto" w:sz="8" w:space="0"/>
              <w:right w:val="single" w:color="auto" w:sz="8" w:space="0"/>
            </w:tcBorders>
          </w:tcPr>
          <w:p w:rsidR="00CA2016" w:rsidRDefault="00CA2016" w14:paraId="612CF7AD" w14:textId="77777777">
            <w:r w:rsidRPr="4E81ABC2">
              <w:rPr>
                <w:rFonts w:eastAsia="Arial" w:cs="Arial"/>
                <w:sz w:val="20"/>
                <w:szCs w:val="20"/>
              </w:rPr>
              <w:t>No</w:t>
            </w:r>
          </w:p>
        </w:tc>
      </w:tr>
      <w:tr w:rsidR="00CA2016" w:rsidTr="578D5448" w14:paraId="762BD81E" w14:textId="77777777">
        <w:tc>
          <w:tcPr>
            <w:tcW w:w="1695" w:type="dxa"/>
            <w:tcBorders>
              <w:top w:val="single" w:color="auto" w:sz="8" w:space="0"/>
              <w:left w:val="nil"/>
              <w:bottom w:val="nil"/>
              <w:right w:val="nil"/>
            </w:tcBorders>
            <w:vAlign w:val="center"/>
          </w:tcPr>
          <w:p w:rsidR="00CA2016" w:rsidRDefault="00CA2016" w14:paraId="04076F0F" w14:textId="77777777"/>
        </w:tc>
        <w:tc>
          <w:tcPr>
            <w:tcW w:w="600" w:type="dxa"/>
            <w:tcBorders>
              <w:top w:val="nil"/>
              <w:left w:val="nil"/>
              <w:bottom w:val="nil"/>
              <w:right w:val="nil"/>
            </w:tcBorders>
            <w:vAlign w:val="center"/>
          </w:tcPr>
          <w:p w:rsidR="00CA2016" w:rsidRDefault="00CA2016" w14:paraId="2C3C3D62" w14:textId="77777777"/>
        </w:tc>
        <w:tc>
          <w:tcPr>
            <w:tcW w:w="1065" w:type="dxa"/>
            <w:tcBorders>
              <w:top w:val="single" w:color="auto" w:sz="8" w:space="0"/>
              <w:left w:val="nil"/>
              <w:bottom w:val="nil"/>
              <w:right w:val="nil"/>
            </w:tcBorders>
            <w:vAlign w:val="center"/>
          </w:tcPr>
          <w:p w:rsidR="00CA2016" w:rsidRDefault="00CA2016" w14:paraId="1E0BB584" w14:textId="77777777"/>
        </w:tc>
        <w:tc>
          <w:tcPr>
            <w:tcW w:w="3240" w:type="dxa"/>
            <w:tcBorders>
              <w:top w:val="single" w:color="auto" w:sz="8" w:space="0"/>
              <w:left w:val="nil"/>
              <w:bottom w:val="nil"/>
              <w:right w:val="nil"/>
            </w:tcBorders>
            <w:vAlign w:val="center"/>
          </w:tcPr>
          <w:p w:rsidR="00CA2016" w:rsidRDefault="00CA2016" w14:paraId="423F456C" w14:textId="77777777"/>
        </w:tc>
        <w:tc>
          <w:tcPr>
            <w:tcW w:w="2760" w:type="dxa"/>
            <w:tcBorders>
              <w:top w:val="single" w:color="auto" w:sz="8" w:space="0"/>
              <w:left w:val="nil"/>
              <w:bottom w:val="nil"/>
              <w:right w:val="nil"/>
            </w:tcBorders>
            <w:vAlign w:val="center"/>
          </w:tcPr>
          <w:p w:rsidR="00CA2016" w:rsidRDefault="00CA2016" w14:paraId="10570A1E" w14:textId="77777777"/>
        </w:tc>
      </w:tr>
    </w:tbl>
    <w:p w:rsidR="00CA2016" w:rsidP="00CA2016" w:rsidRDefault="00CA2016" w14:paraId="0B0EF216" w14:textId="77777777">
      <w:pPr>
        <w:rPr>
          <w:rFonts w:eastAsia="Arial" w:cs="Arial"/>
          <w:b/>
          <w:bCs/>
        </w:rPr>
      </w:pPr>
    </w:p>
    <w:tbl>
      <w:tblPr>
        <w:tblStyle w:val="TableGrid"/>
        <w:tblW w:w="9490" w:type="dxa"/>
        <w:tblInd w:w="-10" w:type="dxa"/>
        <w:tblLayout w:type="fixed"/>
        <w:tblLook w:val="04A0" w:firstRow="1" w:lastRow="0" w:firstColumn="1" w:lastColumn="0" w:noHBand="0" w:noVBand="1"/>
      </w:tblPr>
      <w:tblGrid>
        <w:gridCol w:w="2545"/>
        <w:gridCol w:w="2130"/>
        <w:gridCol w:w="4815"/>
      </w:tblGrid>
      <w:tr w:rsidR="00092737" w:rsidTr="1F1B47B0" w14:paraId="511F2333" w14:textId="77777777">
        <w:trPr>
          <w:trHeight w:val="270"/>
        </w:trPr>
        <w:tc>
          <w:tcPr>
            <w:tcW w:w="2545"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CA2016" w:rsidRDefault="00CA2016" w14:paraId="5769DAC8" w14:textId="77777777">
            <w:r w:rsidRPr="4E81ABC2">
              <w:rPr>
                <w:rFonts w:eastAsia="Arial" w:cs="Arial"/>
                <w:b/>
                <w:bCs/>
                <w:color w:val="000000" w:themeColor="text1"/>
                <w:sz w:val="20"/>
                <w:szCs w:val="20"/>
              </w:rPr>
              <w:t>Indicator(s)</w:t>
            </w:r>
          </w:p>
        </w:tc>
        <w:tc>
          <w:tcPr>
            <w:tcW w:w="2130"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CA2016" w:rsidRDefault="00CA2016" w14:paraId="12FB0B9E" w14:textId="77777777">
            <w:r w:rsidRPr="4E81ABC2">
              <w:rPr>
                <w:rFonts w:eastAsia="Arial" w:cs="Arial"/>
                <w:b/>
                <w:bCs/>
                <w:color w:val="000000" w:themeColor="text1"/>
                <w:sz w:val="20"/>
                <w:szCs w:val="20"/>
              </w:rPr>
              <w:t>Milestone(s) for this review</w:t>
            </w:r>
          </w:p>
        </w:tc>
        <w:tc>
          <w:tcPr>
            <w:tcW w:w="4815"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CA2016" w:rsidRDefault="00CA2016" w14:paraId="43F96186" w14:textId="77777777">
            <w:r w:rsidRPr="4E81ABC2">
              <w:rPr>
                <w:rFonts w:eastAsia="Arial" w:cs="Arial"/>
                <w:b/>
                <w:bCs/>
                <w:color w:val="000000" w:themeColor="text1"/>
                <w:sz w:val="20"/>
                <w:szCs w:val="20"/>
              </w:rPr>
              <w:t xml:space="preserve">Progress </w:t>
            </w:r>
          </w:p>
        </w:tc>
      </w:tr>
      <w:tr w:rsidR="00CA2016" w:rsidTr="1F1B47B0" w14:paraId="2468B35B" w14:textId="77777777">
        <w:tc>
          <w:tcPr>
            <w:tcW w:w="2545" w:type="dxa"/>
            <w:tcBorders>
              <w:top w:val="single" w:color="auto" w:sz="8" w:space="0"/>
              <w:left w:val="single" w:color="auto" w:sz="8" w:space="0"/>
              <w:bottom w:val="single" w:color="auto" w:sz="8" w:space="0"/>
              <w:right w:val="single" w:color="auto" w:sz="8" w:space="0"/>
            </w:tcBorders>
            <w:tcMar/>
          </w:tcPr>
          <w:p w:rsidR="00CA2016" w:rsidRDefault="00CA2016" w14:paraId="32964D58" w14:textId="77777777">
            <w:r w:rsidRPr="4E81ABC2">
              <w:rPr>
                <w:rFonts w:eastAsia="Arial" w:cs="Arial"/>
                <w:b/>
                <w:bCs/>
                <w:sz w:val="20"/>
                <w:szCs w:val="20"/>
              </w:rPr>
              <w:t>Indicator 7:</w:t>
            </w:r>
            <w:r w:rsidRPr="4E81ABC2">
              <w:rPr>
                <w:rFonts w:eastAsia="Arial" w:cs="Arial"/>
                <w:sz w:val="20"/>
                <w:szCs w:val="20"/>
              </w:rPr>
              <w:t xml:space="preserve"> REM Implementation Unit established.</w:t>
            </w:r>
          </w:p>
          <w:p w:rsidR="00CA2016" w:rsidRDefault="00CA2016" w14:paraId="4B21FF70" w14:textId="77777777">
            <w:r w:rsidRPr="4E81ABC2">
              <w:rPr>
                <w:rFonts w:eastAsia="Arial" w:cs="Arial"/>
                <w:sz w:val="20"/>
                <w:szCs w:val="20"/>
              </w:rPr>
              <w:t xml:space="preserve"> </w:t>
            </w:r>
          </w:p>
        </w:tc>
        <w:tc>
          <w:tcPr>
            <w:tcW w:w="2130" w:type="dxa"/>
            <w:tcBorders>
              <w:top w:val="single" w:color="auto" w:sz="8" w:space="0"/>
              <w:left w:val="single" w:color="auto" w:sz="8" w:space="0"/>
              <w:bottom w:val="single" w:color="auto" w:sz="8" w:space="0"/>
              <w:right w:val="single" w:color="auto" w:sz="8" w:space="0"/>
            </w:tcBorders>
            <w:tcMar/>
          </w:tcPr>
          <w:p w:rsidR="00CA2016" w:rsidRDefault="00CA2016" w14:paraId="725136B0" w14:textId="48FE0524">
            <w:pPr>
              <w:rPr>
                <w:rFonts w:eastAsia="Arial" w:cs="Arial"/>
                <w:sz w:val="20"/>
                <w:szCs w:val="20"/>
                <w:lang w:val="pt-BR"/>
              </w:rPr>
            </w:pPr>
            <w:r w:rsidRPr="61AB1AE6">
              <w:rPr>
                <w:rFonts w:eastAsia="Arial" w:cs="Arial"/>
                <w:sz w:val="20"/>
                <w:szCs w:val="20"/>
                <w:lang w:val="pt-BR"/>
              </w:rPr>
              <w:t>202</w:t>
            </w:r>
            <w:r w:rsidR="005820C6">
              <w:rPr>
                <w:rFonts w:eastAsia="Arial" w:cs="Arial"/>
                <w:sz w:val="20"/>
                <w:szCs w:val="20"/>
                <w:lang w:val="pt-BR"/>
              </w:rPr>
              <w:t>3</w:t>
            </w:r>
            <w:r w:rsidRPr="61AB1AE6">
              <w:rPr>
                <w:rFonts w:eastAsia="Arial" w:cs="Arial"/>
                <w:sz w:val="20"/>
                <w:szCs w:val="20"/>
                <w:lang w:val="pt-BR"/>
              </w:rPr>
              <w:t>-2</w:t>
            </w:r>
            <w:r w:rsidR="005820C6">
              <w:rPr>
                <w:rFonts w:eastAsia="Arial" w:cs="Arial"/>
                <w:sz w:val="20"/>
                <w:szCs w:val="20"/>
                <w:lang w:val="pt-BR"/>
              </w:rPr>
              <w:t>4</w:t>
            </w:r>
            <w:r w:rsidRPr="61AB1AE6">
              <w:rPr>
                <w:rFonts w:eastAsia="Arial" w:cs="Arial"/>
                <w:sz w:val="20"/>
                <w:szCs w:val="20"/>
                <w:lang w:val="pt-BR"/>
              </w:rPr>
              <w:t xml:space="preserve"> target: 3</w:t>
            </w:r>
          </w:p>
        </w:tc>
        <w:tc>
          <w:tcPr>
            <w:tcW w:w="4815" w:type="dxa"/>
            <w:tcBorders>
              <w:top w:val="single" w:color="auto" w:sz="8" w:space="0"/>
              <w:left w:val="single" w:color="auto" w:sz="8" w:space="0"/>
              <w:bottom w:val="single" w:color="auto" w:sz="8" w:space="0"/>
              <w:right w:val="single" w:color="auto" w:sz="8" w:space="0"/>
            </w:tcBorders>
            <w:tcMar/>
          </w:tcPr>
          <w:p w:rsidRPr="006D1DBC" w:rsidR="00CA2016" w:rsidRDefault="00CA2016" w14:paraId="30ABF753" w14:textId="77777777">
            <w:pPr>
              <w:spacing w:line="259" w:lineRule="auto"/>
              <w:rPr>
                <w:rFonts w:eastAsia="Arial" w:cs="Arial"/>
                <w:b/>
                <w:sz w:val="20"/>
                <w:szCs w:val="20"/>
              </w:rPr>
            </w:pPr>
            <w:r w:rsidRPr="006D1DBC">
              <w:rPr>
                <w:rFonts w:eastAsia="Arial" w:cs="Arial"/>
                <w:b/>
                <w:sz w:val="20"/>
                <w:szCs w:val="20"/>
              </w:rPr>
              <w:t>Target maintained/met</w:t>
            </w:r>
          </w:p>
          <w:p w:rsidR="00CA2016" w:rsidRDefault="00CA2016" w14:paraId="503BE885" w14:textId="26CA3C5D">
            <w:r w:rsidRPr="006D1DBC">
              <w:rPr>
                <w:rFonts w:eastAsia="Arial" w:cs="Arial"/>
                <w:sz w:val="20"/>
                <w:szCs w:val="20"/>
              </w:rPr>
              <w:t xml:space="preserve">Total: 3 </w:t>
            </w:r>
            <w:r w:rsidR="00300B0A">
              <w:rPr>
                <w:rFonts w:eastAsia="Arial" w:cs="Arial"/>
                <w:sz w:val="20"/>
                <w:szCs w:val="20"/>
              </w:rPr>
              <w:t>(100%)</w:t>
            </w:r>
          </w:p>
          <w:p w:rsidR="00CA2016" w:rsidRDefault="00CA2016" w14:paraId="25540717" w14:textId="77777777">
            <w:pPr>
              <w:jc w:val="both"/>
            </w:pPr>
            <w:r w:rsidRPr="006D1DBC">
              <w:rPr>
                <w:rFonts w:eastAsia="Arial" w:cs="Arial"/>
                <w:sz w:val="20"/>
                <w:szCs w:val="20"/>
              </w:rPr>
              <w:t>- Colombia: 1 or 100% since ‘18/’19</w:t>
            </w:r>
          </w:p>
          <w:p w:rsidR="00CA2016" w:rsidRDefault="00CA2016" w14:paraId="23A0CFDB" w14:textId="77777777">
            <w:pPr>
              <w:jc w:val="both"/>
            </w:pPr>
            <w:r w:rsidRPr="006D1DBC">
              <w:rPr>
                <w:rFonts w:eastAsia="Arial" w:cs="Arial"/>
                <w:sz w:val="20"/>
                <w:szCs w:val="20"/>
              </w:rPr>
              <w:t>- Mato Grosso: 1 (100%)  since ‘18/’19</w:t>
            </w:r>
          </w:p>
          <w:p w:rsidR="00CA2016" w:rsidRDefault="00CA2016" w14:paraId="6B52B782" w14:textId="77777777">
            <w:r w:rsidRPr="006D1DBC">
              <w:rPr>
                <w:rFonts w:eastAsia="Arial" w:cs="Arial"/>
                <w:sz w:val="20"/>
                <w:szCs w:val="20"/>
              </w:rPr>
              <w:t>- Acre: 1 (100%)  since ‘18</w:t>
            </w:r>
          </w:p>
          <w:p w:rsidR="00CA2016" w:rsidRDefault="00CA2016" w14:paraId="12E98A3B" w14:textId="4926BDEB">
            <w:r w:rsidRPr="1340296B">
              <w:rPr>
                <w:rFonts w:eastAsia="Arial" w:cs="Arial"/>
                <w:sz w:val="20"/>
                <w:szCs w:val="20"/>
              </w:rPr>
              <w:t xml:space="preserve"> </w:t>
            </w:r>
            <w:r w:rsidRPr="1340296B">
              <w:rPr>
                <w:rFonts w:eastAsia="Arial" w:cs="Arial"/>
                <w:color w:val="FF0000"/>
                <w:sz w:val="20"/>
                <w:szCs w:val="20"/>
              </w:rPr>
              <w:t xml:space="preserve"> </w:t>
            </w:r>
          </w:p>
        </w:tc>
      </w:tr>
      <w:tr w:rsidRPr="004A2098" w:rsidR="00CA2016" w:rsidTr="1F1B47B0" w14:paraId="45B434AE" w14:textId="77777777">
        <w:tc>
          <w:tcPr>
            <w:tcW w:w="2545" w:type="dxa"/>
            <w:tcBorders>
              <w:top w:val="single" w:color="auto" w:sz="8" w:space="0"/>
              <w:left w:val="single" w:color="auto" w:sz="8" w:space="0"/>
              <w:bottom w:val="single" w:color="auto" w:sz="8" w:space="0"/>
              <w:right w:val="single" w:color="auto" w:sz="8" w:space="0"/>
            </w:tcBorders>
            <w:tcMar/>
          </w:tcPr>
          <w:p w:rsidR="00CA2016" w:rsidRDefault="00CA2016" w14:paraId="5FB56D31" w14:textId="77777777">
            <w:r w:rsidRPr="4E81ABC2">
              <w:rPr>
                <w:rFonts w:eastAsia="Arial" w:cs="Arial"/>
                <w:b/>
                <w:bCs/>
                <w:sz w:val="20"/>
                <w:szCs w:val="20"/>
              </w:rPr>
              <w:t>Indicator 8:</w:t>
            </w:r>
            <w:r w:rsidRPr="4E81ABC2">
              <w:rPr>
                <w:rFonts w:eastAsia="Arial" w:cs="Arial"/>
                <w:sz w:val="20"/>
                <w:szCs w:val="20"/>
              </w:rPr>
              <w:t xml:space="preserve"> Information on safeguards presented biannually and publicly available  </w:t>
            </w:r>
          </w:p>
          <w:p w:rsidR="00CA2016" w:rsidRDefault="00CA2016" w14:paraId="4E2AE769" w14:textId="77777777">
            <w:r w:rsidRPr="4E81ABC2">
              <w:rPr>
                <w:rFonts w:eastAsia="Arial" w:cs="Arial"/>
                <w:sz w:val="20"/>
                <w:szCs w:val="20"/>
              </w:rPr>
              <w:t xml:space="preserve"> </w:t>
            </w:r>
          </w:p>
        </w:tc>
        <w:tc>
          <w:tcPr>
            <w:tcW w:w="2130" w:type="dxa"/>
            <w:tcBorders>
              <w:top w:val="single" w:color="auto" w:sz="8" w:space="0"/>
              <w:left w:val="single" w:color="auto" w:sz="8" w:space="0"/>
              <w:bottom w:val="single" w:color="auto" w:sz="8" w:space="0"/>
              <w:right w:val="single" w:color="auto" w:sz="8" w:space="0"/>
            </w:tcBorders>
            <w:tcMar/>
          </w:tcPr>
          <w:p w:rsidR="00CA2016" w:rsidRDefault="00CA2016" w14:paraId="5EFC9596" w14:textId="232EA522">
            <w:pPr>
              <w:rPr>
                <w:rFonts w:eastAsia="Arial" w:cs="Arial"/>
                <w:sz w:val="20"/>
                <w:szCs w:val="20"/>
                <w:lang w:val="pt-BR"/>
              </w:rPr>
            </w:pPr>
            <w:r w:rsidRPr="1340296B">
              <w:rPr>
                <w:rFonts w:eastAsia="Arial" w:cs="Arial"/>
                <w:sz w:val="20"/>
                <w:szCs w:val="20"/>
                <w:lang w:val="pt-BR"/>
              </w:rPr>
              <w:t>202</w:t>
            </w:r>
            <w:r w:rsidR="005820C6">
              <w:rPr>
                <w:rFonts w:eastAsia="Arial" w:cs="Arial"/>
                <w:sz w:val="20"/>
                <w:szCs w:val="20"/>
                <w:lang w:val="pt-BR"/>
              </w:rPr>
              <w:t>3</w:t>
            </w:r>
            <w:r w:rsidRPr="1340296B">
              <w:rPr>
                <w:rFonts w:eastAsia="Arial" w:cs="Arial"/>
                <w:sz w:val="20"/>
                <w:szCs w:val="20"/>
                <w:lang w:val="pt-BR"/>
              </w:rPr>
              <w:t>-2</w:t>
            </w:r>
            <w:r w:rsidR="005820C6">
              <w:rPr>
                <w:rFonts w:eastAsia="Arial" w:cs="Arial"/>
                <w:sz w:val="20"/>
                <w:szCs w:val="20"/>
                <w:lang w:val="pt-BR"/>
              </w:rPr>
              <w:t>4</w:t>
            </w:r>
            <w:r w:rsidRPr="1340296B">
              <w:rPr>
                <w:rFonts w:eastAsia="Arial" w:cs="Arial"/>
                <w:sz w:val="20"/>
                <w:szCs w:val="20"/>
                <w:lang w:val="pt-BR"/>
              </w:rPr>
              <w:t xml:space="preserve"> target: </w:t>
            </w:r>
            <w:r w:rsidR="00300B0A">
              <w:rPr>
                <w:rFonts w:eastAsia="Arial" w:cs="Arial"/>
                <w:sz w:val="20"/>
                <w:szCs w:val="20"/>
                <w:lang w:val="pt-BR"/>
              </w:rPr>
              <w:t>3</w:t>
            </w:r>
          </w:p>
        </w:tc>
        <w:tc>
          <w:tcPr>
            <w:tcW w:w="4815" w:type="dxa"/>
            <w:tcBorders>
              <w:top w:val="single" w:color="auto" w:sz="8" w:space="0"/>
              <w:left w:val="single" w:color="auto" w:sz="8" w:space="0"/>
              <w:bottom w:val="single" w:color="auto" w:sz="8" w:space="0"/>
              <w:right w:val="single" w:color="auto" w:sz="8" w:space="0"/>
            </w:tcBorders>
            <w:tcMar/>
          </w:tcPr>
          <w:p w:rsidR="00CA2016" w:rsidRDefault="00CA2016" w14:paraId="1B0391A8" w14:textId="77777777">
            <w:r w:rsidRPr="006D1DBC">
              <w:rPr>
                <w:rFonts w:eastAsia="Arial" w:cs="Arial"/>
                <w:b/>
                <w:sz w:val="20"/>
                <w:szCs w:val="20"/>
              </w:rPr>
              <w:t>Moderately did not meet expectation.</w:t>
            </w:r>
          </w:p>
          <w:p w:rsidRPr="004A2098" w:rsidR="00CA2016" w:rsidRDefault="00CA2016" w14:paraId="72F79EAA" w14:textId="4555FC1E">
            <w:pPr>
              <w:rPr>
                <w:rFonts w:eastAsia="Arial" w:cs="Arial"/>
                <w:sz w:val="20"/>
                <w:szCs w:val="20"/>
                <w:lang w:val="es-AR"/>
              </w:rPr>
            </w:pPr>
            <w:r w:rsidRPr="004A2098">
              <w:rPr>
                <w:rFonts w:eastAsia="Arial" w:cs="Arial"/>
                <w:sz w:val="20"/>
                <w:szCs w:val="20"/>
                <w:lang w:val="es-AR"/>
              </w:rPr>
              <w:t xml:space="preserve">Total: </w:t>
            </w:r>
            <w:r w:rsidRPr="004A2098" w:rsidR="006C6640">
              <w:rPr>
                <w:rFonts w:eastAsia="Arial" w:cs="Arial"/>
                <w:sz w:val="20"/>
                <w:szCs w:val="20"/>
                <w:lang w:val="es-AR"/>
              </w:rPr>
              <w:t>2</w:t>
            </w:r>
            <w:r w:rsidRPr="004A2098">
              <w:rPr>
                <w:rFonts w:eastAsia="Arial" w:cs="Arial"/>
                <w:sz w:val="20"/>
                <w:szCs w:val="20"/>
                <w:lang w:val="es-AR"/>
              </w:rPr>
              <w:t xml:space="preserve"> (</w:t>
            </w:r>
            <w:r w:rsidRPr="004A2098" w:rsidR="006C6640">
              <w:rPr>
                <w:rFonts w:eastAsia="Arial" w:cs="Arial"/>
                <w:sz w:val="20"/>
                <w:szCs w:val="20"/>
                <w:lang w:val="es-AR"/>
              </w:rPr>
              <w:t>66</w:t>
            </w:r>
            <w:r w:rsidRPr="004A2098">
              <w:rPr>
                <w:rFonts w:eastAsia="Arial" w:cs="Arial"/>
                <w:sz w:val="20"/>
                <w:szCs w:val="20"/>
                <w:lang w:val="es-AR"/>
              </w:rPr>
              <w:t>%)</w:t>
            </w:r>
          </w:p>
          <w:p w:rsidRPr="004A2098" w:rsidR="00CA2016" w:rsidRDefault="00CA2016" w14:paraId="208EC849" w14:textId="77777777">
            <w:pPr>
              <w:rPr>
                <w:lang w:val="es-AR"/>
              </w:rPr>
            </w:pPr>
            <w:r w:rsidRPr="004A2098">
              <w:rPr>
                <w:rFonts w:eastAsia="Arial" w:cs="Arial"/>
                <w:sz w:val="20"/>
                <w:szCs w:val="20"/>
                <w:lang w:val="es-AR"/>
              </w:rPr>
              <w:t xml:space="preserve">- Colombia: 1 (100%) </w:t>
            </w:r>
            <w:r w:rsidRPr="004A2098">
              <w:rPr>
                <w:rFonts w:eastAsia="Arial" w:cs="Arial"/>
                <w:i/>
                <w:iCs/>
                <w:sz w:val="20"/>
                <w:szCs w:val="20"/>
                <w:lang w:val="es-AR"/>
              </w:rPr>
              <w:t>since ’18</w:t>
            </w:r>
          </w:p>
          <w:p w:rsidRPr="004A2098" w:rsidR="00CA2016" w:rsidRDefault="00CA2016" w14:paraId="20A65AFC" w14:textId="04E1DF02">
            <w:pPr>
              <w:rPr>
                <w:lang w:val="es-AR"/>
              </w:rPr>
            </w:pPr>
            <w:r w:rsidRPr="004A2098">
              <w:rPr>
                <w:rFonts w:eastAsia="Arial" w:cs="Arial"/>
                <w:sz w:val="20"/>
                <w:szCs w:val="20"/>
                <w:lang w:val="es-AR"/>
              </w:rPr>
              <w:t>- Mato Grosso</w:t>
            </w:r>
            <w:r w:rsidRPr="004A2098" w:rsidR="006C6640">
              <w:rPr>
                <w:rFonts w:eastAsia="Arial" w:cs="Arial"/>
                <w:sz w:val="20"/>
                <w:szCs w:val="20"/>
                <w:lang w:val="es-AR"/>
              </w:rPr>
              <w:t xml:space="preserve">: </w:t>
            </w:r>
            <w:r w:rsidRPr="004A2098" w:rsidR="00E61210">
              <w:rPr>
                <w:rFonts w:eastAsia="Arial" w:cs="Arial"/>
                <w:sz w:val="20"/>
                <w:szCs w:val="20"/>
                <w:lang w:val="es-AR"/>
              </w:rPr>
              <w:t xml:space="preserve">1 </w:t>
            </w:r>
            <w:r w:rsidRPr="004A2098" w:rsidR="004A2098">
              <w:rPr>
                <w:rFonts w:eastAsia="Arial" w:cs="Arial"/>
                <w:sz w:val="20"/>
                <w:szCs w:val="20"/>
                <w:lang w:val="es-AR"/>
              </w:rPr>
              <w:t>(100%</w:t>
            </w:r>
            <w:r w:rsidR="004A2098">
              <w:rPr>
                <w:rFonts w:eastAsia="Arial" w:cs="Arial"/>
                <w:sz w:val="20"/>
                <w:szCs w:val="20"/>
                <w:lang w:val="es-AR"/>
              </w:rPr>
              <w:t>) since 2022/23</w:t>
            </w:r>
          </w:p>
          <w:p w:rsidRPr="004A2098" w:rsidR="00204375" w:rsidRDefault="00CA2016" w14:paraId="0F979823" w14:textId="23E1EBB8">
            <w:pPr>
              <w:rPr>
                <w:lang w:val="es-AR"/>
              </w:rPr>
            </w:pPr>
            <w:r w:rsidRPr="004A2098">
              <w:rPr>
                <w:rFonts w:eastAsia="Arial" w:cs="Arial"/>
                <w:sz w:val="20"/>
                <w:szCs w:val="20"/>
                <w:lang w:val="es-AR"/>
              </w:rPr>
              <w:t>- Acre</w:t>
            </w:r>
            <w:r w:rsidRPr="004A2098" w:rsidR="00724FC2">
              <w:rPr>
                <w:rFonts w:eastAsia="Arial" w:cs="Arial"/>
                <w:sz w:val="20"/>
                <w:szCs w:val="20"/>
                <w:lang w:val="es-AR"/>
              </w:rPr>
              <w:t>: 0</w:t>
            </w:r>
          </w:p>
        </w:tc>
      </w:tr>
      <w:tr w:rsidR="00CA2016" w:rsidTr="1F1B47B0" w14:paraId="5440F7D9" w14:textId="77777777">
        <w:tc>
          <w:tcPr>
            <w:tcW w:w="2545" w:type="dxa"/>
            <w:tcBorders>
              <w:top w:val="single" w:color="auto" w:sz="8" w:space="0"/>
              <w:left w:val="single" w:color="auto" w:sz="8" w:space="0"/>
              <w:bottom w:val="single" w:color="auto" w:sz="8" w:space="0"/>
              <w:right w:val="single" w:color="auto" w:sz="8" w:space="0"/>
            </w:tcBorders>
            <w:tcMar/>
          </w:tcPr>
          <w:p w:rsidR="00CA2016" w:rsidRDefault="00CA2016" w14:paraId="2D55D95E" w14:textId="77777777">
            <w:r w:rsidRPr="4E81ABC2">
              <w:rPr>
                <w:rFonts w:eastAsia="Arial" w:cs="Arial"/>
                <w:b/>
                <w:bCs/>
                <w:sz w:val="20"/>
                <w:szCs w:val="20"/>
              </w:rPr>
              <w:t xml:space="preserve">Indicator 9: </w:t>
            </w:r>
            <w:r w:rsidRPr="4E81ABC2">
              <w:rPr>
                <w:rFonts w:eastAsia="Arial" w:cs="Arial"/>
                <w:sz w:val="20"/>
                <w:szCs w:val="20"/>
              </w:rPr>
              <w:t>Carbon accounting system for reduced emissions established and running.</w:t>
            </w:r>
          </w:p>
        </w:tc>
        <w:tc>
          <w:tcPr>
            <w:tcW w:w="2130" w:type="dxa"/>
            <w:tcBorders>
              <w:top w:val="single" w:color="auto" w:sz="8" w:space="0"/>
              <w:left w:val="single" w:color="auto" w:sz="8" w:space="0"/>
              <w:bottom w:val="single" w:color="auto" w:sz="8" w:space="0"/>
              <w:right w:val="single" w:color="auto" w:sz="8" w:space="0"/>
            </w:tcBorders>
            <w:tcMar/>
          </w:tcPr>
          <w:p w:rsidR="00CA2016" w:rsidRDefault="00CA2016" w14:paraId="5180C30A" w14:textId="44A94E3B">
            <w:pPr>
              <w:rPr>
                <w:rFonts w:eastAsia="Arial" w:cs="Arial"/>
                <w:sz w:val="20"/>
                <w:szCs w:val="20"/>
                <w:lang w:val="pt-BR"/>
              </w:rPr>
            </w:pPr>
            <w:r w:rsidRPr="41B7823F">
              <w:rPr>
                <w:rFonts w:eastAsia="Arial" w:cs="Arial"/>
                <w:sz w:val="20"/>
                <w:szCs w:val="20"/>
                <w:lang w:val="pt-BR"/>
              </w:rPr>
              <w:t>202</w:t>
            </w:r>
            <w:r w:rsidR="00B11CC4">
              <w:rPr>
                <w:rFonts w:eastAsia="Arial" w:cs="Arial"/>
                <w:sz w:val="20"/>
                <w:szCs w:val="20"/>
                <w:lang w:val="pt-BR"/>
              </w:rPr>
              <w:t>3</w:t>
            </w:r>
            <w:r w:rsidR="00CA376B">
              <w:rPr>
                <w:rFonts w:eastAsia="Arial" w:cs="Arial"/>
                <w:sz w:val="20"/>
                <w:szCs w:val="20"/>
                <w:lang w:val="pt-BR"/>
              </w:rPr>
              <w:t>-</w:t>
            </w:r>
            <w:r w:rsidRPr="41B7823F">
              <w:rPr>
                <w:rFonts w:eastAsia="Arial" w:cs="Arial"/>
                <w:sz w:val="20"/>
                <w:szCs w:val="20"/>
                <w:lang w:val="pt-BR"/>
              </w:rPr>
              <w:t>2</w:t>
            </w:r>
            <w:r w:rsidR="00B11CC4">
              <w:rPr>
                <w:rFonts w:eastAsia="Arial" w:cs="Arial"/>
                <w:sz w:val="20"/>
                <w:szCs w:val="20"/>
                <w:lang w:val="pt-BR"/>
              </w:rPr>
              <w:t>4</w:t>
            </w:r>
            <w:r w:rsidRPr="41B7823F">
              <w:rPr>
                <w:rFonts w:eastAsia="Arial" w:cs="Arial"/>
                <w:sz w:val="20"/>
                <w:szCs w:val="20"/>
                <w:lang w:val="pt-BR"/>
              </w:rPr>
              <w:t xml:space="preserve"> target: 3</w:t>
            </w:r>
          </w:p>
        </w:tc>
        <w:tc>
          <w:tcPr>
            <w:tcW w:w="4815" w:type="dxa"/>
            <w:tcBorders>
              <w:top w:val="single" w:color="auto" w:sz="8" w:space="0"/>
              <w:left w:val="single" w:color="auto" w:sz="8" w:space="0"/>
              <w:bottom w:val="single" w:color="auto" w:sz="8" w:space="0"/>
              <w:right w:val="single" w:color="auto" w:sz="8" w:space="0"/>
            </w:tcBorders>
            <w:tcMar/>
          </w:tcPr>
          <w:p w:rsidR="00CA2016" w:rsidRDefault="00CA2016" w14:paraId="53C732F2" w14:textId="2802B99B">
            <w:pPr>
              <w:rPr>
                <w:rFonts w:eastAsia="Arial" w:cs="Arial"/>
                <w:b/>
                <w:bCs/>
                <w:sz w:val="20"/>
                <w:szCs w:val="20"/>
              </w:rPr>
            </w:pPr>
            <w:r w:rsidRPr="319219C1">
              <w:rPr>
                <w:rFonts w:eastAsia="Arial" w:cs="Arial"/>
                <w:b/>
                <w:bCs/>
                <w:sz w:val="20"/>
                <w:szCs w:val="20"/>
              </w:rPr>
              <w:t xml:space="preserve">Progress exceeded expectation </w:t>
            </w:r>
          </w:p>
          <w:p w:rsidR="00CA2016" w:rsidRDefault="00CA2016" w14:paraId="1BFA3F5D" w14:textId="61103B99">
            <w:r w:rsidRPr="319219C1">
              <w:rPr>
                <w:rFonts w:eastAsia="Arial" w:cs="Arial"/>
                <w:sz w:val="20"/>
                <w:szCs w:val="20"/>
              </w:rPr>
              <w:t>Total: 3</w:t>
            </w:r>
            <w:r w:rsidR="00300B0A">
              <w:rPr>
                <w:rFonts w:eastAsia="Arial" w:cs="Arial"/>
                <w:sz w:val="20"/>
                <w:szCs w:val="20"/>
              </w:rPr>
              <w:t xml:space="preserve"> (100%)</w:t>
            </w:r>
          </w:p>
          <w:p w:rsidR="00CA2016" w:rsidRDefault="00CA2016" w14:paraId="6A5D9744" w14:textId="77777777">
            <w:pPr>
              <w:jc w:val="both"/>
            </w:pPr>
            <w:r w:rsidRPr="006D1DBC">
              <w:rPr>
                <w:rFonts w:eastAsia="Arial" w:cs="Arial"/>
                <w:sz w:val="20"/>
                <w:szCs w:val="20"/>
              </w:rPr>
              <w:t xml:space="preserve">- Colombia: 1 (100%) since ’18 </w:t>
            </w:r>
          </w:p>
          <w:p w:rsidR="00CA2016" w:rsidRDefault="00CA2016" w14:paraId="23810CA8" w14:textId="77777777">
            <w:pPr>
              <w:jc w:val="both"/>
            </w:pPr>
            <w:r w:rsidRPr="006D1DBC">
              <w:rPr>
                <w:rFonts w:eastAsia="Arial" w:cs="Arial"/>
                <w:sz w:val="20"/>
                <w:szCs w:val="20"/>
              </w:rPr>
              <w:t>- Mato Grosso: 1 (100%) since ‘18/’19</w:t>
            </w:r>
          </w:p>
          <w:p w:rsidR="00CA2016" w:rsidRDefault="00CA2016" w14:paraId="28CF53A9" w14:textId="77777777">
            <w:r w:rsidRPr="006D1DBC">
              <w:rPr>
                <w:rFonts w:eastAsia="Arial" w:cs="Arial"/>
                <w:sz w:val="20"/>
                <w:szCs w:val="20"/>
              </w:rPr>
              <w:t xml:space="preserve">- Acre: 1 (100%) since ‘18 </w:t>
            </w:r>
          </w:p>
          <w:p w:rsidRPr="001045B5" w:rsidR="00CA2016" w:rsidRDefault="57AE06C9" w14:paraId="7BC1C8CA" w14:textId="5C77E518">
            <w:r w:rsidRPr="1720B49D">
              <w:rPr>
                <w:rFonts w:eastAsia="Arial" w:cs="Arial"/>
                <w:sz w:val="20"/>
                <w:szCs w:val="20"/>
              </w:rPr>
              <w:t xml:space="preserve"> </w:t>
            </w:r>
          </w:p>
        </w:tc>
      </w:tr>
      <w:tr w:rsidR="00CA2016" w:rsidTr="1F1B47B0" w14:paraId="5B78B3EB" w14:textId="77777777">
        <w:tc>
          <w:tcPr>
            <w:tcW w:w="2545" w:type="dxa"/>
            <w:tcBorders>
              <w:top w:val="single" w:color="auto" w:sz="8" w:space="0"/>
              <w:left w:val="single" w:color="auto" w:sz="8" w:space="0"/>
              <w:bottom w:val="single" w:color="auto" w:sz="8" w:space="0"/>
              <w:right w:val="single" w:color="auto" w:sz="8" w:space="0"/>
            </w:tcBorders>
            <w:tcMar/>
          </w:tcPr>
          <w:p w:rsidR="00CA2016" w:rsidRDefault="21AC66A4" w14:paraId="5B713372" w14:textId="1BF4E663">
            <w:r w:rsidRPr="4E81ABC2">
              <w:rPr>
                <w:rFonts w:eastAsia="Arial" w:cs="Arial"/>
                <w:b/>
                <w:bCs/>
                <w:sz w:val="20"/>
                <w:szCs w:val="20"/>
              </w:rPr>
              <w:t xml:space="preserve">Indicator 10: </w:t>
            </w:r>
            <w:r w:rsidRPr="4E81ABC2">
              <w:rPr>
                <w:rFonts w:eastAsia="Arial" w:cs="Arial"/>
                <w:sz w:val="20"/>
                <w:szCs w:val="20"/>
              </w:rPr>
              <w:t>Number of subnational REDD+ instruments integrated into the national system</w:t>
            </w:r>
            <w:r w:rsidR="00AB7A53">
              <w:rPr>
                <w:rStyle w:val="FootnoteReference"/>
                <w:rFonts w:eastAsia="Arial" w:cs="Arial"/>
                <w:sz w:val="20"/>
                <w:szCs w:val="20"/>
              </w:rPr>
              <w:footnoteReference w:id="18"/>
            </w:r>
            <w:r w:rsidRPr="4E81ABC2">
              <w:rPr>
                <w:rFonts w:eastAsia="Arial" w:cs="Arial"/>
                <w:sz w:val="20"/>
                <w:szCs w:val="20"/>
              </w:rPr>
              <w:t>.</w:t>
            </w:r>
          </w:p>
        </w:tc>
        <w:tc>
          <w:tcPr>
            <w:tcW w:w="2130" w:type="dxa"/>
            <w:tcBorders>
              <w:top w:val="single" w:color="auto" w:sz="8" w:space="0"/>
              <w:left w:val="single" w:color="auto" w:sz="8" w:space="0"/>
              <w:bottom w:val="single" w:color="auto" w:sz="8" w:space="0"/>
              <w:right w:val="single" w:color="auto" w:sz="8" w:space="0"/>
            </w:tcBorders>
            <w:tcMar/>
          </w:tcPr>
          <w:p w:rsidR="00CA2016" w:rsidRDefault="57AE06C9" w14:paraId="20CF80AC" w14:textId="4EC6023C">
            <w:pPr>
              <w:rPr>
                <w:rFonts w:eastAsia="Arial" w:cs="Arial"/>
                <w:sz w:val="20"/>
                <w:szCs w:val="20"/>
                <w:lang w:val="pt-BR"/>
              </w:rPr>
            </w:pPr>
            <w:r w:rsidRPr="1340296B">
              <w:rPr>
                <w:rFonts w:eastAsia="Arial" w:cs="Arial"/>
                <w:sz w:val="20"/>
                <w:szCs w:val="20"/>
                <w:lang w:val="pt-BR"/>
              </w:rPr>
              <w:t>202</w:t>
            </w:r>
            <w:r w:rsidR="00B11CC4">
              <w:rPr>
                <w:rFonts w:eastAsia="Arial" w:cs="Arial"/>
                <w:sz w:val="20"/>
                <w:szCs w:val="20"/>
                <w:lang w:val="pt-BR"/>
              </w:rPr>
              <w:t>3</w:t>
            </w:r>
            <w:r w:rsidRPr="1340296B">
              <w:rPr>
                <w:rFonts w:eastAsia="Arial" w:cs="Arial"/>
                <w:sz w:val="20"/>
                <w:szCs w:val="20"/>
                <w:lang w:val="pt-BR"/>
              </w:rPr>
              <w:t>-2</w:t>
            </w:r>
            <w:r w:rsidR="00B11CC4">
              <w:rPr>
                <w:rFonts w:eastAsia="Arial" w:cs="Arial"/>
                <w:sz w:val="20"/>
                <w:szCs w:val="20"/>
                <w:lang w:val="pt-BR"/>
              </w:rPr>
              <w:t>4</w:t>
            </w:r>
            <w:r w:rsidRPr="1340296B">
              <w:rPr>
                <w:rFonts w:eastAsia="Arial" w:cs="Arial"/>
                <w:sz w:val="20"/>
                <w:szCs w:val="20"/>
                <w:lang w:val="pt-BR"/>
              </w:rPr>
              <w:t xml:space="preserve"> target:</w:t>
            </w:r>
            <w:r w:rsidRPr="1340296B" w:rsidR="60534A56">
              <w:rPr>
                <w:rFonts w:eastAsia="Arial" w:cs="Arial"/>
                <w:sz w:val="20"/>
                <w:szCs w:val="20"/>
                <w:lang w:val="pt-BR"/>
              </w:rPr>
              <w:t xml:space="preserve"> 4</w:t>
            </w:r>
          </w:p>
        </w:tc>
        <w:tc>
          <w:tcPr>
            <w:tcW w:w="4815" w:type="dxa"/>
            <w:tcBorders>
              <w:top w:val="single" w:color="auto" w:sz="8" w:space="0"/>
              <w:left w:val="single" w:color="auto" w:sz="8" w:space="0"/>
              <w:bottom w:val="single" w:color="auto" w:sz="8" w:space="0"/>
              <w:right w:val="single" w:color="auto" w:sz="8" w:space="0"/>
            </w:tcBorders>
            <w:tcMar/>
          </w:tcPr>
          <w:p w:rsidR="00CA2016" w:rsidRDefault="00CA2016" w14:paraId="5387FB4F" w14:textId="6E0B2479">
            <w:pPr>
              <w:spacing w:line="259" w:lineRule="auto"/>
              <w:rPr>
                <w:rFonts w:eastAsia="Arial" w:cs="Arial"/>
                <w:b/>
                <w:bCs/>
                <w:sz w:val="20"/>
                <w:szCs w:val="20"/>
              </w:rPr>
            </w:pPr>
            <w:r w:rsidRPr="1340296B">
              <w:rPr>
                <w:rFonts w:eastAsia="Arial" w:cs="Arial"/>
                <w:b/>
                <w:bCs/>
                <w:sz w:val="20"/>
                <w:szCs w:val="20"/>
              </w:rPr>
              <w:t>Progress</w:t>
            </w:r>
            <w:r w:rsidRPr="1340296B" w:rsidR="614FEA05">
              <w:rPr>
                <w:rFonts w:eastAsia="Arial" w:cs="Arial"/>
                <w:b/>
                <w:bCs/>
                <w:sz w:val="20"/>
                <w:szCs w:val="20"/>
              </w:rPr>
              <w:t xml:space="preserve"> m</w:t>
            </w:r>
            <w:r w:rsidRPr="1340296B" w:rsidR="389DF0F2">
              <w:rPr>
                <w:rFonts w:eastAsia="Arial" w:cs="Arial"/>
                <w:b/>
                <w:bCs/>
                <w:sz w:val="20"/>
                <w:szCs w:val="20"/>
              </w:rPr>
              <w:t>et expectatio</w:t>
            </w:r>
            <w:r w:rsidRPr="1340296B">
              <w:rPr>
                <w:rFonts w:eastAsia="Arial" w:cs="Arial"/>
                <w:b/>
                <w:bCs/>
                <w:sz w:val="20"/>
                <w:szCs w:val="20"/>
              </w:rPr>
              <w:t>n</w:t>
            </w:r>
          </w:p>
          <w:p w:rsidR="00CA2016" w:rsidRDefault="00CA2016" w14:paraId="22C0E1B7" w14:textId="320566E3">
            <w:pPr>
              <w:rPr>
                <w:rFonts w:eastAsia="Arial" w:cs="Arial"/>
                <w:sz w:val="20"/>
                <w:szCs w:val="20"/>
              </w:rPr>
            </w:pPr>
            <w:r w:rsidRPr="1F1B47B0" w:rsidR="00CA2016">
              <w:rPr>
                <w:rFonts w:eastAsia="Arial" w:cs="Arial"/>
                <w:sz w:val="20"/>
                <w:szCs w:val="20"/>
              </w:rPr>
              <w:t xml:space="preserve">Total: </w:t>
            </w:r>
            <w:r w:rsidRPr="1F1B47B0" w:rsidR="3D02D97F">
              <w:rPr>
                <w:rFonts w:eastAsia="Arial" w:cs="Arial"/>
                <w:sz w:val="20"/>
                <w:szCs w:val="20"/>
              </w:rPr>
              <w:t>4</w:t>
            </w:r>
            <w:r w:rsidRPr="1F1B47B0" w:rsidR="00CA2016">
              <w:rPr>
                <w:rFonts w:eastAsia="Arial" w:cs="Arial"/>
                <w:sz w:val="20"/>
                <w:szCs w:val="20"/>
              </w:rPr>
              <w:t xml:space="preserve"> </w:t>
            </w:r>
            <w:r w:rsidRPr="1F1B47B0" w:rsidR="00CA2016">
              <w:rPr>
                <w:rFonts w:eastAsia="Arial" w:cs="Arial"/>
                <w:sz w:val="20"/>
                <w:szCs w:val="20"/>
              </w:rPr>
              <w:t>(</w:t>
            </w:r>
            <w:r w:rsidRPr="1F1B47B0" w:rsidR="6F539C57">
              <w:rPr>
                <w:rFonts w:eastAsia="Arial" w:cs="Arial"/>
                <w:sz w:val="20"/>
                <w:szCs w:val="20"/>
              </w:rPr>
              <w:t>100</w:t>
            </w:r>
            <w:r w:rsidRPr="1F1B47B0" w:rsidR="00CA2016">
              <w:rPr>
                <w:rFonts w:eastAsia="Arial" w:cs="Arial"/>
                <w:sz w:val="20"/>
                <w:szCs w:val="20"/>
              </w:rPr>
              <w:t>%)</w:t>
            </w:r>
          </w:p>
          <w:p w:rsidR="00CA2016" w:rsidRDefault="00CA2016" w14:paraId="5C9FDF0E" w14:textId="77777777">
            <w:pPr>
              <w:rPr>
                <w:rFonts w:eastAsia="Arial" w:cs="Arial"/>
                <w:sz w:val="20"/>
                <w:szCs w:val="20"/>
              </w:rPr>
            </w:pPr>
            <w:r w:rsidRPr="3A6F7E13">
              <w:rPr>
                <w:rFonts w:eastAsia="Arial" w:cs="Arial"/>
                <w:sz w:val="20"/>
                <w:szCs w:val="20"/>
              </w:rPr>
              <w:t>-Colombia: 1 (since 2021)</w:t>
            </w:r>
          </w:p>
          <w:p w:rsidR="00CA2016" w:rsidRDefault="00CA2016" w14:paraId="7C3CF10D" w14:textId="3BE850B7">
            <w:r w:rsidRPr="4E81ABC2">
              <w:rPr>
                <w:rFonts w:eastAsia="Arial" w:cs="Arial"/>
                <w:sz w:val="20"/>
                <w:szCs w:val="20"/>
              </w:rPr>
              <w:t xml:space="preserve">-Mato Grosso: </w:t>
            </w:r>
            <w:r w:rsidR="00021D32">
              <w:rPr>
                <w:rFonts w:eastAsia="Arial" w:cs="Arial"/>
                <w:sz w:val="20"/>
                <w:szCs w:val="20"/>
              </w:rPr>
              <w:t>2 (100%) since 2022</w:t>
            </w:r>
          </w:p>
          <w:p w:rsidR="00CA2016" w:rsidRDefault="00CA2016" w14:paraId="48F87F2D" w14:textId="31C08941">
            <w:r w:rsidRPr="578D5448">
              <w:rPr>
                <w:rFonts w:eastAsia="Arial" w:cs="Arial"/>
                <w:sz w:val="20"/>
                <w:szCs w:val="20"/>
              </w:rPr>
              <w:t>-Acre:</w:t>
            </w:r>
            <w:r w:rsidRPr="578D5448" w:rsidR="5BA8B417">
              <w:rPr>
                <w:rFonts w:eastAsia="Arial" w:cs="Arial"/>
                <w:sz w:val="20"/>
                <w:szCs w:val="20"/>
              </w:rPr>
              <w:t xml:space="preserve"> </w:t>
            </w:r>
            <w:r w:rsidR="00724FC2">
              <w:rPr>
                <w:rFonts w:eastAsia="Arial" w:cs="Arial"/>
                <w:sz w:val="20"/>
                <w:szCs w:val="20"/>
              </w:rPr>
              <w:t>1</w:t>
            </w:r>
            <w:r w:rsidRPr="578D5448">
              <w:rPr>
                <w:rFonts w:eastAsia="Arial" w:cs="Arial"/>
                <w:sz w:val="20"/>
                <w:szCs w:val="20"/>
              </w:rPr>
              <w:t xml:space="preserve"> (</w:t>
            </w:r>
            <w:r w:rsidRPr="578D5448" w:rsidR="318AEBC0">
              <w:rPr>
                <w:rFonts w:eastAsia="Arial" w:cs="Arial"/>
                <w:sz w:val="20"/>
                <w:szCs w:val="20"/>
              </w:rPr>
              <w:t>50%</w:t>
            </w:r>
            <w:r w:rsidRPr="578D5448">
              <w:rPr>
                <w:rFonts w:eastAsia="Arial" w:cs="Arial"/>
                <w:sz w:val="20"/>
                <w:szCs w:val="20"/>
              </w:rPr>
              <w:t>) since ‘19</w:t>
            </w:r>
            <w:r w:rsidR="00724FC2">
              <w:rPr>
                <w:rFonts w:eastAsia="Arial" w:cs="Arial"/>
                <w:sz w:val="20"/>
                <w:szCs w:val="20"/>
              </w:rPr>
              <w:t>, 1 to be achieved in 24-25</w:t>
            </w:r>
          </w:p>
          <w:p w:rsidR="00CA2016" w:rsidRDefault="00CA2016" w14:paraId="0033BA24" w14:textId="77777777">
            <w:pPr>
              <w:rPr>
                <w:rFonts w:eastAsia="Arial" w:cs="Arial"/>
                <w:sz w:val="20"/>
                <w:szCs w:val="20"/>
              </w:rPr>
            </w:pPr>
          </w:p>
        </w:tc>
      </w:tr>
    </w:tbl>
    <w:p w:rsidR="00AA4CF1" w:rsidP="00AA4CF1" w:rsidRDefault="00AA4CF1" w14:paraId="63FFBD54" w14:textId="1F17F66C">
      <w:pPr>
        <w:jc w:val="both"/>
        <w:rPr>
          <w:rFonts w:cs="Arial"/>
          <w:sz w:val="22"/>
          <w:szCs w:val="22"/>
        </w:rPr>
      </w:pPr>
    </w:p>
    <w:p w:rsidRPr="00E32EED" w:rsidR="00CA2016" w:rsidP="00CA2016" w:rsidRDefault="00CA2016" w14:paraId="47FD10F6" w14:textId="77777777">
      <w:pPr>
        <w:jc w:val="both"/>
        <w:rPr>
          <w:rFonts w:cs="Arial"/>
          <w:b/>
          <w:sz w:val="20"/>
          <w:szCs w:val="20"/>
        </w:rPr>
      </w:pPr>
      <w:r w:rsidRPr="00E32EED">
        <w:rPr>
          <w:b/>
          <w:bCs/>
          <w:i/>
          <w:iCs/>
        </w:rPr>
        <w:t>Output summary and supporting narrative for the score</w:t>
      </w:r>
    </w:p>
    <w:p w:rsidRPr="00AB35BE" w:rsidR="00FF1682" w:rsidP="15821389" w:rsidRDefault="7CD43839" w14:paraId="3DFEB9FF" w14:textId="7E6F700C">
      <w:pPr>
        <w:jc w:val="both"/>
        <w:rPr>
          <w:rFonts w:cs="Arial"/>
          <w:sz w:val="20"/>
          <w:szCs w:val="20"/>
        </w:rPr>
      </w:pPr>
      <w:r w:rsidRPr="665A25F4">
        <w:rPr>
          <w:rFonts w:cs="Arial"/>
          <w:sz w:val="20"/>
          <w:szCs w:val="20"/>
        </w:rPr>
        <w:t>Indicator 7 has been achieved in previous years and has been closed. All three jurisdictions have set up and maintained units to implement REM. This is the same for indicator 9</w:t>
      </w:r>
      <w:r w:rsidRPr="665A25F4" w:rsidR="00437D09">
        <w:rPr>
          <w:rFonts w:cs="Arial"/>
          <w:sz w:val="20"/>
          <w:szCs w:val="20"/>
        </w:rPr>
        <w:t>, although this is challenging in Brazil where the federal Infohub is not currently working, and states have to align manually with this system.</w:t>
      </w:r>
      <w:r w:rsidRPr="665A25F4" w:rsidR="76DA4FCD">
        <w:rPr>
          <w:rFonts w:cs="Arial"/>
          <w:sz w:val="20"/>
          <w:szCs w:val="20"/>
        </w:rPr>
        <w:t xml:space="preserve"> </w:t>
      </w:r>
      <w:r w:rsidRPr="665A25F4">
        <w:rPr>
          <w:rFonts w:cs="Arial"/>
          <w:sz w:val="20"/>
          <w:szCs w:val="20"/>
        </w:rPr>
        <w:t xml:space="preserve">Indicator </w:t>
      </w:r>
      <w:r w:rsidRPr="665A25F4" w:rsidR="77FDDEB7">
        <w:rPr>
          <w:rFonts w:cs="Arial"/>
          <w:sz w:val="20"/>
          <w:szCs w:val="20"/>
        </w:rPr>
        <w:t>8 has historically been challenging for all programmes</w:t>
      </w:r>
      <w:r w:rsidRPr="665A25F4" w:rsidR="019019AE">
        <w:rPr>
          <w:rFonts w:cs="Arial"/>
          <w:sz w:val="20"/>
          <w:szCs w:val="20"/>
        </w:rPr>
        <w:t>, as safeguards have been a challenge across all REDD+ programmes</w:t>
      </w:r>
      <w:r w:rsidRPr="665A25F4" w:rsidR="6FC90C6A">
        <w:rPr>
          <w:rFonts w:cs="Arial"/>
          <w:sz w:val="20"/>
          <w:szCs w:val="20"/>
        </w:rPr>
        <w:t xml:space="preserve"> (implementing systems to share the aims of safeguards, implementing grievance mechanisms</w:t>
      </w:r>
      <w:r w:rsidRPr="665A25F4" w:rsidR="2C1B4072">
        <w:rPr>
          <w:rFonts w:cs="Arial"/>
          <w:sz w:val="20"/>
          <w:szCs w:val="20"/>
        </w:rPr>
        <w:t xml:space="preserve"> and ensuring adequate access to those impacted by the programmes has been a lon</w:t>
      </w:r>
      <w:r w:rsidRPr="665A25F4" w:rsidR="7D058027">
        <w:rPr>
          <w:rFonts w:cs="Arial"/>
          <w:sz w:val="20"/>
          <w:szCs w:val="20"/>
        </w:rPr>
        <w:t>g-</w:t>
      </w:r>
      <w:r w:rsidRPr="665A25F4" w:rsidR="00AB35BE">
        <w:rPr>
          <w:rFonts w:cs="Arial"/>
          <w:sz w:val="20"/>
          <w:szCs w:val="20"/>
        </w:rPr>
        <w:t>standing challenge</w:t>
      </w:r>
      <w:r w:rsidRPr="665A25F4" w:rsidR="7D058027">
        <w:rPr>
          <w:rFonts w:cs="Arial"/>
          <w:sz w:val="20"/>
          <w:szCs w:val="20"/>
        </w:rPr>
        <w:t xml:space="preserve"> </w:t>
      </w:r>
      <w:r w:rsidRPr="665A25F4" w:rsidR="2C1B4072">
        <w:rPr>
          <w:rFonts w:cs="Arial"/>
          <w:sz w:val="20"/>
          <w:szCs w:val="20"/>
        </w:rPr>
        <w:t>in REDD</w:t>
      </w:r>
      <w:r w:rsidRPr="665A25F4" w:rsidR="7D058027">
        <w:rPr>
          <w:rFonts w:cs="Arial"/>
          <w:sz w:val="20"/>
          <w:szCs w:val="20"/>
        </w:rPr>
        <w:t>+)</w:t>
      </w:r>
      <w:r w:rsidRPr="665A25F4" w:rsidR="047C0FC6">
        <w:rPr>
          <w:rFonts w:cs="Arial"/>
          <w:sz w:val="20"/>
          <w:szCs w:val="20"/>
        </w:rPr>
        <w:t xml:space="preserve"> and were discussed in depth at the Knowledge Exchange in Leticia</w:t>
      </w:r>
      <w:r w:rsidRPr="665A25F4" w:rsidR="009C4BDF">
        <w:rPr>
          <w:rFonts w:cs="Arial"/>
          <w:sz w:val="20"/>
          <w:szCs w:val="20"/>
        </w:rPr>
        <w:t>.</w:t>
      </w:r>
      <w:r w:rsidRPr="665A25F4" w:rsidR="047C0FC6">
        <w:rPr>
          <w:rFonts w:cs="Arial"/>
          <w:sz w:val="20"/>
          <w:szCs w:val="20"/>
        </w:rPr>
        <w:t xml:space="preserve"> </w:t>
      </w:r>
      <w:r w:rsidRPr="665A25F4" w:rsidR="7D058027">
        <w:rPr>
          <w:rFonts w:cs="Arial"/>
          <w:sz w:val="20"/>
          <w:szCs w:val="20"/>
        </w:rPr>
        <w:t>Despite the challenges, a</w:t>
      </w:r>
      <w:r w:rsidRPr="665A25F4" w:rsidR="2F5974E4">
        <w:rPr>
          <w:rFonts w:cs="Arial"/>
          <w:sz w:val="20"/>
          <w:szCs w:val="20"/>
        </w:rPr>
        <w:t>ll three jurisdictions</w:t>
      </w:r>
      <w:r w:rsidRPr="665A25F4" w:rsidR="047C0FC6">
        <w:rPr>
          <w:rFonts w:cs="Arial"/>
          <w:sz w:val="20"/>
          <w:szCs w:val="20"/>
        </w:rPr>
        <w:t xml:space="preserve"> have both continued to implement and strengthen their approaches to safeguards.</w:t>
      </w:r>
    </w:p>
    <w:p w:rsidR="00FF1682" w:rsidP="15821389" w:rsidRDefault="00FF1682" w14:paraId="5446E37E" w14:textId="77777777">
      <w:pPr>
        <w:jc w:val="both"/>
        <w:rPr>
          <w:rFonts w:cs="Arial"/>
          <w:sz w:val="20"/>
          <w:szCs w:val="20"/>
          <w:highlight w:val="yellow"/>
        </w:rPr>
      </w:pPr>
    </w:p>
    <w:p w:rsidRPr="00D933F5" w:rsidR="007F7A88" w:rsidP="15821389" w:rsidRDefault="047C0FC6" w14:paraId="249899AB" w14:textId="1479F283">
      <w:pPr>
        <w:jc w:val="both"/>
        <w:rPr>
          <w:rFonts w:cs="Arial"/>
          <w:sz w:val="20"/>
          <w:szCs w:val="20"/>
        </w:rPr>
      </w:pPr>
      <w:r w:rsidRPr="00D933F5">
        <w:rPr>
          <w:rFonts w:cs="Arial"/>
          <w:sz w:val="20"/>
          <w:szCs w:val="20"/>
        </w:rPr>
        <w:t xml:space="preserve">In Colombia, </w:t>
      </w:r>
      <w:r w:rsidRPr="00D933F5" w:rsidR="000E05F7">
        <w:rPr>
          <w:rFonts w:cs="Arial"/>
          <w:sz w:val="20"/>
          <w:szCs w:val="20"/>
        </w:rPr>
        <w:t>the safeguarding system is running well and being aligned with the national system</w:t>
      </w:r>
      <w:r w:rsidRPr="00D933F5" w:rsidR="00FF4AFD">
        <w:rPr>
          <w:rFonts w:cs="Arial"/>
          <w:sz w:val="20"/>
          <w:szCs w:val="20"/>
        </w:rPr>
        <w:t>, which will be launching its first official decree by the end of 2024</w:t>
      </w:r>
      <w:r w:rsidRPr="00D933F5" w:rsidR="005816D2">
        <w:rPr>
          <w:rFonts w:cs="Arial"/>
          <w:sz w:val="20"/>
          <w:szCs w:val="20"/>
        </w:rPr>
        <w:t xml:space="preserve">, and the updates to the SIS (National </w:t>
      </w:r>
      <w:r w:rsidRPr="00D933F5" w:rsidR="005816D2">
        <w:rPr>
          <w:rFonts w:cs="Arial"/>
          <w:sz w:val="20"/>
          <w:szCs w:val="20"/>
        </w:rPr>
        <w:lastRenderedPageBreak/>
        <w:t xml:space="preserve">Safeguarding System) will be </w:t>
      </w:r>
      <w:r w:rsidRPr="00D933F5" w:rsidR="00114A33">
        <w:rPr>
          <w:rFonts w:cs="Arial"/>
          <w:sz w:val="20"/>
          <w:szCs w:val="20"/>
        </w:rPr>
        <w:t>presented</w:t>
      </w:r>
      <w:r w:rsidRPr="00D933F5" w:rsidR="005816D2">
        <w:rPr>
          <w:rFonts w:cs="Arial"/>
          <w:sz w:val="20"/>
          <w:szCs w:val="20"/>
        </w:rPr>
        <w:t xml:space="preserve"> at COP 16 in Cali, 2024. The system will aim to incorporate </w:t>
      </w:r>
      <w:r w:rsidRPr="00D933F5" w:rsidR="00FE3C87">
        <w:rPr>
          <w:rFonts w:cs="Arial"/>
          <w:sz w:val="20"/>
          <w:szCs w:val="20"/>
        </w:rPr>
        <w:t xml:space="preserve">all projects, including project-based REDD+. The REM team have helped with the development of this. In terms of the REM system, </w:t>
      </w:r>
      <w:r w:rsidRPr="00D933F5" w:rsidR="00B31B87">
        <w:rPr>
          <w:rFonts w:cs="Arial"/>
          <w:sz w:val="20"/>
          <w:szCs w:val="20"/>
        </w:rPr>
        <w:t xml:space="preserve">the </w:t>
      </w:r>
      <w:r w:rsidRPr="00D933F5" w:rsidR="001E407A">
        <w:rPr>
          <w:rFonts w:cs="Arial"/>
          <w:sz w:val="20"/>
          <w:szCs w:val="20"/>
        </w:rPr>
        <w:t xml:space="preserve">Marco de Gestión Ambiental y Social (MGAS) or Monitoring manual for social and environmental safeguarding systems was consolidated in December 2023 after alignment </w:t>
      </w:r>
      <w:r w:rsidRPr="00D933F5" w:rsidR="000A6CFA">
        <w:rPr>
          <w:rFonts w:cs="Arial"/>
          <w:sz w:val="20"/>
          <w:szCs w:val="20"/>
        </w:rPr>
        <w:t xml:space="preserve">with the Ministry of Environment. The team </w:t>
      </w:r>
      <w:r w:rsidRPr="00D933F5" w:rsidR="00FF7F9A">
        <w:rPr>
          <w:rFonts w:cs="Arial"/>
          <w:sz w:val="20"/>
          <w:szCs w:val="20"/>
        </w:rPr>
        <w:t xml:space="preserve">also worked with women in Guaviare to better implement the IFA (PES scheme) and continued to develop the gender strategy for the programme. </w:t>
      </w:r>
      <w:r w:rsidRPr="00D933F5" w:rsidR="00291373">
        <w:rPr>
          <w:rFonts w:cs="Arial"/>
          <w:sz w:val="20"/>
          <w:szCs w:val="20"/>
        </w:rPr>
        <w:t xml:space="preserve">This reporting period saw 146 accesses to the </w:t>
      </w:r>
      <w:r w:rsidRPr="00D933F5" w:rsidR="00C30F16">
        <w:rPr>
          <w:rFonts w:cs="Arial"/>
          <w:sz w:val="20"/>
          <w:szCs w:val="20"/>
        </w:rPr>
        <w:t>redress mechanism</w:t>
      </w:r>
      <w:r w:rsidR="00244B4F">
        <w:rPr>
          <w:rStyle w:val="FootnoteReference"/>
          <w:rFonts w:cs="Arial"/>
          <w:sz w:val="20"/>
          <w:szCs w:val="20"/>
        </w:rPr>
        <w:footnoteReference w:id="19"/>
      </w:r>
      <w:r w:rsidRPr="00D933F5" w:rsidR="00C30F16">
        <w:rPr>
          <w:rFonts w:cs="Arial"/>
          <w:sz w:val="20"/>
          <w:szCs w:val="20"/>
        </w:rPr>
        <w:t xml:space="preserve">, 46 of which were complaints and 91 </w:t>
      </w:r>
      <w:r w:rsidRPr="00D933F5" w:rsidR="00A635EA">
        <w:rPr>
          <w:rFonts w:cs="Arial"/>
          <w:sz w:val="20"/>
          <w:szCs w:val="20"/>
        </w:rPr>
        <w:t>asks for information, including how to participate in the calls for proposals, how to access the IFA and questions about con</w:t>
      </w:r>
      <w:r w:rsidRPr="00D933F5" w:rsidR="00D933F5">
        <w:rPr>
          <w:rFonts w:cs="Arial"/>
          <w:sz w:val="20"/>
          <w:szCs w:val="20"/>
        </w:rPr>
        <w:t xml:space="preserve">trolling deforestation. </w:t>
      </w:r>
    </w:p>
    <w:p w:rsidRPr="00244B4F" w:rsidR="000B54BB" w:rsidP="15821389" w:rsidRDefault="000B54BB" w14:paraId="6977AA6B" w14:textId="77777777">
      <w:pPr>
        <w:jc w:val="both"/>
        <w:rPr>
          <w:rFonts w:cs="Arial"/>
          <w:sz w:val="20"/>
          <w:szCs w:val="20"/>
          <w:highlight w:val="yellow"/>
        </w:rPr>
      </w:pPr>
    </w:p>
    <w:p w:rsidRPr="000B54BB" w:rsidR="000B54BB" w:rsidP="15821389" w:rsidRDefault="000B54BB" w14:paraId="41098DD8" w14:textId="6E3753B8">
      <w:pPr>
        <w:jc w:val="both"/>
        <w:rPr>
          <w:rFonts w:cs="Arial"/>
          <w:sz w:val="20"/>
          <w:szCs w:val="20"/>
        </w:rPr>
      </w:pPr>
      <w:r w:rsidRPr="004A7EB0">
        <w:rPr>
          <w:rFonts w:cs="Arial"/>
          <w:sz w:val="20"/>
          <w:szCs w:val="20"/>
        </w:rPr>
        <w:t>In Mato Grosso,</w:t>
      </w:r>
      <w:r w:rsidR="00CC32AC">
        <w:rPr>
          <w:rFonts w:cs="Arial"/>
          <w:sz w:val="20"/>
          <w:szCs w:val="20"/>
        </w:rPr>
        <w:t xml:space="preserve"> the first summary of the </w:t>
      </w:r>
      <w:r w:rsidR="00402879">
        <w:rPr>
          <w:rFonts w:cs="Arial"/>
          <w:sz w:val="20"/>
          <w:szCs w:val="20"/>
        </w:rPr>
        <w:t>compliance with safeguards was published this year</w:t>
      </w:r>
      <w:r w:rsidR="007A2426">
        <w:rPr>
          <w:rFonts w:cs="Arial"/>
          <w:sz w:val="20"/>
          <w:szCs w:val="20"/>
        </w:rPr>
        <w:t>.</w:t>
      </w:r>
      <w:r w:rsidR="00402879">
        <w:rPr>
          <w:rFonts w:cs="Arial"/>
          <w:sz w:val="20"/>
          <w:szCs w:val="20"/>
        </w:rPr>
        <w:t xml:space="preserve"> To further improve the safeguarding system,</w:t>
      </w:r>
      <w:r w:rsidRPr="000B54BB">
        <w:rPr>
          <w:rFonts w:cs="Arial"/>
          <w:sz w:val="20"/>
          <w:szCs w:val="20"/>
        </w:rPr>
        <w:t xml:space="preserve"> </w:t>
      </w:r>
      <w:r w:rsidR="00FE2882">
        <w:rPr>
          <w:rFonts w:cs="Arial"/>
          <w:sz w:val="20"/>
          <w:szCs w:val="20"/>
        </w:rPr>
        <w:t>in the second half of 2023, a consul</w:t>
      </w:r>
      <w:r w:rsidR="000B0CAB">
        <w:rPr>
          <w:rFonts w:cs="Arial"/>
          <w:sz w:val="20"/>
          <w:szCs w:val="20"/>
        </w:rPr>
        <w:t>tant was contracted to review and evaluate the ESSA (Environmental and Social Safeguard system</w:t>
      </w:r>
      <w:r w:rsidR="00670944">
        <w:rPr>
          <w:rFonts w:cs="Arial"/>
          <w:sz w:val="20"/>
          <w:szCs w:val="20"/>
        </w:rPr>
        <w:t xml:space="preserve">) in </w:t>
      </w:r>
      <w:r w:rsidR="004F6CBE">
        <w:rPr>
          <w:rFonts w:cs="Arial"/>
          <w:sz w:val="20"/>
          <w:szCs w:val="20"/>
        </w:rPr>
        <w:t xml:space="preserve">preparation for Phase 2. </w:t>
      </w:r>
      <w:r w:rsidR="007E42CE">
        <w:rPr>
          <w:rFonts w:cs="Arial"/>
          <w:sz w:val="20"/>
          <w:szCs w:val="20"/>
        </w:rPr>
        <w:t xml:space="preserve">The aim was to ensure the safeguard system aligned with the Cancun Safeguards and </w:t>
      </w:r>
      <w:r w:rsidR="00640225">
        <w:rPr>
          <w:rFonts w:cs="Arial"/>
          <w:sz w:val="20"/>
          <w:szCs w:val="20"/>
        </w:rPr>
        <w:t>World Bank Safeguarding advice, as well as KFW expectations.</w:t>
      </w:r>
      <w:r w:rsidR="00B126C2">
        <w:rPr>
          <w:rFonts w:cs="Arial"/>
          <w:sz w:val="20"/>
          <w:szCs w:val="20"/>
        </w:rPr>
        <w:t xml:space="preserve"> The workplan</w:t>
      </w:r>
      <w:r w:rsidR="001A52F9">
        <w:rPr>
          <w:rFonts w:cs="Arial"/>
          <w:sz w:val="20"/>
          <w:szCs w:val="20"/>
        </w:rPr>
        <w:t xml:space="preserve"> (evaluation of the system and revision of the system)</w:t>
      </w:r>
      <w:r w:rsidR="00B126C2">
        <w:rPr>
          <w:rFonts w:cs="Arial"/>
          <w:sz w:val="20"/>
          <w:szCs w:val="20"/>
        </w:rPr>
        <w:t xml:space="preserve"> was approved in October 2023, </w:t>
      </w:r>
      <w:r w:rsidR="001A52F9">
        <w:rPr>
          <w:rFonts w:cs="Arial"/>
          <w:sz w:val="20"/>
          <w:szCs w:val="20"/>
        </w:rPr>
        <w:t>and a field visit to test the new tools was carried out later in the year</w:t>
      </w:r>
      <w:r w:rsidR="00244545">
        <w:rPr>
          <w:rFonts w:cs="Arial"/>
          <w:sz w:val="20"/>
          <w:szCs w:val="20"/>
        </w:rPr>
        <w:t xml:space="preserve">, as well as meetings between the implementors of the sub-programmes and the consultant. </w:t>
      </w:r>
      <w:r w:rsidR="004A7EB0">
        <w:rPr>
          <w:rFonts w:cs="Arial"/>
          <w:sz w:val="20"/>
          <w:szCs w:val="20"/>
        </w:rPr>
        <w:t xml:space="preserve">The final products are under analysis between KfW and SEMA and will be applied to the second phase of the programme. </w:t>
      </w:r>
    </w:p>
    <w:p w:rsidR="007F7A88" w:rsidP="15821389" w:rsidRDefault="007F7A88" w14:paraId="34BF6067" w14:textId="77777777">
      <w:pPr>
        <w:jc w:val="both"/>
        <w:rPr>
          <w:rFonts w:cs="Arial"/>
          <w:sz w:val="20"/>
          <w:szCs w:val="20"/>
          <w:highlight w:val="yellow"/>
        </w:rPr>
      </w:pPr>
    </w:p>
    <w:p w:rsidRPr="008166C2" w:rsidR="00CA2016" w:rsidP="15821389" w:rsidRDefault="44D705B3" w14:paraId="25F2A365" w14:textId="2E6519BE">
      <w:pPr>
        <w:jc w:val="both"/>
        <w:rPr>
          <w:rFonts w:cs="Arial"/>
          <w:sz w:val="20"/>
          <w:szCs w:val="20"/>
          <w:highlight w:val="yellow"/>
        </w:rPr>
      </w:pPr>
      <w:r w:rsidRPr="000B54BB">
        <w:rPr>
          <w:rFonts w:cs="Arial"/>
          <w:sz w:val="20"/>
          <w:szCs w:val="20"/>
        </w:rPr>
        <w:t xml:space="preserve">In Acre, </w:t>
      </w:r>
      <w:r w:rsidRPr="000B54BB" w:rsidR="00335C51">
        <w:rPr>
          <w:rFonts w:cs="Arial"/>
          <w:sz w:val="20"/>
          <w:szCs w:val="20"/>
        </w:rPr>
        <w:t xml:space="preserve">the </w:t>
      </w:r>
      <w:r w:rsidRPr="000B54BB" w:rsidR="00980931">
        <w:rPr>
          <w:rFonts w:cs="Arial"/>
          <w:sz w:val="20"/>
          <w:szCs w:val="20"/>
        </w:rPr>
        <w:t xml:space="preserve">safeguarding system is </w:t>
      </w:r>
      <w:r w:rsidRPr="000B54BB" w:rsidR="008166C2">
        <w:rPr>
          <w:rFonts w:cs="Arial"/>
          <w:sz w:val="20"/>
          <w:szCs w:val="20"/>
        </w:rPr>
        <w:t>disseminated</w:t>
      </w:r>
      <w:r w:rsidRPr="000B54BB" w:rsidR="00980931">
        <w:rPr>
          <w:rFonts w:cs="Arial"/>
          <w:sz w:val="20"/>
          <w:szCs w:val="20"/>
        </w:rPr>
        <w:t xml:space="preserve"> through SISA, the state law for environmental services. </w:t>
      </w:r>
      <w:r w:rsidRPr="000B54BB" w:rsidR="00212D7F">
        <w:rPr>
          <w:rFonts w:cs="Arial"/>
          <w:sz w:val="20"/>
          <w:szCs w:val="20"/>
        </w:rPr>
        <w:t>The ‘Ouvidor</w:t>
      </w:r>
      <w:r w:rsidRPr="000B54BB" w:rsidR="005B37F8">
        <w:rPr>
          <w:rFonts w:cs="Arial"/>
          <w:sz w:val="20"/>
          <w:szCs w:val="20"/>
        </w:rPr>
        <w:t>i</w:t>
      </w:r>
      <w:r w:rsidRPr="000B54BB" w:rsidR="00212D7F">
        <w:rPr>
          <w:rFonts w:cs="Arial"/>
          <w:sz w:val="20"/>
          <w:szCs w:val="20"/>
        </w:rPr>
        <w:t>a’ or ‘Listener’ has been accompanying REM programme managers to the field to increase the understanding of SISA and how to make complaints</w:t>
      </w:r>
      <w:r w:rsidRPr="000B54BB" w:rsidR="005B4F14">
        <w:rPr>
          <w:rFonts w:cs="Arial"/>
          <w:sz w:val="20"/>
          <w:szCs w:val="20"/>
        </w:rPr>
        <w:t xml:space="preserve">, as well as make REM actions more visible in the field. </w:t>
      </w:r>
      <w:r w:rsidRPr="000B54BB" w:rsidR="005B37F8">
        <w:rPr>
          <w:rFonts w:cs="Arial"/>
          <w:sz w:val="20"/>
          <w:szCs w:val="20"/>
        </w:rPr>
        <w:t>This led to increases in contact to the Ouvidoria</w:t>
      </w:r>
      <w:r w:rsidRPr="000B54BB" w:rsidR="0028001C">
        <w:rPr>
          <w:rFonts w:cs="Arial"/>
          <w:sz w:val="20"/>
          <w:szCs w:val="20"/>
        </w:rPr>
        <w:t xml:space="preserve"> to 39 in 202</w:t>
      </w:r>
      <w:r w:rsidRPr="000B54BB" w:rsidR="00204080">
        <w:rPr>
          <w:rFonts w:cs="Arial"/>
          <w:sz w:val="20"/>
          <w:szCs w:val="20"/>
        </w:rPr>
        <w:t>3-24</w:t>
      </w:r>
      <w:r w:rsidRPr="000B54BB" w:rsidR="00FA3269">
        <w:rPr>
          <w:rFonts w:cs="Arial"/>
          <w:sz w:val="20"/>
          <w:szCs w:val="20"/>
        </w:rPr>
        <w:t xml:space="preserve">, of which </w:t>
      </w:r>
      <w:r w:rsidRPr="000B54BB" w:rsidR="00204C2A">
        <w:rPr>
          <w:rFonts w:cs="Arial"/>
          <w:sz w:val="20"/>
          <w:szCs w:val="20"/>
        </w:rPr>
        <w:t xml:space="preserve">6 were complaints, </w:t>
      </w:r>
      <w:r w:rsidRPr="000B54BB" w:rsidR="00405724">
        <w:rPr>
          <w:rFonts w:cs="Arial"/>
          <w:sz w:val="20"/>
          <w:szCs w:val="20"/>
        </w:rPr>
        <w:t xml:space="preserve">9 questions, 6 suggestions and 16 </w:t>
      </w:r>
      <w:r w:rsidRPr="000B54BB" w:rsidR="00602BA5">
        <w:rPr>
          <w:rFonts w:cs="Arial"/>
          <w:sz w:val="20"/>
          <w:szCs w:val="20"/>
        </w:rPr>
        <w:t xml:space="preserve">words of praise for interventions. </w:t>
      </w:r>
      <w:r w:rsidRPr="000B54BB" w:rsidR="00716AB8">
        <w:rPr>
          <w:rFonts w:cs="Arial"/>
          <w:sz w:val="20"/>
          <w:szCs w:val="20"/>
        </w:rPr>
        <w:t xml:space="preserve">6 training sessions </w:t>
      </w:r>
      <w:r w:rsidRPr="000B54BB" w:rsidR="00756833">
        <w:rPr>
          <w:rFonts w:cs="Arial"/>
          <w:sz w:val="20"/>
          <w:szCs w:val="20"/>
        </w:rPr>
        <w:t xml:space="preserve">/conferences </w:t>
      </w:r>
      <w:r w:rsidRPr="000B54BB" w:rsidR="00716AB8">
        <w:rPr>
          <w:rFonts w:cs="Arial"/>
          <w:sz w:val="20"/>
          <w:szCs w:val="20"/>
        </w:rPr>
        <w:t xml:space="preserve">took place </w:t>
      </w:r>
      <w:r w:rsidRPr="000B54BB" w:rsidR="00756833">
        <w:rPr>
          <w:rFonts w:cs="Arial"/>
          <w:sz w:val="20"/>
          <w:szCs w:val="20"/>
        </w:rPr>
        <w:t xml:space="preserve">to develop the safeguarding system, and next year the aim is to elaborate the </w:t>
      </w:r>
      <w:r w:rsidRPr="000B54BB" w:rsidR="00893502">
        <w:rPr>
          <w:rFonts w:cs="Arial"/>
          <w:sz w:val="20"/>
          <w:szCs w:val="20"/>
        </w:rPr>
        <w:t xml:space="preserve">Safeguarding manual and action plan for implementation. </w:t>
      </w:r>
      <w:r w:rsidRPr="000B54BB" w:rsidR="00436A2D">
        <w:rPr>
          <w:rFonts w:cs="Arial"/>
          <w:sz w:val="20"/>
          <w:szCs w:val="20"/>
        </w:rPr>
        <w:t xml:space="preserve">On the mission, </w:t>
      </w:r>
      <w:r w:rsidRPr="000B54BB" w:rsidR="00A71279">
        <w:rPr>
          <w:rFonts w:cs="Arial"/>
          <w:sz w:val="20"/>
          <w:szCs w:val="20"/>
        </w:rPr>
        <w:t>it was shown that this year CEVA</w:t>
      </w:r>
      <w:r w:rsidRPr="000B54BB" w:rsidR="00B470B7">
        <w:rPr>
          <w:rFonts w:cs="Arial"/>
          <w:sz w:val="20"/>
          <w:szCs w:val="20"/>
        </w:rPr>
        <w:t xml:space="preserve"> (this is </w:t>
      </w:r>
      <w:r w:rsidRPr="000B54BB" w:rsidR="00A11725">
        <w:rPr>
          <w:rFonts w:cs="Arial"/>
          <w:sz w:val="20"/>
          <w:szCs w:val="20"/>
        </w:rPr>
        <w:t>compromised</w:t>
      </w:r>
      <w:r w:rsidRPr="000B54BB" w:rsidR="00B470B7">
        <w:rPr>
          <w:rFonts w:cs="Arial"/>
          <w:sz w:val="20"/>
          <w:szCs w:val="20"/>
        </w:rPr>
        <w:t xml:space="preserve"> of </w:t>
      </w:r>
      <w:r w:rsidRPr="000B54BB" w:rsidR="00A11725">
        <w:rPr>
          <w:rFonts w:cs="Arial"/>
          <w:sz w:val="20"/>
          <w:szCs w:val="20"/>
        </w:rPr>
        <w:t>5 members of society, 5 of government, coordinator, and a secretary)</w:t>
      </w:r>
      <w:r w:rsidRPr="000B54BB" w:rsidR="00A71279">
        <w:rPr>
          <w:rFonts w:cs="Arial"/>
          <w:sz w:val="20"/>
          <w:szCs w:val="20"/>
        </w:rPr>
        <w:t xml:space="preserve"> was reinstated, which </w:t>
      </w:r>
      <w:r w:rsidRPr="000B54BB" w:rsidR="001B5E04">
        <w:rPr>
          <w:rFonts w:cs="Arial"/>
          <w:sz w:val="20"/>
          <w:szCs w:val="20"/>
        </w:rPr>
        <w:t xml:space="preserve">provides focus groups for states participation </w:t>
      </w:r>
      <w:r w:rsidRPr="000B54BB" w:rsidR="008042B9">
        <w:rPr>
          <w:rFonts w:cs="Arial"/>
          <w:sz w:val="20"/>
          <w:szCs w:val="20"/>
        </w:rPr>
        <w:t>of groups including women and Indigenous people</w:t>
      </w:r>
      <w:r w:rsidRPr="000B54BB" w:rsidR="000B54BB">
        <w:rPr>
          <w:rFonts w:cs="Arial"/>
          <w:sz w:val="20"/>
          <w:szCs w:val="20"/>
        </w:rPr>
        <w:t>;</w:t>
      </w:r>
      <w:r w:rsidRPr="000B54BB" w:rsidR="008042B9">
        <w:rPr>
          <w:rFonts w:cs="Arial"/>
          <w:sz w:val="20"/>
          <w:szCs w:val="20"/>
        </w:rPr>
        <w:t xml:space="preserve"> </w:t>
      </w:r>
      <w:r w:rsidRPr="000B54BB" w:rsidR="000B54BB">
        <w:rPr>
          <w:rFonts w:cs="Arial"/>
          <w:sz w:val="20"/>
          <w:szCs w:val="20"/>
        </w:rPr>
        <w:t>i</w:t>
      </w:r>
      <w:r w:rsidRPr="000B54BB" w:rsidR="008042B9">
        <w:rPr>
          <w:rFonts w:cs="Arial"/>
          <w:sz w:val="20"/>
          <w:szCs w:val="20"/>
        </w:rPr>
        <w:t>n 2023, they had 24 meetings, and in 2024, 15 were undertaken</w:t>
      </w:r>
      <w:r w:rsidRPr="000B54BB" w:rsidR="00CC208A">
        <w:rPr>
          <w:rFonts w:cs="Arial"/>
          <w:sz w:val="20"/>
          <w:szCs w:val="20"/>
        </w:rPr>
        <w:t xml:space="preserve">. These helped to shape the programme and create the </w:t>
      </w:r>
      <w:r w:rsidRPr="000B54BB" w:rsidR="005F2861">
        <w:rPr>
          <w:rFonts w:cs="Arial"/>
          <w:sz w:val="20"/>
          <w:szCs w:val="20"/>
        </w:rPr>
        <w:t xml:space="preserve">safeguarding plans as well as design the next investment plan for REM. </w:t>
      </w:r>
      <w:r w:rsidRPr="00724FC2" w:rsidR="00355D45">
        <w:rPr>
          <w:rFonts w:cs="Arial"/>
          <w:sz w:val="20"/>
          <w:szCs w:val="20"/>
        </w:rPr>
        <w:t>With regards to the safeguarding compliance, REM was supported by GIZ consultants last year</w:t>
      </w:r>
      <w:r w:rsidRPr="00724FC2" w:rsidR="003E1D7D">
        <w:rPr>
          <w:rFonts w:cs="Arial"/>
          <w:sz w:val="20"/>
          <w:szCs w:val="20"/>
        </w:rPr>
        <w:t xml:space="preserve">, </w:t>
      </w:r>
      <w:r w:rsidRPr="00724FC2" w:rsidR="001F3873">
        <w:rPr>
          <w:rFonts w:cs="Arial"/>
          <w:sz w:val="20"/>
          <w:szCs w:val="20"/>
        </w:rPr>
        <w:t>however</w:t>
      </w:r>
      <w:r w:rsidRPr="00724FC2" w:rsidR="003E1D7D">
        <w:rPr>
          <w:rFonts w:cs="Arial"/>
          <w:sz w:val="20"/>
          <w:szCs w:val="20"/>
        </w:rPr>
        <w:t xml:space="preserve"> the products were superficial in places and lacked cross-referencing with the Cancun/SISA system, and the World Bank’s </w:t>
      </w:r>
      <w:r w:rsidRPr="00724FC2" w:rsidR="00C50275">
        <w:rPr>
          <w:rFonts w:cs="Arial"/>
          <w:sz w:val="20"/>
          <w:szCs w:val="20"/>
        </w:rPr>
        <w:t>10 Environmental and Social Safeguards, as requested by KfW</w:t>
      </w:r>
      <w:r w:rsidRPr="00724FC2" w:rsidR="00662D56">
        <w:rPr>
          <w:rFonts w:cs="Arial"/>
          <w:sz w:val="20"/>
          <w:szCs w:val="20"/>
        </w:rPr>
        <w:t>. Now, t</w:t>
      </w:r>
      <w:r w:rsidRPr="00724FC2" w:rsidR="001F3873">
        <w:rPr>
          <w:rFonts w:cs="Arial"/>
          <w:sz w:val="20"/>
          <w:szCs w:val="20"/>
        </w:rPr>
        <w:t>he International Consultan</w:t>
      </w:r>
      <w:r w:rsidRPr="00724FC2" w:rsidR="00910E67">
        <w:rPr>
          <w:rFonts w:cs="Arial"/>
          <w:sz w:val="20"/>
          <w:szCs w:val="20"/>
        </w:rPr>
        <w:t>cy has drawn up a more specific Terms of Reference and a new consultant is being hired to carry out the final work between October-December 2024</w:t>
      </w:r>
      <w:r w:rsidRPr="00724FC2" w:rsidR="005F5ACF">
        <w:rPr>
          <w:rFonts w:cs="Arial"/>
          <w:sz w:val="20"/>
          <w:szCs w:val="20"/>
        </w:rPr>
        <w:t xml:space="preserve">, meaning they should reach this target by the end of 2024. </w:t>
      </w:r>
    </w:p>
    <w:p w:rsidRPr="00600646" w:rsidR="00600646" w:rsidP="00CA2016" w:rsidRDefault="00600646" w14:paraId="3FFBD629" w14:textId="77777777">
      <w:pPr>
        <w:jc w:val="both"/>
        <w:rPr>
          <w:rFonts w:cs="Arial"/>
          <w:bCs/>
          <w:sz w:val="20"/>
          <w:szCs w:val="20"/>
        </w:rPr>
      </w:pPr>
    </w:p>
    <w:p w:rsidR="00CA2016" w:rsidP="00CA2016" w:rsidRDefault="00CA2016" w14:paraId="68732CA3" w14:textId="77777777">
      <w:pPr>
        <w:jc w:val="both"/>
        <w:rPr>
          <w:rFonts w:cs="Arial"/>
          <w:i/>
          <w:iCs/>
          <w:sz w:val="22"/>
          <w:szCs w:val="22"/>
        </w:rPr>
      </w:pPr>
      <w:r w:rsidRPr="007F543A">
        <w:rPr>
          <w:b/>
          <w:bCs/>
          <w:i/>
          <w:iCs/>
        </w:rPr>
        <w:t>Changes to this output, and any planned changes as a result of this review</w:t>
      </w:r>
    </w:p>
    <w:p w:rsidRPr="001A5E06" w:rsidR="00CA2016" w:rsidP="00CA2016" w:rsidRDefault="00CA2016" w14:paraId="63248251" w14:textId="5C3A3EE0">
      <w:pPr>
        <w:jc w:val="both"/>
        <w:rPr>
          <w:rFonts w:cs="Arial"/>
          <w:sz w:val="20"/>
          <w:szCs w:val="20"/>
        </w:rPr>
      </w:pPr>
      <w:r w:rsidRPr="001A5E06">
        <w:rPr>
          <w:rFonts w:cs="Arial"/>
          <w:sz w:val="20"/>
          <w:szCs w:val="20"/>
        </w:rPr>
        <w:t xml:space="preserve">No changes have been made to this output. </w:t>
      </w:r>
    </w:p>
    <w:p w:rsidRPr="00FB4F43" w:rsidR="00CA2016" w:rsidP="00CA2016" w:rsidRDefault="00CA2016" w14:paraId="0AA83AA4" w14:textId="77777777">
      <w:pPr>
        <w:jc w:val="both"/>
        <w:rPr>
          <w:rFonts w:cs="Arial"/>
          <w:i/>
          <w:iCs/>
          <w:sz w:val="20"/>
          <w:szCs w:val="20"/>
        </w:rPr>
      </w:pPr>
    </w:p>
    <w:p w:rsidR="00267D6E" w:rsidP="00CA2016" w:rsidRDefault="00CA2016" w14:paraId="090B3E10" w14:textId="2FE025FA">
      <w:pPr>
        <w:jc w:val="both"/>
        <w:rPr>
          <w:b/>
          <w:bCs/>
          <w:i/>
          <w:iCs/>
        </w:rPr>
      </w:pPr>
      <w:r w:rsidRPr="00FB4F43">
        <w:rPr>
          <w:b/>
          <w:bCs/>
          <w:i/>
          <w:iCs/>
        </w:rPr>
        <w:t>Progress on recommendations from the previous AR, lessons learned this year, and recommendations for the year ahead</w:t>
      </w:r>
    </w:p>
    <w:p w:rsidR="006B45DE" w:rsidP="00CA2016" w:rsidRDefault="006B45DE" w14:paraId="1E316962" w14:textId="77777777">
      <w:pPr>
        <w:jc w:val="both"/>
        <w:rPr>
          <w:b/>
          <w:bCs/>
          <w:i/>
          <w:iCs/>
        </w:rPr>
      </w:pPr>
    </w:p>
    <w:p w:rsidR="00232694" w:rsidP="00AA4CF1" w:rsidRDefault="00482F96" w14:paraId="3ACE70EA" w14:textId="5B3CE357">
      <w:pPr>
        <w:jc w:val="both"/>
        <w:rPr>
          <w:rFonts w:cs="Arial"/>
          <w:sz w:val="20"/>
          <w:szCs w:val="20"/>
        </w:rPr>
      </w:pPr>
      <w:r>
        <w:rPr>
          <w:rFonts w:cs="Arial"/>
          <w:sz w:val="20"/>
          <w:szCs w:val="20"/>
        </w:rPr>
        <w:t xml:space="preserve">The main area of focus for this year will be for Acre to join the other programmes in reporting against safeguards </w:t>
      </w:r>
      <w:r w:rsidR="00724FC2">
        <w:rPr>
          <w:rFonts w:cs="Arial"/>
          <w:sz w:val="20"/>
          <w:szCs w:val="20"/>
        </w:rPr>
        <w:t xml:space="preserve">again. </w:t>
      </w:r>
    </w:p>
    <w:p w:rsidR="0054502F" w:rsidP="00AA4CF1" w:rsidRDefault="0054502F" w14:paraId="27A89847" w14:textId="77777777">
      <w:pPr>
        <w:jc w:val="both"/>
        <w:rPr>
          <w:rFonts w:cs="Arial"/>
          <w:sz w:val="20"/>
          <w:szCs w:val="20"/>
        </w:rPr>
      </w:pPr>
    </w:p>
    <w:p w:rsidR="0054502F" w:rsidP="0054502F" w:rsidRDefault="0054502F" w14:paraId="64139F9B" w14:textId="06033ACB">
      <w:pPr>
        <w:pStyle w:val="ListParagraph"/>
        <w:numPr>
          <w:ilvl w:val="0"/>
          <w:numId w:val="42"/>
        </w:numPr>
        <w:jc w:val="both"/>
        <w:rPr>
          <w:rFonts w:cs="Arial"/>
          <w:sz w:val="20"/>
        </w:rPr>
      </w:pPr>
      <w:r w:rsidRPr="0054502F">
        <w:rPr>
          <w:rFonts w:cs="Arial"/>
          <w:sz w:val="20"/>
        </w:rPr>
        <w:t>The recommendation that Acre</w:t>
      </w:r>
      <w:r>
        <w:rPr>
          <w:rFonts w:cs="Arial"/>
          <w:sz w:val="20"/>
        </w:rPr>
        <w:t xml:space="preserve"> recommences reporting on Indicator 8 will be rolled over again</w:t>
      </w:r>
      <w:r w:rsidR="005F5ACF">
        <w:rPr>
          <w:rFonts w:cs="Arial"/>
          <w:sz w:val="20"/>
        </w:rPr>
        <w:t xml:space="preserve">, and to be completed by the end of the year with support from the consultant. </w:t>
      </w:r>
    </w:p>
    <w:p w:rsidR="004A7EB0" w:rsidP="184CFD00" w:rsidRDefault="004A7EB0" w14:paraId="251BFF0B" w14:textId="2CD215E8">
      <w:pPr>
        <w:pStyle w:val="ListParagraph"/>
        <w:numPr>
          <w:ilvl w:val="0"/>
          <w:numId w:val="42"/>
        </w:numPr>
        <w:jc w:val="both"/>
        <w:rPr>
          <w:rFonts w:cs="Arial"/>
          <w:sz w:val="20"/>
        </w:rPr>
      </w:pPr>
      <w:r w:rsidRPr="184CFD00">
        <w:rPr>
          <w:rFonts w:cs="Arial"/>
          <w:sz w:val="20"/>
        </w:rPr>
        <w:t xml:space="preserve">Mato Grosso to implement the recommendations to improving the safeguarding systems </w:t>
      </w:r>
      <w:r w:rsidRPr="184CFD00" w:rsidR="007A51D1">
        <w:rPr>
          <w:rFonts w:cs="Arial"/>
          <w:sz w:val="20"/>
        </w:rPr>
        <w:t xml:space="preserve">to the final year of Phase 1 and into Phase 2. </w:t>
      </w:r>
    </w:p>
    <w:tbl>
      <w:tblPr>
        <w:tblStyle w:val="TableGrid"/>
        <w:tblW w:w="9512" w:type="dxa"/>
        <w:tblInd w:w="-152" w:type="dxa"/>
        <w:tblLayout w:type="fixed"/>
        <w:tblLook w:val="04A0" w:firstRow="1" w:lastRow="0" w:firstColumn="1" w:lastColumn="0" w:noHBand="0" w:noVBand="1"/>
      </w:tblPr>
      <w:tblGrid>
        <w:gridCol w:w="1847"/>
        <w:gridCol w:w="600"/>
        <w:gridCol w:w="1335"/>
        <w:gridCol w:w="2970"/>
        <w:gridCol w:w="2760"/>
      </w:tblGrid>
      <w:tr w:rsidR="00CA7BE8" w:rsidTr="578D5448" w14:paraId="0B76B8A8" w14:textId="77777777">
        <w:trPr>
          <w:trHeight w:val="495"/>
        </w:trPr>
        <w:tc>
          <w:tcPr>
            <w:tcW w:w="1847"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358CECF7" w14:textId="77777777">
            <w:pPr>
              <w:rPr>
                <w:rFonts w:eastAsia="Arial" w:cs="Arial"/>
                <w:b/>
                <w:bCs/>
                <w:color w:val="000000" w:themeColor="text1"/>
                <w:sz w:val="20"/>
                <w:szCs w:val="20"/>
              </w:rPr>
            </w:pPr>
            <w:r w:rsidRPr="3E302607">
              <w:rPr>
                <w:rFonts w:eastAsia="Arial" w:cs="Arial"/>
                <w:sz w:val="20"/>
                <w:szCs w:val="20"/>
              </w:rPr>
              <w:br w:type="page"/>
            </w:r>
            <w:r w:rsidRPr="61AB1AE6">
              <w:rPr>
                <w:rFonts w:eastAsia="Arial" w:cs="Arial"/>
                <w:b/>
                <w:bCs/>
                <w:color w:val="000000" w:themeColor="text1"/>
                <w:sz w:val="20"/>
                <w:szCs w:val="20"/>
              </w:rPr>
              <w:t xml:space="preserve">Output Title </w:t>
            </w:r>
          </w:p>
        </w:tc>
        <w:tc>
          <w:tcPr>
            <w:tcW w:w="7665" w:type="dxa"/>
            <w:gridSpan w:val="4"/>
            <w:tcBorders>
              <w:top w:val="single" w:color="auto" w:sz="8" w:space="0"/>
              <w:left w:val="single" w:color="auto" w:sz="8" w:space="0"/>
              <w:bottom w:val="single" w:color="auto" w:sz="8" w:space="0"/>
              <w:right w:val="single" w:color="auto" w:sz="8" w:space="0"/>
            </w:tcBorders>
            <w:shd w:val="clear" w:color="auto" w:fill="FFFFFF" w:themeFill="background1"/>
          </w:tcPr>
          <w:p w:rsidRPr="006F36D9" w:rsidR="0065169A" w:rsidRDefault="0065169A" w14:paraId="7A6B8FC0" w14:textId="77777777">
            <w:pPr>
              <w:rPr>
                <w:rFonts w:eastAsia="Arial" w:cs="Arial"/>
                <w:color w:val="000000" w:themeColor="text1"/>
                <w:sz w:val="20"/>
                <w:szCs w:val="20"/>
              </w:rPr>
            </w:pPr>
            <w:r w:rsidRPr="006F36D9">
              <w:rPr>
                <w:rFonts w:eastAsia="Arial" w:cs="Arial"/>
                <w:color w:val="000000" w:themeColor="text1"/>
                <w:sz w:val="20"/>
                <w:szCs w:val="20"/>
              </w:rPr>
              <w:t>Forest and territorial governance implemented and consolidated</w:t>
            </w:r>
          </w:p>
        </w:tc>
      </w:tr>
      <w:tr w:rsidR="00711087" w:rsidTr="578D5448" w14:paraId="38F82AA4" w14:textId="77777777">
        <w:trPr>
          <w:trHeight w:val="345"/>
        </w:trPr>
        <w:tc>
          <w:tcPr>
            <w:tcW w:w="2447"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6496BAE7" w14:textId="77777777">
            <w:pPr>
              <w:rPr>
                <w:rFonts w:eastAsia="Arial" w:cs="Arial"/>
                <w:color w:val="000000" w:themeColor="text1"/>
                <w:sz w:val="20"/>
                <w:szCs w:val="20"/>
              </w:rPr>
            </w:pPr>
            <w:r w:rsidRPr="61AB1AE6">
              <w:rPr>
                <w:rFonts w:eastAsia="Arial" w:cs="Arial"/>
                <w:color w:val="000000" w:themeColor="text1"/>
                <w:sz w:val="20"/>
                <w:szCs w:val="20"/>
              </w:rPr>
              <w:t xml:space="preserve">Output number: </w:t>
            </w:r>
          </w:p>
        </w:tc>
        <w:tc>
          <w:tcPr>
            <w:tcW w:w="1335" w:type="dxa"/>
            <w:tcBorders>
              <w:top w:val="nil"/>
              <w:left w:val="nil"/>
              <w:bottom w:val="single" w:color="auto" w:sz="8" w:space="0"/>
              <w:right w:val="single" w:color="auto" w:sz="8" w:space="0"/>
            </w:tcBorders>
          </w:tcPr>
          <w:p w:rsidR="0065169A" w:rsidRDefault="0065169A" w14:paraId="058D20C4" w14:textId="77777777">
            <w:pPr>
              <w:rPr>
                <w:rFonts w:eastAsia="Arial" w:cs="Arial"/>
                <w:sz w:val="20"/>
                <w:szCs w:val="20"/>
              </w:rPr>
            </w:pPr>
            <w:r w:rsidRPr="61AB1AE6">
              <w:rPr>
                <w:rFonts w:eastAsia="Arial" w:cs="Arial"/>
                <w:sz w:val="20"/>
                <w:szCs w:val="20"/>
              </w:rPr>
              <w:t>3</w:t>
            </w:r>
          </w:p>
        </w:tc>
        <w:tc>
          <w:tcPr>
            <w:tcW w:w="2970" w:type="dxa"/>
            <w:tcBorders>
              <w:top w:val="nil"/>
              <w:left w:val="single" w:color="auto" w:sz="8" w:space="0"/>
              <w:bottom w:val="single" w:color="auto" w:sz="8" w:space="0"/>
              <w:right w:val="single" w:color="auto" w:sz="8" w:space="0"/>
            </w:tcBorders>
            <w:shd w:val="clear" w:color="auto" w:fill="D9E2F3" w:themeFill="accent1" w:themeFillTint="33"/>
          </w:tcPr>
          <w:p w:rsidRPr="00A6670A" w:rsidR="0065169A" w:rsidRDefault="0065169A" w14:paraId="122EA173" w14:textId="77777777">
            <w:pPr>
              <w:rPr>
                <w:rFonts w:eastAsia="Arial" w:cs="Arial"/>
                <w:color w:val="000000" w:themeColor="text1"/>
                <w:sz w:val="20"/>
                <w:szCs w:val="20"/>
              </w:rPr>
            </w:pPr>
            <w:r w:rsidRPr="00A6670A">
              <w:rPr>
                <w:rFonts w:eastAsia="Arial" w:cs="Arial"/>
                <w:color w:val="000000" w:themeColor="text1"/>
                <w:sz w:val="20"/>
                <w:szCs w:val="20"/>
              </w:rPr>
              <w:t xml:space="preserve">Output Score: </w:t>
            </w:r>
          </w:p>
        </w:tc>
        <w:tc>
          <w:tcPr>
            <w:tcW w:w="2760" w:type="dxa"/>
            <w:tcBorders>
              <w:top w:val="nil"/>
              <w:left w:val="single" w:color="auto" w:sz="8" w:space="0"/>
              <w:bottom w:val="single" w:color="auto" w:sz="8" w:space="0"/>
              <w:right w:val="single" w:color="auto" w:sz="8" w:space="0"/>
            </w:tcBorders>
          </w:tcPr>
          <w:p w:rsidRPr="00A6670A" w:rsidR="0065169A" w:rsidRDefault="001C304D" w14:paraId="21F46CA1" w14:textId="5288555D">
            <w:pPr>
              <w:rPr>
                <w:rFonts w:eastAsia="Arial" w:cs="Arial"/>
                <w:b/>
                <w:sz w:val="20"/>
                <w:szCs w:val="20"/>
              </w:rPr>
            </w:pPr>
            <w:r>
              <w:rPr>
                <w:rFonts w:eastAsia="Arial" w:cs="Arial"/>
                <w:b/>
                <w:sz w:val="20"/>
                <w:szCs w:val="20"/>
              </w:rPr>
              <w:t>A</w:t>
            </w:r>
            <w:r w:rsidR="006F36D9">
              <w:rPr>
                <w:rFonts w:eastAsia="Arial" w:cs="Arial"/>
                <w:b/>
                <w:sz w:val="20"/>
                <w:szCs w:val="20"/>
              </w:rPr>
              <w:t>+</w:t>
            </w:r>
          </w:p>
        </w:tc>
      </w:tr>
      <w:tr w:rsidR="00711087" w:rsidTr="578D5448" w14:paraId="05D32B5F" w14:textId="77777777">
        <w:trPr>
          <w:trHeight w:val="345"/>
        </w:trPr>
        <w:tc>
          <w:tcPr>
            <w:tcW w:w="2447"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23889A5D" w14:textId="77777777">
            <w:pPr>
              <w:rPr>
                <w:rFonts w:eastAsia="Arial" w:cs="Arial"/>
                <w:color w:val="000000" w:themeColor="text1"/>
                <w:sz w:val="20"/>
                <w:szCs w:val="20"/>
              </w:rPr>
            </w:pPr>
            <w:r w:rsidRPr="61AB1AE6">
              <w:rPr>
                <w:rFonts w:eastAsia="Arial" w:cs="Arial"/>
                <w:color w:val="000000" w:themeColor="text1"/>
                <w:sz w:val="20"/>
                <w:szCs w:val="20"/>
              </w:rPr>
              <w:t xml:space="preserve">Impact weighting (%):  </w:t>
            </w:r>
          </w:p>
        </w:tc>
        <w:tc>
          <w:tcPr>
            <w:tcW w:w="1335" w:type="dxa"/>
            <w:tcBorders>
              <w:top w:val="single" w:color="auto" w:sz="8" w:space="0"/>
              <w:left w:val="nil"/>
              <w:bottom w:val="single" w:color="auto" w:sz="8" w:space="0"/>
              <w:right w:val="single" w:color="auto" w:sz="8" w:space="0"/>
            </w:tcBorders>
          </w:tcPr>
          <w:p w:rsidR="0065169A" w:rsidRDefault="0065169A" w14:paraId="4A96B1E2" w14:textId="77777777">
            <w:pPr>
              <w:rPr>
                <w:rFonts w:eastAsia="Arial" w:cs="Arial"/>
                <w:sz w:val="20"/>
                <w:szCs w:val="20"/>
              </w:rPr>
            </w:pPr>
            <w:r w:rsidRPr="61AB1AE6">
              <w:rPr>
                <w:rFonts w:eastAsia="Arial" w:cs="Arial"/>
                <w:sz w:val="20"/>
                <w:szCs w:val="20"/>
              </w:rPr>
              <w:t>12.5%</w:t>
            </w:r>
          </w:p>
        </w:tc>
        <w:tc>
          <w:tcPr>
            <w:tcW w:w="297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12330B9D" w14:textId="77777777">
            <w:pPr>
              <w:rPr>
                <w:rFonts w:eastAsia="Arial" w:cs="Arial"/>
                <w:color w:val="000000" w:themeColor="text1"/>
                <w:sz w:val="20"/>
                <w:szCs w:val="20"/>
              </w:rPr>
            </w:pPr>
            <w:r w:rsidRPr="61AB1AE6">
              <w:rPr>
                <w:rFonts w:eastAsia="Arial" w:cs="Arial"/>
                <w:color w:val="000000" w:themeColor="text1"/>
                <w:sz w:val="20"/>
                <w:szCs w:val="20"/>
              </w:rPr>
              <w:t xml:space="preserve">Weighting revised since last AR? </w:t>
            </w:r>
          </w:p>
        </w:tc>
        <w:tc>
          <w:tcPr>
            <w:tcW w:w="2760" w:type="dxa"/>
            <w:tcBorders>
              <w:top w:val="single" w:color="auto" w:sz="8" w:space="0"/>
              <w:left w:val="single" w:color="auto" w:sz="8" w:space="0"/>
              <w:bottom w:val="single" w:color="auto" w:sz="8" w:space="0"/>
              <w:right w:val="single" w:color="auto" w:sz="8" w:space="0"/>
            </w:tcBorders>
          </w:tcPr>
          <w:p w:rsidR="0065169A" w:rsidRDefault="0065169A" w14:paraId="4B5137B6" w14:textId="77777777">
            <w:pPr>
              <w:rPr>
                <w:rFonts w:eastAsia="Arial" w:cs="Arial"/>
                <w:sz w:val="20"/>
                <w:szCs w:val="20"/>
              </w:rPr>
            </w:pPr>
            <w:r w:rsidRPr="61AB1AE6">
              <w:rPr>
                <w:rFonts w:eastAsia="Arial" w:cs="Arial"/>
                <w:sz w:val="20"/>
                <w:szCs w:val="20"/>
              </w:rPr>
              <w:t>No</w:t>
            </w:r>
          </w:p>
        </w:tc>
      </w:tr>
      <w:tr w:rsidR="00711087" w:rsidTr="578D5448" w14:paraId="409BF234" w14:textId="77777777">
        <w:trPr>
          <w:trHeight w:val="510"/>
        </w:trPr>
        <w:tc>
          <w:tcPr>
            <w:tcW w:w="2447"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1DD76A95" w14:paraId="11337E5B" w14:textId="77777777">
            <w:pPr>
              <w:rPr>
                <w:rFonts w:eastAsia="Arial" w:cs="Arial"/>
                <w:color w:val="000000" w:themeColor="text1"/>
                <w:sz w:val="20"/>
                <w:szCs w:val="20"/>
              </w:rPr>
            </w:pPr>
            <w:r w:rsidRPr="15821389">
              <w:rPr>
                <w:rFonts w:eastAsia="Arial" w:cs="Arial"/>
                <w:color w:val="000000" w:themeColor="text1"/>
                <w:sz w:val="20"/>
                <w:szCs w:val="20"/>
              </w:rPr>
              <w:lastRenderedPageBreak/>
              <w:t>Risk rating</w:t>
            </w:r>
          </w:p>
        </w:tc>
        <w:tc>
          <w:tcPr>
            <w:tcW w:w="1335" w:type="dxa"/>
            <w:tcBorders>
              <w:top w:val="single" w:color="auto" w:sz="8" w:space="0"/>
              <w:left w:val="nil"/>
              <w:bottom w:val="single" w:color="auto" w:sz="8" w:space="0"/>
              <w:right w:val="single" w:color="auto" w:sz="8" w:space="0"/>
            </w:tcBorders>
          </w:tcPr>
          <w:p w:rsidR="0065169A" w:rsidRDefault="3459707F" w14:paraId="7F832E4A" w14:textId="1F1F6BAB">
            <w:pPr>
              <w:rPr>
                <w:rFonts w:eastAsia="Arial" w:cs="Arial"/>
                <w:sz w:val="20"/>
                <w:szCs w:val="20"/>
              </w:rPr>
            </w:pPr>
            <w:r w:rsidRPr="578D5448">
              <w:rPr>
                <w:rFonts w:eastAsia="Arial" w:cs="Arial"/>
                <w:sz w:val="20"/>
                <w:szCs w:val="20"/>
              </w:rPr>
              <w:t>M</w:t>
            </w:r>
            <w:r w:rsidRPr="578D5448" w:rsidR="295A2157">
              <w:rPr>
                <w:rFonts w:eastAsia="Arial" w:cs="Arial"/>
                <w:sz w:val="20"/>
                <w:szCs w:val="20"/>
              </w:rPr>
              <w:t>oderate</w:t>
            </w:r>
          </w:p>
        </w:tc>
        <w:tc>
          <w:tcPr>
            <w:tcW w:w="297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6693C6CA" w14:textId="77777777">
            <w:pPr>
              <w:rPr>
                <w:rFonts w:eastAsia="Arial" w:cs="Arial"/>
                <w:color w:val="000000" w:themeColor="text1"/>
                <w:sz w:val="20"/>
                <w:szCs w:val="20"/>
              </w:rPr>
            </w:pPr>
            <w:r w:rsidRPr="61AB1AE6">
              <w:rPr>
                <w:rFonts w:eastAsia="Arial" w:cs="Arial"/>
                <w:color w:val="000000" w:themeColor="text1"/>
                <w:sz w:val="20"/>
                <w:szCs w:val="20"/>
              </w:rPr>
              <w:t>Risk revised since last AR?</w:t>
            </w:r>
          </w:p>
        </w:tc>
        <w:tc>
          <w:tcPr>
            <w:tcW w:w="2760" w:type="dxa"/>
            <w:tcBorders>
              <w:top w:val="single" w:color="auto" w:sz="8" w:space="0"/>
              <w:left w:val="single" w:color="auto" w:sz="8" w:space="0"/>
              <w:bottom w:val="single" w:color="auto" w:sz="8" w:space="0"/>
              <w:right w:val="single" w:color="auto" w:sz="8" w:space="0"/>
            </w:tcBorders>
          </w:tcPr>
          <w:p w:rsidR="0065169A" w:rsidRDefault="00CD3107" w14:paraId="4E3E219A" w14:textId="30CA19CC">
            <w:pPr>
              <w:rPr>
                <w:rFonts w:eastAsia="Arial" w:cs="Arial"/>
                <w:sz w:val="20"/>
                <w:szCs w:val="20"/>
              </w:rPr>
            </w:pPr>
            <w:r>
              <w:rPr>
                <w:rFonts w:eastAsia="Arial" w:cs="Arial"/>
                <w:sz w:val="20"/>
                <w:szCs w:val="20"/>
              </w:rPr>
              <w:t>No</w:t>
            </w:r>
            <w:r w:rsidR="008C0120">
              <w:rPr>
                <w:rFonts w:eastAsia="Arial" w:cs="Arial"/>
                <w:sz w:val="20"/>
                <w:szCs w:val="20"/>
              </w:rPr>
              <w:t xml:space="preserve"> </w:t>
            </w:r>
          </w:p>
        </w:tc>
      </w:tr>
      <w:tr w:rsidR="00092737" w:rsidTr="578D5448" w14:paraId="5789FF0E" w14:textId="77777777">
        <w:tc>
          <w:tcPr>
            <w:tcW w:w="1847" w:type="dxa"/>
            <w:tcBorders>
              <w:top w:val="single" w:color="auto" w:sz="8" w:space="0"/>
              <w:left w:val="nil"/>
              <w:bottom w:val="nil"/>
              <w:right w:val="nil"/>
            </w:tcBorders>
            <w:vAlign w:val="center"/>
          </w:tcPr>
          <w:p w:rsidR="0065169A" w:rsidRDefault="0065169A" w14:paraId="39A785E4" w14:textId="77777777"/>
        </w:tc>
        <w:tc>
          <w:tcPr>
            <w:tcW w:w="600" w:type="dxa"/>
            <w:tcBorders>
              <w:top w:val="nil"/>
              <w:left w:val="nil"/>
              <w:bottom w:val="nil"/>
              <w:right w:val="nil"/>
            </w:tcBorders>
            <w:vAlign w:val="center"/>
          </w:tcPr>
          <w:p w:rsidR="0065169A" w:rsidRDefault="0065169A" w14:paraId="6AC83CDD" w14:textId="77777777"/>
        </w:tc>
        <w:tc>
          <w:tcPr>
            <w:tcW w:w="1335" w:type="dxa"/>
            <w:tcBorders>
              <w:top w:val="single" w:color="auto" w:sz="8" w:space="0"/>
              <w:left w:val="nil"/>
              <w:bottom w:val="nil"/>
              <w:right w:val="nil"/>
            </w:tcBorders>
            <w:vAlign w:val="center"/>
          </w:tcPr>
          <w:p w:rsidR="0065169A" w:rsidRDefault="0065169A" w14:paraId="1ED3DD9A" w14:textId="77777777"/>
        </w:tc>
        <w:tc>
          <w:tcPr>
            <w:tcW w:w="2970" w:type="dxa"/>
            <w:tcBorders>
              <w:top w:val="single" w:color="auto" w:sz="8" w:space="0"/>
              <w:left w:val="nil"/>
              <w:bottom w:val="nil"/>
              <w:right w:val="nil"/>
            </w:tcBorders>
            <w:vAlign w:val="center"/>
          </w:tcPr>
          <w:p w:rsidR="0065169A" w:rsidRDefault="0065169A" w14:paraId="40E92567" w14:textId="77777777"/>
        </w:tc>
        <w:tc>
          <w:tcPr>
            <w:tcW w:w="2760" w:type="dxa"/>
            <w:tcBorders>
              <w:top w:val="single" w:color="auto" w:sz="8" w:space="0"/>
              <w:left w:val="nil"/>
              <w:bottom w:val="nil"/>
              <w:right w:val="nil"/>
            </w:tcBorders>
            <w:vAlign w:val="center"/>
          </w:tcPr>
          <w:p w:rsidR="0065169A" w:rsidRDefault="0065169A" w14:paraId="4B4CACB2" w14:textId="77777777"/>
        </w:tc>
      </w:tr>
    </w:tbl>
    <w:p w:rsidR="0065169A" w:rsidP="0065169A" w:rsidRDefault="0065169A" w14:paraId="640AA67B" w14:textId="77777777">
      <w:pPr>
        <w:rPr>
          <w:rFonts w:eastAsia="Arial" w:cs="Arial"/>
          <w:b/>
          <w:bCs/>
        </w:rPr>
      </w:pPr>
    </w:p>
    <w:tbl>
      <w:tblPr>
        <w:tblStyle w:val="TableGrid"/>
        <w:tblW w:w="9632" w:type="dxa"/>
        <w:tblInd w:w="-152" w:type="dxa"/>
        <w:tblLayout w:type="fixed"/>
        <w:tblLook w:val="04A0" w:firstRow="1" w:lastRow="0" w:firstColumn="1" w:lastColumn="0" w:noHBand="0" w:noVBand="1"/>
      </w:tblPr>
      <w:tblGrid>
        <w:gridCol w:w="2687"/>
        <w:gridCol w:w="2130"/>
        <w:gridCol w:w="4815"/>
      </w:tblGrid>
      <w:tr w:rsidR="00092737" w:rsidTr="665A25F4" w14:paraId="3444FCBC" w14:textId="77777777">
        <w:trPr>
          <w:trHeight w:val="270"/>
        </w:trPr>
        <w:tc>
          <w:tcPr>
            <w:tcW w:w="2687"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07A1BA31" w14:textId="77777777">
            <w:r w:rsidRPr="4E81ABC2">
              <w:rPr>
                <w:rFonts w:eastAsia="Arial" w:cs="Arial"/>
                <w:b/>
                <w:bCs/>
                <w:color w:val="000000" w:themeColor="text1"/>
                <w:sz w:val="20"/>
                <w:szCs w:val="20"/>
              </w:rPr>
              <w:t>Indicator(s)</w:t>
            </w:r>
          </w:p>
        </w:tc>
        <w:tc>
          <w:tcPr>
            <w:tcW w:w="213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6270A6CA" w14:textId="77777777">
            <w:r w:rsidRPr="4E81ABC2">
              <w:rPr>
                <w:rFonts w:eastAsia="Arial" w:cs="Arial"/>
                <w:b/>
                <w:bCs/>
                <w:color w:val="000000" w:themeColor="text1"/>
                <w:sz w:val="20"/>
                <w:szCs w:val="20"/>
              </w:rPr>
              <w:t>Milestone(s) for this review</w:t>
            </w:r>
          </w:p>
        </w:tc>
        <w:tc>
          <w:tcPr>
            <w:tcW w:w="481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65169A" w:rsidRDefault="0065169A" w14:paraId="16BB8E0B" w14:textId="77777777">
            <w:r w:rsidRPr="4E81ABC2">
              <w:rPr>
                <w:rFonts w:eastAsia="Arial" w:cs="Arial"/>
                <w:b/>
                <w:bCs/>
                <w:color w:val="000000" w:themeColor="text1"/>
                <w:sz w:val="20"/>
                <w:szCs w:val="20"/>
              </w:rPr>
              <w:t xml:space="preserve">Progress </w:t>
            </w:r>
          </w:p>
        </w:tc>
      </w:tr>
      <w:tr w:rsidR="00CC208A" w:rsidTr="665A25F4" w14:paraId="4B6F577A" w14:textId="77777777">
        <w:tc>
          <w:tcPr>
            <w:tcW w:w="2687" w:type="dxa"/>
            <w:tcBorders>
              <w:top w:val="single" w:color="auto" w:sz="8" w:space="0"/>
              <w:left w:val="single" w:color="auto" w:sz="8" w:space="0"/>
              <w:bottom w:val="single" w:color="auto" w:sz="8" w:space="0"/>
              <w:right w:val="single" w:color="auto" w:sz="8" w:space="0"/>
            </w:tcBorders>
          </w:tcPr>
          <w:p w:rsidRPr="00714BA4" w:rsidR="0065169A" w:rsidRDefault="0065169A" w14:paraId="55A08FBD" w14:textId="77777777">
            <w:r w:rsidRPr="00714BA4">
              <w:rPr>
                <w:rFonts w:eastAsia="Arial" w:cs="Arial"/>
                <w:b/>
                <w:bCs/>
                <w:sz w:val="20"/>
                <w:szCs w:val="20"/>
              </w:rPr>
              <w:t xml:space="preserve">Indicator 11: </w:t>
            </w:r>
            <w:r w:rsidRPr="00714BA4">
              <w:rPr>
                <w:rFonts w:eastAsia="Arial" w:cs="Arial"/>
              </w:rPr>
              <w:t xml:space="preserve"> </w:t>
            </w:r>
            <w:r w:rsidRPr="00714BA4">
              <w:rPr>
                <w:rFonts w:eastAsia="Arial" w:cs="Arial"/>
                <w:sz w:val="20"/>
                <w:szCs w:val="20"/>
              </w:rPr>
              <w:t xml:space="preserve">Number of hectares of new and updated land with land use planning applied in an inclusive and transparent way in conformity with existing legislation </w:t>
            </w:r>
          </w:p>
          <w:p w:rsidRPr="00714BA4" w:rsidR="0065169A" w:rsidRDefault="0065169A" w14:paraId="0BB71E87" w14:textId="77777777">
            <w:r w:rsidRPr="00714BA4">
              <w:rPr>
                <w:rFonts w:eastAsia="Arial" w:cs="Arial"/>
                <w:sz w:val="20"/>
                <w:szCs w:val="20"/>
              </w:rPr>
              <w:t>(Colombia only)</w:t>
            </w:r>
          </w:p>
          <w:p w:rsidRPr="00714BA4" w:rsidR="0065169A" w:rsidRDefault="0065169A" w14:paraId="0B1AE4DB" w14:textId="77777777">
            <w:r w:rsidRPr="00714BA4">
              <w:rPr>
                <w:rFonts w:eastAsia="Arial" w:cs="Arial"/>
                <w:b/>
                <w:bCs/>
                <w:sz w:val="20"/>
                <w:szCs w:val="20"/>
              </w:rPr>
              <w:t xml:space="preserve"> </w:t>
            </w:r>
          </w:p>
        </w:tc>
        <w:tc>
          <w:tcPr>
            <w:tcW w:w="2130" w:type="dxa"/>
            <w:tcBorders>
              <w:top w:val="single" w:color="auto" w:sz="8" w:space="0"/>
              <w:left w:val="single" w:color="auto" w:sz="8" w:space="0"/>
              <w:bottom w:val="single" w:color="auto" w:sz="8" w:space="0"/>
              <w:right w:val="single" w:color="auto" w:sz="8" w:space="0"/>
            </w:tcBorders>
          </w:tcPr>
          <w:p w:rsidR="001C304D" w:rsidRDefault="0065169A" w14:paraId="59B943E8" w14:textId="77777777">
            <w:pPr>
              <w:rPr>
                <w:rFonts w:eastAsia="Arial" w:cs="Arial"/>
                <w:sz w:val="20"/>
                <w:szCs w:val="20"/>
                <w:lang w:val="pt-BR"/>
              </w:rPr>
            </w:pPr>
            <w:r w:rsidRPr="00714BA4">
              <w:rPr>
                <w:rFonts w:eastAsia="Arial" w:cs="Arial"/>
                <w:sz w:val="20"/>
                <w:szCs w:val="20"/>
                <w:lang w:val="pt-BR"/>
              </w:rPr>
              <w:t>202</w:t>
            </w:r>
            <w:r w:rsidR="00B11CC4">
              <w:rPr>
                <w:rFonts w:eastAsia="Arial" w:cs="Arial"/>
                <w:sz w:val="20"/>
                <w:szCs w:val="20"/>
                <w:lang w:val="pt-BR"/>
              </w:rPr>
              <w:t>3</w:t>
            </w:r>
            <w:r w:rsidRPr="00714BA4">
              <w:rPr>
                <w:rFonts w:eastAsia="Arial" w:cs="Arial"/>
                <w:sz w:val="20"/>
                <w:szCs w:val="20"/>
                <w:lang w:val="pt-BR"/>
              </w:rPr>
              <w:t>-2</w:t>
            </w:r>
            <w:r w:rsidR="00B11CC4">
              <w:rPr>
                <w:rFonts w:eastAsia="Arial" w:cs="Arial"/>
                <w:sz w:val="20"/>
                <w:szCs w:val="20"/>
                <w:lang w:val="pt-BR"/>
              </w:rPr>
              <w:t>4</w:t>
            </w:r>
            <w:r w:rsidRPr="00714BA4">
              <w:rPr>
                <w:rFonts w:eastAsia="Arial" w:cs="Arial"/>
                <w:sz w:val="20"/>
                <w:szCs w:val="20"/>
                <w:lang w:val="pt-BR"/>
              </w:rPr>
              <w:t xml:space="preserve"> target: </w:t>
            </w:r>
          </w:p>
          <w:p w:rsidR="001C304D" w:rsidRDefault="001C304D" w14:paraId="4CDCB596" w14:textId="77777777">
            <w:pPr>
              <w:rPr>
                <w:rFonts w:eastAsia="Arial" w:cs="Arial"/>
                <w:sz w:val="20"/>
                <w:szCs w:val="20"/>
                <w:lang w:val="pt-BR"/>
              </w:rPr>
            </w:pPr>
          </w:p>
          <w:p w:rsidRPr="00714BA4" w:rsidR="0065169A" w:rsidRDefault="0065169A" w14:paraId="21CA67CC" w14:textId="093F374D">
            <w:pPr>
              <w:rPr>
                <w:rFonts w:eastAsia="Arial" w:cs="Arial"/>
                <w:sz w:val="20"/>
                <w:szCs w:val="20"/>
                <w:lang w:val="pt-BR"/>
              </w:rPr>
            </w:pPr>
            <w:r w:rsidRPr="00714BA4">
              <w:rPr>
                <w:rFonts w:eastAsia="Arial" w:cs="Arial"/>
                <w:sz w:val="20"/>
                <w:szCs w:val="20"/>
                <w:lang w:val="pt-BR"/>
              </w:rPr>
              <w:t>2</w:t>
            </w:r>
            <w:r w:rsidR="001C304D">
              <w:rPr>
                <w:rFonts w:eastAsia="Arial" w:cs="Arial"/>
                <w:sz w:val="20"/>
                <w:szCs w:val="20"/>
                <w:lang w:val="pt-BR"/>
              </w:rPr>
              <w:t>,250,000</w:t>
            </w:r>
            <w:r w:rsidRPr="00714BA4">
              <w:rPr>
                <w:rFonts w:eastAsia="Arial" w:cs="Arial"/>
                <w:sz w:val="20"/>
                <w:szCs w:val="20"/>
                <w:lang w:val="pt-BR"/>
              </w:rPr>
              <w:t xml:space="preserve"> ha</w:t>
            </w:r>
          </w:p>
        </w:tc>
        <w:tc>
          <w:tcPr>
            <w:tcW w:w="4815" w:type="dxa"/>
            <w:tcBorders>
              <w:top w:val="single" w:color="auto" w:sz="8" w:space="0"/>
              <w:left w:val="single" w:color="auto" w:sz="8" w:space="0"/>
              <w:bottom w:val="single" w:color="auto" w:sz="8" w:space="0"/>
              <w:right w:val="single" w:color="auto" w:sz="8" w:space="0"/>
            </w:tcBorders>
          </w:tcPr>
          <w:p w:rsidRPr="00714BA4" w:rsidR="0065169A" w:rsidRDefault="0065169A" w14:paraId="6CFCC676" w14:textId="5A697AED">
            <w:r w:rsidRPr="00714BA4">
              <w:rPr>
                <w:rFonts w:eastAsia="Arial" w:cs="Arial"/>
                <w:b/>
                <w:bCs/>
                <w:sz w:val="20"/>
                <w:szCs w:val="20"/>
              </w:rPr>
              <w:t xml:space="preserve">Progress </w:t>
            </w:r>
            <w:r w:rsidR="006F36D9">
              <w:rPr>
                <w:rFonts w:eastAsia="Arial" w:cs="Arial"/>
                <w:b/>
                <w:bCs/>
                <w:sz w:val="20"/>
                <w:szCs w:val="20"/>
              </w:rPr>
              <w:t xml:space="preserve">exceeded </w:t>
            </w:r>
            <w:r w:rsidR="00346CDC">
              <w:rPr>
                <w:rFonts w:eastAsia="Arial" w:cs="Arial"/>
                <w:b/>
                <w:bCs/>
                <w:sz w:val="20"/>
                <w:szCs w:val="20"/>
              </w:rPr>
              <w:t>expectation.</w:t>
            </w:r>
          </w:p>
          <w:p w:rsidRPr="00714BA4" w:rsidR="0065169A" w:rsidRDefault="0065169A" w14:paraId="38569667" w14:textId="4CD0ADF5"/>
          <w:p w:rsidRPr="00503306" w:rsidR="0065169A" w:rsidP="00503306" w:rsidRDefault="61835252" w14:paraId="3361D684" w14:textId="0341625A">
            <w:pPr>
              <w:rPr>
                <w:rFonts w:eastAsia="Arial" w:cs="Arial"/>
                <w:sz w:val="20"/>
                <w:szCs w:val="20"/>
              </w:rPr>
            </w:pPr>
            <w:r w:rsidRPr="665A25F4">
              <w:rPr>
                <w:rFonts w:eastAsia="Arial" w:cs="Arial"/>
                <w:b/>
                <w:bCs/>
                <w:sz w:val="20"/>
                <w:szCs w:val="20"/>
              </w:rPr>
              <w:t>Total</w:t>
            </w:r>
            <w:r w:rsidRPr="665A25F4">
              <w:rPr>
                <w:rFonts w:eastAsia="Arial" w:cs="Arial"/>
                <w:sz w:val="20"/>
                <w:szCs w:val="20"/>
              </w:rPr>
              <w:t xml:space="preserve">: </w:t>
            </w:r>
            <w:r w:rsidRPr="665A25F4" w:rsidR="00EC0D68">
              <w:rPr>
                <w:rFonts w:eastAsia="Arial" w:cs="Arial"/>
                <w:sz w:val="20"/>
                <w:szCs w:val="20"/>
              </w:rPr>
              <w:t xml:space="preserve">6.489.604 </w:t>
            </w:r>
            <w:r w:rsidRPr="665A25F4" w:rsidR="00503306">
              <w:rPr>
                <w:rFonts w:eastAsia="Arial" w:cs="Arial"/>
                <w:sz w:val="20"/>
                <w:szCs w:val="20"/>
              </w:rPr>
              <w:t>h</w:t>
            </w:r>
            <w:r w:rsidRPr="665A25F4" w:rsidR="001C304D">
              <w:rPr>
                <w:rFonts w:eastAsia="Arial" w:cs="Arial"/>
                <w:sz w:val="20"/>
                <w:szCs w:val="20"/>
              </w:rPr>
              <w:t>a (</w:t>
            </w:r>
            <w:r w:rsidRPr="665A25F4" w:rsidR="00CA1D33">
              <w:rPr>
                <w:rFonts w:eastAsia="Arial" w:cs="Arial"/>
                <w:sz w:val="20"/>
                <w:szCs w:val="20"/>
              </w:rPr>
              <w:t>288</w:t>
            </w:r>
            <w:r w:rsidRPr="665A25F4" w:rsidR="001C304D">
              <w:rPr>
                <w:rFonts w:eastAsia="Arial" w:cs="Arial"/>
                <w:sz w:val="20"/>
                <w:szCs w:val="20"/>
              </w:rPr>
              <w:t>%)</w:t>
            </w:r>
          </w:p>
        </w:tc>
      </w:tr>
      <w:tr w:rsidR="00CC208A" w:rsidTr="665A25F4" w14:paraId="320001ED" w14:textId="77777777">
        <w:tc>
          <w:tcPr>
            <w:tcW w:w="2687" w:type="dxa"/>
            <w:tcBorders>
              <w:top w:val="single" w:color="auto" w:sz="8" w:space="0"/>
              <w:left w:val="single" w:color="auto" w:sz="8" w:space="0"/>
              <w:bottom w:val="single" w:color="auto" w:sz="8" w:space="0"/>
              <w:right w:val="single" w:color="auto" w:sz="8" w:space="0"/>
            </w:tcBorders>
          </w:tcPr>
          <w:p w:rsidRPr="005672DE" w:rsidR="0065169A" w:rsidRDefault="0065169A" w14:paraId="097BAEC7" w14:textId="77777777">
            <w:r w:rsidRPr="005672DE">
              <w:rPr>
                <w:rFonts w:eastAsia="Arial" w:cs="Arial"/>
                <w:b/>
                <w:bCs/>
                <w:sz w:val="20"/>
                <w:szCs w:val="20"/>
              </w:rPr>
              <w:t xml:space="preserve">Indicator 12: </w:t>
            </w:r>
            <w:r w:rsidRPr="005672DE">
              <w:rPr>
                <w:rFonts w:eastAsia="Arial" w:cs="Arial"/>
              </w:rPr>
              <w:t xml:space="preserve"> </w:t>
            </w:r>
            <w:r w:rsidRPr="005672DE">
              <w:rPr>
                <w:rFonts w:eastAsia="Arial" w:cs="Arial"/>
                <w:sz w:val="20"/>
                <w:szCs w:val="20"/>
              </w:rPr>
              <w:t xml:space="preserve">Number of intersectoral agreements for legal timber in place </w:t>
            </w:r>
          </w:p>
          <w:p w:rsidRPr="005672DE" w:rsidR="0065169A" w:rsidRDefault="0065169A" w14:paraId="68ECB865" w14:textId="77777777">
            <w:r w:rsidRPr="005672DE">
              <w:rPr>
                <w:rFonts w:eastAsia="Arial" w:cs="Arial"/>
                <w:sz w:val="20"/>
                <w:szCs w:val="20"/>
              </w:rPr>
              <w:t>(Colombia only)</w:t>
            </w:r>
          </w:p>
        </w:tc>
        <w:tc>
          <w:tcPr>
            <w:tcW w:w="2130" w:type="dxa"/>
            <w:tcBorders>
              <w:top w:val="single" w:color="auto" w:sz="8" w:space="0"/>
              <w:left w:val="single" w:color="auto" w:sz="8" w:space="0"/>
              <w:bottom w:val="single" w:color="auto" w:sz="8" w:space="0"/>
              <w:right w:val="single" w:color="auto" w:sz="8" w:space="0"/>
            </w:tcBorders>
          </w:tcPr>
          <w:p w:rsidRPr="005672DE" w:rsidR="0065169A" w:rsidRDefault="0065169A" w14:paraId="5C6AEC0E" w14:textId="142C5EF3">
            <w:r w:rsidRPr="005672DE">
              <w:rPr>
                <w:rFonts w:eastAsia="Arial" w:cs="Arial"/>
                <w:sz w:val="20"/>
                <w:szCs w:val="20"/>
                <w:lang w:val="pt-BR"/>
              </w:rPr>
              <w:t>202</w:t>
            </w:r>
            <w:r w:rsidR="002C0D50">
              <w:rPr>
                <w:rFonts w:eastAsia="Arial" w:cs="Arial"/>
                <w:sz w:val="20"/>
                <w:szCs w:val="20"/>
                <w:lang w:val="pt-BR"/>
              </w:rPr>
              <w:t>3</w:t>
            </w:r>
            <w:r w:rsidRPr="005672DE">
              <w:rPr>
                <w:rFonts w:eastAsia="Arial" w:cs="Arial"/>
                <w:sz w:val="20"/>
                <w:szCs w:val="20"/>
                <w:lang w:val="pt-BR"/>
              </w:rPr>
              <w:t>-2</w:t>
            </w:r>
            <w:r w:rsidR="002C0D50">
              <w:rPr>
                <w:rFonts w:eastAsia="Arial" w:cs="Arial"/>
                <w:sz w:val="20"/>
                <w:szCs w:val="20"/>
                <w:lang w:val="pt-BR"/>
              </w:rPr>
              <w:t>4</w:t>
            </w:r>
            <w:r w:rsidRPr="005672DE">
              <w:rPr>
                <w:rFonts w:eastAsia="Arial" w:cs="Arial"/>
                <w:sz w:val="20"/>
                <w:szCs w:val="20"/>
                <w:lang w:val="pt-BR"/>
              </w:rPr>
              <w:t xml:space="preserve"> target: 4</w:t>
            </w:r>
          </w:p>
        </w:tc>
        <w:tc>
          <w:tcPr>
            <w:tcW w:w="4815" w:type="dxa"/>
            <w:tcBorders>
              <w:top w:val="single" w:color="auto" w:sz="8" w:space="0"/>
              <w:left w:val="single" w:color="auto" w:sz="8" w:space="0"/>
              <w:bottom w:val="single" w:color="auto" w:sz="8" w:space="0"/>
              <w:right w:val="single" w:color="auto" w:sz="8" w:space="0"/>
            </w:tcBorders>
          </w:tcPr>
          <w:p w:rsidRPr="005672DE" w:rsidR="0065169A" w:rsidRDefault="0065169A" w14:paraId="0CEECE79" w14:textId="5009C375">
            <w:r w:rsidRPr="005672DE">
              <w:rPr>
                <w:rFonts w:eastAsia="Arial" w:cs="Arial"/>
                <w:b/>
                <w:bCs/>
                <w:sz w:val="20"/>
                <w:szCs w:val="20"/>
              </w:rPr>
              <w:t>Met</w:t>
            </w:r>
            <w:r w:rsidR="00CD3107">
              <w:rPr>
                <w:rFonts w:eastAsia="Arial" w:cs="Arial"/>
                <w:b/>
                <w:bCs/>
                <w:sz w:val="20"/>
                <w:szCs w:val="20"/>
              </w:rPr>
              <w:t xml:space="preserve"> expectation</w:t>
            </w:r>
            <w:r w:rsidRPr="005672DE">
              <w:rPr>
                <w:rFonts w:eastAsia="Arial" w:cs="Arial"/>
                <w:b/>
                <w:bCs/>
                <w:sz w:val="20"/>
                <w:szCs w:val="20"/>
              </w:rPr>
              <w:t>.</w:t>
            </w:r>
          </w:p>
          <w:p w:rsidRPr="005672DE" w:rsidR="0065169A" w:rsidRDefault="0065169A" w14:paraId="4073B553" w14:textId="7F807D7A">
            <w:pPr>
              <w:rPr>
                <w:rFonts w:eastAsia="Arial" w:cs="Arial"/>
                <w:sz w:val="20"/>
                <w:szCs w:val="20"/>
              </w:rPr>
            </w:pPr>
            <w:r w:rsidRPr="41A0BE45">
              <w:rPr>
                <w:rFonts w:eastAsia="Arial" w:cs="Arial"/>
                <w:sz w:val="20"/>
                <w:szCs w:val="20"/>
              </w:rPr>
              <w:t xml:space="preserve">Total: 4 (100%) (The Corpoamazonia has 3 agreements and the Corporaciones de la Amazonía Colombiana has one agreement). </w:t>
            </w:r>
            <w:r w:rsidRPr="41A0BE45">
              <w:rPr>
                <w:rFonts w:eastAsia="Arial" w:cs="Arial"/>
                <w:color w:val="FF0000"/>
              </w:rPr>
              <w:t xml:space="preserve"> </w:t>
            </w:r>
            <w:r w:rsidRPr="41A0BE45" w:rsidR="005455AB">
              <w:rPr>
                <w:rFonts w:eastAsia="Arial" w:cs="Arial"/>
                <w:sz w:val="20"/>
                <w:szCs w:val="20"/>
              </w:rPr>
              <w:t>This was</w:t>
            </w:r>
            <w:r w:rsidRPr="41A0BE45" w:rsidR="59330FB4">
              <w:rPr>
                <w:rFonts w:eastAsia="Arial" w:cs="Arial"/>
                <w:sz w:val="20"/>
                <w:szCs w:val="20"/>
              </w:rPr>
              <w:t xml:space="preserve"> achieved in 22-23 and</w:t>
            </w:r>
            <w:r w:rsidRPr="41A0BE45" w:rsidR="005455AB">
              <w:rPr>
                <w:rFonts w:eastAsia="Arial" w:cs="Arial"/>
                <w:sz w:val="20"/>
                <w:szCs w:val="20"/>
              </w:rPr>
              <w:t xml:space="preserve"> maintained in 2023-24.</w:t>
            </w:r>
          </w:p>
        </w:tc>
      </w:tr>
      <w:tr w:rsidR="00CC208A" w:rsidTr="665A25F4" w14:paraId="79BD60A0" w14:textId="77777777">
        <w:tc>
          <w:tcPr>
            <w:tcW w:w="2687" w:type="dxa"/>
            <w:tcBorders>
              <w:top w:val="single" w:color="auto" w:sz="8" w:space="0"/>
              <w:left w:val="single" w:color="auto" w:sz="8" w:space="0"/>
              <w:bottom w:val="single" w:color="auto" w:sz="8" w:space="0"/>
              <w:right w:val="single" w:color="auto" w:sz="8" w:space="0"/>
            </w:tcBorders>
          </w:tcPr>
          <w:p w:rsidRPr="00991800" w:rsidR="0065169A" w:rsidRDefault="0065169A" w14:paraId="4556B398" w14:textId="77777777">
            <w:r w:rsidRPr="00991800">
              <w:rPr>
                <w:rFonts w:eastAsia="Arial" w:cs="Arial"/>
                <w:b/>
                <w:bCs/>
                <w:sz w:val="20"/>
                <w:szCs w:val="20"/>
              </w:rPr>
              <w:t xml:space="preserve">Indicator 13: </w:t>
            </w:r>
            <w:r w:rsidRPr="00991800">
              <w:rPr>
                <w:rFonts w:eastAsia="Arial" w:cs="Arial"/>
              </w:rPr>
              <w:t xml:space="preserve"> </w:t>
            </w:r>
            <w:r w:rsidRPr="00991800">
              <w:rPr>
                <w:rFonts w:eastAsia="Arial" w:cs="Arial"/>
                <w:sz w:val="20"/>
                <w:szCs w:val="20"/>
              </w:rPr>
              <w:t xml:space="preserve">Number of territorial and/or sectorial policy agreements signed and in operation </w:t>
            </w:r>
          </w:p>
          <w:p w:rsidRPr="00991800" w:rsidR="0065169A" w:rsidRDefault="0065169A" w14:paraId="410BFA07" w14:textId="7659D21F">
            <w:r w:rsidRPr="00991800">
              <w:rPr>
                <w:rFonts w:eastAsia="Arial" w:cs="Arial"/>
                <w:sz w:val="20"/>
                <w:szCs w:val="20"/>
              </w:rPr>
              <w:t>(Colombia only)</w:t>
            </w:r>
          </w:p>
        </w:tc>
        <w:tc>
          <w:tcPr>
            <w:tcW w:w="2130" w:type="dxa"/>
            <w:tcBorders>
              <w:top w:val="single" w:color="auto" w:sz="8" w:space="0"/>
              <w:left w:val="single" w:color="auto" w:sz="8" w:space="0"/>
              <w:bottom w:val="single" w:color="auto" w:sz="8" w:space="0"/>
              <w:right w:val="single" w:color="auto" w:sz="8" w:space="0"/>
            </w:tcBorders>
          </w:tcPr>
          <w:p w:rsidRPr="00991800" w:rsidR="0065169A" w:rsidRDefault="0065169A" w14:paraId="0383AE6C" w14:textId="3B573C7E">
            <w:r w:rsidRPr="00991800">
              <w:rPr>
                <w:rFonts w:eastAsia="Arial" w:cs="Arial"/>
                <w:sz w:val="20"/>
                <w:szCs w:val="20"/>
                <w:lang w:val="pt-BR"/>
              </w:rPr>
              <w:t>202</w:t>
            </w:r>
            <w:r w:rsidR="002C0D50">
              <w:rPr>
                <w:rFonts w:eastAsia="Arial" w:cs="Arial"/>
                <w:sz w:val="20"/>
                <w:szCs w:val="20"/>
                <w:lang w:val="pt-BR"/>
              </w:rPr>
              <w:t>3</w:t>
            </w:r>
            <w:r w:rsidRPr="00991800">
              <w:rPr>
                <w:rFonts w:eastAsia="Arial" w:cs="Arial"/>
                <w:sz w:val="20"/>
                <w:szCs w:val="20"/>
                <w:lang w:val="pt-BR"/>
              </w:rPr>
              <w:t>-2</w:t>
            </w:r>
            <w:r w:rsidR="002C0D50">
              <w:rPr>
                <w:rFonts w:eastAsia="Arial" w:cs="Arial"/>
                <w:sz w:val="20"/>
                <w:szCs w:val="20"/>
                <w:lang w:val="pt-BR"/>
              </w:rPr>
              <w:t>4</w:t>
            </w:r>
            <w:r w:rsidRPr="00991800">
              <w:rPr>
                <w:rFonts w:eastAsia="Arial" w:cs="Arial"/>
                <w:sz w:val="20"/>
                <w:szCs w:val="20"/>
                <w:lang w:val="pt-BR"/>
              </w:rPr>
              <w:t xml:space="preserve"> target: </w:t>
            </w:r>
            <w:r w:rsidR="008E123A">
              <w:rPr>
                <w:rFonts w:eastAsia="Arial" w:cs="Arial"/>
                <w:sz w:val="20"/>
                <w:szCs w:val="20"/>
                <w:lang w:val="pt-BR"/>
              </w:rPr>
              <w:t>2</w:t>
            </w:r>
          </w:p>
        </w:tc>
        <w:tc>
          <w:tcPr>
            <w:tcW w:w="4815" w:type="dxa"/>
            <w:tcBorders>
              <w:top w:val="single" w:color="auto" w:sz="8" w:space="0"/>
              <w:left w:val="single" w:color="auto" w:sz="8" w:space="0"/>
              <w:bottom w:val="single" w:color="auto" w:sz="8" w:space="0"/>
              <w:right w:val="single" w:color="auto" w:sz="8" w:space="0"/>
            </w:tcBorders>
          </w:tcPr>
          <w:p w:rsidRPr="00991800" w:rsidR="0065169A" w:rsidRDefault="1DD76A95" w14:paraId="6DC70A79" w14:textId="136D5E62">
            <w:r w:rsidRPr="15821389">
              <w:rPr>
                <w:rFonts w:eastAsia="Arial" w:cs="Arial"/>
                <w:b/>
                <w:bCs/>
                <w:sz w:val="20"/>
                <w:szCs w:val="20"/>
              </w:rPr>
              <w:t>M</w:t>
            </w:r>
            <w:r w:rsidRPr="15821389" w:rsidR="0F7CCAAF">
              <w:rPr>
                <w:rFonts w:eastAsia="Arial" w:cs="Arial"/>
                <w:b/>
                <w:bCs/>
                <w:sz w:val="20"/>
                <w:szCs w:val="20"/>
              </w:rPr>
              <w:t>et</w:t>
            </w:r>
            <w:r w:rsidRPr="15821389">
              <w:rPr>
                <w:rFonts w:eastAsia="Arial" w:cs="Arial"/>
                <w:b/>
                <w:bCs/>
                <w:sz w:val="20"/>
                <w:szCs w:val="20"/>
              </w:rPr>
              <w:t xml:space="preserve"> expectation.</w:t>
            </w:r>
          </w:p>
          <w:p w:rsidRPr="008E123A" w:rsidR="0065169A" w:rsidRDefault="1DD76A95" w14:paraId="29ECBA8C" w14:textId="0AC91E86">
            <w:pPr>
              <w:rPr>
                <w:rFonts w:eastAsia="Arial" w:cs="Arial"/>
                <w:sz w:val="20"/>
                <w:szCs w:val="20"/>
              </w:rPr>
            </w:pPr>
            <w:r w:rsidRPr="15821389">
              <w:rPr>
                <w:rFonts w:eastAsia="Arial" w:cs="Arial"/>
                <w:sz w:val="20"/>
                <w:szCs w:val="20"/>
              </w:rPr>
              <w:t xml:space="preserve">Total: 2 </w:t>
            </w:r>
            <w:r w:rsidR="008C0120">
              <w:rPr>
                <w:rFonts w:eastAsia="Arial" w:cs="Arial"/>
                <w:sz w:val="20"/>
                <w:szCs w:val="20"/>
              </w:rPr>
              <w:t>(</w:t>
            </w:r>
            <w:r w:rsidRPr="15821389">
              <w:rPr>
                <w:rFonts w:eastAsia="Arial" w:cs="Arial"/>
                <w:sz w:val="20"/>
                <w:szCs w:val="20"/>
              </w:rPr>
              <w:t>since ’19</w:t>
            </w:r>
            <w:r w:rsidRPr="15821389" w:rsidR="66FD8897">
              <w:rPr>
                <w:rFonts w:eastAsia="Arial" w:cs="Arial"/>
                <w:sz w:val="20"/>
                <w:szCs w:val="20"/>
              </w:rPr>
              <w:t>)</w:t>
            </w:r>
          </w:p>
        </w:tc>
      </w:tr>
    </w:tbl>
    <w:p w:rsidR="0065169A" w:rsidP="0065169A" w:rsidRDefault="0065169A" w14:paraId="2FD8151B" w14:textId="77777777">
      <w:pPr>
        <w:jc w:val="both"/>
        <w:rPr>
          <w:rFonts w:eastAsia="Arial" w:cs="Arial"/>
        </w:rPr>
      </w:pPr>
    </w:p>
    <w:p w:rsidR="002C0D50" w:rsidP="0065169A" w:rsidRDefault="002C0D50" w14:paraId="6BB6608B" w14:textId="77777777">
      <w:pPr>
        <w:jc w:val="both"/>
        <w:rPr>
          <w:rStyle w:val="normaltextrun"/>
          <w:rFonts w:cs="Arial"/>
          <w:color w:val="000000"/>
          <w:sz w:val="20"/>
          <w:szCs w:val="20"/>
          <w:highlight w:val="yellow"/>
          <w:shd w:val="clear" w:color="auto" w:fill="FFFFFF"/>
          <w:lang w:val="en-US"/>
        </w:rPr>
      </w:pPr>
    </w:p>
    <w:p w:rsidRPr="00E21E9F" w:rsidR="001B322F" w:rsidP="00AA4CF1" w:rsidRDefault="00503306" w14:paraId="1ED09025" w14:textId="2A39B63C">
      <w:pPr>
        <w:jc w:val="both"/>
        <w:rPr>
          <w:rStyle w:val="normaltextrun"/>
          <w:rFonts w:cs="Arial"/>
          <w:color w:val="000000"/>
          <w:sz w:val="20"/>
          <w:szCs w:val="20"/>
          <w:shd w:val="clear" w:color="auto" w:fill="FFFFFF"/>
          <w:lang w:val="en-US"/>
        </w:rPr>
      </w:pPr>
      <w:r w:rsidRPr="00E21E9F">
        <w:rPr>
          <w:rStyle w:val="normaltextrun"/>
          <w:rFonts w:cs="Arial"/>
          <w:color w:val="000000"/>
          <w:sz w:val="20"/>
          <w:szCs w:val="20"/>
          <w:shd w:val="clear" w:color="auto" w:fill="FFFFFF"/>
          <w:lang w:val="en-US"/>
        </w:rPr>
        <w:t>The programme has</w:t>
      </w:r>
      <w:r w:rsidR="00346CDC">
        <w:rPr>
          <w:rStyle w:val="normaltextrun"/>
          <w:rFonts w:cs="Arial"/>
          <w:color w:val="000000"/>
          <w:sz w:val="20"/>
          <w:szCs w:val="20"/>
          <w:shd w:val="clear" w:color="auto" w:fill="FFFFFF"/>
          <w:lang w:val="en-US"/>
        </w:rPr>
        <w:t xml:space="preserve"> </w:t>
      </w:r>
      <w:r w:rsidRPr="00E21E9F" w:rsidR="00513DE6">
        <w:rPr>
          <w:rStyle w:val="normaltextrun"/>
          <w:rFonts w:cs="Arial"/>
          <w:color w:val="000000"/>
          <w:sz w:val="20"/>
          <w:szCs w:val="20"/>
          <w:shd w:val="clear" w:color="auto" w:fill="FFFFFF"/>
          <w:lang w:val="en-US"/>
        </w:rPr>
        <w:t>maintained the targets from last ye</w:t>
      </w:r>
      <w:r w:rsidRPr="00E21E9F" w:rsidR="00E21E9F">
        <w:rPr>
          <w:rStyle w:val="normaltextrun"/>
          <w:rFonts w:cs="Arial"/>
          <w:color w:val="000000"/>
          <w:sz w:val="20"/>
          <w:szCs w:val="20"/>
          <w:shd w:val="clear" w:color="auto" w:fill="FFFFFF"/>
          <w:lang w:val="en-US"/>
        </w:rPr>
        <w:t>ar</w:t>
      </w:r>
      <w:r w:rsidR="00346CDC">
        <w:rPr>
          <w:rStyle w:val="normaltextrun"/>
          <w:rFonts w:cs="Arial"/>
          <w:color w:val="000000"/>
          <w:sz w:val="20"/>
          <w:szCs w:val="20"/>
          <w:shd w:val="clear" w:color="auto" w:fill="FFFFFF"/>
          <w:lang w:val="en-US"/>
        </w:rPr>
        <w:t xml:space="preserve"> and met the first target for the first time this year</w:t>
      </w:r>
      <w:r w:rsidR="3DEC35C7">
        <w:rPr>
          <w:rStyle w:val="normaltextrun"/>
          <w:rFonts w:cs="Arial"/>
          <w:color w:val="000000"/>
          <w:sz w:val="20"/>
          <w:szCs w:val="20"/>
          <w:shd w:val="clear" w:color="auto" w:fill="FFFFFF"/>
          <w:lang w:val="en-US"/>
        </w:rPr>
        <w:t xml:space="preserve"> after revision from the REM Colombia team. Most of these areas of land had the plans to manage the area (POF - Forestry Organisationsal Plans, in English) and PMA</w:t>
      </w:r>
      <w:r w:rsidR="1F39BCB8">
        <w:rPr>
          <w:rStyle w:val="normaltextrun"/>
          <w:rFonts w:cs="Arial"/>
          <w:color w:val="000000"/>
          <w:sz w:val="20"/>
          <w:szCs w:val="20"/>
          <w:shd w:val="clear" w:color="auto" w:fill="FFFFFF"/>
          <w:lang w:val="en-US"/>
        </w:rPr>
        <w:t xml:space="preserve">F (Plans for use and management of the forest, in English) under construction for the programme </w:t>
      </w:r>
      <w:r w:rsidR="00102BB6">
        <w:rPr>
          <w:rStyle w:val="normaltextrun"/>
          <w:rFonts w:cs="Arial"/>
          <w:color w:val="000000"/>
          <w:sz w:val="20"/>
          <w:szCs w:val="20"/>
          <w:shd w:val="clear" w:color="auto" w:fill="FFFFFF"/>
          <w:lang w:val="en-US"/>
        </w:rPr>
        <w:t>duration. The</w:t>
      </w:r>
      <w:r w:rsidR="090D6E66">
        <w:rPr>
          <w:rStyle w:val="normaltextrun"/>
          <w:rFonts w:cs="Arial"/>
          <w:color w:val="000000"/>
          <w:sz w:val="20"/>
          <w:szCs w:val="20"/>
          <w:shd w:val="clear" w:color="auto" w:fill="FFFFFF"/>
          <w:lang w:val="en-US"/>
        </w:rPr>
        <w:t xml:space="preserve"> PMAF are developed with communities and describe their syste</w:t>
      </w:r>
      <w:r w:rsidR="7ED3925A">
        <w:rPr>
          <w:rStyle w:val="normaltextrun"/>
          <w:rFonts w:cs="Arial"/>
          <w:color w:val="000000"/>
          <w:sz w:val="20"/>
          <w:szCs w:val="20"/>
          <w:shd w:val="clear" w:color="auto" w:fill="FFFFFF"/>
          <w:lang w:val="en-US"/>
        </w:rPr>
        <w:t>m</w:t>
      </w:r>
      <w:r w:rsidR="090D6E66">
        <w:rPr>
          <w:rStyle w:val="normaltextrun"/>
          <w:rFonts w:cs="Arial"/>
          <w:color w:val="000000"/>
          <w:sz w:val="20"/>
          <w:szCs w:val="20"/>
          <w:shd w:val="clear" w:color="auto" w:fill="FFFFFF"/>
          <w:lang w:val="en-US"/>
        </w:rPr>
        <w:t>s to ensure sustainable use of the forest</w:t>
      </w:r>
      <w:r w:rsidR="2EBCAF2C">
        <w:rPr>
          <w:rStyle w:val="normaltextrun"/>
          <w:rFonts w:cs="Arial"/>
          <w:color w:val="000000"/>
          <w:sz w:val="20"/>
          <w:szCs w:val="20"/>
          <w:shd w:val="clear" w:color="auto" w:fill="FFFFFF"/>
          <w:lang w:val="en-US"/>
        </w:rPr>
        <w:t>. REM supported 16 municipalities in the arc of deforestatio</w:t>
      </w:r>
      <w:r w:rsidR="4E1609DB">
        <w:rPr>
          <w:rStyle w:val="normaltextrun"/>
          <w:rFonts w:cs="Arial"/>
          <w:color w:val="000000"/>
          <w:sz w:val="20"/>
          <w:szCs w:val="20"/>
          <w:shd w:val="clear" w:color="auto" w:fill="FFFFFF"/>
          <w:lang w:val="en-US"/>
        </w:rPr>
        <w:t>n</w:t>
      </w:r>
      <w:r w:rsidR="2EBCAF2C">
        <w:rPr>
          <w:rStyle w:val="normaltextrun"/>
          <w:rFonts w:cs="Arial"/>
          <w:color w:val="000000"/>
          <w:sz w:val="20"/>
          <w:szCs w:val="20"/>
          <w:shd w:val="clear" w:color="auto" w:fill="FFFFFF"/>
          <w:lang w:val="en-US"/>
        </w:rPr>
        <w:t xml:space="preserve"> to develop the POFs</w:t>
      </w:r>
      <w:r w:rsidR="00346CDC">
        <w:rPr>
          <w:rStyle w:val="normaltextrun"/>
          <w:rFonts w:cs="Arial"/>
          <w:color w:val="000000"/>
          <w:sz w:val="20"/>
          <w:szCs w:val="20"/>
          <w:shd w:val="clear" w:color="auto" w:fill="FFFFFF"/>
          <w:lang w:val="en-US"/>
        </w:rPr>
        <w:t xml:space="preserve">. </w:t>
      </w:r>
      <w:r w:rsidR="7377468B">
        <w:rPr>
          <w:rStyle w:val="normaltextrun"/>
          <w:rFonts w:cs="Arial"/>
          <w:color w:val="000000"/>
          <w:sz w:val="20"/>
          <w:szCs w:val="20"/>
          <w:shd w:val="clear" w:color="auto" w:fill="FFFFFF"/>
          <w:lang w:val="en-US"/>
        </w:rPr>
        <w:t>Results were achieved i</w:t>
      </w:r>
      <w:r w:rsidR="006F36D9">
        <w:rPr>
          <w:rStyle w:val="normaltextrun"/>
          <w:rFonts w:cs="Arial"/>
          <w:color w:val="000000"/>
          <w:sz w:val="20"/>
          <w:szCs w:val="20"/>
          <w:shd w:val="clear" w:color="auto" w:fill="FFFFFF"/>
          <w:lang w:val="en-US"/>
        </w:rPr>
        <w:t>n</w:t>
      </w:r>
      <w:r w:rsidR="7377468B">
        <w:rPr>
          <w:rStyle w:val="normaltextrun"/>
          <w:rFonts w:cs="Arial"/>
          <w:color w:val="000000"/>
          <w:sz w:val="20"/>
          <w:szCs w:val="20"/>
          <w:shd w:val="clear" w:color="auto" w:fill="FFFFFF"/>
          <w:lang w:val="en-US"/>
        </w:rPr>
        <w:t xml:space="preserve"> the final years of the programme, between 2020-2023, meaning the result has been seen this year. Most of the areas supported are in Caquetá or San José del Guaviare</w:t>
      </w:r>
      <w:r w:rsidR="51E651A7">
        <w:rPr>
          <w:rStyle w:val="normaltextrun"/>
          <w:rFonts w:cs="Arial"/>
          <w:color w:val="000000"/>
          <w:sz w:val="20"/>
          <w:szCs w:val="20"/>
          <w:shd w:val="clear" w:color="auto" w:fill="FFFFFF"/>
          <w:lang w:val="en-US"/>
        </w:rPr>
        <w:t xml:space="preserve"> and Caquetá, two states at the border of the Amazon with high rates of deforestation where REM intervention is highest. </w:t>
      </w:r>
    </w:p>
    <w:p w:rsidRPr="00600646" w:rsidR="00557AE8" w:rsidP="00AA4CF1" w:rsidRDefault="00557AE8" w14:paraId="283A7ABF" w14:textId="77777777">
      <w:pPr>
        <w:jc w:val="both"/>
        <w:rPr>
          <w:rFonts w:cs="Arial"/>
          <w:sz w:val="20"/>
          <w:szCs w:val="20"/>
        </w:rPr>
      </w:pPr>
    </w:p>
    <w:p w:rsidR="001B322F" w:rsidP="625D18F6" w:rsidRDefault="001B322F" w14:paraId="6683AD54" w14:textId="7B2C4714">
      <w:pPr>
        <w:jc w:val="both"/>
        <w:rPr>
          <w:rFonts w:cs="Arial"/>
          <w:i/>
          <w:iCs/>
          <w:sz w:val="22"/>
          <w:szCs w:val="22"/>
        </w:rPr>
      </w:pPr>
      <w:r w:rsidRPr="625D18F6">
        <w:rPr>
          <w:b/>
          <w:bCs/>
          <w:i/>
          <w:iCs/>
        </w:rPr>
        <w:t>Changes to this output, and any planned changes as a result of this review</w:t>
      </w:r>
    </w:p>
    <w:p w:rsidR="607381F5" w:rsidP="625D18F6" w:rsidRDefault="607381F5" w14:paraId="4ADAF2D2" w14:textId="2E3A6FC7">
      <w:pPr>
        <w:jc w:val="both"/>
        <w:rPr>
          <w:rFonts w:cs="Arial"/>
          <w:sz w:val="20"/>
          <w:szCs w:val="20"/>
        </w:rPr>
      </w:pPr>
      <w:r w:rsidRPr="625D18F6">
        <w:rPr>
          <w:rFonts w:cs="Arial"/>
          <w:sz w:val="20"/>
          <w:szCs w:val="20"/>
        </w:rPr>
        <w:t>No changes have been made to this output.</w:t>
      </w:r>
    </w:p>
    <w:p w:rsidRPr="00FB4F43" w:rsidR="00D56D43" w:rsidP="001B322F" w:rsidRDefault="00D56D43" w14:paraId="55CD06D3" w14:textId="77777777">
      <w:pPr>
        <w:jc w:val="both"/>
        <w:rPr>
          <w:rFonts w:cs="Arial"/>
          <w:i/>
          <w:iCs/>
          <w:sz w:val="20"/>
          <w:szCs w:val="20"/>
        </w:rPr>
      </w:pPr>
    </w:p>
    <w:p w:rsidR="0075215A" w:rsidP="001B322F" w:rsidRDefault="001B322F" w14:paraId="75AAF70B" w14:textId="3DC04E8B">
      <w:pPr>
        <w:jc w:val="both"/>
        <w:rPr>
          <w:b/>
          <w:bCs/>
          <w:i/>
          <w:iCs/>
        </w:rPr>
      </w:pPr>
      <w:r w:rsidRPr="00FB4F43">
        <w:rPr>
          <w:b/>
          <w:bCs/>
          <w:i/>
          <w:iCs/>
        </w:rPr>
        <w:t>Progress on recommendations from the previous AR, lessons learned this year, and recommendations for the year ahead</w:t>
      </w:r>
    </w:p>
    <w:p w:rsidR="00727CC7" w:rsidP="184CFD00" w:rsidRDefault="00D56D43" w14:paraId="148038F1" w14:textId="4D401768">
      <w:pPr>
        <w:jc w:val="both"/>
        <w:rPr>
          <w:rFonts w:cs="Arial"/>
          <w:sz w:val="20"/>
          <w:szCs w:val="20"/>
        </w:rPr>
      </w:pPr>
      <w:r w:rsidRPr="37E0B11F">
        <w:rPr>
          <w:rFonts w:cs="Arial"/>
          <w:sz w:val="20"/>
          <w:szCs w:val="20"/>
        </w:rPr>
        <w:t xml:space="preserve">This indicator is now fully achieved, so no further </w:t>
      </w:r>
      <w:r w:rsidRPr="37E0B11F" w:rsidR="00727CC7">
        <w:rPr>
          <w:rFonts w:cs="Arial"/>
          <w:sz w:val="20"/>
          <w:szCs w:val="20"/>
        </w:rPr>
        <w:t xml:space="preserve">targets. </w:t>
      </w:r>
    </w:p>
    <w:p w:rsidRPr="00D56D43" w:rsidR="003754B1" w:rsidP="00D56D43" w:rsidRDefault="00E25B70" w14:paraId="07B0A14F" w14:textId="654B4AC4">
      <w:pPr>
        <w:jc w:val="both"/>
        <w:rPr>
          <w:rFonts w:cs="Arial"/>
          <w:sz w:val="20"/>
        </w:rPr>
      </w:pPr>
      <w:r w:rsidRPr="00D56D43">
        <w:rPr>
          <w:rFonts w:cs="Arial"/>
          <w:sz w:val="20"/>
        </w:rPr>
        <w:t xml:space="preserve"> </w:t>
      </w:r>
    </w:p>
    <w:tbl>
      <w:tblPr>
        <w:tblStyle w:val="TableGrid"/>
        <w:tblW w:w="9496" w:type="dxa"/>
        <w:tblLayout w:type="fixed"/>
        <w:tblLook w:val="04A0" w:firstRow="1" w:lastRow="0" w:firstColumn="1" w:lastColumn="0" w:noHBand="0" w:noVBand="1"/>
      </w:tblPr>
      <w:tblGrid>
        <w:gridCol w:w="1681"/>
        <w:gridCol w:w="597"/>
        <w:gridCol w:w="172"/>
        <w:gridCol w:w="960"/>
        <w:gridCol w:w="1163"/>
        <w:gridCol w:w="2051"/>
        <w:gridCol w:w="2735"/>
        <w:gridCol w:w="137"/>
      </w:tblGrid>
      <w:tr w:rsidR="003754B1" w:rsidTr="6CD1E52D" w14:paraId="45B07408" w14:textId="77777777">
        <w:trPr>
          <w:gridAfter w:val="1"/>
          <w:wAfter w:w="137" w:type="dxa"/>
          <w:trHeight w:val="495"/>
        </w:trPr>
        <w:tc>
          <w:tcPr>
            <w:tcW w:w="1681" w:type="dxa"/>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08182B8D" w14:textId="77777777">
            <w:r w:rsidRPr="66F973D7">
              <w:rPr>
                <w:rFonts w:eastAsia="Arial" w:cs="Arial"/>
                <w:b/>
                <w:bCs/>
                <w:color w:val="000000" w:themeColor="text1"/>
                <w:sz w:val="20"/>
                <w:szCs w:val="20"/>
              </w:rPr>
              <w:t xml:space="preserve">Output Title </w:t>
            </w:r>
          </w:p>
        </w:tc>
        <w:tc>
          <w:tcPr>
            <w:tcW w:w="7678" w:type="dxa"/>
            <w:gridSpan w:val="6"/>
            <w:tcBorders>
              <w:top w:val="single" w:color="auto" w:sz="8" w:space="0"/>
              <w:left w:val="single" w:color="auto" w:sz="8" w:space="0"/>
              <w:bottom w:val="single" w:color="auto" w:sz="8" w:space="0"/>
              <w:right w:val="single" w:color="auto" w:sz="8" w:space="0"/>
            </w:tcBorders>
            <w:shd w:val="clear" w:color="auto" w:fill="FFFFFF" w:themeFill="background1"/>
            <w:tcMar/>
          </w:tcPr>
          <w:p w:rsidR="003754B1" w:rsidRDefault="003754B1" w14:paraId="224B816A" w14:textId="77777777">
            <w:r w:rsidRPr="66F973D7">
              <w:rPr>
                <w:rFonts w:eastAsia="Arial" w:cs="Arial"/>
                <w:color w:val="000000" w:themeColor="text1"/>
                <w:sz w:val="20"/>
                <w:szCs w:val="20"/>
              </w:rPr>
              <w:t>Sustainable agro-environmental activities consolidated and expanded in the intervention areas</w:t>
            </w:r>
          </w:p>
        </w:tc>
      </w:tr>
      <w:tr w:rsidR="003754B1" w:rsidTr="6CD1E52D" w14:paraId="0F0720FF" w14:textId="77777777">
        <w:trPr>
          <w:gridAfter w:val="1"/>
          <w:wAfter w:w="137" w:type="dxa"/>
          <w:trHeight w:val="345"/>
        </w:trPr>
        <w:tc>
          <w:tcPr>
            <w:tcW w:w="2278"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1D603D69" w14:textId="77777777">
            <w:r w:rsidRPr="66F973D7">
              <w:rPr>
                <w:rFonts w:eastAsia="Arial" w:cs="Arial"/>
                <w:color w:val="000000" w:themeColor="text1"/>
                <w:sz w:val="20"/>
                <w:szCs w:val="20"/>
              </w:rPr>
              <w:t xml:space="preserve">Output number: </w:t>
            </w:r>
          </w:p>
        </w:tc>
        <w:tc>
          <w:tcPr>
            <w:tcW w:w="1132" w:type="dxa"/>
            <w:gridSpan w:val="2"/>
            <w:tcBorders>
              <w:top w:val="nil"/>
              <w:left w:val="nil"/>
              <w:bottom w:val="single" w:color="auto" w:sz="8" w:space="0"/>
              <w:right w:val="single" w:color="auto" w:sz="8" w:space="0"/>
            </w:tcBorders>
            <w:tcMar/>
          </w:tcPr>
          <w:p w:rsidR="003754B1" w:rsidP="578D5448" w:rsidRDefault="0E7D4CFF" w14:paraId="1020AB35" w14:textId="77777777">
            <w:pPr>
              <w:rPr>
                <w:rFonts w:eastAsia="Arial" w:cs="Arial"/>
                <w:sz w:val="20"/>
                <w:szCs w:val="20"/>
              </w:rPr>
            </w:pPr>
            <w:r w:rsidRPr="578D5448">
              <w:rPr>
                <w:rFonts w:eastAsia="Arial" w:cs="Arial"/>
                <w:sz w:val="20"/>
                <w:szCs w:val="20"/>
              </w:rPr>
              <w:t>4</w:t>
            </w:r>
          </w:p>
        </w:tc>
        <w:tc>
          <w:tcPr>
            <w:tcW w:w="3214" w:type="dxa"/>
            <w:gridSpan w:val="2"/>
            <w:tcBorders>
              <w:top w:val="nil"/>
              <w:left w:val="single" w:color="auto" w:sz="8" w:space="0"/>
              <w:bottom w:val="single" w:color="auto" w:sz="8" w:space="0"/>
              <w:right w:val="single" w:color="auto" w:sz="8" w:space="0"/>
            </w:tcBorders>
            <w:shd w:val="clear" w:color="auto" w:fill="D9E2F3" w:themeFill="accent1" w:themeFillTint="33"/>
            <w:tcMar/>
          </w:tcPr>
          <w:p w:rsidRPr="00CC4BF8" w:rsidR="003754B1" w:rsidP="578D5448" w:rsidRDefault="0E7D4CFF" w14:paraId="5054BD5C" w14:textId="77777777">
            <w:pPr>
              <w:rPr>
                <w:rFonts w:eastAsia="Arial" w:cs="Arial"/>
                <w:color w:val="000000" w:themeColor="text1"/>
                <w:sz w:val="20"/>
                <w:szCs w:val="20"/>
              </w:rPr>
            </w:pPr>
            <w:r w:rsidRPr="578D5448">
              <w:rPr>
                <w:rFonts w:eastAsia="Arial" w:cs="Arial"/>
                <w:color w:val="000000" w:themeColor="text1"/>
                <w:sz w:val="20"/>
                <w:szCs w:val="20"/>
              </w:rPr>
              <w:t xml:space="preserve">Output Score: </w:t>
            </w:r>
          </w:p>
        </w:tc>
        <w:tc>
          <w:tcPr>
            <w:tcW w:w="2735" w:type="dxa"/>
            <w:tcBorders>
              <w:top w:val="nil"/>
              <w:left w:val="single" w:color="auto" w:sz="8" w:space="0"/>
              <w:bottom w:val="single" w:color="auto" w:sz="8" w:space="0"/>
              <w:right w:val="single" w:color="auto" w:sz="8" w:space="0"/>
            </w:tcBorders>
            <w:tcMar/>
          </w:tcPr>
          <w:p w:rsidRPr="00CC4BF8" w:rsidR="003754B1" w:rsidP="578D5448" w:rsidRDefault="6D7A64FB" w14:paraId="5DF15999" w14:textId="4E377783">
            <w:pPr>
              <w:rPr>
                <w:rFonts w:eastAsia="Arial" w:cs="Arial"/>
                <w:b/>
                <w:bCs/>
                <w:sz w:val="20"/>
                <w:szCs w:val="20"/>
              </w:rPr>
            </w:pPr>
            <w:r w:rsidRPr="578D5448">
              <w:rPr>
                <w:rFonts w:eastAsia="Arial" w:cs="Arial"/>
                <w:b/>
                <w:bCs/>
                <w:sz w:val="20"/>
                <w:szCs w:val="20"/>
              </w:rPr>
              <w:t>A</w:t>
            </w:r>
          </w:p>
        </w:tc>
      </w:tr>
      <w:tr w:rsidR="003754B1" w:rsidTr="6CD1E52D" w14:paraId="7D996639" w14:textId="77777777">
        <w:trPr>
          <w:gridAfter w:val="1"/>
          <w:wAfter w:w="137" w:type="dxa"/>
          <w:trHeight w:val="345"/>
        </w:trPr>
        <w:tc>
          <w:tcPr>
            <w:tcW w:w="2278"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1F898505" w14:textId="77777777">
            <w:r w:rsidRPr="66F973D7">
              <w:rPr>
                <w:rFonts w:eastAsia="Arial" w:cs="Arial"/>
                <w:color w:val="000000" w:themeColor="text1"/>
                <w:sz w:val="20"/>
                <w:szCs w:val="20"/>
              </w:rPr>
              <w:t xml:space="preserve">Impact weighting (%):  </w:t>
            </w:r>
          </w:p>
        </w:tc>
        <w:tc>
          <w:tcPr>
            <w:tcW w:w="1132" w:type="dxa"/>
            <w:gridSpan w:val="2"/>
            <w:tcBorders>
              <w:top w:val="single" w:color="auto" w:sz="8" w:space="0"/>
              <w:left w:val="nil"/>
              <w:bottom w:val="single" w:color="auto" w:sz="8" w:space="0"/>
              <w:right w:val="single" w:color="auto" w:sz="8" w:space="0"/>
            </w:tcBorders>
            <w:tcMar/>
          </w:tcPr>
          <w:p w:rsidR="003754B1" w:rsidRDefault="003754B1" w14:paraId="79C0D4FF" w14:textId="77777777">
            <w:r w:rsidRPr="66F973D7">
              <w:rPr>
                <w:rFonts w:eastAsia="Arial" w:cs="Arial"/>
                <w:sz w:val="20"/>
                <w:szCs w:val="20"/>
              </w:rPr>
              <w:t>12.5%</w:t>
            </w:r>
          </w:p>
        </w:tc>
        <w:tc>
          <w:tcPr>
            <w:tcW w:w="3214"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75B84613" w14:textId="77777777">
            <w:r w:rsidRPr="66F973D7">
              <w:rPr>
                <w:rFonts w:eastAsia="Arial" w:cs="Arial"/>
                <w:color w:val="000000" w:themeColor="text1"/>
                <w:sz w:val="20"/>
                <w:szCs w:val="20"/>
              </w:rPr>
              <w:t xml:space="preserve">Weighting revised since last AR? </w:t>
            </w:r>
          </w:p>
        </w:tc>
        <w:tc>
          <w:tcPr>
            <w:tcW w:w="2735" w:type="dxa"/>
            <w:tcBorders>
              <w:top w:val="single" w:color="auto" w:sz="8" w:space="0"/>
              <w:left w:val="single" w:color="auto" w:sz="8" w:space="0"/>
              <w:bottom w:val="single" w:color="auto" w:sz="8" w:space="0"/>
              <w:right w:val="single" w:color="auto" w:sz="8" w:space="0"/>
            </w:tcBorders>
            <w:tcMar/>
          </w:tcPr>
          <w:p w:rsidR="003754B1" w:rsidRDefault="003754B1" w14:paraId="39654874" w14:textId="77777777">
            <w:r w:rsidRPr="66F973D7">
              <w:rPr>
                <w:rFonts w:eastAsia="Arial" w:cs="Arial"/>
                <w:sz w:val="20"/>
                <w:szCs w:val="20"/>
              </w:rPr>
              <w:t>No</w:t>
            </w:r>
          </w:p>
        </w:tc>
      </w:tr>
      <w:tr w:rsidR="003754B1" w:rsidTr="6CD1E52D" w14:paraId="7718EBB7" w14:textId="77777777">
        <w:trPr>
          <w:gridAfter w:val="1"/>
          <w:wAfter w:w="137" w:type="dxa"/>
          <w:trHeight w:val="345"/>
        </w:trPr>
        <w:tc>
          <w:tcPr>
            <w:tcW w:w="2278"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00F3A1FB" w14:textId="77777777">
            <w:r w:rsidRPr="66F973D7">
              <w:rPr>
                <w:rFonts w:eastAsia="Arial" w:cs="Arial"/>
                <w:color w:val="000000" w:themeColor="text1"/>
                <w:sz w:val="20"/>
                <w:szCs w:val="20"/>
              </w:rPr>
              <w:t>Risk rating</w:t>
            </w:r>
          </w:p>
        </w:tc>
        <w:tc>
          <w:tcPr>
            <w:tcW w:w="1132" w:type="dxa"/>
            <w:gridSpan w:val="2"/>
            <w:tcBorders>
              <w:top w:val="single" w:color="auto" w:sz="8" w:space="0"/>
              <w:left w:val="nil"/>
              <w:bottom w:val="single" w:color="auto" w:sz="8" w:space="0"/>
              <w:right w:val="single" w:color="auto" w:sz="8" w:space="0"/>
            </w:tcBorders>
            <w:tcMar/>
          </w:tcPr>
          <w:p w:rsidR="003754B1" w:rsidRDefault="1A532F5A" w14:paraId="1D99C4AC" w14:textId="45F95581">
            <w:pPr>
              <w:rPr>
                <w:rFonts w:eastAsia="Arial" w:cs="Arial"/>
                <w:sz w:val="20"/>
                <w:szCs w:val="20"/>
              </w:rPr>
            </w:pPr>
            <w:r w:rsidRPr="578D5448">
              <w:rPr>
                <w:rFonts w:eastAsia="Arial" w:cs="Arial"/>
                <w:sz w:val="20"/>
                <w:szCs w:val="20"/>
              </w:rPr>
              <w:t>M</w:t>
            </w:r>
            <w:r w:rsidRPr="578D5448" w:rsidR="0E7D4CFF">
              <w:rPr>
                <w:rFonts w:eastAsia="Arial" w:cs="Arial"/>
                <w:sz w:val="20"/>
                <w:szCs w:val="20"/>
              </w:rPr>
              <w:t>oderate</w:t>
            </w:r>
          </w:p>
        </w:tc>
        <w:tc>
          <w:tcPr>
            <w:tcW w:w="3214"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2F1AAD97" w14:textId="77777777">
            <w:r w:rsidRPr="66F973D7">
              <w:rPr>
                <w:rFonts w:eastAsia="Arial" w:cs="Arial"/>
                <w:color w:val="000000" w:themeColor="text1"/>
                <w:sz w:val="20"/>
                <w:szCs w:val="20"/>
              </w:rPr>
              <w:t>Risk revised since last AR?</w:t>
            </w:r>
          </w:p>
        </w:tc>
        <w:tc>
          <w:tcPr>
            <w:tcW w:w="2735" w:type="dxa"/>
            <w:tcBorders>
              <w:top w:val="single" w:color="auto" w:sz="8" w:space="0"/>
              <w:left w:val="single" w:color="auto" w:sz="8" w:space="0"/>
              <w:bottom w:val="single" w:color="auto" w:sz="8" w:space="0"/>
              <w:right w:val="single" w:color="auto" w:sz="8" w:space="0"/>
            </w:tcBorders>
            <w:tcMar/>
          </w:tcPr>
          <w:p w:rsidR="003754B1" w:rsidRDefault="003754B1" w14:paraId="2D823430" w14:textId="77777777">
            <w:r w:rsidRPr="66F973D7">
              <w:rPr>
                <w:rFonts w:eastAsia="Arial" w:cs="Arial"/>
                <w:sz w:val="20"/>
                <w:szCs w:val="20"/>
              </w:rPr>
              <w:t>No</w:t>
            </w:r>
          </w:p>
        </w:tc>
      </w:tr>
      <w:tr w:rsidR="003754B1" w:rsidTr="6CD1E52D" w14:paraId="2726B1E6" w14:textId="77777777">
        <w:trPr>
          <w:gridAfter w:val="1"/>
          <w:wAfter w:w="137" w:type="dxa"/>
        </w:trPr>
        <w:tc>
          <w:tcPr>
            <w:tcW w:w="1681" w:type="dxa"/>
            <w:tcBorders>
              <w:top w:val="single" w:color="auto" w:sz="8" w:space="0"/>
              <w:left w:val="nil"/>
              <w:bottom w:val="nil"/>
              <w:right w:val="nil"/>
            </w:tcBorders>
            <w:tcMar/>
            <w:vAlign w:val="center"/>
          </w:tcPr>
          <w:p w:rsidR="003754B1" w:rsidRDefault="003754B1" w14:paraId="1217BE9C" w14:textId="77777777"/>
        </w:tc>
        <w:tc>
          <w:tcPr>
            <w:tcW w:w="597" w:type="dxa"/>
            <w:tcBorders>
              <w:top w:val="nil"/>
              <w:left w:val="nil"/>
              <w:bottom w:val="nil"/>
              <w:right w:val="nil"/>
            </w:tcBorders>
            <w:tcMar/>
            <w:vAlign w:val="center"/>
          </w:tcPr>
          <w:p w:rsidR="003754B1" w:rsidRDefault="003754B1" w14:paraId="33F830ED" w14:textId="77777777"/>
        </w:tc>
        <w:tc>
          <w:tcPr>
            <w:tcW w:w="1132" w:type="dxa"/>
            <w:gridSpan w:val="2"/>
            <w:tcBorders>
              <w:top w:val="single" w:color="auto" w:sz="8" w:space="0"/>
              <w:left w:val="nil"/>
              <w:bottom w:val="nil"/>
              <w:right w:val="nil"/>
            </w:tcBorders>
            <w:tcMar/>
            <w:vAlign w:val="center"/>
          </w:tcPr>
          <w:p w:rsidR="003754B1" w:rsidRDefault="003754B1" w14:paraId="5379CE29" w14:textId="77777777"/>
        </w:tc>
        <w:tc>
          <w:tcPr>
            <w:tcW w:w="3214" w:type="dxa"/>
            <w:gridSpan w:val="2"/>
            <w:tcBorders>
              <w:top w:val="single" w:color="auto" w:sz="8" w:space="0"/>
              <w:left w:val="nil"/>
              <w:bottom w:val="nil"/>
              <w:right w:val="nil"/>
            </w:tcBorders>
            <w:tcMar/>
            <w:vAlign w:val="center"/>
          </w:tcPr>
          <w:p w:rsidR="003754B1" w:rsidRDefault="003754B1" w14:paraId="02E6E17A" w14:textId="77777777"/>
        </w:tc>
        <w:tc>
          <w:tcPr>
            <w:tcW w:w="2735" w:type="dxa"/>
            <w:tcBorders>
              <w:top w:val="single" w:color="auto" w:sz="8" w:space="0"/>
              <w:left w:val="nil"/>
              <w:bottom w:val="nil"/>
              <w:right w:val="nil"/>
            </w:tcBorders>
            <w:tcMar/>
            <w:vAlign w:val="center"/>
          </w:tcPr>
          <w:p w:rsidR="003754B1" w:rsidRDefault="003754B1" w14:paraId="6E64ABFB" w14:textId="77777777"/>
        </w:tc>
      </w:tr>
      <w:tr w:rsidR="003754B1" w:rsidTr="6CD1E52D" w14:paraId="072E571E" w14:textId="77777777">
        <w:trPr>
          <w:trHeight w:val="270"/>
        </w:trPr>
        <w:tc>
          <w:tcPr>
            <w:tcW w:w="2450" w:type="dxa"/>
            <w:gridSpan w:val="3"/>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P="15821389" w:rsidRDefault="646BD214" w14:paraId="12839CC0" w14:textId="77777777">
            <w:pPr>
              <w:rPr>
                <w:rFonts w:eastAsia="Arial" w:cs="Arial"/>
                <w:b/>
                <w:bCs/>
                <w:color w:val="000000" w:themeColor="text1"/>
                <w:sz w:val="20"/>
                <w:szCs w:val="20"/>
              </w:rPr>
            </w:pPr>
            <w:r w:rsidRPr="578D5448">
              <w:rPr>
                <w:rFonts w:eastAsia="Arial" w:cs="Arial"/>
                <w:b/>
                <w:bCs/>
                <w:color w:val="000000" w:themeColor="text1"/>
                <w:sz w:val="20"/>
                <w:szCs w:val="20"/>
              </w:rPr>
              <w:t>Indicator(s)</w:t>
            </w:r>
          </w:p>
        </w:tc>
        <w:tc>
          <w:tcPr>
            <w:tcW w:w="2123"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5E211D35" w14:textId="77777777">
            <w:r w:rsidRPr="66F973D7">
              <w:rPr>
                <w:rFonts w:eastAsia="Arial" w:cs="Arial"/>
                <w:b/>
                <w:bCs/>
                <w:color w:val="000000" w:themeColor="text1"/>
                <w:sz w:val="20"/>
                <w:szCs w:val="20"/>
              </w:rPr>
              <w:t>Milestone(s) for this review</w:t>
            </w:r>
          </w:p>
        </w:tc>
        <w:tc>
          <w:tcPr>
            <w:tcW w:w="4923" w:type="dxa"/>
            <w:gridSpan w:val="3"/>
            <w:tcBorders>
              <w:top w:val="single" w:color="auto" w:sz="8" w:space="0"/>
              <w:left w:val="single" w:color="auto" w:sz="8" w:space="0"/>
              <w:bottom w:val="single" w:color="auto" w:sz="8" w:space="0"/>
              <w:right w:val="single" w:color="auto" w:sz="8" w:space="0"/>
            </w:tcBorders>
            <w:shd w:val="clear" w:color="auto" w:fill="D9E2F3" w:themeFill="accent1" w:themeFillTint="33"/>
            <w:tcMar/>
          </w:tcPr>
          <w:p w:rsidR="003754B1" w:rsidRDefault="003754B1" w14:paraId="376A6195" w14:textId="77777777">
            <w:r w:rsidRPr="66F973D7">
              <w:rPr>
                <w:rFonts w:eastAsia="Arial" w:cs="Arial"/>
                <w:b/>
                <w:bCs/>
                <w:color w:val="000000" w:themeColor="text1"/>
                <w:sz w:val="20"/>
                <w:szCs w:val="20"/>
              </w:rPr>
              <w:t xml:space="preserve">Progress </w:t>
            </w:r>
          </w:p>
        </w:tc>
      </w:tr>
      <w:tr w:rsidR="003754B1" w:rsidTr="6CD1E52D" w14:paraId="7D2EAD68" w14:textId="77777777">
        <w:tc>
          <w:tcPr>
            <w:tcW w:w="2450" w:type="dxa"/>
            <w:gridSpan w:val="3"/>
            <w:tcBorders>
              <w:top w:val="single" w:color="auto" w:sz="8" w:space="0"/>
              <w:left w:val="single" w:color="auto" w:sz="8" w:space="0"/>
              <w:bottom w:val="single" w:color="auto" w:sz="8" w:space="0"/>
              <w:right w:val="single" w:color="auto" w:sz="8" w:space="0"/>
            </w:tcBorders>
            <w:tcMar/>
          </w:tcPr>
          <w:p w:rsidR="003754B1" w:rsidRDefault="003754B1" w14:paraId="17D0C00A" w14:textId="77777777">
            <w:r w:rsidRPr="66F973D7">
              <w:rPr>
                <w:rFonts w:eastAsia="Arial" w:cs="Arial"/>
                <w:b/>
                <w:bCs/>
                <w:sz w:val="20"/>
                <w:szCs w:val="20"/>
              </w:rPr>
              <w:t>Indicator 15:</w:t>
            </w:r>
            <w:r w:rsidRPr="66F973D7">
              <w:rPr>
                <w:rFonts w:eastAsia="Arial" w:cs="Arial"/>
                <w:sz w:val="20"/>
                <w:szCs w:val="20"/>
              </w:rPr>
              <w:t xml:space="preserve"> Number of farming families benefitting from agro-environmental activities, </w:t>
            </w:r>
            <w:r w:rsidRPr="66F973D7">
              <w:rPr>
                <w:rFonts w:eastAsia="Arial" w:cs="Arial"/>
                <w:sz w:val="20"/>
                <w:szCs w:val="20"/>
              </w:rPr>
              <w:lastRenderedPageBreak/>
              <w:t>including women and young people</w:t>
            </w:r>
          </w:p>
          <w:p w:rsidR="003754B1" w:rsidRDefault="003754B1" w14:paraId="3E640491" w14:textId="77777777">
            <w:r w:rsidRPr="66F973D7">
              <w:rPr>
                <w:rFonts w:eastAsia="Arial" w:cs="Arial"/>
                <w:color w:val="FF0000"/>
                <w:sz w:val="20"/>
                <w:szCs w:val="20"/>
              </w:rPr>
              <w:t xml:space="preserve"> </w:t>
            </w:r>
          </w:p>
        </w:tc>
        <w:tc>
          <w:tcPr>
            <w:tcW w:w="2123" w:type="dxa"/>
            <w:gridSpan w:val="2"/>
            <w:tcBorders>
              <w:top w:val="single" w:color="auto" w:sz="8" w:space="0"/>
              <w:left w:val="single" w:color="auto" w:sz="8" w:space="0"/>
              <w:bottom w:val="single" w:color="auto" w:sz="8" w:space="0"/>
              <w:right w:val="single" w:color="auto" w:sz="8" w:space="0"/>
            </w:tcBorders>
            <w:tcMar/>
          </w:tcPr>
          <w:p w:rsidR="003754B1" w:rsidP="578D5448" w:rsidRDefault="0E7D4CFF" w14:paraId="1E100CB7" w14:textId="70188C6B">
            <w:pPr>
              <w:rPr>
                <w:rFonts w:eastAsia="Arial" w:cs="Arial"/>
                <w:sz w:val="20"/>
                <w:szCs w:val="20"/>
              </w:rPr>
            </w:pPr>
            <w:r w:rsidRPr="578D5448">
              <w:rPr>
                <w:rFonts w:eastAsia="Arial" w:cs="Arial"/>
                <w:sz w:val="20"/>
                <w:szCs w:val="20"/>
              </w:rPr>
              <w:lastRenderedPageBreak/>
              <w:t>20</w:t>
            </w:r>
            <w:r w:rsidRPr="578D5448" w:rsidR="60744D75">
              <w:rPr>
                <w:rFonts w:eastAsia="Arial" w:cs="Arial"/>
                <w:sz w:val="20"/>
                <w:szCs w:val="20"/>
              </w:rPr>
              <w:t>2</w:t>
            </w:r>
            <w:r w:rsidR="009F7893">
              <w:rPr>
                <w:rFonts w:eastAsia="Arial" w:cs="Arial"/>
                <w:sz w:val="20"/>
                <w:szCs w:val="20"/>
              </w:rPr>
              <w:t>3</w:t>
            </w:r>
            <w:r w:rsidRPr="578D5448" w:rsidR="60744D75">
              <w:rPr>
                <w:rFonts w:eastAsia="Arial" w:cs="Arial"/>
                <w:sz w:val="20"/>
                <w:szCs w:val="20"/>
              </w:rPr>
              <w:t>-2</w:t>
            </w:r>
            <w:r w:rsidR="009F7893">
              <w:rPr>
                <w:rFonts w:eastAsia="Arial" w:cs="Arial"/>
                <w:sz w:val="20"/>
                <w:szCs w:val="20"/>
              </w:rPr>
              <w:t>4</w:t>
            </w:r>
            <w:r w:rsidRPr="578D5448">
              <w:rPr>
                <w:rFonts w:eastAsia="Arial" w:cs="Arial"/>
                <w:sz w:val="20"/>
                <w:szCs w:val="20"/>
              </w:rPr>
              <w:t xml:space="preserve"> target: </w:t>
            </w:r>
          </w:p>
          <w:p w:rsidR="003754B1" w:rsidRDefault="0E7D4CFF" w14:paraId="68C47A61" w14:textId="77777777">
            <w:pPr>
              <w:rPr>
                <w:rFonts w:eastAsia="Arial" w:cs="Arial"/>
                <w:sz w:val="20"/>
                <w:szCs w:val="20"/>
              </w:rPr>
            </w:pPr>
            <w:r w:rsidRPr="578D5448">
              <w:rPr>
                <w:rFonts w:eastAsia="Arial" w:cs="Arial"/>
                <w:sz w:val="20"/>
                <w:szCs w:val="20"/>
              </w:rPr>
              <w:t>48,500</w:t>
            </w:r>
          </w:p>
          <w:p w:rsidR="003754B1" w:rsidRDefault="003754B1" w14:paraId="5497DA64" w14:textId="77777777">
            <w:pPr>
              <w:rPr>
                <w:rFonts w:eastAsia="Arial" w:cs="Arial"/>
                <w:sz w:val="20"/>
                <w:szCs w:val="20"/>
              </w:rPr>
            </w:pPr>
          </w:p>
          <w:p w:rsidR="003754B1" w:rsidP="578D5448" w:rsidRDefault="0E7D4CFF" w14:paraId="60A21188" w14:textId="77777777">
            <w:pPr>
              <w:rPr>
                <w:rFonts w:eastAsia="Arial" w:cs="Arial"/>
                <w:sz w:val="20"/>
                <w:szCs w:val="20"/>
              </w:rPr>
            </w:pPr>
            <w:r w:rsidRPr="578D5448">
              <w:rPr>
                <w:rFonts w:eastAsia="Arial" w:cs="Arial"/>
                <w:sz w:val="20"/>
                <w:szCs w:val="20"/>
              </w:rPr>
              <w:t xml:space="preserve">Of which: </w:t>
            </w:r>
          </w:p>
          <w:p w:rsidR="003754B1" w:rsidP="578D5448" w:rsidRDefault="0E7D4CFF" w14:paraId="44877B21" w14:textId="497ECF70">
            <w:pPr>
              <w:rPr>
                <w:rFonts w:eastAsia="Arial" w:cs="Arial"/>
                <w:sz w:val="20"/>
                <w:szCs w:val="20"/>
              </w:rPr>
            </w:pPr>
            <w:r w:rsidRPr="578D5448">
              <w:rPr>
                <w:rFonts w:eastAsia="Arial" w:cs="Arial"/>
                <w:sz w:val="20"/>
                <w:szCs w:val="20"/>
              </w:rPr>
              <w:t xml:space="preserve">Colombia – </w:t>
            </w:r>
            <w:r w:rsidRPr="578D5448" w:rsidR="16313C87">
              <w:rPr>
                <w:rFonts w:eastAsia="Arial" w:cs="Arial"/>
                <w:sz w:val="20"/>
                <w:szCs w:val="20"/>
              </w:rPr>
              <w:t>14,500</w:t>
            </w:r>
          </w:p>
          <w:p w:rsidR="003754B1" w:rsidP="578D5448" w:rsidRDefault="0E7D4CFF" w14:paraId="1C8B69F9" w14:textId="77777777">
            <w:pPr>
              <w:rPr>
                <w:rFonts w:eastAsia="Arial" w:cs="Arial"/>
                <w:sz w:val="20"/>
                <w:szCs w:val="20"/>
              </w:rPr>
            </w:pPr>
            <w:r w:rsidRPr="578D5448">
              <w:rPr>
                <w:rFonts w:eastAsia="Arial" w:cs="Arial"/>
                <w:sz w:val="20"/>
                <w:szCs w:val="20"/>
              </w:rPr>
              <w:lastRenderedPageBreak/>
              <w:t xml:space="preserve">Mato Grosso: 14,000 </w:t>
            </w:r>
          </w:p>
          <w:p w:rsidR="003754B1" w:rsidRDefault="0E7D4CFF" w14:paraId="2B6D25CA" w14:textId="77777777">
            <w:pPr>
              <w:rPr>
                <w:rFonts w:eastAsia="Arial" w:cs="Arial"/>
                <w:sz w:val="20"/>
                <w:szCs w:val="20"/>
              </w:rPr>
            </w:pPr>
            <w:r w:rsidRPr="578D5448">
              <w:rPr>
                <w:rFonts w:eastAsia="Arial" w:cs="Arial"/>
                <w:sz w:val="20"/>
                <w:szCs w:val="20"/>
              </w:rPr>
              <w:t>Acre: 20,500</w:t>
            </w:r>
          </w:p>
        </w:tc>
        <w:tc>
          <w:tcPr>
            <w:tcW w:w="4923" w:type="dxa"/>
            <w:gridSpan w:val="3"/>
            <w:tcBorders>
              <w:top w:val="single" w:color="auto" w:sz="8" w:space="0"/>
              <w:left w:val="single" w:color="auto" w:sz="8" w:space="0"/>
              <w:bottom w:val="single" w:color="auto" w:sz="8" w:space="0"/>
              <w:right w:val="single" w:color="auto" w:sz="8" w:space="0"/>
            </w:tcBorders>
            <w:tcMar/>
          </w:tcPr>
          <w:p w:rsidRPr="00E91538" w:rsidR="003754B1" w:rsidP="6CD1E52D" w:rsidRDefault="3FB346C8" w14:paraId="154F6FEE" w14:textId="23DDC26B">
            <w:pPr>
              <w:rPr>
                <w:rFonts w:eastAsia="Arial" w:cs="Arial"/>
                <w:b w:val="1"/>
                <w:bCs w:val="1"/>
                <w:sz w:val="20"/>
                <w:szCs w:val="20"/>
                <w:rPrChange w:author="" w16du:dateUtc="2025-01-10T09:09:00Z" w:id="424889113">
                  <w:rPr>
                    <w:rFonts w:eastAsia="Arial" w:cs="Arial"/>
                    <w:b/>
                    <w:sz w:val="20"/>
                    <w:szCs w:val="20"/>
                    <w:lang w:val="es-ES"/>
                  </w:rPr>
                </w:rPrChange>
              </w:rPr>
            </w:pPr>
            <w:r w:rsidRPr="6CD1E52D" w:rsidR="3FB346C8">
              <w:rPr>
                <w:rFonts w:eastAsia="Arial" w:cs="Arial"/>
                <w:b w:val="1"/>
                <w:bCs w:val="1"/>
                <w:sz w:val="20"/>
                <w:szCs w:val="20"/>
              </w:rPr>
              <w:t>Total:</w:t>
            </w:r>
            <w:r w:rsidRPr="6CD1E52D" w:rsidR="57338148">
              <w:rPr>
                <w:rFonts w:eastAsia="Arial" w:cs="Arial"/>
                <w:b w:val="1"/>
                <w:bCs w:val="1"/>
                <w:sz w:val="20"/>
                <w:szCs w:val="20"/>
              </w:rPr>
              <w:t xml:space="preserve"> </w:t>
            </w:r>
            <w:r w:rsidRPr="6CD1E52D" w:rsidR="65E69788">
              <w:rPr>
                <w:rFonts w:eastAsia="Arial" w:cs="Arial"/>
                <w:b w:val="1"/>
                <w:bCs w:val="1"/>
                <w:sz w:val="20"/>
                <w:szCs w:val="20"/>
              </w:rPr>
              <w:t xml:space="preserve"> - </w:t>
            </w:r>
            <w:r w:rsidRPr="6CD1E52D" w:rsidR="0049019D">
              <w:rPr>
                <w:rFonts w:eastAsia="Arial" w:cs="Arial"/>
                <w:b w:val="1"/>
                <w:bCs w:val="1"/>
                <w:sz w:val="20"/>
                <w:szCs w:val="20"/>
              </w:rPr>
              <w:t>34, 044 (</w:t>
            </w:r>
            <w:r w:rsidRPr="6CD1E52D" w:rsidR="00845F96">
              <w:rPr>
                <w:rFonts w:eastAsia="Arial" w:cs="Arial"/>
                <w:b w:val="1"/>
                <w:bCs w:val="1"/>
                <w:sz w:val="20"/>
                <w:szCs w:val="20"/>
              </w:rPr>
              <w:t>70%</w:t>
            </w:r>
            <w:r w:rsidRPr="6CD1E52D" w:rsidR="000D4172">
              <w:rPr>
                <w:rFonts w:eastAsia="Arial" w:cs="Arial"/>
                <w:b w:val="1"/>
                <w:bCs w:val="1"/>
                <w:sz w:val="20"/>
                <w:szCs w:val="20"/>
              </w:rPr>
              <w:t>)</w:t>
            </w:r>
          </w:p>
          <w:p w:rsidRPr="00E91538" w:rsidR="003754B1" w:rsidP="578D5448" w:rsidRDefault="0E7D4CFF" w14:paraId="2385C41F" w14:textId="77777777">
            <w:pPr>
              <w:rPr>
                <w:rFonts w:eastAsia="Arial" w:cs="Arial"/>
                <w:b w:val="1"/>
                <w:bCs w:val="1"/>
                <w:sz w:val="20"/>
                <w:szCs w:val="20"/>
                <w:rPrChange w:author="" w16du:dateUtc="2025-01-10T09:09:00Z" w:id="1286613052">
                  <w:rPr>
                    <w:rFonts w:eastAsia="Arial" w:cs="Arial"/>
                    <w:b/>
                    <w:bCs/>
                    <w:sz w:val="20"/>
                    <w:szCs w:val="20"/>
                    <w:lang w:val="es-ES"/>
                  </w:rPr>
                </w:rPrChange>
              </w:rPr>
            </w:pPr>
            <w:r w:rsidRPr="6CD1E52D" w:rsidR="0E7D4CFF">
              <w:rPr>
                <w:rFonts w:eastAsia="Arial" w:cs="Arial"/>
                <w:b w:val="1"/>
                <w:bCs w:val="1"/>
                <w:sz w:val="20"/>
                <w:szCs w:val="20"/>
              </w:rPr>
              <w:t xml:space="preserve"> </w:t>
            </w:r>
          </w:p>
          <w:p w:rsidRPr="00E91538" w:rsidR="003754B1" w:rsidRDefault="0E7D4CFF" w14:paraId="5DC197C0" w14:textId="09B7E59D">
            <w:pPr>
              <w:rPr>
                <w:rFonts w:eastAsia="Arial" w:cs="Arial"/>
                <w:sz w:val="20"/>
                <w:szCs w:val="20"/>
                <w:rPrChange w:author="" w16du:dateUtc="2025-01-10T09:09:00Z" w:id="71695429">
                  <w:rPr>
                    <w:rFonts w:eastAsia="Arial" w:cs="Arial"/>
                    <w:sz w:val="20"/>
                    <w:szCs w:val="20"/>
                    <w:lang w:val="es-ES"/>
                  </w:rPr>
                </w:rPrChange>
              </w:rPr>
            </w:pPr>
            <w:r w:rsidRPr="6CD1E52D" w:rsidR="0E7D4CFF">
              <w:rPr>
                <w:rFonts w:eastAsia="Arial" w:cs="Arial"/>
                <w:sz w:val="16"/>
                <w:szCs w:val="16"/>
              </w:rPr>
              <w:t>-</w:t>
            </w:r>
            <w:r w:rsidRPr="6CD1E52D" w:rsidR="0E7D4CFF">
              <w:rPr>
                <w:rFonts w:eastAsia="Arial" w:cs="Arial"/>
                <w:sz w:val="20"/>
                <w:szCs w:val="20"/>
              </w:rPr>
              <w:t xml:space="preserve"> Colombia: </w:t>
            </w:r>
            <w:r w:rsidRPr="6CD1E52D" w:rsidR="16313C87">
              <w:rPr>
                <w:rFonts w:eastAsia="Arial" w:cs="Arial"/>
                <w:sz w:val="20"/>
                <w:szCs w:val="20"/>
              </w:rPr>
              <w:t>12,</w:t>
            </w:r>
            <w:r w:rsidRPr="6CD1E52D" w:rsidR="00BC6DD1">
              <w:rPr>
                <w:rFonts w:eastAsia="Arial" w:cs="Arial"/>
                <w:sz w:val="20"/>
                <w:szCs w:val="20"/>
              </w:rPr>
              <w:t xml:space="preserve"> 465 </w:t>
            </w:r>
            <w:r w:rsidRPr="6CD1E52D" w:rsidR="16313C87">
              <w:rPr>
                <w:rFonts w:eastAsia="Arial" w:cs="Arial"/>
                <w:sz w:val="20"/>
                <w:szCs w:val="20"/>
              </w:rPr>
              <w:t>(8</w:t>
            </w:r>
            <w:r w:rsidRPr="6CD1E52D" w:rsidR="00BC6DD1">
              <w:rPr>
                <w:rFonts w:eastAsia="Arial" w:cs="Arial"/>
                <w:sz w:val="20"/>
                <w:szCs w:val="20"/>
              </w:rPr>
              <w:t>6</w:t>
            </w:r>
            <w:r w:rsidRPr="6CD1E52D" w:rsidR="16313C87">
              <w:rPr>
                <w:rFonts w:eastAsia="Arial" w:cs="Arial"/>
                <w:sz w:val="20"/>
                <w:szCs w:val="20"/>
              </w:rPr>
              <w:t>%)</w:t>
            </w:r>
          </w:p>
          <w:p w:rsidRPr="00E91538" w:rsidR="003754B1" w:rsidP="578D5448" w:rsidRDefault="2D4E65A0" w14:paraId="66E78D52" w14:textId="6770CE90">
            <w:pPr>
              <w:rPr>
                <w:rFonts w:eastAsia="Arial" w:cs="Arial"/>
                <w:sz w:val="20"/>
                <w:szCs w:val="20"/>
                <w:rPrChange w:author="" w16du:dateUtc="2025-01-10T09:09:00Z" w:id="986018674">
                  <w:rPr>
                    <w:rFonts w:eastAsia="Arial" w:cs="Arial"/>
                    <w:sz w:val="20"/>
                    <w:szCs w:val="20"/>
                    <w:lang w:val="es-ES"/>
                  </w:rPr>
                </w:rPrChange>
              </w:rPr>
            </w:pPr>
            <w:r w:rsidRPr="00E91538" w:rsidR="2D4E65A0">
              <w:rPr>
                <w:rFonts w:eastAsia="Arial" w:cs="Arial"/>
                <w:sz w:val="20"/>
                <w:szCs w:val="20"/>
              </w:rPr>
              <w:lastRenderedPageBreak/>
              <w:t xml:space="preserve">- Mato Grosso:  </w:t>
            </w:r>
            <w:r w:rsidRPr="00E91538" w:rsidR="00C535C7">
              <w:rPr>
                <w:rFonts w:eastAsia="Arial" w:cs="Arial"/>
                <w:sz w:val="20"/>
                <w:szCs w:val="20"/>
              </w:rPr>
              <w:t>4, 196</w:t>
            </w:r>
            <w:r w:rsidRPr="00845F96" w:rsidR="003754B1">
              <w:rPr>
                <w:rStyle w:val="FootnoteReference"/>
                <w:rFonts w:eastAsia="Arial" w:cs="Arial"/>
                <w:sz w:val="20"/>
                <w:szCs w:val="20"/>
              </w:rPr>
              <w:footnoteReference w:id="20"/>
            </w:r>
            <w:r w:rsidRPr="00E91538" w:rsidR="2D4E65A0">
              <w:rPr>
                <w:rFonts w:eastAsia="Arial" w:cs="Arial"/>
                <w:sz w:val="20"/>
                <w:szCs w:val="20"/>
              </w:rPr>
              <w:t xml:space="preserve"> (</w:t>
            </w:r>
            <w:r w:rsidRPr="00E91538" w:rsidR="0049019D">
              <w:rPr>
                <w:rFonts w:eastAsia="Arial" w:cs="Arial"/>
                <w:sz w:val="20"/>
                <w:szCs w:val="20"/>
              </w:rPr>
              <w:t>29</w:t>
            </w:r>
            <w:r w:rsidRPr="00E91538" w:rsidR="48B17F93">
              <w:rPr>
                <w:rFonts w:eastAsia="Arial" w:cs="Arial"/>
                <w:sz w:val="20"/>
                <w:szCs w:val="20"/>
              </w:rPr>
              <w:t>%)</w:t>
            </w:r>
          </w:p>
          <w:p w:rsidRPr="00E91538" w:rsidR="003754B1" w:rsidRDefault="768727FD" w14:paraId="5C256432" w14:textId="043FABEF">
            <w:pPr>
              <w:rPr>
                <w:rFonts w:eastAsia="Arial" w:cs="Arial"/>
                <w:sz w:val="20"/>
                <w:szCs w:val="20"/>
                <w:rPrChange w:author="" w16du:dateUtc="2025-01-10T09:09:00Z" w:id="784833936">
                  <w:rPr>
                    <w:rFonts w:eastAsia="Arial" w:cs="Arial"/>
                    <w:sz w:val="20"/>
                    <w:szCs w:val="20"/>
                    <w:lang w:val="es-ES"/>
                  </w:rPr>
                </w:rPrChange>
              </w:rPr>
            </w:pPr>
            <w:r w:rsidRPr="00E91538" w:rsidR="768727FD">
              <w:rPr>
                <w:rFonts w:eastAsia="Arial" w:cs="Arial"/>
                <w:sz w:val="20"/>
                <w:szCs w:val="20"/>
              </w:rPr>
              <w:t xml:space="preserve">- Acre:  </w:t>
            </w:r>
            <w:r w:rsidRPr="00E91538" w:rsidR="006829D0">
              <w:rPr>
                <w:rFonts w:eastAsia="Arial" w:cs="Arial"/>
                <w:sz w:val="20"/>
                <w:szCs w:val="20"/>
              </w:rPr>
              <w:t>17</w:t>
            </w:r>
            <w:r w:rsidRPr="00E91538" w:rsidR="00DC0131">
              <w:rPr>
                <w:rFonts w:eastAsia="Arial" w:cs="Arial"/>
                <w:sz w:val="20"/>
                <w:szCs w:val="20"/>
              </w:rPr>
              <w:t xml:space="preserve">, </w:t>
            </w:r>
            <w:r w:rsidRPr="00E91538" w:rsidR="006829D0">
              <w:rPr>
                <w:rFonts w:eastAsia="Arial" w:cs="Arial"/>
                <w:sz w:val="20"/>
                <w:szCs w:val="20"/>
              </w:rPr>
              <w:t>383</w:t>
            </w:r>
            <w:r w:rsidRPr="00845F96" w:rsidR="00422581">
              <w:rPr>
                <w:rStyle w:val="FootnoteReference"/>
                <w:rFonts w:eastAsia="Arial" w:cs="Arial"/>
                <w:sz w:val="20"/>
                <w:szCs w:val="20"/>
              </w:rPr>
              <w:footnoteReference w:id="21"/>
            </w:r>
            <w:r w:rsidRPr="00E91538" w:rsidR="3CDF0B43">
              <w:rPr>
                <w:rFonts w:eastAsia="Arial" w:cs="Arial"/>
                <w:sz w:val="20"/>
                <w:szCs w:val="20"/>
              </w:rPr>
              <w:t xml:space="preserve"> (</w:t>
            </w:r>
            <w:r w:rsidRPr="00E91538" w:rsidR="00DC0131">
              <w:rPr>
                <w:rFonts w:eastAsia="Arial" w:cs="Arial"/>
                <w:sz w:val="20"/>
                <w:szCs w:val="20"/>
              </w:rPr>
              <w:t>84</w:t>
            </w:r>
            <w:r w:rsidRPr="00E91538" w:rsidR="3CDF0B43">
              <w:rPr>
                <w:rFonts w:eastAsia="Arial" w:cs="Arial"/>
                <w:sz w:val="20"/>
                <w:szCs w:val="20"/>
              </w:rPr>
              <w:t>%)</w:t>
            </w:r>
          </w:p>
          <w:p w:rsidRPr="00E91538" w:rsidR="003754B1" w:rsidRDefault="003754B1" w14:paraId="2181B11A" w14:textId="77777777">
            <w:pPr>
              <w:rPr>
                <w:rFonts w:eastAsia="Arial" w:cs="Arial"/>
                <w:rPrChange w:author="" w16du:dateUtc="2025-01-10T09:09:00Z" w:id="397256733">
                  <w:rPr>
                    <w:rFonts w:eastAsia="Arial" w:cs="Arial"/>
                    <w:lang w:val="es-ES"/>
                  </w:rPr>
                </w:rPrChange>
              </w:rPr>
            </w:pPr>
          </w:p>
          <w:p w:rsidR="00BC6DD1" w:rsidP="00BC6DD1" w:rsidRDefault="768727FD" w14:paraId="33C0D9BB" w14:textId="5CD2C84D">
            <w:pPr>
              <w:rPr>
                <w:rFonts w:eastAsia="Arial" w:cs="Arial"/>
                <w:b/>
                <w:bCs/>
              </w:rPr>
            </w:pPr>
            <w:r w:rsidRPr="00845F96">
              <w:rPr>
                <w:rFonts w:eastAsia="Arial" w:cs="Arial"/>
                <w:b/>
                <w:bCs/>
                <w:sz w:val="18"/>
                <w:szCs w:val="18"/>
              </w:rPr>
              <w:t>Progress did not meet expectation.</w:t>
            </w:r>
            <w:r w:rsidRPr="61AB1AE6">
              <w:rPr>
                <w:rFonts w:eastAsia="Arial" w:cs="Arial"/>
                <w:b/>
                <w:bCs/>
                <w:sz w:val="18"/>
                <w:szCs w:val="18"/>
              </w:rPr>
              <w:t xml:space="preserve"> </w:t>
            </w:r>
          </w:p>
          <w:p w:rsidR="003754B1" w:rsidRDefault="003754B1" w14:paraId="0514773A" w14:textId="1C728CA0">
            <w:pPr>
              <w:rPr>
                <w:rFonts w:eastAsia="Arial" w:cs="Arial"/>
                <w:b/>
                <w:bCs/>
              </w:rPr>
            </w:pPr>
          </w:p>
        </w:tc>
      </w:tr>
      <w:tr w:rsidR="003754B1" w:rsidTr="6CD1E52D" w14:paraId="6032B491" w14:textId="77777777">
        <w:tc>
          <w:tcPr>
            <w:tcW w:w="2450" w:type="dxa"/>
            <w:gridSpan w:val="3"/>
            <w:tcBorders>
              <w:top w:val="single" w:color="auto" w:sz="8" w:space="0"/>
              <w:left w:val="single" w:color="auto" w:sz="8" w:space="0"/>
              <w:bottom w:val="single" w:color="auto" w:sz="8" w:space="0"/>
              <w:right w:val="single" w:color="auto" w:sz="8" w:space="0"/>
            </w:tcBorders>
            <w:tcMar/>
          </w:tcPr>
          <w:p w:rsidR="003754B1" w:rsidRDefault="003754B1" w14:paraId="02BF579C" w14:textId="77777777">
            <w:pPr>
              <w:rPr>
                <w:rFonts w:eastAsia="Arial" w:cs="Arial"/>
                <w:sz w:val="20"/>
                <w:szCs w:val="20"/>
              </w:rPr>
            </w:pPr>
            <w:r w:rsidRPr="75B52BB0">
              <w:rPr>
                <w:rFonts w:eastAsia="Arial" w:cs="Arial"/>
                <w:b/>
                <w:bCs/>
                <w:sz w:val="20"/>
                <w:szCs w:val="20"/>
              </w:rPr>
              <w:lastRenderedPageBreak/>
              <w:t xml:space="preserve">Indicator 16: </w:t>
            </w:r>
            <w:r w:rsidRPr="75B52BB0">
              <w:rPr>
                <w:rFonts w:eastAsia="Arial" w:cs="Arial"/>
                <w:sz w:val="20"/>
                <w:szCs w:val="20"/>
              </w:rPr>
              <w:t xml:space="preserve">Number of hectares a) subject to agro-environmental production activities (Colombia and Mato Grosso) and b) protected by agreements made between national/local authorities and farmer/producer associations, guilds and the private sector (Colombia only) </w:t>
            </w:r>
          </w:p>
          <w:p w:rsidR="003754B1" w:rsidRDefault="003754B1" w14:paraId="0190B3A6" w14:textId="77777777">
            <w:r w:rsidRPr="66F973D7">
              <w:rPr>
                <w:rFonts w:eastAsia="Arial" w:cs="Arial"/>
                <w:b/>
                <w:bCs/>
                <w:sz w:val="20"/>
                <w:szCs w:val="20"/>
              </w:rPr>
              <w:t xml:space="preserve"> </w:t>
            </w:r>
          </w:p>
        </w:tc>
        <w:tc>
          <w:tcPr>
            <w:tcW w:w="2123" w:type="dxa"/>
            <w:gridSpan w:val="2"/>
            <w:tcBorders>
              <w:top w:val="single" w:color="auto" w:sz="8" w:space="0"/>
              <w:left w:val="single" w:color="auto" w:sz="8" w:space="0"/>
              <w:bottom w:val="single" w:color="auto" w:sz="8" w:space="0"/>
              <w:right w:val="single" w:color="auto" w:sz="8" w:space="0"/>
            </w:tcBorders>
            <w:tcMar/>
          </w:tcPr>
          <w:p w:rsidRPr="00DA4632" w:rsidR="003754B1" w:rsidRDefault="003754B1" w14:paraId="27488EB9" w14:textId="4A41E064">
            <w:pPr>
              <w:rPr>
                <w:sz w:val="20"/>
                <w:szCs w:val="20"/>
              </w:rPr>
            </w:pPr>
            <w:r w:rsidRPr="00DA4632">
              <w:rPr>
                <w:rFonts w:eastAsia="Arial" w:cs="Arial"/>
                <w:sz w:val="20"/>
                <w:szCs w:val="20"/>
              </w:rPr>
              <w:t>20</w:t>
            </w:r>
            <w:r w:rsidRPr="00DA4632" w:rsidR="0FD0198F">
              <w:rPr>
                <w:rFonts w:eastAsia="Arial" w:cs="Arial"/>
                <w:sz w:val="20"/>
                <w:szCs w:val="20"/>
              </w:rPr>
              <w:t>2</w:t>
            </w:r>
            <w:r w:rsidR="009F7893">
              <w:rPr>
                <w:rFonts w:eastAsia="Arial" w:cs="Arial"/>
                <w:sz w:val="20"/>
                <w:szCs w:val="20"/>
              </w:rPr>
              <w:t>3</w:t>
            </w:r>
            <w:r w:rsidRPr="00DA4632" w:rsidR="0FD0198F">
              <w:rPr>
                <w:rFonts w:eastAsia="Arial" w:cs="Arial"/>
                <w:sz w:val="20"/>
                <w:szCs w:val="20"/>
              </w:rPr>
              <w:t>-2</w:t>
            </w:r>
            <w:r w:rsidR="009F7893">
              <w:rPr>
                <w:rFonts w:eastAsia="Arial" w:cs="Arial"/>
                <w:sz w:val="20"/>
                <w:szCs w:val="20"/>
              </w:rPr>
              <w:t>4</w:t>
            </w:r>
            <w:r w:rsidRPr="00DA4632">
              <w:rPr>
                <w:rFonts w:eastAsia="Arial" w:cs="Arial"/>
                <w:sz w:val="20"/>
                <w:szCs w:val="20"/>
              </w:rPr>
              <w:t xml:space="preserve"> target: </w:t>
            </w:r>
          </w:p>
          <w:p w:rsidRPr="00DA4632" w:rsidR="003754B1" w:rsidP="003754B1" w:rsidRDefault="003754B1" w14:paraId="25980826" w14:textId="77777777">
            <w:pPr>
              <w:pStyle w:val="ListParagraph"/>
              <w:numPr>
                <w:ilvl w:val="0"/>
                <w:numId w:val="25"/>
              </w:numPr>
              <w:spacing w:after="0"/>
              <w:rPr>
                <w:rFonts w:eastAsia="Arial" w:cs="Arial"/>
                <w:color w:val="000000" w:themeColor="text1"/>
                <w:sz w:val="20"/>
              </w:rPr>
            </w:pPr>
            <w:r w:rsidRPr="00DA4632">
              <w:rPr>
                <w:rFonts w:eastAsia="Arial" w:cs="Arial"/>
                <w:color w:val="000000" w:themeColor="text1"/>
                <w:sz w:val="20"/>
              </w:rPr>
              <w:t>50,000 ha</w:t>
            </w:r>
            <w:r w:rsidRPr="00DA4632">
              <w:rPr>
                <w:sz w:val="20"/>
              </w:rPr>
              <w:t xml:space="preserve"> </w:t>
            </w:r>
          </w:p>
          <w:p w:rsidRPr="00DA4632" w:rsidR="003754B1" w:rsidP="003754B1" w:rsidRDefault="003754B1" w14:paraId="547D624C" w14:textId="77777777">
            <w:pPr>
              <w:pStyle w:val="ListParagraph"/>
              <w:numPr>
                <w:ilvl w:val="0"/>
                <w:numId w:val="25"/>
              </w:numPr>
              <w:spacing w:after="0"/>
              <w:rPr>
                <w:rFonts w:eastAsia="Arial" w:cs="Arial"/>
                <w:color w:val="000000" w:themeColor="text1"/>
                <w:sz w:val="20"/>
              </w:rPr>
            </w:pPr>
            <w:r w:rsidRPr="00DA4632">
              <w:rPr>
                <w:rFonts w:eastAsia="Arial" w:cs="Arial"/>
                <w:color w:val="000000" w:themeColor="text1"/>
                <w:sz w:val="20"/>
              </w:rPr>
              <w:t>278,400 ha</w:t>
            </w:r>
          </w:p>
        </w:tc>
        <w:tc>
          <w:tcPr>
            <w:tcW w:w="4923" w:type="dxa"/>
            <w:gridSpan w:val="3"/>
            <w:tcBorders>
              <w:top w:val="single" w:color="auto" w:sz="8" w:space="0"/>
              <w:left w:val="single" w:color="auto" w:sz="8" w:space="0"/>
              <w:bottom w:val="single" w:color="auto" w:sz="8" w:space="0"/>
              <w:right w:val="single" w:color="auto" w:sz="8" w:space="0"/>
            </w:tcBorders>
            <w:tcMar/>
          </w:tcPr>
          <w:p w:rsidRPr="000D4172" w:rsidR="003754B1" w:rsidRDefault="003754B1" w14:paraId="6930E08D" w14:textId="102A2F3B">
            <w:pPr>
              <w:rPr>
                <w:rFonts w:cs="Arial"/>
                <w:sz w:val="20"/>
                <w:szCs w:val="20"/>
              </w:rPr>
            </w:pPr>
            <w:r w:rsidRPr="00DA4632">
              <w:rPr>
                <w:rFonts w:eastAsia="Arial" w:cs="Arial"/>
                <w:b/>
                <w:bCs/>
                <w:sz w:val="20"/>
                <w:szCs w:val="20"/>
              </w:rPr>
              <w:t>T</w:t>
            </w:r>
            <w:r w:rsidRPr="000D4172">
              <w:rPr>
                <w:rFonts w:eastAsia="Arial" w:cs="Arial"/>
                <w:b/>
                <w:bCs/>
                <w:sz w:val="20"/>
                <w:szCs w:val="20"/>
              </w:rPr>
              <w:t>otal:</w:t>
            </w:r>
          </w:p>
          <w:p w:rsidRPr="000D4172" w:rsidR="003754B1" w:rsidRDefault="003754B1" w14:paraId="132368C7" w14:textId="2CAFBE07">
            <w:pPr>
              <w:rPr>
                <w:rFonts w:eastAsia="Arial" w:cs="Arial"/>
                <w:sz w:val="20"/>
                <w:szCs w:val="20"/>
              </w:rPr>
            </w:pPr>
            <w:r w:rsidRPr="000D4172">
              <w:rPr>
                <w:rFonts w:eastAsia="Arial" w:cs="Arial"/>
                <w:sz w:val="20"/>
                <w:szCs w:val="20"/>
              </w:rPr>
              <w:t xml:space="preserve">a) </w:t>
            </w:r>
            <w:r w:rsidRPr="000D4172" w:rsidR="00D72A50">
              <w:rPr>
                <w:rFonts w:eastAsia="Arial" w:cs="Arial"/>
                <w:sz w:val="20"/>
                <w:szCs w:val="20"/>
              </w:rPr>
              <w:t>670, 132</w:t>
            </w:r>
            <w:r w:rsidRPr="000D4172">
              <w:rPr>
                <w:rFonts w:eastAsia="Arial" w:cs="Arial"/>
                <w:sz w:val="20"/>
                <w:szCs w:val="20"/>
              </w:rPr>
              <w:t xml:space="preserve"> (</w:t>
            </w:r>
            <w:r w:rsidRPr="000D4172" w:rsidR="0003082F">
              <w:rPr>
                <w:rFonts w:eastAsia="Arial" w:cs="Arial"/>
                <w:sz w:val="20"/>
                <w:szCs w:val="20"/>
              </w:rPr>
              <w:t>1,340</w:t>
            </w:r>
            <w:r w:rsidRPr="000D4172">
              <w:rPr>
                <w:rFonts w:eastAsia="Arial" w:cs="Arial"/>
                <w:sz w:val="20"/>
                <w:szCs w:val="20"/>
              </w:rPr>
              <w:t>%)</w:t>
            </w:r>
          </w:p>
          <w:p w:rsidRPr="000D4172" w:rsidR="003754B1" w:rsidP="1340296B" w:rsidRDefault="4E0DE0D5" w14:paraId="0C178E6E" w14:textId="6D087199">
            <w:pPr>
              <w:rPr>
                <w:rFonts w:eastAsia="Arial" w:cs="Arial"/>
                <w:sz w:val="20"/>
                <w:szCs w:val="20"/>
              </w:rPr>
            </w:pPr>
            <w:r w:rsidRPr="000D4172">
              <w:rPr>
                <w:rFonts w:eastAsia="Arial" w:cs="Arial"/>
                <w:sz w:val="20"/>
                <w:szCs w:val="20"/>
              </w:rPr>
              <w:t>b) 29</w:t>
            </w:r>
            <w:r w:rsidRPr="000D4172" w:rsidR="69BACBAD">
              <w:rPr>
                <w:rFonts w:eastAsia="Arial" w:cs="Arial"/>
                <w:sz w:val="20"/>
                <w:szCs w:val="20"/>
              </w:rPr>
              <w:t>8</w:t>
            </w:r>
            <w:r w:rsidRPr="000D4172">
              <w:rPr>
                <w:rFonts w:eastAsia="Arial" w:cs="Arial"/>
                <w:sz w:val="20"/>
                <w:szCs w:val="20"/>
              </w:rPr>
              <w:t>,4</w:t>
            </w:r>
            <w:r w:rsidRPr="000D4172" w:rsidR="69BACBAD">
              <w:rPr>
                <w:rFonts w:eastAsia="Arial" w:cs="Arial"/>
                <w:sz w:val="20"/>
                <w:szCs w:val="20"/>
              </w:rPr>
              <w:t>05</w:t>
            </w:r>
            <w:r w:rsidRPr="000D4172">
              <w:rPr>
                <w:rFonts w:eastAsia="Arial" w:cs="Arial"/>
                <w:sz w:val="20"/>
                <w:szCs w:val="20"/>
              </w:rPr>
              <w:t xml:space="preserve"> (</w:t>
            </w:r>
            <w:r w:rsidRPr="000D4172" w:rsidR="005BA740">
              <w:rPr>
                <w:rFonts w:eastAsia="Arial" w:cs="Arial"/>
                <w:sz w:val="20"/>
                <w:szCs w:val="20"/>
              </w:rPr>
              <w:t>107</w:t>
            </w:r>
            <w:r w:rsidRPr="000D4172">
              <w:rPr>
                <w:rFonts w:eastAsia="Arial" w:cs="Arial"/>
                <w:sz w:val="20"/>
                <w:szCs w:val="20"/>
              </w:rPr>
              <w:t>%)</w:t>
            </w:r>
          </w:p>
          <w:p w:rsidRPr="000D4172" w:rsidR="1340296B" w:rsidP="1340296B" w:rsidRDefault="1340296B" w14:paraId="1F7CF1F2" w14:textId="42F45108">
            <w:pPr>
              <w:rPr>
                <w:rFonts w:eastAsia="Arial" w:cs="Arial"/>
                <w:sz w:val="20"/>
                <w:szCs w:val="20"/>
              </w:rPr>
            </w:pPr>
          </w:p>
          <w:p w:rsidRPr="000D4172" w:rsidR="00F72181" w:rsidP="1340296B" w:rsidRDefault="00F72181" w14:paraId="457CF6DD" w14:textId="6617560C">
            <w:pPr>
              <w:rPr>
                <w:rFonts w:eastAsia="Arial" w:cs="Arial"/>
                <w:b/>
                <w:bCs/>
                <w:sz w:val="20"/>
                <w:szCs w:val="20"/>
              </w:rPr>
            </w:pPr>
            <w:r w:rsidRPr="000D4172">
              <w:rPr>
                <w:rFonts w:eastAsia="Arial" w:cs="Arial"/>
                <w:b/>
                <w:bCs/>
                <w:sz w:val="20"/>
                <w:szCs w:val="20"/>
              </w:rPr>
              <w:t>Progress significantly exceeded expectations.</w:t>
            </w:r>
          </w:p>
          <w:p w:rsidRPr="000D4172" w:rsidR="00F72181" w:rsidP="1340296B" w:rsidRDefault="00F72181" w14:paraId="2C56621C" w14:textId="77777777">
            <w:pPr>
              <w:rPr>
                <w:rFonts w:eastAsia="Arial" w:cs="Arial"/>
                <w:sz w:val="20"/>
                <w:szCs w:val="20"/>
              </w:rPr>
            </w:pPr>
          </w:p>
          <w:p w:rsidRPr="000D4172" w:rsidR="003754B1" w:rsidRDefault="003754B1" w14:paraId="7EBFD804" w14:textId="336FD294">
            <w:pPr>
              <w:rPr>
                <w:rFonts w:cs="Arial"/>
                <w:sz w:val="20"/>
                <w:szCs w:val="20"/>
              </w:rPr>
            </w:pPr>
            <w:r w:rsidRPr="000D4172">
              <w:rPr>
                <w:rFonts w:eastAsia="Arial" w:cs="Arial"/>
                <w:sz w:val="20"/>
                <w:szCs w:val="20"/>
              </w:rPr>
              <w:t xml:space="preserve">Colombia: </w:t>
            </w:r>
          </w:p>
          <w:p w:rsidRPr="000D4172" w:rsidR="003754B1" w:rsidRDefault="003754B1" w14:paraId="20CF0B4A" w14:textId="105F748E">
            <w:pPr>
              <w:rPr>
                <w:rFonts w:eastAsia="Arial" w:cs="Arial"/>
                <w:sz w:val="20"/>
                <w:szCs w:val="20"/>
              </w:rPr>
            </w:pPr>
            <w:r w:rsidRPr="000D4172">
              <w:rPr>
                <w:rFonts w:eastAsia="Arial" w:cs="Arial"/>
                <w:sz w:val="20"/>
                <w:szCs w:val="20"/>
              </w:rPr>
              <w:t xml:space="preserve">a) </w:t>
            </w:r>
            <w:r w:rsidRPr="000D4172" w:rsidR="006B40E1">
              <w:rPr>
                <w:rFonts w:eastAsia="Arial" w:cs="Arial"/>
                <w:sz w:val="20"/>
                <w:szCs w:val="20"/>
              </w:rPr>
              <w:t xml:space="preserve">44, 187 </w:t>
            </w:r>
            <w:r w:rsidRPr="000D4172">
              <w:rPr>
                <w:rFonts w:eastAsia="Arial" w:cs="Arial"/>
                <w:sz w:val="20"/>
                <w:szCs w:val="20"/>
              </w:rPr>
              <w:t>ha (</w:t>
            </w:r>
            <w:r w:rsidRPr="000D4172" w:rsidR="00CE2306">
              <w:rPr>
                <w:rFonts w:eastAsia="Arial" w:cs="Arial"/>
                <w:sz w:val="20"/>
                <w:szCs w:val="20"/>
              </w:rPr>
              <w:t>88</w:t>
            </w:r>
            <w:r w:rsidRPr="000D4172">
              <w:rPr>
                <w:rFonts w:eastAsia="Arial" w:cs="Arial"/>
                <w:sz w:val="20"/>
                <w:szCs w:val="20"/>
              </w:rPr>
              <w:t>% of 12,500 ha target)</w:t>
            </w:r>
          </w:p>
          <w:p w:rsidRPr="000D4172" w:rsidR="003754B1" w:rsidRDefault="19EAD057" w14:paraId="41F0D6D9" w14:textId="231C4A8E">
            <w:pPr>
              <w:rPr>
                <w:rFonts w:eastAsia="Arial" w:cs="Arial"/>
                <w:sz w:val="20"/>
                <w:szCs w:val="20"/>
              </w:rPr>
            </w:pPr>
            <w:r w:rsidRPr="000D4172">
              <w:rPr>
                <w:rFonts w:eastAsia="Arial" w:cs="Arial"/>
                <w:sz w:val="20"/>
                <w:szCs w:val="20"/>
              </w:rPr>
              <w:t>b) 2</w:t>
            </w:r>
            <w:r w:rsidRPr="000D4172" w:rsidR="2BAEBFA1">
              <w:rPr>
                <w:rFonts w:eastAsia="Arial" w:cs="Arial"/>
                <w:sz w:val="20"/>
                <w:szCs w:val="20"/>
              </w:rPr>
              <w:t>98</w:t>
            </w:r>
            <w:r w:rsidRPr="000D4172" w:rsidR="3430991A">
              <w:rPr>
                <w:rFonts w:eastAsia="Arial" w:cs="Arial"/>
                <w:sz w:val="20"/>
                <w:szCs w:val="20"/>
              </w:rPr>
              <w:t>,</w:t>
            </w:r>
            <w:r w:rsidRPr="000D4172" w:rsidR="0D9AC2C3">
              <w:rPr>
                <w:rFonts w:eastAsia="Arial" w:cs="Arial"/>
                <w:sz w:val="20"/>
                <w:szCs w:val="20"/>
              </w:rPr>
              <w:t xml:space="preserve"> 405</w:t>
            </w:r>
            <w:r w:rsidRPr="000D4172" w:rsidR="003754B1">
              <w:rPr>
                <w:rStyle w:val="FootnoteReference"/>
                <w:rFonts w:eastAsia="Arial" w:cs="Arial"/>
                <w:sz w:val="20"/>
                <w:szCs w:val="20"/>
              </w:rPr>
              <w:footnoteReference w:id="22"/>
            </w:r>
            <w:r w:rsidRPr="000D4172">
              <w:rPr>
                <w:rFonts w:eastAsia="Arial" w:cs="Arial"/>
                <w:sz w:val="20"/>
                <w:szCs w:val="20"/>
              </w:rPr>
              <w:t xml:space="preserve"> </w:t>
            </w:r>
            <w:r w:rsidRPr="000D4172" w:rsidR="0EB5722E">
              <w:rPr>
                <w:rFonts w:eastAsia="Arial" w:cs="Arial"/>
                <w:sz w:val="20"/>
                <w:szCs w:val="20"/>
              </w:rPr>
              <w:t>(</w:t>
            </w:r>
            <w:r w:rsidRPr="000D4172">
              <w:rPr>
                <w:rFonts w:eastAsia="Arial" w:cs="Arial"/>
                <w:sz w:val="20"/>
                <w:szCs w:val="20"/>
              </w:rPr>
              <w:t>106% of 200.000 ha target)</w:t>
            </w:r>
          </w:p>
          <w:p w:rsidRPr="000D4172" w:rsidR="003754B1" w:rsidRDefault="003754B1" w14:paraId="4F6F08D0" w14:textId="77777777">
            <w:pPr>
              <w:rPr>
                <w:rFonts w:cs="Arial"/>
                <w:sz w:val="20"/>
                <w:szCs w:val="20"/>
              </w:rPr>
            </w:pPr>
            <w:r w:rsidRPr="000D4172">
              <w:rPr>
                <w:rFonts w:eastAsia="Arial" w:cs="Arial"/>
                <w:sz w:val="20"/>
                <w:szCs w:val="20"/>
              </w:rPr>
              <w:t xml:space="preserve"> </w:t>
            </w:r>
          </w:p>
          <w:p w:rsidRPr="000D4172" w:rsidR="003754B1" w:rsidRDefault="003754B1" w14:paraId="71B2066D" w14:textId="77777777">
            <w:pPr>
              <w:rPr>
                <w:rFonts w:eastAsia="Arial" w:cs="Arial"/>
                <w:sz w:val="20"/>
                <w:szCs w:val="20"/>
              </w:rPr>
            </w:pPr>
            <w:r w:rsidRPr="000D4172">
              <w:rPr>
                <w:rFonts w:eastAsia="Arial" w:cs="Arial"/>
                <w:sz w:val="20"/>
                <w:szCs w:val="20"/>
              </w:rPr>
              <w:t xml:space="preserve"> Mato Grosso: </w:t>
            </w:r>
          </w:p>
          <w:p w:rsidRPr="000D4172" w:rsidR="003754B1" w:rsidRDefault="003754B1" w14:paraId="55AD6EE5" w14:textId="1720CBCF">
            <w:pPr>
              <w:rPr>
                <w:rFonts w:eastAsia="Arial" w:cs="Arial"/>
                <w:sz w:val="20"/>
                <w:szCs w:val="20"/>
              </w:rPr>
            </w:pPr>
            <w:r w:rsidRPr="000D4172">
              <w:rPr>
                <w:rFonts w:eastAsia="Arial" w:cs="Arial"/>
                <w:sz w:val="20"/>
                <w:szCs w:val="20"/>
              </w:rPr>
              <w:t xml:space="preserve">a) </w:t>
            </w:r>
            <w:r w:rsidRPr="000D4172" w:rsidR="00593076">
              <w:rPr>
                <w:rFonts w:eastAsia="Calibri" w:cs="Arial"/>
                <w:color w:val="000000" w:themeColor="text1"/>
                <w:sz w:val="20"/>
                <w:szCs w:val="20"/>
              </w:rPr>
              <w:t>625, 945</w:t>
            </w:r>
            <w:r w:rsidRPr="000D4172" w:rsidR="009A6B68">
              <w:rPr>
                <w:rFonts w:eastAsia="Calibri" w:cs="Arial"/>
                <w:color w:val="000000" w:themeColor="text1"/>
                <w:sz w:val="20"/>
                <w:szCs w:val="20"/>
              </w:rPr>
              <w:t xml:space="preserve"> </w:t>
            </w:r>
            <w:r w:rsidRPr="000D4172">
              <w:rPr>
                <w:rFonts w:eastAsia="Arial" w:cs="Arial"/>
                <w:sz w:val="20"/>
                <w:szCs w:val="20"/>
              </w:rPr>
              <w:t>ha (</w:t>
            </w:r>
            <w:r w:rsidRPr="000D4172" w:rsidR="00E77408">
              <w:rPr>
                <w:rFonts w:eastAsia="Arial" w:cs="Arial"/>
                <w:sz w:val="20"/>
                <w:szCs w:val="20"/>
              </w:rPr>
              <w:t>1, 788</w:t>
            </w:r>
            <w:r w:rsidRPr="000D4172">
              <w:rPr>
                <w:rFonts w:eastAsia="Arial" w:cs="Arial"/>
                <w:sz w:val="20"/>
                <w:szCs w:val="20"/>
              </w:rPr>
              <w:t>% of 35,000 ha target)</w:t>
            </w:r>
          </w:p>
          <w:p w:rsidRPr="000D4172" w:rsidR="003754B1" w:rsidRDefault="003754B1" w14:paraId="79842539" w14:textId="77777777">
            <w:pPr>
              <w:rPr>
                <w:rFonts w:eastAsia="Arial" w:cs="Arial"/>
                <w:sz w:val="20"/>
                <w:szCs w:val="20"/>
              </w:rPr>
            </w:pPr>
            <w:r w:rsidRPr="000D4172">
              <w:rPr>
                <w:rFonts w:eastAsia="Arial" w:cs="Arial"/>
                <w:sz w:val="20"/>
                <w:szCs w:val="20"/>
              </w:rPr>
              <w:t>b) 0 (no target)</w:t>
            </w:r>
          </w:p>
          <w:p w:rsidRPr="000D4172" w:rsidR="003754B1" w:rsidRDefault="003754B1" w14:paraId="5D94FA56" w14:textId="77777777">
            <w:pPr>
              <w:rPr>
                <w:rFonts w:eastAsia="Arial" w:cs="Arial"/>
                <w:sz w:val="20"/>
                <w:szCs w:val="20"/>
              </w:rPr>
            </w:pPr>
            <w:r w:rsidRPr="000D4172">
              <w:rPr>
                <w:rFonts w:eastAsia="Arial" w:cs="Arial"/>
                <w:sz w:val="20"/>
                <w:szCs w:val="20"/>
              </w:rPr>
              <w:t xml:space="preserve"> </w:t>
            </w:r>
          </w:p>
          <w:p w:rsidRPr="000D4172" w:rsidR="003754B1" w:rsidRDefault="0E7D4CFF" w14:paraId="37548E2F" w14:textId="115DBC91">
            <w:pPr>
              <w:rPr>
                <w:rFonts w:eastAsia="Arial" w:cs="Arial"/>
                <w:sz w:val="20"/>
                <w:szCs w:val="20"/>
              </w:rPr>
            </w:pPr>
            <w:r w:rsidRPr="000D4172">
              <w:rPr>
                <w:rFonts w:eastAsia="Arial" w:cs="Arial"/>
                <w:sz w:val="20"/>
                <w:szCs w:val="20"/>
              </w:rPr>
              <w:t xml:space="preserve">Acre </w:t>
            </w:r>
          </w:p>
          <w:p w:rsidRPr="000D4172" w:rsidR="003754B1" w:rsidRDefault="003754B1" w14:paraId="41DF6BDA" w14:textId="77777777">
            <w:pPr>
              <w:rPr>
                <w:rFonts w:eastAsia="Arial" w:cs="Arial"/>
                <w:sz w:val="20"/>
                <w:szCs w:val="20"/>
              </w:rPr>
            </w:pPr>
            <w:r w:rsidRPr="000D4172">
              <w:rPr>
                <w:rFonts w:eastAsia="Arial" w:cs="Arial"/>
                <w:sz w:val="20"/>
                <w:szCs w:val="20"/>
              </w:rPr>
              <w:t>a) No target</w:t>
            </w:r>
          </w:p>
          <w:p w:rsidRPr="00DA4632" w:rsidR="003754B1" w:rsidP="1340296B" w:rsidRDefault="003754B1" w14:paraId="6784796A" w14:textId="2B086014">
            <w:pPr>
              <w:rPr>
                <w:rFonts w:eastAsia="Arial" w:cs="Arial"/>
                <w:sz w:val="20"/>
                <w:szCs w:val="20"/>
              </w:rPr>
            </w:pPr>
            <w:r w:rsidRPr="000D4172">
              <w:rPr>
                <w:rFonts w:eastAsia="Arial" w:cs="Arial"/>
                <w:sz w:val="20"/>
                <w:szCs w:val="20"/>
              </w:rPr>
              <w:t>b) No target</w:t>
            </w:r>
          </w:p>
        </w:tc>
      </w:tr>
    </w:tbl>
    <w:p w:rsidR="003754B1" w:rsidP="0025594B" w:rsidRDefault="003754B1" w14:paraId="14460F72" w14:textId="77777777">
      <w:pPr>
        <w:jc w:val="both"/>
        <w:rPr>
          <w:rFonts w:eastAsia="Arial" w:cs="Arial"/>
        </w:rPr>
      </w:pPr>
    </w:p>
    <w:p w:rsidRPr="00E32EED" w:rsidR="00E917E9" w:rsidP="722F6E6D" w:rsidRDefault="00E917E9" w14:paraId="432D96EE" w14:textId="77777777">
      <w:pPr>
        <w:jc w:val="both"/>
        <w:rPr>
          <w:rFonts w:cs="Arial"/>
          <w:b/>
          <w:bCs/>
          <w:sz w:val="20"/>
          <w:szCs w:val="20"/>
        </w:rPr>
      </w:pPr>
      <w:r w:rsidRPr="722F6E6D">
        <w:rPr>
          <w:b/>
          <w:bCs/>
          <w:i/>
          <w:iCs/>
        </w:rPr>
        <w:t>Output summary and supporting narrative for the score</w:t>
      </w:r>
    </w:p>
    <w:p w:rsidR="00E917E9" w:rsidP="0025594B" w:rsidRDefault="00E917E9" w14:paraId="7ED38169" w14:textId="77777777">
      <w:pPr>
        <w:jc w:val="both"/>
        <w:rPr>
          <w:rFonts w:cs="Arial"/>
          <w:bCs/>
          <w:sz w:val="20"/>
          <w:szCs w:val="20"/>
        </w:rPr>
      </w:pPr>
    </w:p>
    <w:p w:rsidRPr="00DA0D27" w:rsidR="00FB664D" w:rsidP="0025594B" w:rsidRDefault="000030F0" w14:paraId="3DCC84C8" w14:textId="6515ABF3">
      <w:pPr>
        <w:jc w:val="both"/>
        <w:rPr>
          <w:rFonts w:cs="Arial"/>
          <w:bCs/>
          <w:sz w:val="20"/>
          <w:szCs w:val="20"/>
        </w:rPr>
      </w:pPr>
      <w:r w:rsidRPr="00DA0D27">
        <w:rPr>
          <w:rFonts w:cs="Arial"/>
          <w:bCs/>
          <w:sz w:val="20"/>
          <w:szCs w:val="20"/>
        </w:rPr>
        <w:t xml:space="preserve">On indicator 15, </w:t>
      </w:r>
      <w:r w:rsidRPr="00DA0D27" w:rsidR="00E917E9">
        <w:rPr>
          <w:rFonts w:cs="Arial"/>
          <w:bCs/>
          <w:sz w:val="20"/>
          <w:szCs w:val="20"/>
        </w:rPr>
        <w:t xml:space="preserve">Acre has made steady progress including seeing an increase in subsidies </w:t>
      </w:r>
      <w:r w:rsidRPr="00DA0D27" w:rsidR="00A25EA3">
        <w:rPr>
          <w:rFonts w:cs="Arial"/>
          <w:bCs/>
          <w:sz w:val="20"/>
          <w:szCs w:val="20"/>
        </w:rPr>
        <w:t xml:space="preserve">given. </w:t>
      </w:r>
      <w:r w:rsidRPr="00DA0D27" w:rsidR="0019588C">
        <w:rPr>
          <w:rFonts w:cs="Arial"/>
          <w:bCs/>
          <w:sz w:val="20"/>
          <w:szCs w:val="20"/>
        </w:rPr>
        <w:t>For rubber, 650 rubber tappers are expecting payment (there has been a delay in delivering this, which will be part of the aim to resolve this in the next reporting period to receive the final payment)</w:t>
      </w:r>
      <w:r w:rsidRPr="00DA0D27" w:rsidR="00326E74">
        <w:rPr>
          <w:rFonts w:cs="Arial"/>
          <w:bCs/>
          <w:sz w:val="20"/>
          <w:szCs w:val="20"/>
        </w:rPr>
        <w:t xml:space="preserve">, 353 </w:t>
      </w:r>
      <w:r w:rsidRPr="00DA0D27" w:rsidR="00DA0D27">
        <w:rPr>
          <w:rFonts w:cs="Arial"/>
          <w:bCs/>
          <w:sz w:val="20"/>
          <w:szCs w:val="20"/>
        </w:rPr>
        <w:t>receiving</w:t>
      </w:r>
      <w:r w:rsidRPr="00DA0D27" w:rsidR="00326E74">
        <w:rPr>
          <w:rFonts w:cs="Arial"/>
          <w:bCs/>
          <w:sz w:val="20"/>
          <w:szCs w:val="20"/>
        </w:rPr>
        <w:t xml:space="preserve"> Brazil nut subsidy, 211 murmuru, </w:t>
      </w:r>
      <w:r w:rsidRPr="00DA0D27" w:rsidR="00412274">
        <w:rPr>
          <w:rFonts w:cs="Arial"/>
          <w:bCs/>
          <w:sz w:val="20"/>
          <w:szCs w:val="20"/>
        </w:rPr>
        <w:t xml:space="preserve">372 honey, 38 cocoa, 200 vegetable oil. </w:t>
      </w:r>
      <w:r w:rsidRPr="00DA0D27" w:rsidR="00F553F5">
        <w:rPr>
          <w:rFonts w:cs="Arial"/>
          <w:bCs/>
          <w:sz w:val="20"/>
          <w:szCs w:val="20"/>
        </w:rPr>
        <w:t xml:space="preserve">Under sustainable farming, </w:t>
      </w:r>
      <w:r w:rsidRPr="00DA0D27" w:rsidR="00186920">
        <w:rPr>
          <w:rFonts w:cs="Arial"/>
          <w:bCs/>
          <w:sz w:val="20"/>
          <w:szCs w:val="20"/>
        </w:rPr>
        <w:t>10 farms have had solar panels installed</w:t>
      </w:r>
      <w:r w:rsidRPr="00DA0D27" w:rsidR="00DA0D27">
        <w:rPr>
          <w:rFonts w:cs="Arial"/>
          <w:bCs/>
          <w:sz w:val="20"/>
          <w:szCs w:val="20"/>
        </w:rPr>
        <w:t xml:space="preserve">, and in the new programme plan 20 more will be installed. </w:t>
      </w:r>
    </w:p>
    <w:p w:rsidR="00DA0D27" w:rsidP="0025594B" w:rsidRDefault="00DA0D27" w14:paraId="520515E9" w14:textId="77777777">
      <w:pPr>
        <w:jc w:val="both"/>
        <w:rPr>
          <w:rFonts w:cs="Arial"/>
          <w:bCs/>
          <w:sz w:val="20"/>
          <w:szCs w:val="20"/>
          <w:highlight w:val="yellow"/>
        </w:rPr>
      </w:pPr>
    </w:p>
    <w:p w:rsidR="00602DBB" w:rsidP="0025594B" w:rsidRDefault="00550950" w14:paraId="2EA2EF83" w14:textId="661C2E52">
      <w:pPr>
        <w:jc w:val="both"/>
        <w:rPr>
          <w:rFonts w:cs="Arial"/>
          <w:bCs/>
          <w:sz w:val="20"/>
          <w:szCs w:val="20"/>
        </w:rPr>
      </w:pPr>
      <w:r w:rsidRPr="00297FBB">
        <w:rPr>
          <w:rFonts w:cs="Arial"/>
          <w:bCs/>
          <w:sz w:val="20"/>
          <w:szCs w:val="20"/>
        </w:rPr>
        <w:t xml:space="preserve">In Mato Grosso, </w:t>
      </w:r>
      <w:r w:rsidRPr="00297FBB" w:rsidR="007D19EF">
        <w:rPr>
          <w:rFonts w:cs="Arial"/>
          <w:bCs/>
          <w:sz w:val="20"/>
          <w:szCs w:val="20"/>
        </w:rPr>
        <w:t xml:space="preserve">the Family </w:t>
      </w:r>
      <w:r w:rsidRPr="00297FBB" w:rsidR="00385C1F">
        <w:rPr>
          <w:rFonts w:cs="Arial"/>
          <w:bCs/>
          <w:sz w:val="20"/>
          <w:szCs w:val="20"/>
        </w:rPr>
        <w:t>Agriculture</w:t>
      </w:r>
      <w:r w:rsidRPr="00297FBB" w:rsidR="007D19EF">
        <w:rPr>
          <w:rFonts w:cs="Arial"/>
          <w:bCs/>
          <w:sz w:val="20"/>
          <w:szCs w:val="20"/>
        </w:rPr>
        <w:t xml:space="preserve"> sub-programme</w:t>
      </w:r>
      <w:r w:rsidRPr="00297FBB" w:rsidR="00453DE0">
        <w:rPr>
          <w:rFonts w:cs="Arial"/>
          <w:bCs/>
          <w:sz w:val="20"/>
          <w:szCs w:val="20"/>
        </w:rPr>
        <w:t xml:space="preserve"> </w:t>
      </w:r>
      <w:r w:rsidRPr="00297FBB" w:rsidR="00863499">
        <w:rPr>
          <w:rFonts w:cs="Arial"/>
          <w:bCs/>
          <w:sz w:val="20"/>
          <w:szCs w:val="20"/>
        </w:rPr>
        <w:t>which is responsible for Indicator 15,</w:t>
      </w:r>
      <w:r w:rsidRPr="00297FBB" w:rsidR="007D19EF">
        <w:rPr>
          <w:rFonts w:cs="Arial"/>
          <w:bCs/>
          <w:sz w:val="20"/>
          <w:szCs w:val="20"/>
        </w:rPr>
        <w:t xml:space="preserve"> has made progress in delivering its </w:t>
      </w:r>
      <w:r w:rsidRPr="00297FBB" w:rsidR="00385C1F">
        <w:rPr>
          <w:rFonts w:cs="Arial"/>
          <w:bCs/>
          <w:sz w:val="20"/>
          <w:szCs w:val="20"/>
        </w:rPr>
        <w:t xml:space="preserve">22 projects (13 have been finalised) and </w:t>
      </w:r>
      <w:r w:rsidRPr="00297FBB" w:rsidR="001C4982">
        <w:rPr>
          <w:rFonts w:cs="Arial"/>
          <w:bCs/>
          <w:sz w:val="20"/>
          <w:szCs w:val="20"/>
        </w:rPr>
        <w:t xml:space="preserve">its 21 Plans to manage forest friendly value chains, which was launched in 2022 and has now completed 46% of its objectives across the 21 plans. </w:t>
      </w:r>
      <w:r w:rsidRPr="00297FBB" w:rsidR="00216601">
        <w:rPr>
          <w:rFonts w:cs="Arial"/>
          <w:bCs/>
          <w:sz w:val="20"/>
          <w:szCs w:val="20"/>
        </w:rPr>
        <w:t xml:space="preserve">Products supported </w:t>
      </w:r>
      <w:r w:rsidRPr="00297FBB" w:rsidR="00446F1A">
        <w:rPr>
          <w:rFonts w:cs="Arial"/>
          <w:bCs/>
          <w:sz w:val="20"/>
          <w:szCs w:val="20"/>
        </w:rPr>
        <w:t xml:space="preserve">(of which there are 20) </w:t>
      </w:r>
      <w:r w:rsidRPr="00297FBB" w:rsidR="00216601">
        <w:rPr>
          <w:rFonts w:cs="Arial"/>
          <w:bCs/>
          <w:sz w:val="20"/>
          <w:szCs w:val="20"/>
        </w:rPr>
        <w:t>incl</w:t>
      </w:r>
      <w:r w:rsidRPr="00297FBB" w:rsidR="008301BA">
        <w:rPr>
          <w:rFonts w:cs="Arial"/>
          <w:bCs/>
          <w:sz w:val="20"/>
          <w:szCs w:val="20"/>
        </w:rPr>
        <w:t xml:space="preserve">ude </w:t>
      </w:r>
      <w:r w:rsidRPr="00297FBB" w:rsidR="00937157">
        <w:rPr>
          <w:rFonts w:cs="Arial"/>
          <w:bCs/>
          <w:sz w:val="20"/>
          <w:szCs w:val="20"/>
        </w:rPr>
        <w:t>banana, pequi, seeds, acai, milk</w:t>
      </w:r>
      <w:r w:rsidRPr="00297FBB" w:rsidR="00446F1A">
        <w:rPr>
          <w:rFonts w:cs="Arial"/>
          <w:bCs/>
          <w:sz w:val="20"/>
          <w:szCs w:val="20"/>
        </w:rPr>
        <w:t xml:space="preserve"> and</w:t>
      </w:r>
      <w:r w:rsidRPr="00297FBB" w:rsidR="00937157">
        <w:rPr>
          <w:rFonts w:cs="Arial"/>
          <w:bCs/>
          <w:sz w:val="20"/>
          <w:szCs w:val="20"/>
        </w:rPr>
        <w:t xml:space="preserve"> honey</w:t>
      </w:r>
      <w:r w:rsidRPr="00297FBB" w:rsidR="00E453DA">
        <w:rPr>
          <w:rFonts w:cs="Arial"/>
          <w:bCs/>
          <w:sz w:val="20"/>
          <w:szCs w:val="20"/>
        </w:rPr>
        <w:t xml:space="preserve">, and these represent diverse native products </w:t>
      </w:r>
      <w:r w:rsidRPr="00297FBB" w:rsidR="00F56B2F">
        <w:rPr>
          <w:rFonts w:cs="Arial"/>
          <w:bCs/>
          <w:sz w:val="20"/>
          <w:szCs w:val="20"/>
        </w:rPr>
        <w:t xml:space="preserve">to the three biomes of Mato Grosso. </w:t>
      </w:r>
      <w:r w:rsidR="00CA7BE8">
        <w:rPr>
          <w:rFonts w:cs="Arial"/>
          <w:bCs/>
          <w:sz w:val="20"/>
          <w:szCs w:val="20"/>
        </w:rPr>
        <w:t xml:space="preserve">This has been where the main underachievement has been, </w:t>
      </w:r>
      <w:r w:rsidR="006A0A94">
        <w:rPr>
          <w:rFonts w:cs="Arial"/>
          <w:bCs/>
          <w:sz w:val="20"/>
          <w:szCs w:val="20"/>
        </w:rPr>
        <w:t xml:space="preserve">and we expect that this will not reach its target in the time, and a more realistic expectation set for Phase 2. </w:t>
      </w:r>
    </w:p>
    <w:p w:rsidRPr="00297FBB" w:rsidR="00B8041B" w:rsidP="0025594B" w:rsidRDefault="00B8041B" w14:paraId="291E8B00" w14:textId="77777777">
      <w:pPr>
        <w:jc w:val="both"/>
        <w:rPr>
          <w:rFonts w:cs="Arial"/>
          <w:bCs/>
          <w:sz w:val="20"/>
          <w:szCs w:val="20"/>
        </w:rPr>
      </w:pPr>
    </w:p>
    <w:p w:rsidRPr="00297FBB" w:rsidR="00937157" w:rsidP="00E917E9" w:rsidRDefault="00937157" w14:paraId="188FCD60" w14:textId="5C38BEAF">
      <w:pPr>
        <w:jc w:val="both"/>
        <w:rPr>
          <w:rFonts w:cs="Arial"/>
          <w:bCs/>
          <w:sz w:val="20"/>
          <w:szCs w:val="20"/>
        </w:rPr>
      </w:pPr>
      <w:r w:rsidRPr="00297FBB">
        <w:rPr>
          <w:rFonts w:cs="Arial"/>
          <w:bCs/>
          <w:sz w:val="20"/>
          <w:szCs w:val="20"/>
        </w:rPr>
        <w:t xml:space="preserve">Of the 4,196 families benefitted, this is an overall figure of 11,686 people, </w:t>
      </w:r>
      <w:r w:rsidRPr="00297FBB" w:rsidR="00D220A4">
        <w:rPr>
          <w:rFonts w:cs="Arial"/>
          <w:bCs/>
          <w:sz w:val="20"/>
          <w:szCs w:val="20"/>
        </w:rPr>
        <w:t xml:space="preserve">41% of which are women and 9% of which are young people. </w:t>
      </w:r>
      <w:r w:rsidRPr="00297FBB" w:rsidR="00453DE0">
        <w:rPr>
          <w:rFonts w:cs="Arial"/>
          <w:bCs/>
          <w:sz w:val="20"/>
          <w:szCs w:val="20"/>
        </w:rPr>
        <w:t>Technical assistance is also provided in this subprogramme</w:t>
      </w:r>
      <w:r w:rsidRPr="00297FBB" w:rsidR="00863499">
        <w:rPr>
          <w:rFonts w:cs="Arial"/>
          <w:bCs/>
          <w:sz w:val="20"/>
          <w:szCs w:val="20"/>
        </w:rPr>
        <w:t xml:space="preserve">; </w:t>
      </w:r>
      <w:r w:rsidRPr="00297FBB" w:rsidR="00D20F0E">
        <w:rPr>
          <w:rFonts w:cs="Arial"/>
          <w:bCs/>
          <w:sz w:val="20"/>
          <w:szCs w:val="20"/>
        </w:rPr>
        <w:t xml:space="preserve">459 </w:t>
      </w:r>
      <w:r w:rsidRPr="00297FBB" w:rsidR="0098156A">
        <w:rPr>
          <w:rFonts w:cs="Arial"/>
          <w:bCs/>
          <w:sz w:val="20"/>
          <w:szCs w:val="20"/>
        </w:rPr>
        <w:t xml:space="preserve">trainings have been carried out with topics including </w:t>
      </w:r>
      <w:r w:rsidRPr="00297FBB" w:rsidR="00111D69">
        <w:rPr>
          <w:rFonts w:cs="Arial"/>
          <w:bCs/>
          <w:sz w:val="20"/>
          <w:szCs w:val="20"/>
        </w:rPr>
        <w:t xml:space="preserve">ground management, irrigation, land management good agricultural practices, </w:t>
      </w:r>
      <w:r w:rsidRPr="00297FBB" w:rsidR="00807FCD">
        <w:rPr>
          <w:rFonts w:cs="Arial"/>
          <w:bCs/>
          <w:sz w:val="20"/>
          <w:szCs w:val="20"/>
        </w:rPr>
        <w:t>and agroforestry systems</w:t>
      </w:r>
      <w:r w:rsidRPr="00297FBB" w:rsidR="00940677">
        <w:rPr>
          <w:rFonts w:cs="Arial"/>
          <w:bCs/>
          <w:sz w:val="20"/>
          <w:szCs w:val="20"/>
        </w:rPr>
        <w:t xml:space="preserve">, with </w:t>
      </w:r>
      <w:r w:rsidRPr="00297FBB" w:rsidR="00D20F0E">
        <w:rPr>
          <w:rFonts w:cs="Arial"/>
          <w:bCs/>
          <w:sz w:val="20"/>
          <w:szCs w:val="20"/>
        </w:rPr>
        <w:t xml:space="preserve">7,000 </w:t>
      </w:r>
      <w:r w:rsidRPr="00297FBB" w:rsidR="00940677">
        <w:rPr>
          <w:rFonts w:cs="Arial"/>
          <w:bCs/>
          <w:sz w:val="20"/>
          <w:szCs w:val="20"/>
        </w:rPr>
        <w:t xml:space="preserve">people reached. </w:t>
      </w:r>
      <w:r w:rsidRPr="00297FBB" w:rsidR="00255BB3">
        <w:rPr>
          <w:rFonts w:cs="Arial"/>
          <w:bCs/>
          <w:sz w:val="20"/>
          <w:szCs w:val="20"/>
        </w:rPr>
        <w:t>The programme also gives support to local TA providers (EMPAER), which support families</w:t>
      </w:r>
      <w:r w:rsidRPr="00297FBB" w:rsidR="0071777A">
        <w:rPr>
          <w:rFonts w:cs="Arial"/>
          <w:bCs/>
          <w:sz w:val="20"/>
          <w:szCs w:val="20"/>
        </w:rPr>
        <w:t xml:space="preserve"> to grow local produce, reaching 1,655 hectares. </w:t>
      </w:r>
      <w:r w:rsidR="003F659C">
        <w:rPr>
          <w:rFonts w:cs="Arial"/>
          <w:bCs/>
          <w:sz w:val="20"/>
          <w:szCs w:val="20"/>
        </w:rPr>
        <w:t xml:space="preserve">In the sustainable agriculture subprogramme, 168,000 </w:t>
      </w:r>
      <w:r w:rsidR="00112C14">
        <w:rPr>
          <w:rFonts w:cs="Arial"/>
          <w:bCs/>
          <w:sz w:val="20"/>
          <w:szCs w:val="20"/>
        </w:rPr>
        <w:t xml:space="preserve">hectares have also been restored while 217,000 hectares have benefited from sustainable practices, across 1675 farms, contributing to indicator 16. </w:t>
      </w:r>
    </w:p>
    <w:p w:rsidRPr="00FB664D" w:rsidR="00E917E9" w:rsidP="00E917E9" w:rsidRDefault="00E917E9" w14:paraId="3063ECCE" w14:textId="77777777">
      <w:pPr>
        <w:jc w:val="both"/>
        <w:rPr>
          <w:rFonts w:cs="Arial"/>
          <w:bCs/>
          <w:sz w:val="22"/>
          <w:szCs w:val="22"/>
          <w:highlight w:val="yellow"/>
        </w:rPr>
      </w:pPr>
    </w:p>
    <w:p w:rsidRPr="00C15005" w:rsidR="00E917E9" w:rsidP="00E917E9" w:rsidRDefault="002F0AA0" w14:paraId="04805BBA" w14:textId="74A9F782">
      <w:pPr>
        <w:jc w:val="both"/>
        <w:rPr>
          <w:rFonts w:cs="Arial"/>
          <w:bCs/>
          <w:sz w:val="20"/>
          <w:szCs w:val="20"/>
        </w:rPr>
      </w:pPr>
      <w:r>
        <w:rPr>
          <w:rFonts w:cs="Arial"/>
          <w:sz w:val="20"/>
          <w:szCs w:val="20"/>
        </w:rPr>
        <w:t xml:space="preserve">In Colombia the programme has now closed, but further expectations to further support </w:t>
      </w:r>
      <w:r w:rsidR="00CE1A07">
        <w:rPr>
          <w:rFonts w:cs="Arial"/>
          <w:sz w:val="20"/>
          <w:szCs w:val="20"/>
        </w:rPr>
        <w:t>agro-environmental activities will be part of REM 2, especially through PES schemes</w:t>
      </w:r>
      <w:r w:rsidR="001D7423">
        <w:rPr>
          <w:rFonts w:cs="Arial"/>
          <w:sz w:val="20"/>
          <w:szCs w:val="20"/>
        </w:rPr>
        <w:t xml:space="preserve">. </w:t>
      </w:r>
    </w:p>
    <w:p w:rsidRPr="00D80C6C" w:rsidR="00E917E9" w:rsidP="00E917E9" w:rsidRDefault="00E917E9" w14:paraId="4B4BAD96" w14:textId="77777777">
      <w:pPr>
        <w:jc w:val="both"/>
        <w:rPr>
          <w:rFonts w:cs="Arial"/>
          <w:bCs/>
          <w:sz w:val="22"/>
          <w:szCs w:val="22"/>
        </w:rPr>
      </w:pPr>
    </w:p>
    <w:p w:rsidR="00E917E9" w:rsidP="00E917E9" w:rsidRDefault="00E917E9" w14:paraId="314F241E" w14:textId="77777777">
      <w:pPr>
        <w:jc w:val="both"/>
        <w:rPr>
          <w:rFonts w:cs="Arial"/>
          <w:i/>
          <w:iCs/>
          <w:sz w:val="22"/>
          <w:szCs w:val="22"/>
        </w:rPr>
      </w:pPr>
      <w:r w:rsidRPr="007F543A">
        <w:rPr>
          <w:b/>
          <w:bCs/>
          <w:i/>
          <w:iCs/>
        </w:rPr>
        <w:t>Changes to this output, and any planned changes as a result of this review</w:t>
      </w:r>
    </w:p>
    <w:p w:rsidRPr="001A5E06" w:rsidR="00E917E9" w:rsidP="00E917E9" w:rsidRDefault="00E917E9" w14:paraId="44295775" w14:textId="76255B47">
      <w:pPr>
        <w:jc w:val="both"/>
        <w:rPr>
          <w:rFonts w:cs="Arial"/>
          <w:sz w:val="20"/>
          <w:szCs w:val="20"/>
        </w:rPr>
      </w:pPr>
      <w:r w:rsidRPr="001A5E06">
        <w:rPr>
          <w:rFonts w:cs="Arial"/>
          <w:sz w:val="20"/>
          <w:szCs w:val="20"/>
        </w:rPr>
        <w:t>No changes have been made to this output</w:t>
      </w:r>
      <w:r w:rsidR="00D57BF0">
        <w:rPr>
          <w:rFonts w:cs="Arial"/>
          <w:sz w:val="20"/>
          <w:szCs w:val="20"/>
        </w:rPr>
        <w:t xml:space="preserve">. </w:t>
      </w:r>
      <w:r w:rsidR="00845F96">
        <w:rPr>
          <w:rFonts w:cs="Arial"/>
          <w:sz w:val="20"/>
          <w:szCs w:val="20"/>
        </w:rPr>
        <w:t>As REM Acre still has £7.35</w:t>
      </w:r>
      <w:r w:rsidR="00DD5F3A">
        <w:rPr>
          <w:rFonts w:cs="Arial"/>
          <w:sz w:val="20"/>
          <w:szCs w:val="20"/>
        </w:rPr>
        <w:t>m</w:t>
      </w:r>
      <w:r w:rsidR="00845F96">
        <w:rPr>
          <w:rFonts w:cs="Arial"/>
          <w:sz w:val="20"/>
          <w:szCs w:val="20"/>
        </w:rPr>
        <w:t xml:space="preserve"> of UK funding and EUR 2.5 million to spend it is likely that this will be met overall. </w:t>
      </w:r>
    </w:p>
    <w:p w:rsidRPr="00FB4F43" w:rsidR="00E917E9" w:rsidP="00E917E9" w:rsidRDefault="00E917E9" w14:paraId="010D0511" w14:textId="77777777">
      <w:pPr>
        <w:jc w:val="both"/>
        <w:rPr>
          <w:rFonts w:cs="Arial"/>
          <w:i/>
          <w:iCs/>
          <w:sz w:val="20"/>
          <w:szCs w:val="20"/>
        </w:rPr>
      </w:pPr>
    </w:p>
    <w:p w:rsidR="00E917E9" w:rsidP="00E917E9" w:rsidRDefault="00E917E9" w14:paraId="6B87FD51" w14:textId="2D67388B">
      <w:pPr>
        <w:jc w:val="both"/>
        <w:rPr>
          <w:b/>
          <w:bCs/>
          <w:i/>
          <w:iCs/>
        </w:rPr>
      </w:pPr>
      <w:r w:rsidRPr="00FB4F43">
        <w:rPr>
          <w:b/>
          <w:bCs/>
          <w:i/>
          <w:iCs/>
        </w:rPr>
        <w:t>Progress on recommendations from the previous AR, lessons learned this year, and recommendations for the year ahead</w:t>
      </w:r>
    </w:p>
    <w:p w:rsidR="00FE1B43" w:rsidP="009E31BF" w:rsidRDefault="00FE1B43" w14:paraId="7C1AE9BF" w14:textId="7EFB7664">
      <w:pPr>
        <w:jc w:val="both"/>
        <w:rPr>
          <w:b/>
          <w:bCs/>
          <w:i/>
          <w:iCs/>
        </w:rPr>
      </w:pPr>
    </w:p>
    <w:p w:rsidRPr="000D4172" w:rsidR="001C2CAE" w:rsidP="37E0B11F" w:rsidRDefault="00920C3D" w14:paraId="4DB739FE" w14:textId="5AFBDE6A">
      <w:pPr>
        <w:pStyle w:val="ListParagraph"/>
        <w:numPr>
          <w:ilvl w:val="0"/>
          <w:numId w:val="42"/>
        </w:numPr>
        <w:jc w:val="both"/>
        <w:rPr>
          <w:rFonts w:cs="Arial"/>
          <w:sz w:val="20"/>
        </w:rPr>
      </w:pPr>
      <w:r w:rsidRPr="37E0B11F">
        <w:rPr>
          <w:rFonts w:cs="Arial"/>
          <w:sz w:val="20"/>
        </w:rPr>
        <w:t xml:space="preserve">In Acre, challenges have been seen with payments for the rubber </w:t>
      </w:r>
      <w:r w:rsidRPr="37E0B11F" w:rsidR="009F7893">
        <w:rPr>
          <w:rFonts w:cs="Arial"/>
          <w:sz w:val="20"/>
        </w:rPr>
        <w:t>subsidy, meaning</w:t>
      </w:r>
      <w:r w:rsidRPr="37E0B11F">
        <w:rPr>
          <w:rFonts w:cs="Arial"/>
          <w:sz w:val="20"/>
        </w:rPr>
        <w:t xml:space="preserve"> families have been left without the rubber subsidy payment for 2 years. </w:t>
      </w:r>
      <w:r w:rsidRPr="37E0B11F" w:rsidR="00E67FE4">
        <w:rPr>
          <w:rFonts w:cs="Arial"/>
          <w:sz w:val="20"/>
        </w:rPr>
        <w:t>A target is to resolve this in the next phase, and this has been made conditional to the final payment for Acre</w:t>
      </w:r>
      <w:r w:rsidRPr="37E0B11F" w:rsidR="00DA0D27">
        <w:rPr>
          <w:rFonts w:cs="Arial"/>
          <w:sz w:val="20"/>
        </w:rPr>
        <w:t>, in order to disburse the final payments.</w:t>
      </w:r>
    </w:p>
    <w:tbl>
      <w:tblPr>
        <w:tblStyle w:val="TableGrid"/>
        <w:tblW w:w="9525" w:type="dxa"/>
        <w:tblLayout w:type="fixed"/>
        <w:tblLook w:val="04A0" w:firstRow="1" w:lastRow="0" w:firstColumn="1" w:lastColumn="0" w:noHBand="0" w:noVBand="1"/>
      </w:tblPr>
      <w:tblGrid>
        <w:gridCol w:w="1695"/>
        <w:gridCol w:w="600"/>
        <w:gridCol w:w="1110"/>
        <w:gridCol w:w="1830"/>
        <w:gridCol w:w="1410"/>
        <w:gridCol w:w="2760"/>
        <w:gridCol w:w="120"/>
      </w:tblGrid>
      <w:tr w:rsidR="001C2CAE" w:rsidTr="6D6666F9" w14:paraId="7B5025FF" w14:textId="77777777">
        <w:trPr>
          <w:gridAfter w:val="1"/>
          <w:wAfter w:w="120" w:type="dxa"/>
          <w:trHeight w:val="495"/>
        </w:trPr>
        <w:tc>
          <w:tcPr>
            <w:tcW w:w="1695"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093896A6" w14:textId="77777777">
            <w:r w:rsidRPr="66F973D7">
              <w:rPr>
                <w:rFonts w:eastAsia="Arial" w:cs="Arial"/>
                <w:b/>
                <w:bCs/>
                <w:color w:val="000000" w:themeColor="text1"/>
                <w:sz w:val="20"/>
                <w:szCs w:val="20"/>
              </w:rPr>
              <w:t xml:space="preserve">Output Title </w:t>
            </w:r>
          </w:p>
        </w:tc>
        <w:tc>
          <w:tcPr>
            <w:tcW w:w="7710" w:type="dxa"/>
            <w:gridSpan w:val="5"/>
            <w:tcBorders>
              <w:top w:val="single" w:color="auto" w:sz="8" w:space="0"/>
              <w:left w:val="single" w:color="auto" w:sz="8" w:space="0"/>
              <w:bottom w:val="single" w:color="auto" w:sz="8" w:space="0"/>
              <w:right w:val="single" w:color="auto" w:sz="8" w:space="0"/>
            </w:tcBorders>
            <w:shd w:val="clear" w:color="auto" w:fill="FFFFFF" w:themeFill="background1"/>
          </w:tcPr>
          <w:p w:rsidR="001C2CAE" w:rsidRDefault="001C2CAE" w14:paraId="5AF81BD2" w14:textId="77777777">
            <w:r w:rsidRPr="66F973D7">
              <w:rPr>
                <w:rFonts w:eastAsia="Arial" w:cs="Arial"/>
                <w:color w:val="000000" w:themeColor="text1"/>
                <w:sz w:val="20"/>
                <w:szCs w:val="20"/>
              </w:rPr>
              <w:t>Environmental governance with indigenous peoples improved</w:t>
            </w:r>
          </w:p>
        </w:tc>
      </w:tr>
      <w:tr w:rsidR="001C2CAE" w:rsidTr="6D6666F9" w14:paraId="299029AE" w14:textId="77777777">
        <w:trPr>
          <w:gridAfter w:val="1"/>
          <w:wAfter w:w="120" w:type="dxa"/>
          <w:trHeight w:val="345"/>
        </w:trPr>
        <w:tc>
          <w:tcPr>
            <w:tcW w:w="229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4CCE9841" w14:textId="77777777">
            <w:r w:rsidRPr="66F973D7">
              <w:rPr>
                <w:rFonts w:eastAsia="Arial" w:cs="Arial"/>
                <w:color w:val="000000" w:themeColor="text1"/>
                <w:sz w:val="20"/>
                <w:szCs w:val="20"/>
              </w:rPr>
              <w:t xml:space="preserve">Output number: </w:t>
            </w:r>
          </w:p>
        </w:tc>
        <w:tc>
          <w:tcPr>
            <w:tcW w:w="1110" w:type="dxa"/>
            <w:tcBorders>
              <w:top w:val="nil"/>
              <w:left w:val="nil"/>
              <w:bottom w:val="single" w:color="auto" w:sz="8" w:space="0"/>
              <w:right w:val="single" w:color="auto" w:sz="8" w:space="0"/>
            </w:tcBorders>
          </w:tcPr>
          <w:p w:rsidR="001C2CAE" w:rsidRDefault="001C2CAE" w14:paraId="2CB3CFC1" w14:textId="77777777">
            <w:r w:rsidRPr="66F973D7">
              <w:rPr>
                <w:rFonts w:eastAsia="Arial" w:cs="Arial"/>
                <w:sz w:val="20"/>
                <w:szCs w:val="20"/>
              </w:rPr>
              <w:t>5</w:t>
            </w:r>
          </w:p>
        </w:tc>
        <w:tc>
          <w:tcPr>
            <w:tcW w:w="3240" w:type="dxa"/>
            <w:gridSpan w:val="2"/>
            <w:tcBorders>
              <w:top w:val="nil"/>
              <w:left w:val="single" w:color="auto" w:sz="8" w:space="0"/>
              <w:bottom w:val="single" w:color="auto" w:sz="8" w:space="0"/>
              <w:right w:val="single" w:color="auto" w:sz="8" w:space="0"/>
            </w:tcBorders>
            <w:shd w:val="clear" w:color="auto" w:fill="D9E2F3" w:themeFill="accent1" w:themeFillTint="33"/>
          </w:tcPr>
          <w:p w:rsidRPr="00A6670A" w:rsidR="001C2CAE" w:rsidRDefault="001C2CAE" w14:paraId="0935E64D" w14:textId="77777777">
            <w:pPr>
              <w:rPr>
                <w:rFonts w:eastAsia="Arial" w:cs="Arial"/>
                <w:color w:val="000000" w:themeColor="text1"/>
                <w:sz w:val="20"/>
                <w:szCs w:val="20"/>
              </w:rPr>
            </w:pPr>
            <w:r w:rsidRPr="00A6670A">
              <w:rPr>
                <w:rFonts w:eastAsia="Arial" w:cs="Arial"/>
                <w:color w:val="000000" w:themeColor="text1"/>
                <w:sz w:val="20"/>
                <w:szCs w:val="20"/>
              </w:rPr>
              <w:t xml:space="preserve">Output Score: </w:t>
            </w:r>
          </w:p>
        </w:tc>
        <w:tc>
          <w:tcPr>
            <w:tcW w:w="2760" w:type="dxa"/>
            <w:tcBorders>
              <w:top w:val="nil"/>
              <w:left w:val="single" w:color="auto" w:sz="8" w:space="0"/>
              <w:bottom w:val="single" w:color="auto" w:sz="8" w:space="0"/>
              <w:right w:val="single" w:color="auto" w:sz="8" w:space="0"/>
            </w:tcBorders>
          </w:tcPr>
          <w:p w:rsidRPr="00A6670A" w:rsidR="001C2CAE" w:rsidP="15821389" w:rsidRDefault="538640A3" w14:paraId="73D0BA83" w14:textId="446CD612">
            <w:pPr>
              <w:rPr>
                <w:rFonts w:eastAsia="Arial" w:cs="Arial"/>
                <w:b/>
                <w:bCs/>
                <w:i/>
                <w:iCs/>
                <w:sz w:val="20"/>
                <w:szCs w:val="20"/>
              </w:rPr>
            </w:pPr>
            <w:r w:rsidRPr="15821389">
              <w:rPr>
                <w:rFonts w:eastAsia="Arial" w:cs="Arial"/>
                <w:b/>
                <w:bCs/>
                <w:sz w:val="20"/>
                <w:szCs w:val="20"/>
              </w:rPr>
              <w:t>A</w:t>
            </w:r>
            <w:r w:rsidRPr="15821389" w:rsidR="32D8B33C">
              <w:rPr>
                <w:rFonts w:eastAsia="Arial" w:cs="Arial"/>
                <w:b/>
                <w:bCs/>
                <w:sz w:val="20"/>
                <w:szCs w:val="20"/>
              </w:rPr>
              <w:t>+</w:t>
            </w:r>
          </w:p>
        </w:tc>
      </w:tr>
      <w:tr w:rsidR="001C2CAE" w:rsidTr="6D6666F9" w14:paraId="4EF1B391" w14:textId="77777777">
        <w:trPr>
          <w:gridAfter w:val="1"/>
          <w:wAfter w:w="120" w:type="dxa"/>
          <w:trHeight w:val="345"/>
        </w:trPr>
        <w:tc>
          <w:tcPr>
            <w:tcW w:w="229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1A9BB5E1" w14:textId="77777777">
            <w:r w:rsidRPr="66F973D7">
              <w:rPr>
                <w:rFonts w:eastAsia="Arial" w:cs="Arial"/>
                <w:color w:val="000000" w:themeColor="text1"/>
                <w:sz w:val="20"/>
                <w:szCs w:val="20"/>
              </w:rPr>
              <w:t xml:space="preserve">Impact weighting (%):  </w:t>
            </w:r>
          </w:p>
        </w:tc>
        <w:tc>
          <w:tcPr>
            <w:tcW w:w="1110" w:type="dxa"/>
            <w:tcBorders>
              <w:top w:val="single" w:color="auto" w:sz="8" w:space="0"/>
              <w:left w:val="nil"/>
              <w:bottom w:val="single" w:color="auto" w:sz="8" w:space="0"/>
              <w:right w:val="single" w:color="auto" w:sz="8" w:space="0"/>
            </w:tcBorders>
          </w:tcPr>
          <w:p w:rsidR="001C2CAE" w:rsidRDefault="001C2CAE" w14:paraId="629D3F05" w14:textId="77777777">
            <w:r w:rsidRPr="66F973D7">
              <w:rPr>
                <w:rFonts w:eastAsia="Arial" w:cs="Arial"/>
                <w:sz w:val="20"/>
                <w:szCs w:val="20"/>
              </w:rPr>
              <w:t>12.5%</w:t>
            </w:r>
          </w:p>
        </w:tc>
        <w:tc>
          <w:tcPr>
            <w:tcW w:w="3240"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45878B31" w14:textId="77777777">
            <w:r w:rsidRPr="66F973D7">
              <w:rPr>
                <w:rFonts w:eastAsia="Arial" w:cs="Arial"/>
                <w:color w:val="000000" w:themeColor="text1"/>
                <w:sz w:val="20"/>
                <w:szCs w:val="20"/>
              </w:rPr>
              <w:t xml:space="preserve">Weighting revised since last AR? </w:t>
            </w:r>
          </w:p>
        </w:tc>
        <w:tc>
          <w:tcPr>
            <w:tcW w:w="2760" w:type="dxa"/>
            <w:tcBorders>
              <w:top w:val="single" w:color="auto" w:sz="8" w:space="0"/>
              <w:left w:val="single" w:color="auto" w:sz="8" w:space="0"/>
              <w:bottom w:val="single" w:color="auto" w:sz="8" w:space="0"/>
              <w:right w:val="single" w:color="auto" w:sz="8" w:space="0"/>
            </w:tcBorders>
          </w:tcPr>
          <w:p w:rsidR="001C2CAE" w:rsidRDefault="001C2CAE" w14:paraId="7BF3B19C" w14:textId="77777777">
            <w:r w:rsidRPr="66F973D7">
              <w:rPr>
                <w:rFonts w:eastAsia="Arial" w:cs="Arial"/>
                <w:sz w:val="20"/>
                <w:szCs w:val="20"/>
              </w:rPr>
              <w:t>No</w:t>
            </w:r>
          </w:p>
        </w:tc>
      </w:tr>
      <w:tr w:rsidR="001C2CAE" w:rsidTr="6D6666F9" w14:paraId="020721A4" w14:textId="77777777">
        <w:trPr>
          <w:gridAfter w:val="1"/>
          <w:wAfter w:w="120" w:type="dxa"/>
          <w:trHeight w:val="345"/>
        </w:trPr>
        <w:tc>
          <w:tcPr>
            <w:tcW w:w="2295"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2982B24B" w14:textId="77777777">
            <w:r w:rsidRPr="66F973D7">
              <w:rPr>
                <w:rFonts w:eastAsia="Arial" w:cs="Arial"/>
                <w:color w:val="000000" w:themeColor="text1"/>
                <w:sz w:val="20"/>
                <w:szCs w:val="20"/>
              </w:rPr>
              <w:t>Risk rating</w:t>
            </w:r>
          </w:p>
        </w:tc>
        <w:tc>
          <w:tcPr>
            <w:tcW w:w="1110" w:type="dxa"/>
            <w:tcBorders>
              <w:top w:val="single" w:color="auto" w:sz="8" w:space="0"/>
              <w:left w:val="nil"/>
              <w:bottom w:val="single" w:color="auto" w:sz="8" w:space="0"/>
              <w:right w:val="single" w:color="auto" w:sz="8" w:space="0"/>
            </w:tcBorders>
          </w:tcPr>
          <w:p w:rsidR="001C2CAE" w:rsidRDefault="70A11B22" w14:paraId="15FEC150" w14:textId="6DC57400">
            <w:pPr>
              <w:rPr>
                <w:rFonts w:eastAsia="Arial" w:cs="Arial"/>
                <w:sz w:val="20"/>
                <w:szCs w:val="20"/>
              </w:rPr>
            </w:pPr>
            <w:r w:rsidRPr="578D5448">
              <w:rPr>
                <w:rFonts w:eastAsia="Arial" w:cs="Arial"/>
                <w:sz w:val="20"/>
                <w:szCs w:val="20"/>
              </w:rPr>
              <w:t>M</w:t>
            </w:r>
            <w:r w:rsidRPr="578D5448" w:rsidR="346CB9D6">
              <w:rPr>
                <w:rFonts w:eastAsia="Arial" w:cs="Arial"/>
                <w:sz w:val="20"/>
                <w:szCs w:val="20"/>
              </w:rPr>
              <w:t>inor</w:t>
            </w:r>
          </w:p>
        </w:tc>
        <w:tc>
          <w:tcPr>
            <w:tcW w:w="3240" w:type="dxa"/>
            <w:gridSpan w:val="2"/>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694ADA46" w14:textId="77777777">
            <w:r w:rsidRPr="66F973D7">
              <w:rPr>
                <w:rFonts w:eastAsia="Arial" w:cs="Arial"/>
                <w:color w:val="000000" w:themeColor="text1"/>
                <w:sz w:val="20"/>
                <w:szCs w:val="20"/>
              </w:rPr>
              <w:t>Risk revised since last AR?</w:t>
            </w:r>
          </w:p>
        </w:tc>
        <w:tc>
          <w:tcPr>
            <w:tcW w:w="2760" w:type="dxa"/>
            <w:tcBorders>
              <w:top w:val="single" w:color="auto" w:sz="8" w:space="0"/>
              <w:left w:val="single" w:color="auto" w:sz="8" w:space="0"/>
              <w:bottom w:val="single" w:color="auto" w:sz="8" w:space="0"/>
              <w:right w:val="single" w:color="auto" w:sz="8" w:space="0"/>
            </w:tcBorders>
          </w:tcPr>
          <w:p w:rsidR="001C2CAE" w:rsidRDefault="00644855" w14:paraId="77A4A2D1" w14:textId="38D86CFA">
            <w:pPr>
              <w:rPr>
                <w:rFonts w:eastAsia="Arial" w:cs="Arial"/>
                <w:sz w:val="20"/>
                <w:szCs w:val="20"/>
              </w:rPr>
            </w:pPr>
            <w:r>
              <w:rPr>
                <w:rFonts w:eastAsia="Arial" w:cs="Arial"/>
                <w:sz w:val="20"/>
                <w:szCs w:val="20"/>
              </w:rPr>
              <w:t>No</w:t>
            </w:r>
          </w:p>
        </w:tc>
      </w:tr>
      <w:tr w:rsidR="001C2CAE" w:rsidTr="6D6666F9" w14:paraId="59178300" w14:textId="77777777">
        <w:trPr>
          <w:gridAfter w:val="1"/>
          <w:wAfter w:w="120" w:type="dxa"/>
        </w:trPr>
        <w:tc>
          <w:tcPr>
            <w:tcW w:w="1695" w:type="dxa"/>
            <w:tcBorders>
              <w:top w:val="single" w:color="auto" w:sz="8" w:space="0"/>
              <w:left w:val="nil"/>
              <w:bottom w:val="nil"/>
              <w:right w:val="nil"/>
            </w:tcBorders>
            <w:vAlign w:val="center"/>
          </w:tcPr>
          <w:p w:rsidR="001C2CAE" w:rsidRDefault="001C2CAE" w14:paraId="66A251D7" w14:textId="77777777"/>
        </w:tc>
        <w:tc>
          <w:tcPr>
            <w:tcW w:w="600" w:type="dxa"/>
            <w:tcBorders>
              <w:top w:val="nil"/>
              <w:left w:val="nil"/>
              <w:bottom w:val="nil"/>
              <w:right w:val="nil"/>
            </w:tcBorders>
            <w:vAlign w:val="center"/>
          </w:tcPr>
          <w:p w:rsidR="001C2CAE" w:rsidRDefault="001C2CAE" w14:paraId="7C2A86F6" w14:textId="77777777"/>
        </w:tc>
        <w:tc>
          <w:tcPr>
            <w:tcW w:w="1110" w:type="dxa"/>
            <w:tcBorders>
              <w:top w:val="single" w:color="auto" w:sz="8" w:space="0"/>
              <w:left w:val="nil"/>
              <w:bottom w:val="nil"/>
              <w:right w:val="nil"/>
            </w:tcBorders>
            <w:vAlign w:val="center"/>
          </w:tcPr>
          <w:p w:rsidR="001C2CAE" w:rsidRDefault="001C2CAE" w14:paraId="068884C1" w14:textId="77777777"/>
        </w:tc>
        <w:tc>
          <w:tcPr>
            <w:tcW w:w="3240" w:type="dxa"/>
            <w:gridSpan w:val="2"/>
            <w:tcBorders>
              <w:top w:val="single" w:color="auto" w:sz="8" w:space="0"/>
              <w:left w:val="nil"/>
              <w:bottom w:val="nil"/>
              <w:right w:val="nil"/>
            </w:tcBorders>
            <w:vAlign w:val="center"/>
          </w:tcPr>
          <w:p w:rsidR="001C2CAE" w:rsidRDefault="001C2CAE" w14:paraId="3E599D7B" w14:textId="77777777"/>
        </w:tc>
        <w:tc>
          <w:tcPr>
            <w:tcW w:w="2760" w:type="dxa"/>
            <w:tcBorders>
              <w:top w:val="single" w:color="auto" w:sz="8" w:space="0"/>
              <w:left w:val="nil"/>
              <w:bottom w:val="nil"/>
              <w:right w:val="nil"/>
            </w:tcBorders>
            <w:vAlign w:val="center"/>
          </w:tcPr>
          <w:p w:rsidR="001C2CAE" w:rsidRDefault="001C2CAE" w14:paraId="0EFB4876" w14:textId="77777777"/>
        </w:tc>
      </w:tr>
      <w:tr w:rsidR="001C2CAE" w:rsidTr="6D6666F9" w14:paraId="02A61641" w14:textId="77777777">
        <w:trPr>
          <w:trHeight w:val="270"/>
        </w:trPr>
        <w:tc>
          <w:tcPr>
            <w:tcW w:w="3405" w:type="dxa"/>
            <w:gridSpan w:val="3"/>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76097050" w14:textId="77777777">
            <w:r w:rsidRPr="66F973D7">
              <w:rPr>
                <w:rFonts w:eastAsia="Arial" w:cs="Arial"/>
                <w:b/>
                <w:bCs/>
                <w:color w:val="000000" w:themeColor="text1"/>
                <w:sz w:val="20"/>
                <w:szCs w:val="20"/>
              </w:rPr>
              <w:t>Indicator(s)</w:t>
            </w:r>
          </w:p>
        </w:tc>
        <w:tc>
          <w:tcPr>
            <w:tcW w:w="1830" w:type="dxa"/>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63269AAE" w14:textId="77777777">
            <w:r w:rsidRPr="66F973D7">
              <w:rPr>
                <w:rFonts w:eastAsia="Arial" w:cs="Arial"/>
                <w:b/>
                <w:bCs/>
                <w:color w:val="000000" w:themeColor="text1"/>
                <w:sz w:val="20"/>
                <w:szCs w:val="20"/>
              </w:rPr>
              <w:t>Milestone(s) for this review</w:t>
            </w:r>
          </w:p>
        </w:tc>
        <w:tc>
          <w:tcPr>
            <w:tcW w:w="4290" w:type="dxa"/>
            <w:gridSpan w:val="3"/>
            <w:tcBorders>
              <w:top w:val="single" w:color="auto" w:sz="8" w:space="0"/>
              <w:left w:val="single" w:color="auto" w:sz="8" w:space="0"/>
              <w:bottom w:val="single" w:color="auto" w:sz="8" w:space="0"/>
              <w:right w:val="single" w:color="auto" w:sz="8" w:space="0"/>
            </w:tcBorders>
            <w:shd w:val="clear" w:color="auto" w:fill="D9E2F3" w:themeFill="accent1" w:themeFillTint="33"/>
          </w:tcPr>
          <w:p w:rsidR="001C2CAE" w:rsidRDefault="001C2CAE" w14:paraId="5B08FB85" w14:textId="77777777">
            <w:r w:rsidRPr="66F973D7">
              <w:rPr>
                <w:rFonts w:eastAsia="Arial" w:cs="Arial"/>
                <w:b/>
                <w:bCs/>
                <w:color w:val="000000" w:themeColor="text1"/>
                <w:sz w:val="20"/>
                <w:szCs w:val="20"/>
              </w:rPr>
              <w:t xml:space="preserve">Progress </w:t>
            </w:r>
          </w:p>
        </w:tc>
      </w:tr>
      <w:tr w:rsidR="001C2CAE" w:rsidTr="6D6666F9" w14:paraId="1411D10C" w14:textId="77777777">
        <w:tc>
          <w:tcPr>
            <w:tcW w:w="3405" w:type="dxa"/>
            <w:gridSpan w:val="3"/>
            <w:tcBorders>
              <w:top w:val="single" w:color="auto" w:sz="8" w:space="0"/>
              <w:left w:val="single" w:color="auto" w:sz="8" w:space="0"/>
              <w:bottom w:val="single" w:color="auto" w:sz="8" w:space="0"/>
              <w:right w:val="single" w:color="auto" w:sz="8" w:space="0"/>
            </w:tcBorders>
          </w:tcPr>
          <w:p w:rsidRPr="00DA4632" w:rsidR="001C2CAE" w:rsidRDefault="001C2CAE" w14:paraId="38B07589" w14:textId="77777777">
            <w:pPr>
              <w:rPr>
                <w:sz w:val="20"/>
                <w:szCs w:val="20"/>
              </w:rPr>
            </w:pPr>
            <w:r w:rsidRPr="00DA4632">
              <w:rPr>
                <w:rFonts w:eastAsia="Arial" w:cs="Arial"/>
                <w:b/>
                <w:bCs/>
                <w:sz w:val="20"/>
                <w:szCs w:val="20"/>
              </w:rPr>
              <w:t>Indicator 17:</w:t>
            </w:r>
            <w:r w:rsidRPr="00DA4632">
              <w:rPr>
                <w:rFonts w:eastAsia="Arial" w:cs="Arial"/>
                <w:sz w:val="20"/>
                <w:szCs w:val="20"/>
              </w:rPr>
              <w:t xml:space="preserve"> </w:t>
            </w:r>
          </w:p>
          <w:p w:rsidRPr="00DA4632" w:rsidR="001C2CAE" w:rsidP="00290C02" w:rsidRDefault="001C2CAE" w14:paraId="7B306A87" w14:textId="3436C2B3">
            <w:pPr>
              <w:pStyle w:val="ListParagraph"/>
              <w:numPr>
                <w:ilvl w:val="0"/>
                <w:numId w:val="26"/>
              </w:numPr>
              <w:spacing w:after="0"/>
              <w:ind w:left="300" w:hanging="219"/>
              <w:rPr>
                <w:sz w:val="20"/>
              </w:rPr>
            </w:pPr>
            <w:r w:rsidRPr="00DA4632">
              <w:rPr>
                <w:rFonts w:eastAsia="Arial" w:cs="Arial"/>
                <w:sz w:val="20"/>
              </w:rPr>
              <w:t>Number of hectares of Indigenous territories benefitting from the programme</w:t>
            </w:r>
            <w:r w:rsidRPr="00DA4632" w:rsidR="008613BF">
              <w:rPr>
                <w:rFonts w:eastAsia="Arial" w:cs="Arial"/>
                <w:sz w:val="20"/>
              </w:rPr>
              <w:t xml:space="preserve"> </w:t>
            </w:r>
            <w:r w:rsidRPr="00DA4632">
              <w:rPr>
                <w:rFonts w:eastAsia="Arial" w:cs="Arial"/>
                <w:sz w:val="20"/>
              </w:rPr>
              <w:t>(Colombia only)</w:t>
            </w:r>
          </w:p>
          <w:p w:rsidRPr="00DA4632" w:rsidR="001C2CAE" w:rsidRDefault="001C2CAE" w14:paraId="0B73C8CA" w14:textId="77777777">
            <w:pPr>
              <w:rPr>
                <w:rFonts w:eastAsia="Arial" w:cs="Arial"/>
                <w:sz w:val="20"/>
                <w:szCs w:val="20"/>
              </w:rPr>
            </w:pPr>
          </w:p>
          <w:p w:rsidRPr="00DA4632" w:rsidR="001C2CAE" w:rsidRDefault="001C2CAE" w14:paraId="73EA97B7" w14:textId="77777777">
            <w:pPr>
              <w:rPr>
                <w:rFonts w:eastAsia="Arial" w:cs="Arial"/>
                <w:sz w:val="20"/>
                <w:szCs w:val="20"/>
              </w:rPr>
            </w:pPr>
            <w:r w:rsidRPr="00DA4632">
              <w:rPr>
                <w:rFonts w:eastAsia="Arial" w:cs="Arial"/>
                <w:b/>
                <w:bCs/>
                <w:sz w:val="20"/>
                <w:szCs w:val="20"/>
              </w:rPr>
              <w:t>New indicator</w:t>
            </w:r>
            <w:r w:rsidRPr="00DA4632">
              <w:rPr>
                <w:rFonts w:eastAsia="Arial" w:cs="Arial"/>
                <w:sz w:val="20"/>
                <w:szCs w:val="20"/>
              </w:rPr>
              <w:t xml:space="preserve">: </w:t>
            </w:r>
          </w:p>
          <w:p w:rsidRPr="00DA4632" w:rsidR="001C2CAE" w:rsidP="00A4020F" w:rsidRDefault="001C2CAE" w14:paraId="5464CEF2" w14:textId="0C7A4D8B">
            <w:pPr>
              <w:ind w:left="300" w:hanging="219"/>
              <w:rPr>
                <w:rFonts w:eastAsia="Arial" w:cs="Arial"/>
                <w:sz w:val="20"/>
                <w:szCs w:val="20"/>
              </w:rPr>
            </w:pPr>
            <w:r w:rsidRPr="00DA4632">
              <w:rPr>
                <w:rFonts w:eastAsia="Arial" w:cs="Arial"/>
                <w:sz w:val="20"/>
                <w:szCs w:val="20"/>
              </w:rPr>
              <w:t>b) Number of indigenous families benefited (Colombia only)</w:t>
            </w:r>
          </w:p>
        </w:tc>
        <w:tc>
          <w:tcPr>
            <w:tcW w:w="1830" w:type="dxa"/>
            <w:tcBorders>
              <w:top w:val="single" w:color="auto" w:sz="8" w:space="0"/>
              <w:left w:val="single" w:color="auto" w:sz="8" w:space="0"/>
              <w:bottom w:val="single" w:color="auto" w:sz="8" w:space="0"/>
              <w:right w:val="single" w:color="auto" w:sz="8" w:space="0"/>
            </w:tcBorders>
          </w:tcPr>
          <w:p w:rsidRPr="00DA4632" w:rsidR="001C2CAE" w:rsidRDefault="001C2CAE" w14:paraId="3A640729" w14:textId="0834C24A">
            <w:pPr>
              <w:rPr>
                <w:rFonts w:eastAsia="Arial" w:cs="Arial"/>
                <w:sz w:val="20"/>
                <w:szCs w:val="20"/>
              </w:rPr>
            </w:pPr>
            <w:r w:rsidRPr="00DA4632">
              <w:rPr>
                <w:rFonts w:eastAsia="Arial" w:cs="Arial"/>
                <w:sz w:val="20"/>
                <w:szCs w:val="20"/>
              </w:rPr>
              <w:t>202</w:t>
            </w:r>
            <w:r w:rsidR="009F7893">
              <w:rPr>
                <w:rFonts w:eastAsia="Arial" w:cs="Arial"/>
                <w:sz w:val="20"/>
                <w:szCs w:val="20"/>
              </w:rPr>
              <w:t>3</w:t>
            </w:r>
            <w:r w:rsidRPr="00DA4632">
              <w:rPr>
                <w:rFonts w:eastAsia="Arial" w:cs="Arial"/>
                <w:sz w:val="20"/>
                <w:szCs w:val="20"/>
              </w:rPr>
              <w:t>-2</w:t>
            </w:r>
            <w:r w:rsidR="009F7893">
              <w:rPr>
                <w:rFonts w:eastAsia="Arial" w:cs="Arial"/>
                <w:sz w:val="20"/>
                <w:szCs w:val="20"/>
              </w:rPr>
              <w:t>4</w:t>
            </w:r>
            <w:r w:rsidRPr="00DA4632">
              <w:rPr>
                <w:rFonts w:eastAsia="Arial" w:cs="Arial"/>
                <w:sz w:val="20"/>
                <w:szCs w:val="20"/>
              </w:rPr>
              <w:t xml:space="preserve"> target:</w:t>
            </w:r>
          </w:p>
          <w:p w:rsidRPr="00DA4632" w:rsidR="0034405F" w:rsidP="00067061" w:rsidRDefault="0034405F" w14:paraId="6C4590C4" w14:textId="77777777">
            <w:pPr>
              <w:rPr>
                <w:rFonts w:eastAsia="Arial" w:cs="Arial"/>
                <w:sz w:val="20"/>
                <w:szCs w:val="20"/>
              </w:rPr>
            </w:pPr>
          </w:p>
          <w:p w:rsidRPr="00DA4632" w:rsidR="001C2CAE" w:rsidRDefault="54E80754" w14:paraId="2A73834B" w14:textId="16036197">
            <w:pPr>
              <w:rPr>
                <w:sz w:val="20"/>
                <w:szCs w:val="20"/>
              </w:rPr>
            </w:pPr>
            <w:r w:rsidRPr="00DA4632">
              <w:rPr>
                <w:rFonts w:eastAsia="Arial" w:cs="Arial"/>
                <w:sz w:val="20"/>
                <w:szCs w:val="20"/>
              </w:rPr>
              <w:t xml:space="preserve">a) </w:t>
            </w:r>
            <w:r w:rsidRPr="00DA4632" w:rsidR="001C2CAE">
              <w:rPr>
                <w:rFonts w:eastAsia="Arial" w:cs="Arial"/>
                <w:sz w:val="20"/>
                <w:szCs w:val="20"/>
              </w:rPr>
              <w:t>14,000,000 ha</w:t>
            </w:r>
          </w:p>
          <w:p w:rsidRPr="00DA4632" w:rsidR="001C2CAE" w:rsidP="00290C02" w:rsidRDefault="001C2CAE" w14:paraId="2C808E18" w14:textId="77777777">
            <w:pPr>
              <w:ind w:left="158" w:hanging="142"/>
              <w:rPr>
                <w:rFonts w:eastAsia="Arial" w:cs="Arial"/>
                <w:sz w:val="20"/>
                <w:szCs w:val="20"/>
              </w:rPr>
            </w:pPr>
          </w:p>
          <w:p w:rsidRPr="00DA4632" w:rsidR="001C2CAE" w:rsidP="00290C02" w:rsidRDefault="001C2CAE" w14:paraId="5AD7EAE3" w14:textId="77777777">
            <w:pPr>
              <w:ind w:left="158" w:hanging="142"/>
              <w:rPr>
                <w:rFonts w:eastAsia="Arial" w:cs="Arial"/>
                <w:sz w:val="20"/>
                <w:szCs w:val="20"/>
              </w:rPr>
            </w:pPr>
          </w:p>
          <w:p w:rsidRPr="00DA4632" w:rsidR="001C2CAE" w:rsidP="00C21F41" w:rsidRDefault="001C2CAE" w14:paraId="285ADAD6" w14:textId="39EC3A6A">
            <w:pPr>
              <w:pStyle w:val="ListParagraph"/>
              <w:numPr>
                <w:ilvl w:val="0"/>
                <w:numId w:val="26"/>
              </w:numPr>
              <w:rPr>
                <w:rFonts w:eastAsia="Arial" w:cs="Arial"/>
                <w:sz w:val="20"/>
              </w:rPr>
            </w:pPr>
            <w:r w:rsidRPr="00DA4632">
              <w:rPr>
                <w:rFonts w:eastAsia="Arial" w:cs="Arial"/>
                <w:sz w:val="20"/>
              </w:rPr>
              <w:t>11,000</w:t>
            </w:r>
          </w:p>
        </w:tc>
        <w:tc>
          <w:tcPr>
            <w:tcW w:w="4290" w:type="dxa"/>
            <w:gridSpan w:val="3"/>
            <w:tcBorders>
              <w:top w:val="single" w:color="auto" w:sz="8" w:space="0"/>
              <w:left w:val="single" w:color="auto" w:sz="8" w:space="0"/>
              <w:bottom w:val="single" w:color="auto" w:sz="8" w:space="0"/>
              <w:right w:val="single" w:color="auto" w:sz="8" w:space="0"/>
            </w:tcBorders>
          </w:tcPr>
          <w:p w:rsidRPr="00DA4632" w:rsidR="001C2CAE" w:rsidP="15821389" w:rsidRDefault="538640A3" w14:paraId="408A0B73" w14:textId="1357B3AB">
            <w:pPr>
              <w:rPr>
                <w:rFonts w:eastAsia="Arial" w:cs="Arial"/>
                <w:b/>
                <w:bCs/>
                <w:sz w:val="20"/>
                <w:szCs w:val="20"/>
              </w:rPr>
            </w:pPr>
            <w:r w:rsidRPr="00DA4632">
              <w:rPr>
                <w:rFonts w:eastAsia="Arial" w:cs="Arial"/>
                <w:b/>
                <w:bCs/>
                <w:sz w:val="20"/>
                <w:szCs w:val="20"/>
              </w:rPr>
              <w:t xml:space="preserve">Progress </w:t>
            </w:r>
            <w:r w:rsidRPr="00DA4632" w:rsidR="00F72181">
              <w:rPr>
                <w:rFonts w:eastAsia="Arial" w:cs="Arial"/>
                <w:b/>
                <w:bCs/>
                <w:sz w:val="20"/>
                <w:szCs w:val="20"/>
              </w:rPr>
              <w:t xml:space="preserve">significantly </w:t>
            </w:r>
            <w:r w:rsidRPr="00DA4632">
              <w:rPr>
                <w:rFonts w:eastAsia="Arial" w:cs="Arial"/>
                <w:b/>
                <w:bCs/>
                <w:sz w:val="20"/>
                <w:szCs w:val="20"/>
              </w:rPr>
              <w:t>exceeded expectation</w:t>
            </w:r>
          </w:p>
          <w:p w:rsidRPr="00DA4632" w:rsidR="0013385D" w:rsidP="00067061" w:rsidRDefault="0013385D" w14:paraId="61092903" w14:textId="77777777">
            <w:pPr>
              <w:rPr>
                <w:sz w:val="20"/>
                <w:szCs w:val="20"/>
              </w:rPr>
            </w:pPr>
          </w:p>
          <w:p w:rsidRPr="00DA4632" w:rsidR="001C2CAE" w:rsidRDefault="001C2CAE" w14:paraId="0AE60E1A" w14:textId="5930B145">
            <w:pPr>
              <w:rPr>
                <w:rFonts w:eastAsia="Arial" w:cs="Arial"/>
                <w:sz w:val="20"/>
                <w:szCs w:val="20"/>
              </w:rPr>
            </w:pPr>
            <w:r w:rsidRPr="00DA4632">
              <w:rPr>
                <w:rFonts w:eastAsia="Arial" w:cs="Arial"/>
                <w:sz w:val="20"/>
                <w:szCs w:val="20"/>
              </w:rPr>
              <w:t>A) 1</w:t>
            </w:r>
            <w:r w:rsidRPr="00DA4632" w:rsidR="00AF5528">
              <w:rPr>
                <w:rFonts w:eastAsia="Arial" w:cs="Arial"/>
                <w:sz w:val="20"/>
                <w:szCs w:val="20"/>
              </w:rPr>
              <w:t xml:space="preserve">9.3 </w:t>
            </w:r>
            <w:r w:rsidRPr="00DA4632">
              <w:rPr>
                <w:rFonts w:eastAsia="Arial" w:cs="Arial"/>
                <w:sz w:val="20"/>
                <w:szCs w:val="20"/>
              </w:rPr>
              <w:t xml:space="preserve">million ha </w:t>
            </w:r>
            <w:r w:rsidRPr="009C05DA">
              <w:rPr>
                <w:rFonts w:eastAsia="Arial" w:cs="Arial"/>
                <w:sz w:val="20"/>
                <w:szCs w:val="20"/>
              </w:rPr>
              <w:t>(</w:t>
            </w:r>
            <w:r w:rsidRPr="009C05DA" w:rsidR="00022594">
              <w:rPr>
                <w:rFonts w:eastAsia="Arial" w:cs="Arial"/>
                <w:sz w:val="20"/>
                <w:szCs w:val="20"/>
              </w:rPr>
              <w:t>137</w:t>
            </w:r>
            <w:r w:rsidRPr="009C05DA">
              <w:rPr>
                <w:rFonts w:eastAsia="Arial" w:cs="Arial"/>
                <w:sz w:val="20"/>
                <w:szCs w:val="20"/>
              </w:rPr>
              <w:t>%)</w:t>
            </w:r>
          </w:p>
          <w:p w:rsidRPr="00DA4632" w:rsidR="001C2CAE" w:rsidRDefault="001C2CAE" w14:paraId="36B7AE53" w14:textId="77777777">
            <w:pPr>
              <w:rPr>
                <w:rFonts w:eastAsia="Arial" w:cs="Arial"/>
                <w:sz w:val="20"/>
                <w:szCs w:val="20"/>
              </w:rPr>
            </w:pPr>
            <w:r w:rsidRPr="00DA4632">
              <w:rPr>
                <w:rFonts w:eastAsia="Arial" w:cs="Arial"/>
                <w:color w:val="00B050"/>
                <w:sz w:val="20"/>
                <w:szCs w:val="20"/>
              </w:rPr>
              <w:t xml:space="preserve"> </w:t>
            </w:r>
          </w:p>
          <w:p w:rsidRPr="00DA4632" w:rsidR="001C2CAE" w:rsidRDefault="001C2CAE" w14:paraId="3FA76671" w14:textId="1D4B1CE1">
            <w:pPr>
              <w:rPr>
                <w:rFonts w:eastAsia="Arial" w:cs="Arial"/>
                <w:color w:val="000000" w:themeColor="text1"/>
                <w:sz w:val="20"/>
                <w:szCs w:val="20"/>
              </w:rPr>
            </w:pPr>
            <w:r w:rsidRPr="00DA4632">
              <w:rPr>
                <w:rFonts w:eastAsia="Arial" w:cs="Arial"/>
                <w:color w:val="000000" w:themeColor="text1"/>
                <w:sz w:val="20"/>
                <w:szCs w:val="20"/>
              </w:rPr>
              <w:t xml:space="preserve">b) 25, </w:t>
            </w:r>
            <w:r w:rsidRPr="00DA4632" w:rsidR="3709E9B0">
              <w:rPr>
                <w:rFonts w:eastAsia="Arial" w:cs="Arial"/>
                <w:color w:val="000000" w:themeColor="text1"/>
                <w:sz w:val="20"/>
                <w:szCs w:val="20"/>
              </w:rPr>
              <w:t>480</w:t>
            </w:r>
            <w:r w:rsidRPr="00DA4632" w:rsidR="005E1574">
              <w:rPr>
                <w:rFonts w:eastAsia="Arial" w:cs="Arial"/>
                <w:color w:val="000000" w:themeColor="text1"/>
                <w:sz w:val="20"/>
                <w:szCs w:val="20"/>
              </w:rPr>
              <w:t xml:space="preserve"> (231%)</w:t>
            </w:r>
          </w:p>
        </w:tc>
      </w:tr>
      <w:tr w:rsidR="001C2CAE" w:rsidTr="6D6666F9" w14:paraId="6DD21F7E" w14:textId="77777777">
        <w:tc>
          <w:tcPr>
            <w:tcW w:w="3405" w:type="dxa"/>
            <w:gridSpan w:val="3"/>
            <w:tcBorders>
              <w:top w:val="single" w:color="auto" w:sz="8" w:space="0"/>
              <w:left w:val="single" w:color="auto" w:sz="8" w:space="0"/>
              <w:bottom w:val="single" w:color="auto" w:sz="8" w:space="0"/>
              <w:right w:val="single" w:color="auto" w:sz="8" w:space="0"/>
            </w:tcBorders>
          </w:tcPr>
          <w:p w:rsidRPr="00DA4632" w:rsidR="001C2CAE" w:rsidRDefault="001C2CAE" w14:paraId="0A8D8497" w14:textId="77777777">
            <w:pPr>
              <w:rPr>
                <w:sz w:val="20"/>
                <w:szCs w:val="20"/>
              </w:rPr>
            </w:pPr>
            <w:r w:rsidRPr="00DA4632">
              <w:rPr>
                <w:rFonts w:eastAsia="Arial" w:cs="Arial"/>
                <w:b/>
                <w:bCs/>
                <w:sz w:val="20"/>
                <w:szCs w:val="20"/>
              </w:rPr>
              <w:t xml:space="preserve">Indicator 18: </w:t>
            </w:r>
            <w:r w:rsidRPr="00DA4632">
              <w:rPr>
                <w:rFonts w:eastAsia="Arial" w:cs="Arial"/>
                <w:sz w:val="20"/>
                <w:szCs w:val="20"/>
              </w:rPr>
              <w:t>Number of projects led by Indigenous women (Colombia and Mato Grosso)</w:t>
            </w:r>
          </w:p>
        </w:tc>
        <w:tc>
          <w:tcPr>
            <w:tcW w:w="1830" w:type="dxa"/>
            <w:tcBorders>
              <w:top w:val="single" w:color="auto" w:sz="8" w:space="0"/>
              <w:left w:val="single" w:color="auto" w:sz="8" w:space="0"/>
              <w:bottom w:val="single" w:color="auto" w:sz="8" w:space="0"/>
              <w:right w:val="single" w:color="auto" w:sz="8" w:space="0"/>
            </w:tcBorders>
          </w:tcPr>
          <w:p w:rsidRPr="00DA4632" w:rsidR="001C2CAE" w:rsidRDefault="50EDE377" w14:paraId="7224566A" w14:textId="2E40D0A3">
            <w:pPr>
              <w:rPr>
                <w:rFonts w:eastAsia="Arial" w:cs="Arial"/>
                <w:sz w:val="20"/>
                <w:szCs w:val="20"/>
              </w:rPr>
            </w:pPr>
            <w:r w:rsidRPr="00DA4632">
              <w:rPr>
                <w:rFonts w:eastAsia="Arial" w:cs="Arial"/>
                <w:sz w:val="20"/>
                <w:szCs w:val="20"/>
              </w:rPr>
              <w:t>20</w:t>
            </w:r>
            <w:r w:rsidRPr="00DA4632" w:rsidR="5318E567">
              <w:rPr>
                <w:rFonts w:eastAsia="Arial" w:cs="Arial"/>
                <w:sz w:val="20"/>
                <w:szCs w:val="20"/>
              </w:rPr>
              <w:t>2</w:t>
            </w:r>
            <w:r w:rsidR="009F7893">
              <w:rPr>
                <w:rFonts w:eastAsia="Arial" w:cs="Arial"/>
                <w:sz w:val="20"/>
                <w:szCs w:val="20"/>
              </w:rPr>
              <w:t>3</w:t>
            </w:r>
            <w:r w:rsidRPr="00DA4632" w:rsidR="5318E567">
              <w:rPr>
                <w:rFonts w:eastAsia="Arial" w:cs="Arial"/>
                <w:sz w:val="20"/>
                <w:szCs w:val="20"/>
              </w:rPr>
              <w:t>-2</w:t>
            </w:r>
            <w:r w:rsidR="009F7893">
              <w:rPr>
                <w:rFonts w:eastAsia="Arial" w:cs="Arial"/>
                <w:sz w:val="20"/>
                <w:szCs w:val="20"/>
              </w:rPr>
              <w:t>4</w:t>
            </w:r>
            <w:r w:rsidRPr="00DA4632">
              <w:rPr>
                <w:rFonts w:eastAsia="Arial" w:cs="Arial"/>
                <w:sz w:val="20"/>
                <w:szCs w:val="20"/>
              </w:rPr>
              <w:t xml:space="preserve"> target: 75</w:t>
            </w:r>
            <w:r w:rsidRPr="00DA4632" w:rsidR="001C2CAE">
              <w:rPr>
                <w:rStyle w:val="FootnoteReference"/>
                <w:rFonts w:eastAsia="Arial" w:cs="Arial"/>
                <w:sz w:val="20"/>
                <w:szCs w:val="20"/>
              </w:rPr>
              <w:footnoteReference w:id="23"/>
            </w:r>
          </w:p>
          <w:p w:rsidRPr="00DA4632" w:rsidR="001C2CAE" w:rsidRDefault="001C2CAE" w14:paraId="77141E3C" w14:textId="77777777">
            <w:pPr>
              <w:rPr>
                <w:sz w:val="20"/>
                <w:szCs w:val="20"/>
              </w:rPr>
            </w:pPr>
            <w:r w:rsidRPr="00DA4632">
              <w:rPr>
                <w:rFonts w:eastAsia="Arial" w:cs="Arial"/>
                <w:color w:val="FF0000"/>
                <w:sz w:val="20"/>
                <w:szCs w:val="20"/>
              </w:rPr>
              <w:t xml:space="preserve"> </w:t>
            </w:r>
          </w:p>
        </w:tc>
        <w:tc>
          <w:tcPr>
            <w:tcW w:w="4290" w:type="dxa"/>
            <w:gridSpan w:val="3"/>
            <w:tcBorders>
              <w:top w:val="single" w:color="auto" w:sz="8" w:space="0"/>
              <w:left w:val="single" w:color="auto" w:sz="8" w:space="0"/>
              <w:bottom w:val="single" w:color="auto" w:sz="8" w:space="0"/>
              <w:right w:val="single" w:color="auto" w:sz="8" w:space="0"/>
            </w:tcBorders>
          </w:tcPr>
          <w:p w:rsidRPr="00DA4632" w:rsidR="00C21F41" w:rsidP="00C21F41" w:rsidRDefault="6099C029" w14:paraId="55A76F38" w14:textId="08BF14B9">
            <w:pPr>
              <w:rPr>
                <w:rFonts w:eastAsia="Arial" w:cs="Arial"/>
                <w:b/>
                <w:bCs/>
                <w:sz w:val="20"/>
                <w:szCs w:val="20"/>
              </w:rPr>
            </w:pPr>
            <w:r w:rsidRPr="00DA4632">
              <w:rPr>
                <w:rFonts w:eastAsia="Arial" w:cs="Arial"/>
                <w:b/>
                <w:bCs/>
                <w:sz w:val="20"/>
                <w:szCs w:val="20"/>
              </w:rPr>
              <w:t xml:space="preserve">Progress </w:t>
            </w:r>
            <w:r w:rsidRPr="00DA4632" w:rsidR="3F25FF24">
              <w:rPr>
                <w:rFonts w:eastAsia="Arial" w:cs="Arial"/>
                <w:b/>
                <w:bCs/>
                <w:sz w:val="20"/>
                <w:szCs w:val="20"/>
              </w:rPr>
              <w:t xml:space="preserve">moderately </w:t>
            </w:r>
            <w:r w:rsidRPr="00DA4632">
              <w:rPr>
                <w:rFonts w:eastAsia="Arial" w:cs="Arial"/>
                <w:b/>
                <w:bCs/>
                <w:sz w:val="20"/>
                <w:szCs w:val="20"/>
              </w:rPr>
              <w:t>exceeded expectations</w:t>
            </w:r>
          </w:p>
          <w:p w:rsidRPr="00DA4632" w:rsidR="001C2CAE" w:rsidRDefault="001C2CAE" w14:paraId="6F84B332" w14:textId="76B0C506">
            <w:pPr>
              <w:rPr>
                <w:rFonts w:eastAsia="Arial" w:cs="Arial"/>
                <w:sz w:val="20"/>
                <w:szCs w:val="20"/>
              </w:rPr>
            </w:pPr>
            <w:r w:rsidRPr="00DA4632">
              <w:rPr>
                <w:rFonts w:eastAsia="Arial" w:cs="Arial"/>
                <w:b/>
                <w:bCs/>
                <w:sz w:val="20"/>
                <w:szCs w:val="20"/>
              </w:rPr>
              <w:t>Total:</w:t>
            </w:r>
            <w:r w:rsidRPr="00DA4632">
              <w:rPr>
                <w:rFonts w:eastAsia="Arial" w:cs="Arial"/>
                <w:sz w:val="20"/>
                <w:szCs w:val="20"/>
              </w:rPr>
              <w:t xml:space="preserve"> </w:t>
            </w:r>
            <w:r w:rsidRPr="00DA4632" w:rsidR="00AF5528">
              <w:rPr>
                <w:rFonts w:eastAsia="Arial" w:cs="Arial"/>
                <w:sz w:val="20"/>
                <w:szCs w:val="20"/>
              </w:rPr>
              <w:t>8</w:t>
            </w:r>
            <w:r w:rsidRPr="00DA4632" w:rsidR="004F3BB9">
              <w:rPr>
                <w:rFonts w:eastAsia="Arial" w:cs="Arial"/>
                <w:sz w:val="20"/>
                <w:szCs w:val="20"/>
              </w:rPr>
              <w:t>2</w:t>
            </w:r>
          </w:p>
          <w:p w:rsidRPr="00DA4632" w:rsidR="00AF420A" w:rsidP="00067061" w:rsidRDefault="00AF420A" w14:paraId="1EE7B0B8" w14:textId="77777777">
            <w:pPr>
              <w:rPr>
                <w:rFonts w:eastAsia="Arial" w:cs="Arial"/>
                <w:sz w:val="20"/>
                <w:szCs w:val="20"/>
              </w:rPr>
            </w:pPr>
          </w:p>
          <w:p w:rsidRPr="00DA4632" w:rsidR="001C2CAE" w:rsidRDefault="50EDE377" w14:paraId="50DB6C1D" w14:textId="021F14F3">
            <w:pPr>
              <w:rPr>
                <w:rFonts w:eastAsia="Arial" w:cs="Arial"/>
                <w:sz w:val="20"/>
                <w:szCs w:val="20"/>
              </w:rPr>
            </w:pPr>
            <w:r w:rsidRPr="00DA4632">
              <w:rPr>
                <w:rFonts w:eastAsia="Arial" w:cs="Arial"/>
                <w:sz w:val="20"/>
                <w:szCs w:val="20"/>
              </w:rPr>
              <w:t>Colombia</w:t>
            </w:r>
            <w:r w:rsidRPr="00DA4632">
              <w:rPr>
                <w:rFonts w:eastAsia="Arial" w:cs="Arial"/>
                <w:b/>
                <w:bCs/>
                <w:sz w:val="20"/>
                <w:szCs w:val="20"/>
              </w:rPr>
              <w:t xml:space="preserve">: </w:t>
            </w:r>
            <w:r w:rsidRPr="00DA4632">
              <w:rPr>
                <w:rFonts w:eastAsia="Arial" w:cs="Arial"/>
                <w:sz w:val="20"/>
                <w:szCs w:val="20"/>
              </w:rPr>
              <w:t>72</w:t>
            </w:r>
            <w:r w:rsidRPr="00DA4632" w:rsidR="001C2CAE">
              <w:rPr>
                <w:rStyle w:val="FootnoteReference"/>
                <w:rFonts w:eastAsia="Arial" w:cs="Arial"/>
                <w:sz w:val="20"/>
                <w:szCs w:val="20"/>
              </w:rPr>
              <w:footnoteReference w:id="24"/>
            </w:r>
            <w:r w:rsidRPr="00DA4632" w:rsidR="0035194A">
              <w:rPr>
                <w:rFonts w:eastAsia="Arial" w:cs="Arial"/>
                <w:sz w:val="20"/>
                <w:szCs w:val="20"/>
              </w:rPr>
              <w:t xml:space="preserve"> (maintained) </w:t>
            </w:r>
          </w:p>
          <w:p w:rsidRPr="00DA4632" w:rsidR="001C2CAE" w:rsidRDefault="50EDE377" w14:paraId="443985E3" w14:textId="752A5DA9">
            <w:pPr>
              <w:rPr>
                <w:rFonts w:eastAsia="Arial" w:cs="Arial"/>
                <w:sz w:val="20"/>
                <w:szCs w:val="20"/>
              </w:rPr>
            </w:pPr>
            <w:r w:rsidRPr="00DA4632">
              <w:rPr>
                <w:rFonts w:eastAsia="Arial" w:cs="Arial"/>
                <w:sz w:val="20"/>
                <w:szCs w:val="20"/>
              </w:rPr>
              <w:t>Mato Grosso</w:t>
            </w:r>
            <w:r w:rsidRPr="00DA4632">
              <w:rPr>
                <w:rFonts w:eastAsia="Arial" w:cs="Arial"/>
                <w:b/>
                <w:bCs/>
                <w:sz w:val="20"/>
                <w:szCs w:val="20"/>
              </w:rPr>
              <w:t xml:space="preserve">: </w:t>
            </w:r>
            <w:r w:rsidRPr="00DA4632" w:rsidR="00436534">
              <w:rPr>
                <w:rFonts w:eastAsia="Arial" w:cs="Arial"/>
                <w:sz w:val="20"/>
                <w:szCs w:val="20"/>
              </w:rPr>
              <w:t>10</w:t>
            </w:r>
          </w:p>
        </w:tc>
      </w:tr>
      <w:tr w:rsidR="001C2CAE" w:rsidTr="6D6666F9" w14:paraId="4841DCF0" w14:textId="77777777">
        <w:trPr>
          <w:trHeight w:val="300"/>
        </w:trPr>
        <w:tc>
          <w:tcPr>
            <w:tcW w:w="3405" w:type="dxa"/>
            <w:gridSpan w:val="3"/>
            <w:tcBorders>
              <w:top w:val="single" w:color="auto" w:sz="8" w:space="0"/>
              <w:left w:val="single" w:color="auto" w:sz="8" w:space="0"/>
              <w:bottom w:val="single" w:color="auto" w:sz="8" w:space="0"/>
              <w:right w:val="single" w:color="auto" w:sz="8" w:space="0"/>
            </w:tcBorders>
          </w:tcPr>
          <w:p w:rsidRPr="00DA4632" w:rsidR="001C2CAE" w:rsidRDefault="001C2CAE" w14:paraId="310F104C" w14:textId="77777777">
            <w:pPr>
              <w:rPr>
                <w:rFonts w:eastAsia="Arial" w:cs="Arial"/>
                <w:sz w:val="20"/>
                <w:szCs w:val="20"/>
              </w:rPr>
            </w:pPr>
            <w:r w:rsidRPr="00DA4632">
              <w:rPr>
                <w:rFonts w:eastAsia="Arial" w:cs="Arial"/>
                <w:sz w:val="20"/>
                <w:szCs w:val="20"/>
              </w:rPr>
              <w:t>New indicator 19: Number of indigenous projects supported by the programme</w:t>
            </w:r>
          </w:p>
        </w:tc>
        <w:tc>
          <w:tcPr>
            <w:tcW w:w="1830" w:type="dxa"/>
            <w:tcBorders>
              <w:top w:val="single" w:color="auto" w:sz="8" w:space="0"/>
              <w:left w:val="single" w:color="auto" w:sz="8" w:space="0"/>
              <w:bottom w:val="single" w:color="auto" w:sz="8" w:space="0"/>
              <w:right w:val="single" w:color="auto" w:sz="8" w:space="0"/>
            </w:tcBorders>
          </w:tcPr>
          <w:p w:rsidRPr="00DA4632" w:rsidR="001C2CAE" w:rsidRDefault="285254D4" w14:paraId="29F10043" w14:textId="581FCCF4">
            <w:pPr>
              <w:rPr>
                <w:rFonts w:eastAsia="Arial" w:cs="Arial"/>
                <w:sz w:val="20"/>
                <w:szCs w:val="20"/>
              </w:rPr>
            </w:pPr>
            <w:r w:rsidRPr="00DA4632">
              <w:rPr>
                <w:rFonts w:eastAsia="Arial" w:cs="Arial"/>
                <w:sz w:val="20"/>
                <w:szCs w:val="20"/>
              </w:rPr>
              <w:t>20</w:t>
            </w:r>
            <w:r w:rsidRPr="00DA4632" w:rsidR="3A57E053">
              <w:rPr>
                <w:rFonts w:eastAsia="Arial" w:cs="Arial"/>
                <w:sz w:val="20"/>
                <w:szCs w:val="20"/>
              </w:rPr>
              <w:t>2</w:t>
            </w:r>
            <w:r w:rsidR="009F7893">
              <w:rPr>
                <w:rFonts w:eastAsia="Arial" w:cs="Arial"/>
                <w:sz w:val="20"/>
                <w:szCs w:val="20"/>
              </w:rPr>
              <w:t>3</w:t>
            </w:r>
            <w:r w:rsidRPr="00DA4632" w:rsidR="3A57E053">
              <w:rPr>
                <w:rFonts w:eastAsia="Arial" w:cs="Arial"/>
                <w:sz w:val="20"/>
                <w:szCs w:val="20"/>
              </w:rPr>
              <w:t>-2</w:t>
            </w:r>
            <w:r w:rsidR="009F7893">
              <w:rPr>
                <w:rFonts w:eastAsia="Arial" w:cs="Arial"/>
                <w:sz w:val="20"/>
                <w:szCs w:val="20"/>
              </w:rPr>
              <w:t>4</w:t>
            </w:r>
            <w:r w:rsidRPr="00DA4632">
              <w:rPr>
                <w:rFonts w:eastAsia="Arial" w:cs="Arial"/>
                <w:sz w:val="20"/>
                <w:szCs w:val="20"/>
              </w:rPr>
              <w:t xml:space="preserve"> target: 1</w:t>
            </w:r>
            <w:r w:rsidRPr="00DA4632" w:rsidR="32438A1B">
              <w:rPr>
                <w:rFonts w:eastAsia="Arial" w:cs="Arial"/>
                <w:sz w:val="20"/>
                <w:szCs w:val="20"/>
              </w:rPr>
              <w:t>00</w:t>
            </w:r>
          </w:p>
        </w:tc>
        <w:tc>
          <w:tcPr>
            <w:tcW w:w="4290" w:type="dxa"/>
            <w:gridSpan w:val="3"/>
            <w:tcBorders>
              <w:top w:val="single" w:color="auto" w:sz="8" w:space="0"/>
              <w:left w:val="single" w:color="auto" w:sz="8" w:space="0"/>
              <w:bottom w:val="single" w:color="auto" w:sz="8" w:space="0"/>
              <w:right w:val="single" w:color="auto" w:sz="8" w:space="0"/>
            </w:tcBorders>
          </w:tcPr>
          <w:p w:rsidRPr="00DA4632" w:rsidR="0025664B" w:rsidP="00067061" w:rsidRDefault="0025664B" w14:paraId="54D498F4" w14:textId="5BF86832">
            <w:pPr>
              <w:rPr>
                <w:rFonts w:eastAsia="Arial" w:cs="Arial"/>
                <w:b/>
                <w:bCs/>
                <w:sz w:val="20"/>
                <w:szCs w:val="20"/>
              </w:rPr>
            </w:pPr>
            <w:r w:rsidRPr="00DA4632">
              <w:rPr>
                <w:rFonts w:eastAsia="Arial" w:cs="Arial"/>
                <w:b/>
                <w:bCs/>
                <w:sz w:val="20"/>
                <w:szCs w:val="20"/>
              </w:rPr>
              <w:t>Progress</w:t>
            </w:r>
            <w:r w:rsidR="009C05DA">
              <w:rPr>
                <w:rFonts w:eastAsia="Arial" w:cs="Arial"/>
                <w:b/>
                <w:bCs/>
                <w:sz w:val="20"/>
                <w:szCs w:val="20"/>
              </w:rPr>
              <w:t xml:space="preserve"> significantly</w:t>
            </w:r>
            <w:r w:rsidRPr="00DA4632">
              <w:rPr>
                <w:rFonts w:eastAsia="Arial" w:cs="Arial"/>
                <w:b/>
                <w:bCs/>
                <w:sz w:val="20"/>
                <w:szCs w:val="20"/>
              </w:rPr>
              <w:t xml:space="preserve"> exceeded expectation</w:t>
            </w:r>
          </w:p>
          <w:p w:rsidRPr="00DA4632" w:rsidR="00A87E8F" w:rsidP="00067061" w:rsidRDefault="00A87E8F" w14:paraId="070A633E" w14:textId="77777777">
            <w:pPr>
              <w:rPr>
                <w:rFonts w:eastAsia="Arial" w:cs="Arial"/>
                <w:b/>
                <w:bCs/>
                <w:sz w:val="20"/>
                <w:szCs w:val="20"/>
              </w:rPr>
            </w:pPr>
          </w:p>
          <w:p w:rsidRPr="00DA4632" w:rsidR="001C2CAE" w:rsidRDefault="285254D4" w14:paraId="1DA3DD37" w14:textId="3C3CB4A4">
            <w:pPr>
              <w:rPr>
                <w:rFonts w:eastAsia="Arial" w:cs="Arial"/>
                <w:b/>
                <w:bCs/>
                <w:sz w:val="20"/>
                <w:szCs w:val="20"/>
              </w:rPr>
            </w:pPr>
            <w:r w:rsidRPr="00DA4632">
              <w:rPr>
                <w:rFonts w:eastAsia="Arial" w:cs="Arial"/>
                <w:b/>
                <w:bCs/>
                <w:sz w:val="20"/>
                <w:szCs w:val="20"/>
              </w:rPr>
              <w:t>Total:</w:t>
            </w:r>
            <w:r w:rsidRPr="009F7893">
              <w:rPr>
                <w:rFonts w:eastAsia="Arial" w:cs="Arial"/>
                <w:sz w:val="20"/>
                <w:szCs w:val="20"/>
              </w:rPr>
              <w:t xml:space="preserve"> </w:t>
            </w:r>
            <w:r w:rsidRPr="009F7893" w:rsidR="5C07C3B6">
              <w:rPr>
                <w:rFonts w:eastAsia="Arial" w:cs="Arial"/>
                <w:sz w:val="20"/>
                <w:szCs w:val="20"/>
              </w:rPr>
              <w:t>2</w:t>
            </w:r>
            <w:r w:rsidRPr="009F7893" w:rsidR="003F32D9">
              <w:rPr>
                <w:rFonts w:eastAsia="Arial" w:cs="Arial"/>
                <w:sz w:val="20"/>
                <w:szCs w:val="20"/>
              </w:rPr>
              <w:t>7</w:t>
            </w:r>
            <w:r w:rsidRPr="009F7893" w:rsidR="009F3C24">
              <w:rPr>
                <w:rFonts w:eastAsia="Arial" w:cs="Arial"/>
                <w:sz w:val="20"/>
                <w:szCs w:val="20"/>
              </w:rPr>
              <w:t>3</w:t>
            </w:r>
          </w:p>
          <w:p w:rsidRPr="00DA4632" w:rsidR="00C21F41" w:rsidRDefault="00C21F41" w14:paraId="7BDAAB67" w14:textId="77777777">
            <w:pPr>
              <w:rPr>
                <w:rFonts w:eastAsia="Arial" w:cs="Arial"/>
                <w:b/>
                <w:bCs/>
                <w:sz w:val="20"/>
                <w:szCs w:val="20"/>
              </w:rPr>
            </w:pPr>
          </w:p>
          <w:p w:rsidRPr="00DA4632" w:rsidR="001C2CAE" w:rsidRDefault="001C2CAE" w14:paraId="326A3669" w14:textId="77777777">
            <w:pPr>
              <w:rPr>
                <w:rFonts w:eastAsia="Arial" w:cs="Arial"/>
                <w:sz w:val="20"/>
                <w:szCs w:val="20"/>
              </w:rPr>
            </w:pPr>
            <w:r w:rsidRPr="00DA4632">
              <w:rPr>
                <w:rFonts w:eastAsia="Arial" w:cs="Arial"/>
                <w:sz w:val="20"/>
                <w:szCs w:val="20"/>
              </w:rPr>
              <w:t>Colombia: 140</w:t>
            </w:r>
          </w:p>
          <w:p w:rsidRPr="00DA4632" w:rsidR="001C2CAE" w:rsidRDefault="677BD132" w14:paraId="2FB63329" w14:textId="3528F958">
            <w:pPr>
              <w:rPr>
                <w:rFonts w:eastAsia="Arial" w:cs="Arial"/>
                <w:sz w:val="20"/>
                <w:szCs w:val="20"/>
              </w:rPr>
            </w:pPr>
            <w:r w:rsidRPr="00DA4632">
              <w:rPr>
                <w:rFonts w:eastAsia="Arial" w:cs="Arial"/>
                <w:sz w:val="20"/>
                <w:szCs w:val="20"/>
              </w:rPr>
              <w:t xml:space="preserve">Acre: </w:t>
            </w:r>
            <w:r w:rsidRPr="00DA4632" w:rsidR="00B40681">
              <w:rPr>
                <w:rFonts w:eastAsia="Arial" w:cs="Arial"/>
                <w:sz w:val="20"/>
                <w:szCs w:val="20"/>
              </w:rPr>
              <w:t>29</w:t>
            </w:r>
            <w:r w:rsidRPr="00DA4632" w:rsidR="003051C6">
              <w:rPr>
                <w:rStyle w:val="FootnoteReference"/>
                <w:rFonts w:eastAsia="Arial" w:cs="Arial"/>
                <w:sz w:val="20"/>
                <w:szCs w:val="20"/>
              </w:rPr>
              <w:footnoteReference w:id="25"/>
            </w:r>
          </w:p>
          <w:p w:rsidRPr="00DA4632" w:rsidR="001C2CAE" w:rsidRDefault="001C2CAE" w14:paraId="7BD57DA3" w14:textId="11DF25A3">
            <w:pPr>
              <w:rPr>
                <w:rFonts w:eastAsia="Arial" w:cs="Arial"/>
                <w:b/>
                <w:bCs/>
                <w:sz w:val="20"/>
                <w:szCs w:val="20"/>
              </w:rPr>
            </w:pPr>
            <w:r w:rsidRPr="00DA4632">
              <w:rPr>
                <w:rFonts w:eastAsia="Arial" w:cs="Arial"/>
                <w:sz w:val="20"/>
                <w:szCs w:val="20"/>
              </w:rPr>
              <w:t xml:space="preserve">Mato Grosso: </w:t>
            </w:r>
            <w:r w:rsidRPr="00DA4632" w:rsidR="00930BF2">
              <w:rPr>
                <w:rFonts w:eastAsia="Arial" w:cs="Arial"/>
                <w:sz w:val="20"/>
                <w:szCs w:val="20"/>
              </w:rPr>
              <w:t>10</w:t>
            </w:r>
            <w:r w:rsidRPr="00DA4632" w:rsidR="009F3C24">
              <w:rPr>
                <w:rFonts w:eastAsia="Arial" w:cs="Arial"/>
                <w:sz w:val="20"/>
                <w:szCs w:val="20"/>
              </w:rPr>
              <w:t>4</w:t>
            </w:r>
          </w:p>
        </w:tc>
      </w:tr>
    </w:tbl>
    <w:p w:rsidR="008613BF" w:rsidP="001C2CAE" w:rsidRDefault="008613BF" w14:paraId="50A7A1B3" w14:textId="77777777">
      <w:pPr>
        <w:jc w:val="both"/>
        <w:rPr>
          <w:b/>
          <w:bCs/>
          <w:i/>
          <w:iCs/>
        </w:rPr>
      </w:pPr>
    </w:p>
    <w:p w:rsidRPr="00E32EED" w:rsidR="001C2CAE" w:rsidP="001C2CAE" w:rsidRDefault="001C2CAE" w14:paraId="14C27FB3" w14:textId="7D737049">
      <w:pPr>
        <w:jc w:val="both"/>
        <w:rPr>
          <w:rFonts w:cs="Arial"/>
          <w:b/>
          <w:sz w:val="20"/>
          <w:szCs w:val="20"/>
        </w:rPr>
      </w:pPr>
      <w:r w:rsidRPr="00E32EED">
        <w:rPr>
          <w:b/>
          <w:bCs/>
          <w:i/>
          <w:iCs/>
        </w:rPr>
        <w:t>Output summary and supporting narrative for the score</w:t>
      </w:r>
    </w:p>
    <w:p w:rsidRPr="00B61708" w:rsidR="00230A75" w:rsidP="001C2CAE" w:rsidRDefault="00230A75" w14:paraId="778191EA" w14:textId="77777777">
      <w:pPr>
        <w:jc w:val="both"/>
        <w:rPr>
          <w:rFonts w:cs="Arial"/>
          <w:bCs/>
          <w:sz w:val="16"/>
          <w:szCs w:val="16"/>
        </w:rPr>
      </w:pPr>
    </w:p>
    <w:p w:rsidRPr="002F5BD1" w:rsidR="00345855" w:rsidP="001C2CAE" w:rsidRDefault="122B25D5" w14:paraId="2F528790" w14:textId="3B871D2E">
      <w:pPr>
        <w:jc w:val="both"/>
        <w:rPr>
          <w:rFonts w:eastAsia="Arial" w:cs="Arial"/>
          <w:sz w:val="20"/>
          <w:szCs w:val="20"/>
          <w:highlight w:val="yellow"/>
        </w:rPr>
      </w:pPr>
      <w:r w:rsidRPr="15821389">
        <w:rPr>
          <w:rFonts w:eastAsia="Arial" w:cs="Arial"/>
          <w:sz w:val="20"/>
          <w:szCs w:val="20"/>
        </w:rPr>
        <w:t>In Acre,</w:t>
      </w:r>
      <w:r w:rsidRPr="15821389" w:rsidR="6099C029">
        <w:rPr>
          <w:rFonts w:eastAsia="Arial" w:cs="Arial"/>
          <w:sz w:val="20"/>
          <w:szCs w:val="20"/>
        </w:rPr>
        <w:t xml:space="preserve"> </w:t>
      </w:r>
      <w:r w:rsidR="00BC484C">
        <w:rPr>
          <w:rFonts w:eastAsia="Arial" w:cs="Arial"/>
          <w:sz w:val="20"/>
          <w:szCs w:val="20"/>
        </w:rPr>
        <w:t xml:space="preserve">no further progress was made on the </w:t>
      </w:r>
      <w:r w:rsidR="00345855">
        <w:rPr>
          <w:rFonts w:eastAsia="Arial" w:cs="Arial"/>
          <w:sz w:val="20"/>
          <w:szCs w:val="20"/>
        </w:rPr>
        <w:t>agroforestry agents (145 with a target of 117 have been trained and will continue to receive funding until the end of the programme).</w:t>
      </w:r>
      <w:r w:rsidRPr="15821389" w:rsidR="30227D9F">
        <w:rPr>
          <w:rFonts w:eastAsia="Arial" w:cs="Arial"/>
          <w:sz w:val="20"/>
          <w:szCs w:val="20"/>
        </w:rPr>
        <w:t xml:space="preserve"> They go on to</w:t>
      </w:r>
      <w:r w:rsidRPr="15821389" w:rsidR="76C1F357">
        <w:rPr>
          <w:rFonts w:eastAsia="Arial" w:cs="Arial"/>
          <w:sz w:val="20"/>
          <w:szCs w:val="20"/>
        </w:rPr>
        <w:t xml:space="preserve"> implement training and territorial management plans in their regions, creating a link between the state and the </w:t>
      </w:r>
      <w:r w:rsidRPr="007177E4" w:rsidR="27F8C4DC">
        <w:rPr>
          <w:rFonts w:eastAsia="Arial" w:cs="Arial"/>
          <w:sz w:val="20"/>
          <w:szCs w:val="20"/>
        </w:rPr>
        <w:t>Indigenous Territories.</w:t>
      </w:r>
      <w:r w:rsidRPr="007177E4" w:rsidR="00777461">
        <w:rPr>
          <w:rFonts w:eastAsia="Arial" w:cs="Arial"/>
          <w:sz w:val="20"/>
          <w:szCs w:val="20"/>
        </w:rPr>
        <w:t xml:space="preserve"> 29 projects in total have been </w:t>
      </w:r>
      <w:r w:rsidRPr="007177E4" w:rsidR="009B65E8">
        <w:rPr>
          <w:rFonts w:eastAsia="Arial" w:cs="Arial"/>
          <w:sz w:val="20"/>
          <w:szCs w:val="20"/>
        </w:rPr>
        <w:t xml:space="preserve">implemented under the land management goal, and 150 schools have been supported with a curriculum promoting </w:t>
      </w:r>
      <w:r w:rsidRPr="007177E4" w:rsidR="007177E4">
        <w:rPr>
          <w:rFonts w:eastAsia="Arial" w:cs="Arial"/>
          <w:sz w:val="20"/>
          <w:szCs w:val="20"/>
        </w:rPr>
        <w:t xml:space="preserve">indigenous beliefs, traditional teachings and territorial management, benefitting 1,908 students and teachers. </w:t>
      </w:r>
    </w:p>
    <w:p w:rsidRPr="00345855" w:rsidR="00EE4C46" w:rsidP="001C2CAE" w:rsidRDefault="00EE4C46" w14:paraId="342181FE" w14:textId="77777777">
      <w:pPr>
        <w:jc w:val="both"/>
        <w:rPr>
          <w:rFonts w:cs="Arial"/>
          <w:bCs/>
          <w:sz w:val="16"/>
          <w:szCs w:val="16"/>
          <w:highlight w:val="yellow"/>
        </w:rPr>
      </w:pPr>
    </w:p>
    <w:p w:rsidR="0097449B" w:rsidRDefault="00B90C9A" w14:paraId="1594EF96" w14:textId="1505521B">
      <w:pPr>
        <w:jc w:val="both"/>
        <w:rPr>
          <w:rFonts w:eastAsia="Arial" w:cs="Arial"/>
          <w:sz w:val="20"/>
          <w:szCs w:val="20"/>
        </w:rPr>
      </w:pPr>
      <w:r w:rsidRPr="00C2585F">
        <w:rPr>
          <w:rFonts w:eastAsia="Arial" w:cs="Arial"/>
          <w:sz w:val="20"/>
          <w:szCs w:val="20"/>
        </w:rPr>
        <w:t xml:space="preserve">In Mato Grosso, </w:t>
      </w:r>
      <w:r w:rsidRPr="00C2585F" w:rsidR="0053565A">
        <w:rPr>
          <w:rFonts w:eastAsia="Arial" w:cs="Arial"/>
          <w:sz w:val="20"/>
          <w:szCs w:val="20"/>
        </w:rPr>
        <w:t xml:space="preserve">this year saw various actions including </w:t>
      </w:r>
      <w:r w:rsidRPr="00C2585F" w:rsidR="00DC301B">
        <w:rPr>
          <w:rFonts w:eastAsia="Arial" w:cs="Arial"/>
          <w:sz w:val="20"/>
          <w:szCs w:val="20"/>
        </w:rPr>
        <w:t xml:space="preserve">finalising the Emergency Plan which gave support to </w:t>
      </w:r>
      <w:r w:rsidRPr="00C2585F" w:rsidR="00E723BA">
        <w:rPr>
          <w:rFonts w:eastAsia="Arial" w:cs="Arial"/>
          <w:sz w:val="20"/>
          <w:szCs w:val="20"/>
        </w:rPr>
        <w:t>75 local projects through Covid-19 a</w:t>
      </w:r>
      <w:r w:rsidRPr="00C2585F" w:rsidR="00DE0D38">
        <w:rPr>
          <w:rFonts w:eastAsia="Arial" w:cs="Arial"/>
          <w:sz w:val="20"/>
          <w:szCs w:val="20"/>
        </w:rPr>
        <w:t>cross 62 Indigenous territorie</w:t>
      </w:r>
      <w:r w:rsidRPr="00C2585F" w:rsidR="00D840FB">
        <w:rPr>
          <w:rFonts w:eastAsia="Arial" w:cs="Arial"/>
          <w:sz w:val="20"/>
          <w:szCs w:val="20"/>
        </w:rPr>
        <w:t>s, and finalised projects from the first call for proposals in 2022 (total value £1.5 million)</w:t>
      </w:r>
      <w:r w:rsidRPr="00C2585F" w:rsidR="00C118FC">
        <w:rPr>
          <w:rFonts w:eastAsia="Arial" w:cs="Arial"/>
          <w:sz w:val="20"/>
          <w:szCs w:val="20"/>
        </w:rPr>
        <w:t xml:space="preserve">. The programme team also completed an exchange in Acre, where they learned about the Agroforestry agents, which they may implement in </w:t>
      </w:r>
      <w:r w:rsidRPr="00C2585F" w:rsidR="00C118FC">
        <w:rPr>
          <w:rFonts w:eastAsia="Arial" w:cs="Arial"/>
          <w:sz w:val="20"/>
          <w:szCs w:val="20"/>
        </w:rPr>
        <w:lastRenderedPageBreak/>
        <w:t xml:space="preserve">Phase 2. </w:t>
      </w:r>
      <w:r w:rsidRPr="00C2585F" w:rsidR="003B2BE7">
        <w:rPr>
          <w:rFonts w:eastAsia="Arial" w:cs="Arial"/>
          <w:sz w:val="20"/>
          <w:szCs w:val="20"/>
        </w:rPr>
        <w:t xml:space="preserve">The main themes of the projects are </w:t>
      </w:r>
      <w:r w:rsidRPr="00C2585F" w:rsidR="00A73C87">
        <w:rPr>
          <w:rFonts w:eastAsia="Arial" w:cs="Arial"/>
          <w:sz w:val="20"/>
          <w:szCs w:val="20"/>
        </w:rPr>
        <w:t xml:space="preserve">socio-cultural strengthening, </w:t>
      </w:r>
      <w:r w:rsidRPr="00C2585F" w:rsidR="00340AE4">
        <w:rPr>
          <w:rFonts w:eastAsia="Arial" w:cs="Arial"/>
          <w:sz w:val="20"/>
          <w:szCs w:val="20"/>
        </w:rPr>
        <w:t>monitoring an</w:t>
      </w:r>
      <w:r w:rsidRPr="00C2585F" w:rsidR="001B47E9">
        <w:rPr>
          <w:rFonts w:eastAsia="Arial" w:cs="Arial"/>
          <w:sz w:val="20"/>
          <w:szCs w:val="20"/>
        </w:rPr>
        <w:t>d</w:t>
      </w:r>
      <w:r w:rsidRPr="00C2585F" w:rsidR="00340AE4">
        <w:rPr>
          <w:rFonts w:eastAsia="Arial" w:cs="Arial"/>
          <w:sz w:val="20"/>
          <w:szCs w:val="20"/>
        </w:rPr>
        <w:t xml:space="preserve"> </w:t>
      </w:r>
      <w:r w:rsidRPr="00C2585F" w:rsidR="001B47E9">
        <w:rPr>
          <w:rFonts w:eastAsia="Arial" w:cs="Arial"/>
          <w:sz w:val="20"/>
          <w:szCs w:val="20"/>
        </w:rPr>
        <w:t>territorial</w:t>
      </w:r>
      <w:r w:rsidRPr="00C2585F" w:rsidR="00340AE4">
        <w:rPr>
          <w:rFonts w:eastAsia="Arial" w:cs="Arial"/>
          <w:sz w:val="20"/>
          <w:szCs w:val="20"/>
        </w:rPr>
        <w:t xml:space="preserve"> </w:t>
      </w:r>
      <w:r w:rsidRPr="00C2585F" w:rsidR="001B47E9">
        <w:rPr>
          <w:rFonts w:eastAsia="Arial" w:cs="Arial"/>
          <w:sz w:val="20"/>
          <w:szCs w:val="20"/>
        </w:rPr>
        <w:t>c</w:t>
      </w:r>
      <w:r w:rsidRPr="00C2585F" w:rsidR="00340AE4">
        <w:rPr>
          <w:rFonts w:eastAsia="Arial" w:cs="Arial"/>
          <w:sz w:val="20"/>
          <w:szCs w:val="20"/>
        </w:rPr>
        <w:t>ontrol, forest fires, food security</w:t>
      </w:r>
      <w:r w:rsidRPr="00C2585F" w:rsidR="001B47E9">
        <w:rPr>
          <w:rFonts w:eastAsia="Arial" w:cs="Arial"/>
          <w:sz w:val="20"/>
          <w:szCs w:val="20"/>
        </w:rPr>
        <w:t xml:space="preserve">, </w:t>
      </w:r>
      <w:r w:rsidRPr="00C2585F" w:rsidR="00340AE4">
        <w:rPr>
          <w:rFonts w:eastAsia="Arial" w:cs="Arial"/>
          <w:sz w:val="20"/>
          <w:szCs w:val="20"/>
        </w:rPr>
        <w:t>community infrastructure</w:t>
      </w:r>
      <w:r w:rsidRPr="00C2585F" w:rsidR="001B47E9">
        <w:rPr>
          <w:rFonts w:eastAsia="Arial" w:cs="Arial"/>
          <w:sz w:val="20"/>
          <w:szCs w:val="20"/>
        </w:rPr>
        <w:t xml:space="preserve">, and food production and commercialisation. </w:t>
      </w:r>
      <w:r w:rsidRPr="00C2585F" w:rsidR="00FE0C97">
        <w:rPr>
          <w:rFonts w:eastAsia="Arial" w:cs="Arial"/>
          <w:sz w:val="20"/>
          <w:szCs w:val="20"/>
        </w:rPr>
        <w:t>In total the Indigenous sub-programme has made an impact on 62 territories</w:t>
      </w:r>
      <w:r w:rsidRPr="00C2585F" w:rsidR="005F4720">
        <w:rPr>
          <w:rFonts w:eastAsia="Arial" w:cs="Arial"/>
          <w:sz w:val="20"/>
          <w:szCs w:val="20"/>
        </w:rPr>
        <w:t xml:space="preserve"> across 602 communities. </w:t>
      </w:r>
      <w:r w:rsidRPr="00C2585F" w:rsidR="0012214C">
        <w:rPr>
          <w:rFonts w:eastAsia="Arial" w:cs="Arial"/>
          <w:sz w:val="20"/>
          <w:szCs w:val="20"/>
        </w:rPr>
        <w:t xml:space="preserve">Of the 105 projects, 60 were executed by Indigenous organisations, building capacity locally within community. </w:t>
      </w:r>
      <w:r w:rsidRPr="00C2585F" w:rsidR="001B176C">
        <w:rPr>
          <w:rFonts w:eastAsia="Arial" w:cs="Arial"/>
          <w:sz w:val="20"/>
          <w:szCs w:val="20"/>
        </w:rPr>
        <w:t>Most of these projects have now closed, and the target for the next year will be to close and evaluate the</w:t>
      </w:r>
      <w:r w:rsidRPr="00C2585F" w:rsidR="000E452B">
        <w:rPr>
          <w:rFonts w:eastAsia="Arial" w:cs="Arial"/>
          <w:sz w:val="20"/>
          <w:szCs w:val="20"/>
        </w:rPr>
        <w:t xml:space="preserve">se projects ready for improved action in Phase 2. </w:t>
      </w:r>
      <w:r w:rsidRPr="00C2585F" w:rsidR="00A20D4F">
        <w:rPr>
          <w:rFonts w:eastAsia="Arial" w:cs="Arial"/>
          <w:sz w:val="20"/>
          <w:szCs w:val="20"/>
        </w:rPr>
        <w:t xml:space="preserve">The delays with FEPOIMT, the IP organisation supported by REM Mato Grosso, </w:t>
      </w:r>
      <w:r w:rsidRPr="00C2585F" w:rsidR="00864842">
        <w:rPr>
          <w:rFonts w:eastAsia="Arial" w:cs="Arial"/>
          <w:sz w:val="20"/>
          <w:szCs w:val="20"/>
        </w:rPr>
        <w:t xml:space="preserve">was supported to attend various meetings including pre-COP and local meetings, however they have not yet presented </w:t>
      </w:r>
      <w:r w:rsidRPr="00C2585F" w:rsidR="00056F34">
        <w:rPr>
          <w:rFonts w:eastAsia="Arial" w:cs="Arial"/>
          <w:sz w:val="20"/>
          <w:szCs w:val="20"/>
        </w:rPr>
        <w:t>a final project which they will implement</w:t>
      </w:r>
      <w:r w:rsidRPr="00C2585F" w:rsidR="00BC2A34">
        <w:rPr>
          <w:rFonts w:eastAsia="Arial" w:cs="Arial"/>
          <w:sz w:val="20"/>
          <w:szCs w:val="20"/>
        </w:rPr>
        <w:t xml:space="preserve">, and around £700,000 is left to be spent. </w:t>
      </w:r>
      <w:r w:rsidRPr="00C2585F" w:rsidR="001D615C">
        <w:rPr>
          <w:rFonts w:eastAsia="Arial" w:cs="Arial"/>
          <w:sz w:val="20"/>
          <w:szCs w:val="20"/>
        </w:rPr>
        <w:t xml:space="preserve">The sub-programme team continue to resolve this issue, and will potentially </w:t>
      </w:r>
      <w:r w:rsidRPr="00C2585F" w:rsidR="00D527E6">
        <w:rPr>
          <w:rFonts w:eastAsia="Arial" w:cs="Arial"/>
          <w:sz w:val="20"/>
          <w:szCs w:val="20"/>
        </w:rPr>
        <w:t xml:space="preserve">distribute this funding to other organisations through Phase 2. </w:t>
      </w:r>
    </w:p>
    <w:p w:rsidR="00DF5BE5" w:rsidRDefault="00DF5BE5" w14:paraId="2F74FC7C" w14:textId="77777777">
      <w:pPr>
        <w:jc w:val="both"/>
        <w:rPr>
          <w:rFonts w:eastAsia="Arial" w:cs="Arial"/>
          <w:sz w:val="20"/>
          <w:szCs w:val="20"/>
        </w:rPr>
      </w:pPr>
    </w:p>
    <w:p w:rsidRPr="00C2585F" w:rsidR="000949D9" w:rsidRDefault="000949D9" w14:paraId="1E3DB8A4" w14:textId="2492B520">
      <w:pPr>
        <w:jc w:val="both"/>
        <w:rPr>
          <w:rFonts w:eastAsia="Arial" w:cs="Arial"/>
          <w:sz w:val="20"/>
          <w:szCs w:val="20"/>
        </w:rPr>
      </w:pPr>
      <w:r>
        <w:rPr>
          <w:rFonts w:eastAsia="Arial" w:cs="Arial"/>
          <w:sz w:val="20"/>
          <w:szCs w:val="20"/>
        </w:rPr>
        <w:t>Although not captured in the log frame, Mato Grosso made advances in participa</w:t>
      </w:r>
      <w:r w:rsidR="006B440E">
        <w:rPr>
          <w:rFonts w:eastAsia="Arial" w:cs="Arial"/>
          <w:sz w:val="20"/>
          <w:szCs w:val="20"/>
        </w:rPr>
        <w:t>to</w:t>
      </w:r>
      <w:r>
        <w:rPr>
          <w:rFonts w:eastAsia="Arial" w:cs="Arial"/>
          <w:sz w:val="20"/>
          <w:szCs w:val="20"/>
        </w:rPr>
        <w:t>ry monitoring of IP projects with the support of TNC (The Nature Conservancy).</w:t>
      </w:r>
      <w:r w:rsidR="00521C27">
        <w:rPr>
          <w:rFonts w:eastAsia="Arial" w:cs="Arial"/>
          <w:sz w:val="20"/>
          <w:szCs w:val="20"/>
        </w:rPr>
        <w:t xml:space="preserve"> Through participatory meetings and capacity building, they were able to teach the communities to provide monitoring for their projects (25 of </w:t>
      </w:r>
      <w:r w:rsidR="002B6DFD">
        <w:rPr>
          <w:rFonts w:eastAsia="Arial" w:cs="Arial"/>
          <w:sz w:val="20"/>
          <w:szCs w:val="20"/>
        </w:rPr>
        <w:t>27 achieved this)</w:t>
      </w:r>
      <w:r w:rsidR="002439BF">
        <w:rPr>
          <w:rFonts w:eastAsia="Arial" w:cs="Arial"/>
          <w:sz w:val="20"/>
          <w:szCs w:val="20"/>
        </w:rPr>
        <w:t>.</w:t>
      </w:r>
    </w:p>
    <w:p w:rsidR="00E723BA" w:rsidRDefault="00E723BA" w14:paraId="75DF98D9" w14:textId="77777777">
      <w:pPr>
        <w:jc w:val="both"/>
        <w:rPr>
          <w:rFonts w:eastAsia="Arial" w:cs="Arial"/>
          <w:sz w:val="20"/>
          <w:szCs w:val="20"/>
          <w:highlight w:val="yellow"/>
        </w:rPr>
      </w:pPr>
    </w:p>
    <w:p w:rsidRPr="00C21F41" w:rsidR="00444989" w:rsidP="001C2CAE" w:rsidRDefault="00444989" w14:paraId="4C1A6DD0" w14:textId="4FEAA6A8">
      <w:pPr>
        <w:jc w:val="both"/>
        <w:rPr>
          <w:rFonts w:cs="Arial"/>
          <w:sz w:val="20"/>
          <w:szCs w:val="20"/>
        </w:rPr>
      </w:pPr>
      <w:r w:rsidRPr="27F83DE4" w:rsidR="00444989">
        <w:rPr>
          <w:rFonts w:cs="Arial"/>
          <w:sz w:val="20"/>
          <w:szCs w:val="20"/>
        </w:rPr>
        <w:t>In Colombia, conclusions from the evaluations of the 1</w:t>
      </w:r>
      <w:r w:rsidRPr="27F83DE4" w:rsidR="00444989">
        <w:rPr>
          <w:rFonts w:cs="Arial"/>
          <w:sz w:val="20"/>
          <w:szCs w:val="20"/>
          <w:vertAlign w:val="superscript"/>
        </w:rPr>
        <w:t>st</w:t>
      </w:r>
      <w:r w:rsidRPr="27F83DE4" w:rsidR="00444989">
        <w:rPr>
          <w:rFonts w:cs="Arial"/>
          <w:sz w:val="20"/>
          <w:szCs w:val="20"/>
        </w:rPr>
        <w:t xml:space="preserve"> and 2</w:t>
      </w:r>
      <w:r w:rsidRPr="27F83DE4" w:rsidR="00444989">
        <w:rPr>
          <w:rFonts w:cs="Arial"/>
          <w:sz w:val="20"/>
          <w:szCs w:val="20"/>
          <w:vertAlign w:val="superscript"/>
        </w:rPr>
        <w:t>nd</w:t>
      </w:r>
      <w:r w:rsidRPr="27F83DE4" w:rsidR="00444989">
        <w:rPr>
          <w:rFonts w:cs="Arial"/>
          <w:sz w:val="20"/>
          <w:szCs w:val="20"/>
        </w:rPr>
        <w:t xml:space="preserve"> call for proposals led to two further </w:t>
      </w:r>
      <w:r w:rsidRPr="27F83DE4" w:rsidR="00FE0463">
        <w:rPr>
          <w:rFonts w:cs="Arial"/>
          <w:sz w:val="20"/>
          <w:szCs w:val="20"/>
        </w:rPr>
        <w:t>calls</w:t>
      </w:r>
      <w:r w:rsidRPr="27F83DE4" w:rsidR="00444989">
        <w:rPr>
          <w:rFonts w:cs="Arial"/>
          <w:sz w:val="20"/>
          <w:szCs w:val="20"/>
        </w:rPr>
        <w:t xml:space="preserve"> for proposals in this reporting period, </w:t>
      </w:r>
      <w:r w:rsidRPr="27F83DE4" w:rsidR="00FE0463">
        <w:rPr>
          <w:rFonts w:cs="Arial"/>
          <w:sz w:val="20"/>
          <w:szCs w:val="20"/>
        </w:rPr>
        <w:t>disbursing</w:t>
      </w:r>
      <w:r w:rsidRPr="27F83DE4" w:rsidR="00444989">
        <w:rPr>
          <w:rFonts w:cs="Arial"/>
          <w:sz w:val="20"/>
          <w:szCs w:val="20"/>
        </w:rPr>
        <w:t xml:space="preserve"> a total of </w:t>
      </w:r>
      <w:r w:rsidRPr="27F83DE4" w:rsidR="0086720B">
        <w:rPr>
          <w:rFonts w:cs="Arial"/>
          <w:sz w:val="20"/>
          <w:szCs w:val="20"/>
        </w:rPr>
        <w:t xml:space="preserve">£9 million to 139 projects across the </w:t>
      </w:r>
      <w:r w:rsidRPr="27F83DE4" w:rsidR="00FE0463">
        <w:rPr>
          <w:rFonts w:cs="Arial"/>
          <w:sz w:val="20"/>
          <w:szCs w:val="20"/>
        </w:rPr>
        <w:t>Amazon</w:t>
      </w:r>
      <w:r w:rsidRPr="27F83DE4" w:rsidR="0086720B">
        <w:rPr>
          <w:rFonts w:cs="Arial"/>
          <w:sz w:val="20"/>
          <w:szCs w:val="20"/>
        </w:rPr>
        <w:t xml:space="preserve"> for Indigenous </w:t>
      </w:r>
      <w:r w:rsidRPr="27F83DE4" w:rsidR="00A566A6">
        <w:rPr>
          <w:rFonts w:cs="Arial"/>
          <w:sz w:val="20"/>
          <w:szCs w:val="20"/>
        </w:rPr>
        <w:t>Peoples.</w:t>
      </w:r>
      <w:r w:rsidRPr="27F83DE4" w:rsidR="00114A33">
        <w:rPr>
          <w:rFonts w:cs="Arial"/>
          <w:sz w:val="20"/>
          <w:szCs w:val="20"/>
        </w:rPr>
        <w:t xml:space="preserve"> A final report of these projects will be processed as part of the end of the programme.</w:t>
      </w:r>
      <w:r w:rsidRPr="27F83DE4" w:rsidR="00A566A6">
        <w:rPr>
          <w:rFonts w:cs="Arial"/>
          <w:sz w:val="20"/>
          <w:szCs w:val="20"/>
        </w:rPr>
        <w:t xml:space="preserve"> This period also saw the start of the ‘consulta previa’ or consultations in 32 areas of the Amazon</w:t>
      </w:r>
      <w:r w:rsidRPr="27F83DE4" w:rsidR="00394442">
        <w:rPr>
          <w:rFonts w:cs="Arial"/>
          <w:sz w:val="20"/>
          <w:szCs w:val="20"/>
        </w:rPr>
        <w:t xml:space="preserve"> covering 42 Indigenous Peoples</w:t>
      </w:r>
      <w:r w:rsidRPr="27F83DE4" w:rsidR="00A566A6">
        <w:rPr>
          <w:rFonts w:cs="Arial"/>
          <w:sz w:val="20"/>
          <w:szCs w:val="20"/>
        </w:rPr>
        <w:t xml:space="preserve"> which will inform the 5</w:t>
      </w:r>
      <w:r w:rsidRPr="27F83DE4" w:rsidR="00A566A6">
        <w:rPr>
          <w:rFonts w:cs="Arial"/>
          <w:sz w:val="20"/>
          <w:szCs w:val="20"/>
          <w:vertAlign w:val="superscript"/>
        </w:rPr>
        <w:t>th</w:t>
      </w:r>
      <w:r w:rsidRPr="27F83DE4" w:rsidR="00A566A6">
        <w:rPr>
          <w:rFonts w:cs="Arial"/>
          <w:sz w:val="20"/>
          <w:szCs w:val="20"/>
        </w:rPr>
        <w:t xml:space="preserve"> call for proposals </w:t>
      </w:r>
      <w:r w:rsidRPr="27F83DE4" w:rsidR="00FE0463">
        <w:rPr>
          <w:rFonts w:cs="Arial"/>
          <w:sz w:val="20"/>
          <w:szCs w:val="20"/>
        </w:rPr>
        <w:t xml:space="preserve">under REM </w:t>
      </w:r>
      <w:r w:rsidRPr="27F83DE4" w:rsidR="00FE0463">
        <w:rPr>
          <w:rFonts w:cs="Arial"/>
          <w:sz w:val="20"/>
          <w:szCs w:val="20"/>
        </w:rPr>
        <w:t xml:space="preserve">2, </w:t>
      </w:r>
      <w:r w:rsidRPr="27F83DE4" w:rsidR="00A566A6">
        <w:rPr>
          <w:rFonts w:cs="Arial"/>
          <w:sz w:val="20"/>
          <w:szCs w:val="20"/>
        </w:rPr>
        <w:t>and</w:t>
      </w:r>
      <w:r w:rsidRPr="27F83DE4" w:rsidR="00A566A6">
        <w:rPr>
          <w:rFonts w:cs="Arial"/>
          <w:sz w:val="20"/>
          <w:szCs w:val="20"/>
        </w:rPr>
        <w:t xml:space="preserve"> support the connection between local communities and the Government of Colombia. </w:t>
      </w:r>
      <w:r w:rsidRPr="27F83DE4" w:rsidR="00394442">
        <w:rPr>
          <w:rFonts w:cs="Arial"/>
          <w:sz w:val="20"/>
          <w:szCs w:val="20"/>
        </w:rPr>
        <w:t xml:space="preserve">This started in June 2024 and will end in the </w:t>
      </w:r>
      <w:r w:rsidRPr="27F83DE4" w:rsidR="00FE0463">
        <w:rPr>
          <w:rFonts w:cs="Arial"/>
          <w:sz w:val="20"/>
          <w:szCs w:val="20"/>
        </w:rPr>
        <w:t>next</w:t>
      </w:r>
      <w:r w:rsidRPr="27F83DE4" w:rsidR="00394442">
        <w:rPr>
          <w:rFonts w:cs="Arial"/>
          <w:sz w:val="20"/>
          <w:szCs w:val="20"/>
        </w:rPr>
        <w:t xml:space="preserve"> reporting period of October 2024. This is a huge logistical challenge given the challenges in reaching these communities and </w:t>
      </w:r>
      <w:r w:rsidRPr="27F83DE4" w:rsidR="00FE0463">
        <w:rPr>
          <w:rFonts w:cs="Arial"/>
          <w:sz w:val="20"/>
          <w:szCs w:val="20"/>
        </w:rPr>
        <w:t xml:space="preserve">ensuring participation of rural communities. </w:t>
      </w:r>
    </w:p>
    <w:p w:rsidR="27F83DE4" w:rsidP="27F83DE4" w:rsidRDefault="27F83DE4" w14:paraId="067ABD74" w14:textId="21F295EA">
      <w:pPr>
        <w:jc w:val="both"/>
        <w:rPr>
          <w:rFonts w:cs="Arial"/>
          <w:sz w:val="20"/>
          <w:szCs w:val="20"/>
        </w:rPr>
      </w:pPr>
    </w:p>
    <w:p w:rsidR="05E26147" w:rsidP="5DCE3244" w:rsidRDefault="05E26147" w14:paraId="2556941E" w14:textId="29D64131">
      <w:pPr>
        <w:jc w:val="both"/>
        <w:rPr>
          <w:rFonts w:cs="Arial"/>
          <w:sz w:val="20"/>
          <w:szCs w:val="20"/>
          <w:highlight w:val="yellow"/>
          <w:lang w:val="pt-BR"/>
        </w:rPr>
      </w:pPr>
      <w:r w:rsidRPr="5DCE3244" w:rsidR="05E26147">
        <w:rPr>
          <w:rFonts w:cs="Arial"/>
          <w:sz w:val="20"/>
          <w:szCs w:val="20"/>
          <w:highlight w:val="yellow"/>
          <w:lang w:val="pt-BR"/>
        </w:rPr>
        <w:t>Indicator 19 – mato grosso: 75 projetos locais plano emergencial; 19 projetos locais chamada 2</w:t>
      </w:r>
      <w:r w:rsidRPr="5DCE3244" w:rsidR="2D855CE5">
        <w:rPr>
          <w:rFonts w:cs="Arial"/>
          <w:sz w:val="20"/>
          <w:szCs w:val="20"/>
          <w:highlight w:val="yellow"/>
          <w:lang w:val="pt-BR"/>
        </w:rPr>
        <w:t xml:space="preserve">\22; 1 projeto estruturante FEPOIMT; 1 projeto estruturante </w:t>
      </w:r>
      <w:r w:rsidRPr="5DCE3244" w:rsidR="2D855CE5">
        <w:rPr>
          <w:rFonts w:cs="Arial"/>
          <w:sz w:val="20"/>
          <w:szCs w:val="20"/>
          <w:highlight w:val="yellow"/>
          <w:lang w:val="pt-BR"/>
        </w:rPr>
        <w:t>Kuradomodo</w:t>
      </w:r>
    </w:p>
    <w:p w:rsidR="5DCE3244" w:rsidP="5DCE3244" w:rsidRDefault="5DCE3244" w14:paraId="7E432B4F" w14:textId="68F32058">
      <w:pPr>
        <w:jc w:val="both"/>
        <w:rPr>
          <w:rFonts w:cs="Arial"/>
          <w:sz w:val="20"/>
          <w:szCs w:val="20"/>
        </w:rPr>
      </w:pPr>
    </w:p>
    <w:p w:rsidRPr="00D80C6C" w:rsidR="00AF5528" w:rsidP="001C2CAE" w:rsidRDefault="00AF5528" w14:paraId="3E543B9F" w14:textId="77777777">
      <w:pPr>
        <w:jc w:val="both"/>
        <w:rPr>
          <w:rFonts w:cs="Arial"/>
          <w:bCs/>
          <w:sz w:val="22"/>
          <w:szCs w:val="22"/>
        </w:rPr>
      </w:pPr>
    </w:p>
    <w:p w:rsidR="001C2CAE" w:rsidP="001C2CAE" w:rsidRDefault="001C2CAE" w14:paraId="64728B3B" w14:textId="77777777">
      <w:pPr>
        <w:jc w:val="both"/>
        <w:rPr>
          <w:rFonts w:cs="Arial"/>
          <w:i/>
          <w:iCs/>
          <w:sz w:val="22"/>
          <w:szCs w:val="22"/>
        </w:rPr>
      </w:pPr>
      <w:r w:rsidRPr="007F543A">
        <w:rPr>
          <w:b/>
          <w:bCs/>
          <w:i/>
          <w:iCs/>
        </w:rPr>
        <w:t>Changes to this output, and any planned changes as a result of this review</w:t>
      </w:r>
    </w:p>
    <w:p w:rsidRPr="001A5E06" w:rsidR="001C2CAE" w:rsidP="001C2CAE" w:rsidRDefault="001C2CAE" w14:paraId="1954428F" w14:textId="3C731123">
      <w:pPr>
        <w:jc w:val="both"/>
        <w:rPr>
          <w:rFonts w:cs="Arial"/>
          <w:sz w:val="20"/>
          <w:szCs w:val="20"/>
        </w:rPr>
      </w:pPr>
      <w:r w:rsidRPr="001A5E06">
        <w:rPr>
          <w:rFonts w:cs="Arial"/>
          <w:sz w:val="20"/>
          <w:szCs w:val="20"/>
        </w:rPr>
        <w:t>No changes have been made to this output</w:t>
      </w:r>
      <w:r w:rsidR="00246EB1">
        <w:rPr>
          <w:rFonts w:cs="Arial"/>
          <w:sz w:val="20"/>
          <w:szCs w:val="20"/>
        </w:rPr>
        <w:t xml:space="preserve">. </w:t>
      </w:r>
      <w:r w:rsidR="008335D6">
        <w:rPr>
          <w:rFonts w:cs="Arial"/>
          <w:sz w:val="20"/>
          <w:szCs w:val="20"/>
        </w:rPr>
        <w:t>Acre’s targets need to be monitored and adjusted based</w:t>
      </w:r>
      <w:r w:rsidR="0033760C">
        <w:rPr>
          <w:rFonts w:cs="Arial"/>
          <w:sz w:val="20"/>
          <w:szCs w:val="20"/>
        </w:rPr>
        <w:t xml:space="preserve"> </w:t>
      </w:r>
      <w:r w:rsidR="008335D6">
        <w:rPr>
          <w:rFonts w:cs="Arial"/>
          <w:sz w:val="20"/>
          <w:szCs w:val="20"/>
        </w:rPr>
        <w:t xml:space="preserve">on the new investment plan. </w:t>
      </w:r>
    </w:p>
    <w:p w:rsidRPr="00FB4F43" w:rsidR="001C2CAE" w:rsidP="001C2CAE" w:rsidRDefault="001C2CAE" w14:paraId="508A1F8C" w14:textId="77777777">
      <w:pPr>
        <w:jc w:val="both"/>
        <w:rPr>
          <w:rFonts w:cs="Arial"/>
          <w:i/>
          <w:iCs/>
          <w:sz w:val="20"/>
          <w:szCs w:val="20"/>
        </w:rPr>
      </w:pPr>
    </w:p>
    <w:p w:rsidRPr="00FB4F43" w:rsidR="001C2CAE" w:rsidP="001C2CAE" w:rsidRDefault="001C2CAE" w14:paraId="5DE90F28" w14:textId="6BF0F360">
      <w:pPr>
        <w:jc w:val="both"/>
        <w:rPr>
          <w:b/>
          <w:bCs/>
          <w:i/>
          <w:iCs/>
        </w:rPr>
      </w:pPr>
      <w:r w:rsidRPr="00FB4F43">
        <w:rPr>
          <w:b/>
          <w:bCs/>
          <w:i/>
          <w:iCs/>
        </w:rPr>
        <w:t>Progress on recommendations from the previous AR, lessons learned this year, and recommendations for the year ahead</w:t>
      </w:r>
    </w:p>
    <w:p w:rsidR="001B0D1E" w:rsidP="001C64ED" w:rsidRDefault="001B0D1E" w14:paraId="32CED86E" w14:textId="77777777">
      <w:pPr>
        <w:jc w:val="both"/>
        <w:rPr>
          <w:rFonts w:eastAsia="Arial" w:cs="Arial"/>
          <w:sz w:val="20"/>
          <w:szCs w:val="20"/>
        </w:rPr>
      </w:pPr>
    </w:p>
    <w:p w:rsidR="00246EB1" w:rsidP="001C64ED" w:rsidRDefault="00246EB1" w14:paraId="2C7C1FC6" w14:textId="23822646">
      <w:pPr>
        <w:jc w:val="both"/>
        <w:rPr>
          <w:rFonts w:eastAsia="Arial" w:cs="Arial"/>
          <w:sz w:val="20"/>
          <w:szCs w:val="20"/>
        </w:rPr>
      </w:pPr>
      <w:r>
        <w:rPr>
          <w:rFonts w:eastAsia="Arial" w:cs="Arial"/>
          <w:sz w:val="20"/>
          <w:szCs w:val="20"/>
        </w:rPr>
        <w:t xml:space="preserve">The recommendations from last year were partly achieved: </w:t>
      </w:r>
    </w:p>
    <w:p w:rsidR="00246EB1" w:rsidP="00246EB1" w:rsidRDefault="00246EB1" w14:paraId="29C18BED" w14:textId="3F6126B9">
      <w:pPr>
        <w:pStyle w:val="ListParagraph"/>
        <w:numPr>
          <w:ilvl w:val="0"/>
          <w:numId w:val="20"/>
        </w:numPr>
        <w:jc w:val="both"/>
        <w:rPr>
          <w:rFonts w:cs="Arial"/>
          <w:sz w:val="20"/>
        </w:rPr>
      </w:pPr>
      <w:r w:rsidRPr="00BB09F8">
        <w:rPr>
          <w:rFonts w:cs="Arial"/>
          <w:sz w:val="20"/>
        </w:rPr>
        <w:t>Colombia to bring lessons learned from IP projects to support next round of call for proposals</w:t>
      </w:r>
      <w:r>
        <w:rPr>
          <w:rFonts w:cs="Arial"/>
          <w:sz w:val="20"/>
        </w:rPr>
        <w:t>: achieved</w:t>
      </w:r>
      <w:r w:rsidR="00A86F2D">
        <w:rPr>
          <w:rFonts w:cs="Arial"/>
          <w:sz w:val="20"/>
        </w:rPr>
        <w:t xml:space="preserve"> and further consultations started across the country. </w:t>
      </w:r>
    </w:p>
    <w:p w:rsidRPr="00246EB1" w:rsidR="00246EB1" w:rsidP="00246EB1" w:rsidRDefault="00D527E6" w14:paraId="3694E976" w14:textId="6C7140B3">
      <w:pPr>
        <w:pStyle w:val="ListParagraph"/>
        <w:numPr>
          <w:ilvl w:val="0"/>
          <w:numId w:val="20"/>
        </w:numPr>
        <w:jc w:val="both"/>
        <w:rPr>
          <w:rFonts w:cs="Arial"/>
          <w:sz w:val="20"/>
        </w:rPr>
      </w:pPr>
      <w:r>
        <w:rPr>
          <w:rFonts w:cs="Arial"/>
          <w:sz w:val="20"/>
        </w:rPr>
        <w:t xml:space="preserve">Mato Grosso </w:t>
      </w:r>
      <w:r w:rsidR="00E819B7">
        <w:rPr>
          <w:rFonts w:cs="Arial"/>
          <w:sz w:val="20"/>
        </w:rPr>
        <w:t>has partially resolved the disbursement issues</w:t>
      </w:r>
      <w:r w:rsidR="00607AF1">
        <w:rPr>
          <w:rFonts w:cs="Arial"/>
          <w:sz w:val="20"/>
        </w:rPr>
        <w:t xml:space="preserve">; the programme has around £4 million left to execute, but most of this has </w:t>
      </w:r>
      <w:r w:rsidR="00A86F2D">
        <w:rPr>
          <w:rFonts w:cs="Arial"/>
          <w:sz w:val="20"/>
        </w:rPr>
        <w:t>b</w:t>
      </w:r>
      <w:r w:rsidR="00607AF1">
        <w:rPr>
          <w:rFonts w:cs="Arial"/>
          <w:sz w:val="20"/>
        </w:rPr>
        <w:t>een committed and they expect to ex</w:t>
      </w:r>
      <w:r w:rsidR="000F0501">
        <w:rPr>
          <w:rFonts w:cs="Arial"/>
          <w:sz w:val="20"/>
        </w:rPr>
        <w:t>ecute most of this before the end of the programme next year</w:t>
      </w:r>
      <w:r w:rsidR="00A86F2D">
        <w:rPr>
          <w:rFonts w:cs="Arial"/>
          <w:sz w:val="20"/>
        </w:rPr>
        <w:t>. Some funding will not be spent, due to the delays with FEPOIMT, and</w:t>
      </w:r>
      <w:r w:rsidR="00791083">
        <w:rPr>
          <w:rFonts w:cs="Arial"/>
          <w:sz w:val="20"/>
        </w:rPr>
        <w:t xml:space="preserve"> this may be distributed to other projects or moved to Phase 2. </w:t>
      </w:r>
    </w:p>
    <w:p w:rsidRPr="00290369" w:rsidR="005F25AE" w:rsidP="005F25AE" w:rsidRDefault="005F25AE" w14:paraId="22EAC508" w14:textId="77777777">
      <w:pPr>
        <w:spacing w:before="240" w:after="200"/>
        <w:contextualSpacing/>
        <w:jc w:val="both"/>
        <w:rPr>
          <w:rFonts w:eastAsia="Arial" w:cs="Arial"/>
          <w:i/>
          <w:iCs/>
          <w:color w:val="000000" w:themeColor="text1"/>
          <w:sz w:val="22"/>
          <w:szCs w:val="22"/>
        </w:rPr>
      </w:pPr>
      <w:r w:rsidRPr="00290369">
        <w:rPr>
          <w:rFonts w:eastAsia="Arial" w:cs="Arial"/>
          <w:b/>
          <w:bCs/>
          <w:i/>
          <w:iCs/>
          <w:color w:val="000000" w:themeColor="text1"/>
          <w:sz w:val="22"/>
          <w:szCs w:val="22"/>
        </w:rPr>
        <w:t>Lessons identified this year, and recommendations for the year ahead linked to this output </w:t>
      </w:r>
    </w:p>
    <w:p w:rsidRPr="00BB09F8" w:rsidR="001C64ED" w:rsidP="001C64ED" w:rsidRDefault="001C64ED" w14:paraId="745FDC0B" w14:textId="77777777">
      <w:pPr>
        <w:jc w:val="both"/>
        <w:rPr>
          <w:rFonts w:cs="Arial"/>
          <w:sz w:val="20"/>
          <w:szCs w:val="20"/>
        </w:rPr>
      </w:pPr>
    </w:p>
    <w:p w:rsidR="0025594B" w:rsidP="74B24B71" w:rsidRDefault="00707764" w14:paraId="48EC538F" w14:textId="0B316701">
      <w:pPr>
        <w:pStyle w:val="ListParagraph"/>
        <w:numPr>
          <w:ilvl w:val="0"/>
          <w:numId w:val="20"/>
        </w:numPr>
        <w:jc w:val="both"/>
        <w:rPr>
          <w:rFonts w:cs="Arial"/>
          <w:sz w:val="22"/>
          <w:szCs w:val="22"/>
        </w:rPr>
      </w:pPr>
      <w:r w:rsidRPr="69B17396">
        <w:rPr>
          <w:rFonts w:cs="Arial"/>
          <w:sz w:val="20"/>
        </w:rPr>
        <w:t xml:space="preserve">The recommendations for next year will be </w:t>
      </w:r>
      <w:r w:rsidRPr="69B17396" w:rsidR="00C2585F">
        <w:rPr>
          <w:rFonts w:cs="Arial"/>
          <w:sz w:val="20"/>
        </w:rPr>
        <w:t xml:space="preserve">for Mato Grosso to continue solving the issue with </w:t>
      </w:r>
      <w:r w:rsidRPr="69B17396" w:rsidR="420A40FE">
        <w:rPr>
          <w:rFonts w:cs="Arial"/>
          <w:sz w:val="20"/>
        </w:rPr>
        <w:t>FEPOIMT and</w:t>
      </w:r>
      <w:r w:rsidRPr="69B17396" w:rsidR="00C2585F">
        <w:rPr>
          <w:rFonts w:cs="Arial"/>
          <w:sz w:val="20"/>
        </w:rPr>
        <w:t xml:space="preserve"> decide how the organisation will be involved in Phase 2. </w:t>
      </w:r>
    </w:p>
    <w:tbl>
      <w:tblPr>
        <w:tblStyle w:val="TableGrid"/>
        <w:tblW w:w="0" w:type="auto"/>
        <w:tblLook w:val="04A0" w:firstRow="1" w:lastRow="0" w:firstColumn="1" w:lastColumn="0" w:noHBand="0" w:noVBand="1"/>
      </w:tblPr>
      <w:tblGrid>
        <w:gridCol w:w="9016"/>
      </w:tblGrid>
      <w:tr w:rsidR="00CB2873" w:rsidTr="51BB3CA1" w14:paraId="625A7711" w14:textId="77777777">
        <w:tc>
          <w:tcPr>
            <w:tcW w:w="9016" w:type="dxa"/>
            <w:shd w:val="clear" w:color="auto" w:fill="DEEAF6" w:themeFill="accent5" w:themeFillTint="33"/>
          </w:tcPr>
          <w:p w:rsidR="00CB2873" w:rsidP="004D5FD5" w:rsidRDefault="00A95D0D" w14:paraId="78474CCE" w14:textId="4B2E43D0">
            <w:pPr>
              <w:jc w:val="both"/>
            </w:pPr>
            <w:bookmarkStart w:name="_Toc848071074" w:id="62"/>
            <w:r w:rsidRPr="51BB3CA1">
              <w:rPr>
                <w:rStyle w:val="Heading1Char"/>
                <w:rFonts w:ascii="Arial" w:hAnsi="Arial" w:cs="Arial"/>
                <w:b/>
                <w:bCs/>
                <w:color w:val="auto"/>
                <w:sz w:val="28"/>
                <w:szCs w:val="28"/>
              </w:rPr>
              <w:t>Section D: Pro</w:t>
            </w:r>
            <w:r w:rsidRPr="51BB3CA1" w:rsidR="001330CE">
              <w:rPr>
                <w:rStyle w:val="Heading1Char"/>
                <w:rFonts w:ascii="Arial" w:hAnsi="Arial" w:cs="Arial"/>
                <w:b/>
                <w:bCs/>
                <w:color w:val="auto"/>
                <w:sz w:val="28"/>
                <w:szCs w:val="28"/>
              </w:rPr>
              <w:t xml:space="preserve">gramme </w:t>
            </w:r>
            <w:r w:rsidRPr="51BB3CA1">
              <w:rPr>
                <w:rStyle w:val="Heading1Char"/>
                <w:rFonts w:ascii="Arial" w:hAnsi="Arial" w:cs="Arial"/>
                <w:b/>
                <w:bCs/>
                <w:color w:val="auto"/>
                <w:sz w:val="28"/>
                <w:szCs w:val="28"/>
              </w:rPr>
              <w:t>performance not captured by outputs</w:t>
            </w:r>
            <w:bookmarkEnd w:id="62"/>
            <w:r w:rsidRPr="51BB3CA1">
              <w:rPr>
                <w:sz w:val="22"/>
                <w:szCs w:val="22"/>
              </w:rPr>
              <w:t xml:space="preserve"> </w:t>
            </w:r>
          </w:p>
        </w:tc>
      </w:tr>
    </w:tbl>
    <w:p w:rsidR="00C025A4" w:rsidP="004D5FD5" w:rsidRDefault="00C025A4" w14:paraId="02C953FE" w14:textId="77777777">
      <w:pPr>
        <w:jc w:val="both"/>
        <w:rPr>
          <w:rFonts w:cs="Arial"/>
          <w:sz w:val="22"/>
          <w:szCs w:val="22"/>
        </w:rPr>
      </w:pPr>
    </w:p>
    <w:p w:rsidRPr="00180F29" w:rsidR="009C4954" w:rsidP="004D5FD5" w:rsidRDefault="009C4954" w14:paraId="208AB12B" w14:textId="449ED14C">
      <w:pPr>
        <w:jc w:val="both"/>
        <w:rPr>
          <w:rFonts w:cs="Arial"/>
          <w:sz w:val="20"/>
          <w:szCs w:val="20"/>
        </w:rPr>
      </w:pPr>
      <w:r w:rsidRPr="00180F29">
        <w:rPr>
          <w:rFonts w:cs="Arial"/>
          <w:sz w:val="20"/>
          <w:szCs w:val="20"/>
        </w:rPr>
        <w:t xml:space="preserve">In Mato Grosso, a counterfactual study was carried out </w:t>
      </w:r>
      <w:r w:rsidRPr="00180F29" w:rsidR="00577941">
        <w:rPr>
          <w:rFonts w:cs="Arial"/>
          <w:sz w:val="20"/>
          <w:szCs w:val="20"/>
        </w:rPr>
        <w:t>in this reporting perio</w:t>
      </w:r>
      <w:r w:rsidRPr="00180F29" w:rsidR="00980B43">
        <w:rPr>
          <w:rFonts w:cs="Arial"/>
          <w:sz w:val="20"/>
          <w:szCs w:val="20"/>
        </w:rPr>
        <w:t>d</w:t>
      </w:r>
      <w:r w:rsidRPr="00180F29" w:rsidR="00577941">
        <w:rPr>
          <w:rFonts w:cs="Arial"/>
          <w:sz w:val="20"/>
          <w:szCs w:val="20"/>
        </w:rPr>
        <w:t xml:space="preserve">, finding that a total of </w:t>
      </w:r>
      <w:r w:rsidRPr="00180F29" w:rsidR="00980B43">
        <w:rPr>
          <w:rFonts w:cs="Arial"/>
          <w:sz w:val="20"/>
          <w:szCs w:val="20"/>
        </w:rPr>
        <w:t>160,00 hectares were prevented from being deforested by REM in 2021 and 2022.</w:t>
      </w:r>
      <w:r w:rsidR="00BD6539">
        <w:rPr>
          <w:rFonts w:cs="Arial"/>
          <w:sz w:val="20"/>
          <w:szCs w:val="20"/>
        </w:rPr>
        <w:t xml:space="preserve"> This is a fantastic piece of evidence and validates the good work that has been observed in the programme to date.</w:t>
      </w:r>
      <w:r w:rsidRPr="00180F29" w:rsidR="00980B43">
        <w:rPr>
          <w:rFonts w:cs="Arial"/>
          <w:sz w:val="20"/>
          <w:szCs w:val="20"/>
        </w:rPr>
        <w:t xml:space="preserve"> The final product will be translated to English and shared with donors to show the methodology. </w:t>
      </w:r>
    </w:p>
    <w:p w:rsidR="007B04CE" w:rsidP="004D5FD5" w:rsidRDefault="007B04CE" w14:paraId="4DE243B1" w14:textId="77777777">
      <w:pPr>
        <w:jc w:val="both"/>
        <w:rPr>
          <w:rFonts w:cs="Arial"/>
          <w:sz w:val="20"/>
          <w:szCs w:val="20"/>
        </w:rPr>
      </w:pPr>
    </w:p>
    <w:p w:rsidR="007B04CE" w:rsidP="004D5FD5" w:rsidRDefault="007B04CE" w14:paraId="008408D5" w14:textId="725502DF">
      <w:pPr>
        <w:jc w:val="both"/>
        <w:rPr>
          <w:rFonts w:cs="Arial"/>
          <w:sz w:val="20"/>
          <w:szCs w:val="20"/>
        </w:rPr>
      </w:pPr>
      <w:r>
        <w:rPr>
          <w:rFonts w:cs="Arial"/>
          <w:sz w:val="20"/>
          <w:szCs w:val="20"/>
        </w:rPr>
        <w:t>As can be seen by various indicators, much of the programme is not captured by the set log frame</w:t>
      </w:r>
      <w:r w:rsidR="00FB2356">
        <w:rPr>
          <w:rFonts w:cs="Arial"/>
          <w:sz w:val="20"/>
          <w:szCs w:val="20"/>
        </w:rPr>
        <w:t xml:space="preserve"> </w:t>
      </w:r>
      <w:r w:rsidR="00EB4810">
        <w:rPr>
          <w:rFonts w:cs="Arial"/>
          <w:sz w:val="20"/>
          <w:szCs w:val="20"/>
        </w:rPr>
        <w:t>(see the narrative for Output 3), and much of the work undertaken by the jurisdictions is not being measured in</w:t>
      </w:r>
      <w:r w:rsidR="00971120">
        <w:rPr>
          <w:rFonts w:cs="Arial"/>
          <w:sz w:val="20"/>
          <w:szCs w:val="20"/>
        </w:rPr>
        <w:t xml:space="preserve"> the </w:t>
      </w:r>
      <w:r w:rsidR="00EB4810">
        <w:rPr>
          <w:rFonts w:cs="Arial"/>
          <w:sz w:val="20"/>
          <w:szCs w:val="20"/>
        </w:rPr>
        <w:t>log frame</w:t>
      </w:r>
      <w:r w:rsidR="00701943">
        <w:rPr>
          <w:rFonts w:cs="Arial"/>
          <w:sz w:val="20"/>
          <w:szCs w:val="20"/>
        </w:rPr>
        <w:t>, and much of the evidence relies on visits to the jurisdictions, meeting with the delivery partners, and meetings with the jurisdictions</w:t>
      </w:r>
      <w:r w:rsidR="00EB4810">
        <w:rPr>
          <w:rFonts w:cs="Arial"/>
          <w:sz w:val="20"/>
          <w:szCs w:val="20"/>
        </w:rPr>
        <w:t xml:space="preserve">. The programme manager </w:t>
      </w:r>
      <w:r w:rsidR="003C250E">
        <w:rPr>
          <w:rFonts w:cs="Arial"/>
          <w:sz w:val="20"/>
          <w:szCs w:val="20"/>
        </w:rPr>
        <w:t>is aiming</w:t>
      </w:r>
      <w:r w:rsidR="004122A8">
        <w:rPr>
          <w:rFonts w:cs="Arial"/>
          <w:sz w:val="20"/>
          <w:szCs w:val="20"/>
        </w:rPr>
        <w:t xml:space="preserve"> </w:t>
      </w:r>
      <w:r w:rsidR="00701943">
        <w:rPr>
          <w:rFonts w:cs="Arial"/>
          <w:sz w:val="20"/>
          <w:szCs w:val="20"/>
        </w:rPr>
        <w:t>t</w:t>
      </w:r>
      <w:r w:rsidR="004122A8">
        <w:rPr>
          <w:rFonts w:cs="Arial"/>
          <w:sz w:val="20"/>
          <w:szCs w:val="20"/>
        </w:rPr>
        <w:t xml:space="preserve">o ensure the log frame for Phase 2 better captures the outcomes </w:t>
      </w:r>
      <w:r w:rsidR="00701943">
        <w:rPr>
          <w:rFonts w:cs="Arial"/>
          <w:sz w:val="20"/>
          <w:szCs w:val="20"/>
        </w:rPr>
        <w:t>being achieved</w:t>
      </w:r>
      <w:r w:rsidR="004122A8">
        <w:rPr>
          <w:rFonts w:cs="Arial"/>
          <w:sz w:val="20"/>
          <w:szCs w:val="20"/>
        </w:rPr>
        <w:t xml:space="preserve"> by each state, to </w:t>
      </w:r>
      <w:r w:rsidR="00701943">
        <w:rPr>
          <w:rFonts w:cs="Arial"/>
          <w:sz w:val="20"/>
          <w:szCs w:val="20"/>
        </w:rPr>
        <w:t>facilitate</w:t>
      </w:r>
      <w:r w:rsidR="004122A8">
        <w:rPr>
          <w:rFonts w:cs="Arial"/>
          <w:sz w:val="20"/>
          <w:szCs w:val="20"/>
        </w:rPr>
        <w:t xml:space="preserve"> </w:t>
      </w:r>
      <w:r w:rsidR="00701943">
        <w:rPr>
          <w:rFonts w:cs="Arial"/>
          <w:sz w:val="20"/>
          <w:szCs w:val="20"/>
        </w:rPr>
        <w:t xml:space="preserve">DESNZ’s judgement of the programme. </w:t>
      </w:r>
    </w:p>
    <w:p w:rsidRPr="006469C7" w:rsidR="00BF3A73" w:rsidP="004D5FD5" w:rsidRDefault="00BF3A73" w14:paraId="4AAD49FC" w14:textId="77777777">
      <w:pPr>
        <w:jc w:val="both"/>
        <w:rPr>
          <w:rFonts w:cs="Arial"/>
          <w:sz w:val="20"/>
          <w:szCs w:val="20"/>
        </w:rPr>
      </w:pPr>
    </w:p>
    <w:p w:rsidR="00D803BF" w:rsidP="004D5FD5" w:rsidRDefault="00702B1B" w14:paraId="4CEF2588" w14:textId="1BCA4D67">
      <w:pPr>
        <w:jc w:val="both"/>
        <w:rPr>
          <w:rFonts w:cs="Arial"/>
          <w:sz w:val="20"/>
          <w:szCs w:val="20"/>
        </w:rPr>
      </w:pPr>
      <w:r>
        <w:rPr>
          <w:rFonts w:cs="Arial"/>
          <w:sz w:val="20"/>
          <w:szCs w:val="20"/>
        </w:rPr>
        <w:lastRenderedPageBreak/>
        <w:t xml:space="preserve">Last year, </w:t>
      </w:r>
      <w:r w:rsidRPr="15821389" w:rsidR="32D044FC">
        <w:rPr>
          <w:rFonts w:cs="Arial"/>
          <w:sz w:val="20"/>
          <w:szCs w:val="20"/>
        </w:rPr>
        <w:t>Mato Grosso report</w:t>
      </w:r>
      <w:r>
        <w:rPr>
          <w:rFonts w:cs="Arial"/>
          <w:sz w:val="20"/>
          <w:szCs w:val="20"/>
        </w:rPr>
        <w:t>ed</w:t>
      </w:r>
      <w:r w:rsidRPr="15821389" w:rsidR="32D044FC">
        <w:rPr>
          <w:rFonts w:cs="Arial"/>
          <w:sz w:val="20"/>
          <w:szCs w:val="20"/>
        </w:rPr>
        <w:t xml:space="preserve"> that it has accumulated $145 million of </w:t>
      </w:r>
      <w:r w:rsidRPr="15821389" w:rsidR="7A6BF983">
        <w:rPr>
          <w:rFonts w:cs="Arial"/>
          <w:sz w:val="20"/>
          <w:szCs w:val="20"/>
        </w:rPr>
        <w:t xml:space="preserve">private investment for sustainable production through the PCI (Produzir, Conservar, Incluir) state </w:t>
      </w:r>
      <w:r w:rsidRPr="15821389" w:rsidR="57392BB4">
        <w:rPr>
          <w:rFonts w:cs="Arial"/>
          <w:sz w:val="20"/>
          <w:szCs w:val="20"/>
        </w:rPr>
        <w:t>strategy</w:t>
      </w:r>
      <w:r w:rsidRPr="15821389" w:rsidR="7A6BF983">
        <w:rPr>
          <w:rFonts w:cs="Arial"/>
          <w:sz w:val="20"/>
          <w:szCs w:val="20"/>
        </w:rPr>
        <w:t xml:space="preserve">, which </w:t>
      </w:r>
      <w:r w:rsidRPr="15821389" w:rsidR="57392BB4">
        <w:rPr>
          <w:rFonts w:cs="Arial"/>
          <w:sz w:val="20"/>
          <w:szCs w:val="20"/>
        </w:rPr>
        <w:t>has been part funded by REM.</w:t>
      </w:r>
      <w:r w:rsidR="003763DB">
        <w:rPr>
          <w:rFonts w:cs="Arial"/>
          <w:sz w:val="20"/>
          <w:szCs w:val="20"/>
        </w:rPr>
        <w:t xml:space="preserve"> This year, an additional </w:t>
      </w:r>
      <w:r w:rsidR="007A47AA">
        <w:rPr>
          <w:rFonts w:cs="Arial"/>
          <w:sz w:val="20"/>
          <w:szCs w:val="20"/>
        </w:rPr>
        <w:t>£9 million pounds</w:t>
      </w:r>
      <w:r w:rsidR="004929F2">
        <w:rPr>
          <w:rFonts w:cs="Arial"/>
          <w:sz w:val="20"/>
          <w:szCs w:val="20"/>
        </w:rPr>
        <w:t xml:space="preserve"> were leveraged. </w:t>
      </w:r>
    </w:p>
    <w:p w:rsidRPr="00290369" w:rsidR="00405DF7" w:rsidP="004D5FD5" w:rsidRDefault="00405DF7" w14:paraId="66DB5443" w14:textId="3EF3430E">
      <w:pPr>
        <w:jc w:val="both"/>
        <w:rPr>
          <w:rFonts w:cs="Arial"/>
          <w:sz w:val="20"/>
          <w:szCs w:val="20"/>
        </w:rPr>
      </w:pPr>
    </w:p>
    <w:tbl>
      <w:tblPr>
        <w:tblStyle w:val="TableGrid"/>
        <w:tblW w:w="0" w:type="auto"/>
        <w:tblLook w:val="04A0" w:firstRow="1" w:lastRow="0" w:firstColumn="1" w:lastColumn="0" w:noHBand="0" w:noVBand="1"/>
      </w:tblPr>
      <w:tblGrid>
        <w:gridCol w:w="9016"/>
      </w:tblGrid>
      <w:tr w:rsidRPr="00290369" w:rsidR="00CB2873" w:rsidTr="51BB3CA1" w14:paraId="406A1DDB" w14:textId="77777777">
        <w:tc>
          <w:tcPr>
            <w:tcW w:w="9016" w:type="dxa"/>
            <w:shd w:val="clear" w:color="auto" w:fill="DEEAF6" w:themeFill="accent5" w:themeFillTint="33"/>
          </w:tcPr>
          <w:p w:rsidRPr="00290369" w:rsidR="00CB2873" w:rsidP="004D5FD5" w:rsidRDefault="00A95D0D" w14:paraId="5F18405D" w14:textId="18BD7F41">
            <w:pPr>
              <w:jc w:val="both"/>
              <w:rPr>
                <w:sz w:val="22"/>
                <w:szCs w:val="22"/>
              </w:rPr>
            </w:pPr>
            <w:bookmarkStart w:name="_Toc1461603393" w:id="63"/>
            <w:r w:rsidRPr="51BB3CA1">
              <w:rPr>
                <w:rStyle w:val="Heading1Char"/>
                <w:rFonts w:ascii="Arial" w:hAnsi="Arial" w:cs="Arial"/>
                <w:b/>
                <w:bCs/>
                <w:color w:val="auto"/>
                <w:sz w:val="28"/>
                <w:szCs w:val="28"/>
              </w:rPr>
              <w:t xml:space="preserve">Section E: </w:t>
            </w:r>
            <w:r w:rsidRPr="51BB3CA1" w:rsidR="008B3969">
              <w:rPr>
                <w:rStyle w:val="Heading1Char"/>
                <w:rFonts w:ascii="Arial" w:hAnsi="Arial" w:cs="Arial"/>
                <w:b/>
                <w:bCs/>
                <w:color w:val="auto"/>
                <w:sz w:val="28"/>
                <w:szCs w:val="28"/>
              </w:rPr>
              <w:t>Risk</w:t>
            </w:r>
            <w:bookmarkEnd w:id="63"/>
          </w:p>
        </w:tc>
      </w:tr>
    </w:tbl>
    <w:p w:rsidR="00D0302B" w:rsidP="004D5FD5" w:rsidRDefault="00D0302B" w14:paraId="026FB9FF" w14:textId="77777777">
      <w:pPr>
        <w:contextualSpacing/>
        <w:jc w:val="both"/>
        <w:rPr>
          <w:rFonts w:cs="Arial"/>
          <w:sz w:val="22"/>
          <w:szCs w:val="22"/>
        </w:rPr>
      </w:pPr>
    </w:p>
    <w:p w:rsidRPr="00BB09F8" w:rsidR="00F96651" w:rsidP="51BB3CA1" w:rsidRDefault="00F96651" w14:paraId="7389B1C6" w14:textId="408B122D">
      <w:pPr>
        <w:contextualSpacing/>
        <w:jc w:val="both"/>
        <w:rPr>
          <w:rFonts w:cs="Arial"/>
          <w:i/>
          <w:iCs/>
          <w:color w:val="000000" w:themeColor="text1"/>
          <w:sz w:val="22"/>
          <w:szCs w:val="22"/>
        </w:rPr>
      </w:pPr>
      <w:bookmarkStart w:name="_Toc2030349643" w:id="64"/>
      <w:bookmarkStart w:name="_Toc2088475134" w:id="65"/>
      <w:bookmarkStart w:name="_Toc2060992056" w:id="66"/>
      <w:r w:rsidRPr="51BB3CA1">
        <w:rPr>
          <w:rStyle w:val="Heading2Char"/>
          <w:rFonts w:cs="Arial"/>
          <w:i w:val="0"/>
          <w:color w:val="000000" w:themeColor="text1"/>
          <w:sz w:val="22"/>
          <w:szCs w:val="22"/>
        </w:rPr>
        <w:t>Overall risk rating</w:t>
      </w:r>
      <w:bookmarkEnd w:id="64"/>
      <w:bookmarkEnd w:id="65"/>
      <w:bookmarkEnd w:id="66"/>
      <w:r w:rsidRPr="51BB3CA1">
        <w:rPr>
          <w:rFonts w:cs="Arial"/>
          <w:i/>
          <w:iCs/>
          <w:color w:val="000000" w:themeColor="text1"/>
          <w:sz w:val="22"/>
          <w:szCs w:val="22"/>
        </w:rPr>
        <w:t xml:space="preserve">: </w:t>
      </w:r>
      <w:r w:rsidRPr="51BB3CA1" w:rsidR="5AC15D1A">
        <w:rPr>
          <w:rFonts w:cs="Arial"/>
          <w:i/>
          <w:iCs/>
          <w:color w:val="000000" w:themeColor="text1"/>
          <w:sz w:val="22"/>
          <w:szCs w:val="22"/>
        </w:rPr>
        <w:t>Moderate (previously m</w:t>
      </w:r>
      <w:r w:rsidRPr="51BB3CA1" w:rsidR="50563FE7">
        <w:rPr>
          <w:rFonts w:cs="Arial"/>
          <w:i/>
          <w:iCs/>
          <w:color w:val="000000" w:themeColor="text1"/>
          <w:sz w:val="22"/>
          <w:szCs w:val="22"/>
        </w:rPr>
        <w:t>oderate</w:t>
      </w:r>
      <w:r w:rsidRPr="51BB3CA1" w:rsidR="5AC15D1A">
        <w:rPr>
          <w:rFonts w:cs="Arial"/>
          <w:i/>
          <w:iCs/>
          <w:color w:val="000000" w:themeColor="text1"/>
          <w:sz w:val="22"/>
          <w:szCs w:val="22"/>
        </w:rPr>
        <w:t>)</w:t>
      </w:r>
    </w:p>
    <w:p w:rsidR="002E546A" w:rsidP="0025594B" w:rsidRDefault="002E546A" w14:paraId="1EE6A827" w14:textId="77777777">
      <w:pPr>
        <w:contextualSpacing/>
        <w:jc w:val="both"/>
        <w:rPr>
          <w:rFonts w:eastAsia="Arial" w:cs="Arial"/>
          <w:sz w:val="20"/>
          <w:szCs w:val="20"/>
        </w:rPr>
      </w:pPr>
    </w:p>
    <w:p w:rsidRPr="009D7950" w:rsidR="00F96651" w:rsidP="0025594B" w:rsidRDefault="7CAEF370" w14:paraId="0475E9A0" w14:textId="1E36299A">
      <w:pPr>
        <w:contextualSpacing/>
        <w:jc w:val="both"/>
        <w:rPr>
          <w:rFonts w:eastAsia="Arial" w:cs="Arial"/>
          <w:sz w:val="20"/>
          <w:szCs w:val="20"/>
        </w:rPr>
      </w:pPr>
      <w:r w:rsidRPr="15821389">
        <w:rPr>
          <w:rFonts w:eastAsia="Arial" w:cs="Arial"/>
          <w:sz w:val="20"/>
          <w:szCs w:val="20"/>
        </w:rPr>
        <w:t>The main risk to the programme is rising deforestation rates in programme areas,</w:t>
      </w:r>
      <w:r w:rsidRPr="15821389" w:rsidR="14344A34">
        <w:rPr>
          <w:rFonts w:eastAsia="Arial" w:cs="Arial"/>
          <w:sz w:val="20"/>
          <w:szCs w:val="20"/>
        </w:rPr>
        <w:t xml:space="preserve"> which has fluctuated in the jurisdictions throughout the programme’s lifetime. Despite the large </w:t>
      </w:r>
      <w:r w:rsidRPr="15821389">
        <w:rPr>
          <w:rFonts w:eastAsia="Arial" w:cs="Arial"/>
          <w:sz w:val="20"/>
          <w:szCs w:val="20"/>
        </w:rPr>
        <w:t xml:space="preserve">scale of REM’s operations, </w:t>
      </w:r>
      <w:r w:rsidRPr="15821389" w:rsidR="14344A34">
        <w:rPr>
          <w:rFonts w:eastAsia="Arial" w:cs="Arial"/>
          <w:sz w:val="20"/>
          <w:szCs w:val="20"/>
        </w:rPr>
        <w:t xml:space="preserve">which </w:t>
      </w:r>
      <w:r w:rsidRPr="15821389">
        <w:rPr>
          <w:rFonts w:eastAsia="Arial" w:cs="Arial"/>
          <w:sz w:val="20"/>
          <w:szCs w:val="20"/>
        </w:rPr>
        <w:t xml:space="preserve">are complex and varied, it has been made clear by all three locations that REM funding alone is not enough to fully address the challenges of deforestation. It </w:t>
      </w:r>
      <w:r w:rsidRPr="15821389" w:rsidR="7FE1A419">
        <w:rPr>
          <w:rFonts w:eastAsia="Arial" w:cs="Arial"/>
          <w:sz w:val="20"/>
          <w:szCs w:val="20"/>
        </w:rPr>
        <w:t xml:space="preserve">is however likely </w:t>
      </w:r>
      <w:r w:rsidRPr="15821389">
        <w:rPr>
          <w:rFonts w:eastAsia="Arial" w:cs="Arial"/>
          <w:sz w:val="20"/>
          <w:szCs w:val="20"/>
        </w:rPr>
        <w:t xml:space="preserve">that REM </w:t>
      </w:r>
      <w:r w:rsidRPr="15821389" w:rsidR="332EAAC5">
        <w:rPr>
          <w:rFonts w:eastAsia="Arial" w:cs="Arial"/>
          <w:sz w:val="20"/>
          <w:szCs w:val="20"/>
        </w:rPr>
        <w:t xml:space="preserve">has </w:t>
      </w:r>
      <w:r w:rsidRPr="15821389">
        <w:rPr>
          <w:rFonts w:eastAsia="Arial" w:cs="Arial"/>
          <w:sz w:val="20"/>
          <w:szCs w:val="20"/>
        </w:rPr>
        <w:t>contributed to lessening a worst-case scenario in each area</w:t>
      </w:r>
      <w:r w:rsidRPr="15821389" w:rsidR="4D638FAC">
        <w:rPr>
          <w:rFonts w:eastAsia="Arial" w:cs="Arial"/>
          <w:sz w:val="20"/>
          <w:szCs w:val="20"/>
        </w:rPr>
        <w:t>, given the results in this and previous annual reviews</w:t>
      </w:r>
      <w:r w:rsidR="004929F2">
        <w:rPr>
          <w:rFonts w:eastAsia="Arial" w:cs="Arial"/>
          <w:sz w:val="20"/>
          <w:szCs w:val="20"/>
        </w:rPr>
        <w:t>, and the counterfactual study produced in Mato Grosso</w:t>
      </w:r>
      <w:r w:rsidRPr="15821389" w:rsidR="4D638FAC">
        <w:rPr>
          <w:rFonts w:eastAsia="Arial" w:cs="Arial"/>
          <w:sz w:val="20"/>
          <w:szCs w:val="20"/>
        </w:rPr>
        <w:t xml:space="preserve">. </w:t>
      </w:r>
      <w:r w:rsidRPr="15821389">
        <w:rPr>
          <w:rFonts w:eastAsia="Arial" w:cs="Arial"/>
          <w:sz w:val="20"/>
          <w:szCs w:val="20"/>
        </w:rPr>
        <w:t>The programme does not set out to comprehensively address all drivers</w:t>
      </w:r>
      <w:r w:rsidRPr="15821389" w:rsidR="19E8EF89">
        <w:rPr>
          <w:rFonts w:eastAsia="Arial" w:cs="Arial"/>
          <w:sz w:val="20"/>
          <w:szCs w:val="20"/>
        </w:rPr>
        <w:t xml:space="preserve"> of deforestation</w:t>
      </w:r>
      <w:r w:rsidRPr="15821389">
        <w:rPr>
          <w:rFonts w:eastAsia="Arial" w:cs="Arial"/>
          <w:sz w:val="20"/>
          <w:szCs w:val="20"/>
        </w:rPr>
        <w:t xml:space="preserve">; it aims to tackle some </w:t>
      </w:r>
      <w:r w:rsidRPr="15821389" w:rsidR="6D6DBDC5">
        <w:rPr>
          <w:rFonts w:eastAsia="Arial" w:cs="Arial"/>
          <w:sz w:val="20"/>
          <w:szCs w:val="20"/>
        </w:rPr>
        <w:t xml:space="preserve">of the </w:t>
      </w:r>
      <w:r w:rsidRPr="15821389">
        <w:rPr>
          <w:rFonts w:eastAsia="Arial" w:cs="Arial"/>
          <w:sz w:val="20"/>
          <w:szCs w:val="20"/>
        </w:rPr>
        <w:t>drivers, and then relies on assumptions about the external environment in order to achieve wider impact, including access to alternative, complementary sources of finance.</w:t>
      </w:r>
      <w:r w:rsidRPr="15821389" w:rsidR="20B0F5F2">
        <w:rPr>
          <w:rFonts w:eastAsia="Arial" w:cs="Arial"/>
          <w:sz w:val="20"/>
          <w:szCs w:val="20"/>
        </w:rPr>
        <w:t xml:space="preserve"> Political change impacts the programme’s delivery, as can be seen in all jurisdictions</w:t>
      </w:r>
      <w:r w:rsidRPr="15821389" w:rsidR="14344A34">
        <w:rPr>
          <w:rFonts w:eastAsia="Arial" w:cs="Arial"/>
          <w:sz w:val="20"/>
          <w:szCs w:val="20"/>
        </w:rPr>
        <w:t>, especially in Mato Grosso this year</w:t>
      </w:r>
      <w:r w:rsidR="004929F2">
        <w:rPr>
          <w:rFonts w:eastAsia="Arial" w:cs="Arial"/>
          <w:sz w:val="20"/>
          <w:szCs w:val="20"/>
        </w:rPr>
        <w:t xml:space="preserve"> as last year</w:t>
      </w:r>
      <w:r w:rsidRPr="15821389" w:rsidR="14344A34">
        <w:rPr>
          <w:rFonts w:eastAsia="Arial" w:cs="Arial"/>
          <w:sz w:val="20"/>
          <w:szCs w:val="20"/>
        </w:rPr>
        <w:t>, where illegal deforestation is being reduced but legal deforestation is increasing</w:t>
      </w:r>
      <w:r w:rsidRPr="15821389" w:rsidR="20B0F5F2">
        <w:rPr>
          <w:rFonts w:eastAsia="Arial" w:cs="Arial"/>
          <w:sz w:val="20"/>
          <w:szCs w:val="20"/>
        </w:rPr>
        <w:t xml:space="preserve">. </w:t>
      </w:r>
      <w:r w:rsidRPr="15821389">
        <w:rPr>
          <w:rFonts w:eastAsia="Arial" w:cs="Arial"/>
          <w:sz w:val="20"/>
          <w:szCs w:val="20"/>
        </w:rPr>
        <w:t>The risk appetite of REM was high</w:t>
      </w:r>
      <w:r w:rsidRPr="15821389" w:rsidR="5F4A19F6">
        <w:rPr>
          <w:rFonts w:eastAsia="Arial" w:cs="Arial"/>
          <w:sz w:val="20"/>
          <w:szCs w:val="20"/>
        </w:rPr>
        <w:t xml:space="preserve"> when it began</w:t>
      </w:r>
      <w:r w:rsidRPr="15821389">
        <w:rPr>
          <w:rFonts w:eastAsia="Arial" w:cs="Arial"/>
          <w:sz w:val="20"/>
          <w:szCs w:val="20"/>
        </w:rPr>
        <w:t>, given that it was a pilot programme, and this will be reflected in the</w:t>
      </w:r>
      <w:r w:rsidRPr="15821389" w:rsidR="14344A34">
        <w:rPr>
          <w:rFonts w:eastAsia="Arial" w:cs="Arial"/>
          <w:sz w:val="20"/>
          <w:szCs w:val="20"/>
        </w:rPr>
        <w:t xml:space="preserve"> positive</w:t>
      </w:r>
      <w:r w:rsidRPr="15821389">
        <w:rPr>
          <w:rFonts w:eastAsia="Arial" w:cs="Arial"/>
          <w:sz w:val="20"/>
          <w:szCs w:val="20"/>
        </w:rPr>
        <w:t xml:space="preserve"> outcomes. </w:t>
      </w:r>
    </w:p>
    <w:p w:rsidRPr="009D7950" w:rsidR="00F96651" w:rsidP="0025594B" w:rsidRDefault="00F96651" w14:paraId="3A9059CB" w14:textId="77777777">
      <w:pPr>
        <w:contextualSpacing/>
        <w:jc w:val="both"/>
        <w:rPr>
          <w:rFonts w:eastAsia="Arial" w:cs="Arial"/>
          <w:sz w:val="20"/>
          <w:szCs w:val="20"/>
        </w:rPr>
      </w:pPr>
    </w:p>
    <w:p w:rsidR="00F96651" w:rsidP="0025594B" w:rsidRDefault="7CAEF370" w14:paraId="4ED1A334" w14:textId="4E1A6F9B">
      <w:pPr>
        <w:contextualSpacing/>
        <w:jc w:val="both"/>
        <w:rPr>
          <w:rFonts w:eastAsia="Arial" w:cs="Arial"/>
          <w:sz w:val="20"/>
          <w:szCs w:val="20"/>
        </w:rPr>
      </w:pPr>
      <w:r w:rsidRPr="578D5448">
        <w:rPr>
          <w:rFonts w:eastAsia="Arial" w:cs="Arial"/>
          <w:sz w:val="20"/>
          <w:szCs w:val="20"/>
        </w:rPr>
        <w:t>Political commitment and effective leadership on the deforestation agenda is a</w:t>
      </w:r>
      <w:r w:rsidRPr="578D5448" w:rsidR="79F8BDD3">
        <w:rPr>
          <w:rFonts w:eastAsia="Arial" w:cs="Arial"/>
          <w:sz w:val="20"/>
          <w:szCs w:val="20"/>
        </w:rPr>
        <w:t xml:space="preserve"> major</w:t>
      </w:r>
      <w:r w:rsidRPr="578D5448" w:rsidR="2FCF613F">
        <w:rPr>
          <w:rFonts w:eastAsia="Arial" w:cs="Arial"/>
          <w:sz w:val="20"/>
          <w:szCs w:val="20"/>
        </w:rPr>
        <w:t xml:space="preserve"> </w:t>
      </w:r>
      <w:r w:rsidRPr="578D5448">
        <w:rPr>
          <w:rFonts w:eastAsia="Arial" w:cs="Arial"/>
          <w:sz w:val="20"/>
          <w:szCs w:val="20"/>
        </w:rPr>
        <w:t xml:space="preserve">influence upon the </w:t>
      </w:r>
      <w:r w:rsidRPr="578D5448" w:rsidR="25C3DD5B">
        <w:rPr>
          <w:rFonts w:eastAsia="Arial" w:cs="Arial"/>
          <w:sz w:val="20"/>
          <w:szCs w:val="20"/>
        </w:rPr>
        <w:t>programme and</w:t>
      </w:r>
      <w:r w:rsidRPr="578D5448">
        <w:rPr>
          <w:rFonts w:eastAsia="Arial" w:cs="Arial"/>
          <w:sz w:val="20"/>
          <w:szCs w:val="20"/>
        </w:rPr>
        <w:t xml:space="preserve"> is a key challenge and risk for </w:t>
      </w:r>
      <w:r w:rsidRPr="578D5448" w:rsidR="129910B2">
        <w:rPr>
          <w:rFonts w:eastAsia="Arial" w:cs="Arial"/>
          <w:sz w:val="20"/>
          <w:szCs w:val="20"/>
        </w:rPr>
        <w:t xml:space="preserve">the success of the </w:t>
      </w:r>
      <w:r w:rsidRPr="578D5448">
        <w:rPr>
          <w:rFonts w:eastAsia="Arial" w:cs="Arial"/>
          <w:sz w:val="20"/>
          <w:szCs w:val="20"/>
        </w:rPr>
        <w:t>REM</w:t>
      </w:r>
      <w:r w:rsidRPr="578D5448" w:rsidR="129910B2">
        <w:rPr>
          <w:rFonts w:eastAsia="Arial" w:cs="Arial"/>
          <w:sz w:val="20"/>
          <w:szCs w:val="20"/>
        </w:rPr>
        <w:t xml:space="preserve"> programmes</w:t>
      </w:r>
      <w:r w:rsidRPr="578D5448">
        <w:rPr>
          <w:rFonts w:eastAsia="Arial" w:cs="Arial"/>
          <w:sz w:val="20"/>
          <w:szCs w:val="20"/>
        </w:rPr>
        <w:t xml:space="preserve">. </w:t>
      </w:r>
      <w:r w:rsidRPr="578D5448" w:rsidR="4ADCE55E">
        <w:rPr>
          <w:rFonts w:eastAsia="Arial" w:cs="Arial"/>
          <w:sz w:val="20"/>
          <w:szCs w:val="20"/>
        </w:rPr>
        <w:t xml:space="preserve">Factors such as </w:t>
      </w:r>
      <w:r w:rsidRPr="578D5448" w:rsidR="7FD5A4FB">
        <w:rPr>
          <w:rFonts w:eastAsia="Arial" w:cs="Arial"/>
          <w:sz w:val="20"/>
          <w:szCs w:val="20"/>
        </w:rPr>
        <w:t>elections</w:t>
      </w:r>
      <w:r w:rsidRPr="578D5448">
        <w:rPr>
          <w:rFonts w:eastAsia="Arial" w:cs="Arial"/>
          <w:sz w:val="20"/>
          <w:szCs w:val="20"/>
        </w:rPr>
        <w:t>, econom</w:t>
      </w:r>
      <w:r w:rsidRPr="578D5448" w:rsidR="4ADCE55E">
        <w:rPr>
          <w:rFonts w:eastAsia="Arial" w:cs="Arial"/>
          <w:sz w:val="20"/>
          <w:szCs w:val="20"/>
        </w:rPr>
        <w:t xml:space="preserve">ic situation </w:t>
      </w:r>
      <w:r w:rsidRPr="578D5448">
        <w:rPr>
          <w:rFonts w:eastAsia="Arial" w:cs="Arial"/>
          <w:sz w:val="20"/>
          <w:szCs w:val="20"/>
        </w:rPr>
        <w:t xml:space="preserve">and </w:t>
      </w:r>
      <w:r w:rsidRPr="578D5448" w:rsidR="4ADCE55E">
        <w:rPr>
          <w:rFonts w:eastAsia="Arial" w:cs="Arial"/>
          <w:sz w:val="20"/>
          <w:szCs w:val="20"/>
        </w:rPr>
        <w:t xml:space="preserve">external </w:t>
      </w:r>
      <w:r w:rsidRPr="578D5448">
        <w:rPr>
          <w:rFonts w:eastAsia="Arial" w:cs="Arial"/>
          <w:sz w:val="20"/>
          <w:szCs w:val="20"/>
        </w:rPr>
        <w:t>crises such as COVID-19</w:t>
      </w:r>
      <w:r w:rsidRPr="578D5448" w:rsidR="4ADCE55E">
        <w:rPr>
          <w:rFonts w:eastAsia="Arial" w:cs="Arial"/>
          <w:sz w:val="20"/>
          <w:szCs w:val="20"/>
        </w:rPr>
        <w:t xml:space="preserve"> can all influence the </w:t>
      </w:r>
      <w:r w:rsidRPr="578D5448" w:rsidR="7FD5A4FB">
        <w:rPr>
          <w:rFonts w:eastAsia="Arial" w:cs="Arial"/>
          <w:sz w:val="20"/>
          <w:szCs w:val="20"/>
        </w:rPr>
        <w:t xml:space="preserve">political commitment </w:t>
      </w:r>
      <w:r w:rsidRPr="578D5448" w:rsidR="712EB716">
        <w:rPr>
          <w:rFonts w:eastAsia="Arial" w:cs="Arial"/>
          <w:sz w:val="20"/>
          <w:szCs w:val="20"/>
        </w:rPr>
        <w:t>to combatting deforestation</w:t>
      </w:r>
      <w:r w:rsidRPr="578D5448">
        <w:rPr>
          <w:rFonts w:eastAsia="Arial" w:cs="Arial"/>
          <w:sz w:val="20"/>
          <w:szCs w:val="20"/>
        </w:rPr>
        <w:t xml:space="preserve">. For the two Brazilian states, as sub-national jurisdictions, an important determinant of political commitment is the federal government as well as their own. </w:t>
      </w:r>
    </w:p>
    <w:p w:rsidRPr="00F96651" w:rsidR="00957939" w:rsidP="0025594B" w:rsidRDefault="00957939" w14:paraId="1B03C431" w14:textId="77777777">
      <w:pPr>
        <w:contextualSpacing/>
        <w:jc w:val="both"/>
        <w:rPr>
          <w:sz w:val="20"/>
          <w:szCs w:val="20"/>
        </w:rPr>
      </w:pPr>
    </w:p>
    <w:p w:rsidRPr="00F96651" w:rsidR="00CD3B3F" w:rsidP="0025594B" w:rsidRDefault="7CAEF370" w14:paraId="75553625" w14:textId="5C699AE5">
      <w:pPr>
        <w:contextualSpacing/>
        <w:jc w:val="both"/>
        <w:rPr>
          <w:rFonts w:eastAsia="Arial" w:cs="Arial"/>
          <w:b/>
          <w:bCs/>
          <w:i/>
          <w:iCs/>
          <w:sz w:val="20"/>
          <w:szCs w:val="20"/>
        </w:rPr>
      </w:pPr>
      <w:r w:rsidRPr="578D5448">
        <w:rPr>
          <w:rFonts w:eastAsia="Arial" w:cs="Arial"/>
          <w:b/>
          <w:bCs/>
          <w:i/>
          <w:iCs/>
          <w:sz w:val="20"/>
          <w:szCs w:val="20"/>
        </w:rPr>
        <w:t xml:space="preserve">Overview of risk management </w:t>
      </w:r>
    </w:p>
    <w:p w:rsidRPr="00290369" w:rsidR="00CD3B3F" w:rsidP="0025594B" w:rsidRDefault="00F96651" w14:paraId="67F9640C" w14:textId="1916F66C">
      <w:pPr>
        <w:contextualSpacing/>
        <w:jc w:val="both"/>
        <w:rPr>
          <w:rFonts w:eastAsia="Arial" w:cs="Arial"/>
          <w:sz w:val="20"/>
        </w:rPr>
      </w:pPr>
      <w:r w:rsidRPr="00290369">
        <w:rPr>
          <w:rFonts w:eastAsia="Arial" w:cs="Arial"/>
          <w:sz w:val="20"/>
        </w:rPr>
        <w:t>We have monitored risks, seeking up-to-date and accurate information through our delivery partner KfW</w:t>
      </w:r>
      <w:r w:rsidR="00C37833">
        <w:rPr>
          <w:rFonts w:eastAsia="Arial" w:cs="Arial"/>
          <w:sz w:val="20"/>
        </w:rPr>
        <w:t xml:space="preserve"> and local implementors</w:t>
      </w:r>
      <w:r w:rsidRPr="00290369">
        <w:rPr>
          <w:rFonts w:eastAsia="Arial" w:cs="Arial"/>
          <w:sz w:val="20"/>
        </w:rPr>
        <w:t>, and also through leveraging Post relationships and networks in both countries, as well as the monitoring missions that have been undertaken again this year.</w:t>
      </w:r>
    </w:p>
    <w:p w:rsidRPr="00290369" w:rsidR="00CD3B3F" w:rsidP="0025594B" w:rsidRDefault="00CD3B3F" w14:paraId="43351F6F" w14:textId="77777777">
      <w:pPr>
        <w:contextualSpacing/>
        <w:jc w:val="both"/>
        <w:rPr>
          <w:rFonts w:eastAsia="Arial" w:cs="Arial"/>
          <w:sz w:val="20"/>
        </w:rPr>
      </w:pPr>
    </w:p>
    <w:p w:rsidRPr="00290369" w:rsidR="00F96651" w:rsidP="0025594B" w:rsidRDefault="7CAEF370" w14:paraId="0DF477DA" w14:textId="2FEEC526">
      <w:pPr>
        <w:contextualSpacing/>
        <w:jc w:val="both"/>
        <w:rPr>
          <w:rFonts w:eastAsia="Arial" w:cs="Arial"/>
          <w:sz w:val="20"/>
          <w:szCs w:val="20"/>
        </w:rPr>
      </w:pPr>
      <w:r w:rsidRPr="69B17396">
        <w:rPr>
          <w:rFonts w:eastAsia="Arial" w:cs="Arial"/>
          <w:sz w:val="20"/>
          <w:szCs w:val="20"/>
        </w:rPr>
        <w:t>We have sought to reduce risks by addressing the drivers</w:t>
      </w:r>
      <w:r w:rsidRPr="69B17396" w:rsidR="65942B12">
        <w:rPr>
          <w:rFonts w:eastAsia="Arial" w:cs="Arial"/>
          <w:sz w:val="20"/>
          <w:szCs w:val="20"/>
        </w:rPr>
        <w:t xml:space="preserve"> of deforestation</w:t>
      </w:r>
      <w:r w:rsidRPr="69B17396">
        <w:rPr>
          <w:rFonts w:eastAsia="Arial" w:cs="Arial"/>
          <w:sz w:val="20"/>
          <w:szCs w:val="20"/>
        </w:rPr>
        <w:t>, for example, considering flexibility in allocation of REM funds to respond to urgent needs from beneficiaries affected by COVID-19, using diplomatic channels to engage</w:t>
      </w:r>
      <w:r w:rsidRPr="69B17396" w:rsidR="5FB1C6D0">
        <w:rPr>
          <w:rFonts w:eastAsia="Arial" w:cs="Arial"/>
          <w:sz w:val="20"/>
          <w:szCs w:val="20"/>
        </w:rPr>
        <w:t xml:space="preserve"> and positively influence</w:t>
      </w:r>
      <w:r w:rsidRPr="69B17396">
        <w:rPr>
          <w:rFonts w:eastAsia="Arial" w:cs="Arial"/>
          <w:sz w:val="20"/>
          <w:szCs w:val="20"/>
        </w:rPr>
        <w:t xml:space="preserve">, including staff visits to the state to raise the issues that rising deforestation will have on UK funding, if not addressed. </w:t>
      </w:r>
      <w:r w:rsidRPr="69B17396" w:rsidR="00C37833">
        <w:rPr>
          <w:rFonts w:eastAsia="Arial" w:cs="Arial"/>
          <w:sz w:val="20"/>
          <w:szCs w:val="20"/>
        </w:rPr>
        <w:t>Last year, as the deforestation increased in Mato Grosso, we did not make a formal announcement of new funding at COP</w:t>
      </w:r>
      <w:r w:rsidRPr="69B17396" w:rsidR="599E43A5">
        <w:rPr>
          <w:rFonts w:eastAsia="Arial" w:cs="Arial"/>
          <w:sz w:val="20"/>
          <w:szCs w:val="20"/>
        </w:rPr>
        <w:t xml:space="preserve"> 28</w:t>
      </w:r>
      <w:r w:rsidRPr="69B17396" w:rsidR="00C37833">
        <w:rPr>
          <w:rFonts w:eastAsia="Arial" w:cs="Arial"/>
          <w:sz w:val="20"/>
          <w:szCs w:val="20"/>
        </w:rPr>
        <w:t xml:space="preserve">, despite the state wanting to engage with us on this. </w:t>
      </w:r>
    </w:p>
    <w:p w:rsidRPr="00290369" w:rsidR="00CD3B3F" w:rsidP="0025594B" w:rsidRDefault="00CD3B3F" w14:paraId="6A2C007F" w14:textId="77777777">
      <w:pPr>
        <w:contextualSpacing/>
        <w:jc w:val="both"/>
        <w:rPr>
          <w:rFonts w:eastAsia="Arial" w:cs="Arial"/>
          <w:sz w:val="20"/>
        </w:rPr>
      </w:pPr>
    </w:p>
    <w:p w:rsidRPr="00F96651" w:rsidR="00F96651" w:rsidP="0025594B" w:rsidRDefault="7CAEF370" w14:paraId="76A69C97" w14:textId="29E952CD">
      <w:pPr>
        <w:contextualSpacing/>
        <w:jc w:val="both"/>
        <w:rPr>
          <w:rFonts w:eastAsia="Arial"/>
          <w:sz w:val="20"/>
          <w:szCs w:val="20"/>
        </w:rPr>
      </w:pPr>
      <w:r w:rsidRPr="578D5448">
        <w:rPr>
          <w:rFonts w:eastAsia="Arial" w:cs="Arial"/>
          <w:sz w:val="20"/>
          <w:szCs w:val="20"/>
        </w:rPr>
        <w:t>The programme can be delivered within an acceptable risk appetite</w:t>
      </w:r>
      <w:r w:rsidRPr="578D5448" w:rsidR="1D4E1F2D">
        <w:rPr>
          <w:rFonts w:eastAsia="Arial" w:cs="Arial"/>
          <w:sz w:val="20"/>
          <w:szCs w:val="20"/>
        </w:rPr>
        <w:t>;</w:t>
      </w:r>
      <w:r w:rsidRPr="578D5448">
        <w:rPr>
          <w:rFonts w:eastAsia="Arial" w:cs="Arial"/>
          <w:sz w:val="20"/>
          <w:szCs w:val="20"/>
        </w:rPr>
        <w:t xml:space="preserve"> the programme team will continue to monitor risks on an ongoing basis, working with KfW and Posts.</w:t>
      </w:r>
      <w:r w:rsidRPr="578D5448" w:rsidR="00A94982">
        <w:rPr>
          <w:rFonts w:eastAsia="Arial" w:cs="Arial"/>
          <w:sz w:val="20"/>
          <w:szCs w:val="20"/>
        </w:rPr>
        <w:t xml:space="preserve"> </w:t>
      </w:r>
      <w:r w:rsidRPr="578D5448" w:rsidR="00644855">
        <w:rPr>
          <w:rFonts w:eastAsia="Arial" w:cs="Arial"/>
          <w:sz w:val="20"/>
          <w:szCs w:val="20"/>
        </w:rPr>
        <w:t>Compared</w:t>
      </w:r>
      <w:r w:rsidRPr="578D5448" w:rsidR="00A94982">
        <w:rPr>
          <w:rFonts w:eastAsia="Arial" w:cs="Arial"/>
          <w:sz w:val="20"/>
          <w:szCs w:val="20"/>
        </w:rPr>
        <w:t xml:space="preserve"> to last year, the risks have </w:t>
      </w:r>
      <w:r w:rsidR="00C37833">
        <w:rPr>
          <w:rFonts w:eastAsia="Arial" w:cs="Arial"/>
          <w:sz w:val="20"/>
          <w:szCs w:val="20"/>
        </w:rPr>
        <w:t>remained much the same, with the overall risk rating being moderate again.</w:t>
      </w:r>
      <w:r w:rsidRPr="578D5448" w:rsidR="0034400E">
        <w:rPr>
          <w:rFonts w:eastAsia="Arial" w:cs="Arial"/>
          <w:sz w:val="20"/>
          <w:szCs w:val="20"/>
        </w:rPr>
        <w:t xml:space="preserve"> </w:t>
      </w:r>
    </w:p>
    <w:p w:rsidRPr="00F96651" w:rsidR="00CD3B3F" w:rsidP="00F96651" w:rsidRDefault="00CD3B3F" w14:paraId="5A5CBCE8" w14:textId="77777777">
      <w:pPr>
        <w:contextualSpacing/>
        <w:rPr>
          <w:sz w:val="20"/>
          <w:szCs w:val="20"/>
        </w:rPr>
      </w:pPr>
    </w:p>
    <w:tbl>
      <w:tblPr>
        <w:tblW w:w="9472" w:type="dxa"/>
        <w:tblInd w:w="-10" w:type="dxa"/>
        <w:tblLayout w:type="fixed"/>
        <w:tblLook w:val="04A0" w:firstRow="1" w:lastRow="0" w:firstColumn="1" w:lastColumn="0" w:noHBand="0" w:noVBand="1"/>
      </w:tblPr>
      <w:tblGrid>
        <w:gridCol w:w="2485"/>
        <w:gridCol w:w="5453"/>
        <w:gridCol w:w="1534"/>
      </w:tblGrid>
      <w:tr w:rsidRPr="00F96651" w:rsidR="00DB0ACC" w:rsidTr="6165F64D" w14:paraId="22761146" w14:textId="77777777">
        <w:trPr>
          <w:trHeight w:val="300"/>
        </w:trPr>
        <w:tc>
          <w:tcPr>
            <w:tcW w:w="24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Pr="00F96651" w:rsidR="00F96651" w:rsidRDefault="00F96651" w14:paraId="70D2481C" w14:textId="77777777">
            <w:pPr>
              <w:rPr>
                <w:sz w:val="20"/>
                <w:szCs w:val="20"/>
              </w:rPr>
            </w:pPr>
            <w:r w:rsidRPr="00F96651">
              <w:rPr>
                <w:rFonts w:eastAsia="Arial" w:cs="Arial"/>
                <w:b/>
                <w:bCs/>
                <w:sz w:val="20"/>
                <w:szCs w:val="20"/>
              </w:rPr>
              <w:t>Risk</w:t>
            </w:r>
            <w:r w:rsidRPr="00F96651">
              <w:rPr>
                <w:rFonts w:eastAsia="Arial" w:cs="Arial"/>
                <w:sz w:val="20"/>
                <w:szCs w:val="20"/>
              </w:rPr>
              <w:t xml:space="preserve"> </w:t>
            </w:r>
          </w:p>
        </w:tc>
        <w:tc>
          <w:tcPr>
            <w:tcW w:w="5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Pr="00F96651" w:rsidR="00F96651" w:rsidRDefault="00F96651" w14:paraId="4E2552BB" w14:textId="77777777">
            <w:pPr>
              <w:rPr>
                <w:sz w:val="20"/>
                <w:szCs w:val="20"/>
              </w:rPr>
            </w:pPr>
            <w:r w:rsidRPr="00F96651">
              <w:rPr>
                <w:rFonts w:eastAsia="Arial" w:cs="Arial"/>
                <w:b/>
                <w:bCs/>
                <w:sz w:val="20"/>
                <w:szCs w:val="20"/>
              </w:rPr>
              <w:t>Mitigation Strategy</w:t>
            </w:r>
            <w:r w:rsidRPr="00F96651">
              <w:rPr>
                <w:rFonts w:eastAsia="Arial" w:cs="Arial"/>
                <w:sz w:val="20"/>
                <w:szCs w:val="20"/>
              </w:rPr>
              <w:t xml:space="preserve"> </w:t>
            </w:r>
          </w:p>
        </w:tc>
        <w:tc>
          <w:tcPr>
            <w:tcW w:w="1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Mar/>
          </w:tcPr>
          <w:p w:rsidRPr="00F96651" w:rsidR="00F96651" w:rsidRDefault="00F96651" w14:paraId="08E3B3D1" w14:textId="77777777">
            <w:pPr>
              <w:rPr>
                <w:sz w:val="20"/>
                <w:szCs w:val="20"/>
              </w:rPr>
            </w:pPr>
            <w:r w:rsidRPr="00F96651">
              <w:rPr>
                <w:rFonts w:eastAsia="Arial" w:cs="Arial"/>
                <w:b/>
                <w:bCs/>
                <w:sz w:val="20"/>
                <w:szCs w:val="20"/>
              </w:rPr>
              <w:t>Residual risk rating</w:t>
            </w:r>
            <w:r w:rsidRPr="00F96651">
              <w:rPr>
                <w:rFonts w:eastAsia="Arial" w:cs="Arial"/>
                <w:sz w:val="20"/>
                <w:szCs w:val="20"/>
              </w:rPr>
              <w:t xml:space="preserve"> </w:t>
            </w:r>
          </w:p>
        </w:tc>
      </w:tr>
      <w:tr w:rsidRPr="00F96651" w:rsidR="00BC730C" w:rsidTr="6165F64D" w14:paraId="059E5FE4" w14:textId="77777777">
        <w:trPr>
          <w:trHeight w:val="300"/>
        </w:trPr>
        <w:tc>
          <w:tcPr>
            <w:tcW w:w="24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F96651" w:rsidR="00F96651" w:rsidRDefault="00F96651" w14:paraId="268174AF" w14:textId="77777777">
            <w:pPr>
              <w:rPr>
                <w:sz w:val="20"/>
                <w:szCs w:val="20"/>
              </w:rPr>
            </w:pPr>
            <w:r w:rsidRPr="00F96651">
              <w:rPr>
                <w:rFonts w:eastAsia="Arial" w:cs="Arial"/>
                <w:color w:val="000000" w:themeColor="text1"/>
                <w:sz w:val="20"/>
                <w:szCs w:val="20"/>
              </w:rPr>
              <w:t>Rises in deforestation impact the effectiveness of the programme and limit the ability to make future disbursements.</w:t>
            </w:r>
          </w:p>
        </w:tc>
        <w:tc>
          <w:tcPr>
            <w:tcW w:w="54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16670D" w:rsidP="00067061" w:rsidRDefault="008B3969" w14:paraId="12DC4F0A" w14:textId="64143B46">
            <w:pPr>
              <w:rPr>
                <w:rFonts w:eastAsia="Arial" w:cs="Arial"/>
                <w:sz w:val="20"/>
                <w:szCs w:val="20"/>
              </w:rPr>
            </w:pPr>
            <w:r>
              <w:rPr>
                <w:rFonts w:eastAsia="Arial" w:cs="Arial"/>
                <w:sz w:val="20"/>
                <w:szCs w:val="20"/>
              </w:rPr>
              <w:t xml:space="preserve">This risk is a recurring risk seen in REDD+ programming. This year, Colombia </w:t>
            </w:r>
            <w:r w:rsidR="0051233F">
              <w:rPr>
                <w:rFonts w:eastAsia="Arial" w:cs="Arial"/>
                <w:sz w:val="20"/>
                <w:szCs w:val="20"/>
              </w:rPr>
              <w:t>has seen reductions in deforestation, with Acre seeing an increase but now an overall decrease and Mato Gross</w:t>
            </w:r>
            <w:r w:rsidR="00A41FA8">
              <w:rPr>
                <w:rFonts w:eastAsia="Arial" w:cs="Arial"/>
                <w:sz w:val="20"/>
                <w:szCs w:val="20"/>
              </w:rPr>
              <w:t xml:space="preserve">o a constant high level of around 1900km2 per year. </w:t>
            </w:r>
            <w:r w:rsidR="0051233F">
              <w:rPr>
                <w:rFonts w:eastAsia="Arial" w:cs="Arial"/>
                <w:sz w:val="20"/>
                <w:szCs w:val="20"/>
              </w:rPr>
              <w:t xml:space="preserve"> </w:t>
            </w:r>
          </w:p>
          <w:p w:rsidR="00F96651" w:rsidRDefault="00F96651" w14:paraId="0FC1D051" w14:textId="77777777">
            <w:pPr>
              <w:rPr>
                <w:rFonts w:eastAsia="Arial" w:cs="Arial"/>
                <w:sz w:val="20"/>
                <w:szCs w:val="20"/>
              </w:rPr>
            </w:pPr>
          </w:p>
          <w:p w:rsidRPr="00F96651" w:rsidR="00023D15" w:rsidRDefault="71F22EA9" w14:paraId="4F6637A3" w14:textId="05B5E247">
            <w:pPr>
              <w:rPr>
                <w:rFonts w:eastAsia="Arial" w:cs="Arial"/>
                <w:sz w:val="20"/>
                <w:szCs w:val="20"/>
              </w:rPr>
            </w:pPr>
            <w:r w:rsidRPr="578D5448">
              <w:rPr>
                <w:rFonts w:eastAsia="Arial" w:cs="Arial"/>
                <w:sz w:val="20"/>
                <w:szCs w:val="20"/>
              </w:rPr>
              <w:t>This means that the overall risk ratings have changed to reflect this. Actions are being taken by states</w:t>
            </w:r>
            <w:r w:rsidRPr="578D5448" w:rsidR="60FF3A62">
              <w:rPr>
                <w:rFonts w:eastAsia="Arial" w:cs="Arial"/>
                <w:sz w:val="20"/>
                <w:szCs w:val="20"/>
              </w:rPr>
              <w:t xml:space="preserve"> that include putting political pressure on through our embassies</w:t>
            </w:r>
            <w:r w:rsidRPr="578D5448" w:rsidR="52BAB84F">
              <w:rPr>
                <w:rFonts w:eastAsia="Arial" w:cs="Arial"/>
                <w:sz w:val="20"/>
                <w:szCs w:val="20"/>
              </w:rPr>
              <w:t xml:space="preserve">, undertaking further analysis </w:t>
            </w:r>
            <w:r w:rsidRPr="578D5448" w:rsidR="05E25C14">
              <w:rPr>
                <w:rFonts w:eastAsia="Arial" w:cs="Arial"/>
                <w:sz w:val="20"/>
                <w:szCs w:val="20"/>
              </w:rPr>
              <w:t xml:space="preserve">of the rates of deforestation, and making future funding conditional of lowering rates of deforestation. </w:t>
            </w:r>
            <w:r w:rsidR="00A41FA8">
              <w:rPr>
                <w:rFonts w:eastAsia="Arial" w:cs="Arial"/>
                <w:sz w:val="20"/>
                <w:szCs w:val="20"/>
              </w:rPr>
              <w:t xml:space="preserve">A key aim for Mato Grosso is reflected in the recommendations for next year. </w:t>
            </w:r>
          </w:p>
        </w:tc>
        <w:tc>
          <w:tcPr>
            <w:tcW w:w="1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7D31" w:themeFill="accent2"/>
            <w:tcMar/>
          </w:tcPr>
          <w:p w:rsidRPr="00F96651" w:rsidR="00F96651" w:rsidRDefault="00F96651" w14:paraId="1F714ECB" w14:textId="5E2BF28C">
            <w:pPr>
              <w:rPr>
                <w:rFonts w:eastAsia="Arial" w:cs="Arial"/>
                <w:sz w:val="20"/>
                <w:szCs w:val="20"/>
              </w:rPr>
            </w:pPr>
            <w:r w:rsidRPr="578D5448">
              <w:rPr>
                <w:rFonts w:eastAsia="Arial" w:cs="Arial"/>
                <w:b/>
                <w:bCs/>
                <w:sz w:val="20"/>
                <w:szCs w:val="20"/>
              </w:rPr>
              <w:t>Overall:</w:t>
            </w:r>
            <w:r w:rsidRPr="578D5448">
              <w:rPr>
                <w:rFonts w:eastAsia="Arial" w:cs="Arial"/>
                <w:sz w:val="20"/>
                <w:szCs w:val="20"/>
              </w:rPr>
              <w:t xml:space="preserve"> </w:t>
            </w:r>
            <w:r w:rsidRPr="578D5448" w:rsidR="7C1532BF">
              <w:rPr>
                <w:rFonts w:eastAsia="Arial" w:cs="Arial"/>
                <w:sz w:val="20"/>
                <w:szCs w:val="20"/>
              </w:rPr>
              <w:t>Major</w:t>
            </w:r>
            <w:r w:rsidRPr="578D5448" w:rsidR="0034400E">
              <w:rPr>
                <w:rFonts w:eastAsia="Arial" w:cs="Arial"/>
                <w:sz w:val="20"/>
                <w:szCs w:val="20"/>
              </w:rPr>
              <w:t xml:space="preserve"> (previously severe)</w:t>
            </w:r>
          </w:p>
          <w:p w:rsidRPr="00F96651" w:rsidR="00F96651" w:rsidRDefault="00F96651" w14:paraId="58E88EC5" w14:textId="77777777">
            <w:pPr>
              <w:rPr>
                <w:rFonts w:eastAsia="Arial" w:cs="Arial"/>
                <w:sz w:val="20"/>
                <w:szCs w:val="20"/>
              </w:rPr>
            </w:pPr>
          </w:p>
          <w:p w:rsidRPr="00F96651" w:rsidR="00F96651" w:rsidRDefault="00F96651" w14:paraId="6CBA1147" w14:textId="3D9483B7">
            <w:pPr>
              <w:rPr>
                <w:rFonts w:eastAsia="Arial" w:cs="Arial"/>
                <w:sz w:val="20"/>
                <w:szCs w:val="20"/>
              </w:rPr>
            </w:pPr>
            <w:r w:rsidRPr="578D5448">
              <w:rPr>
                <w:rFonts w:eastAsia="Arial" w:cs="Arial"/>
                <w:b/>
                <w:bCs/>
                <w:sz w:val="20"/>
                <w:szCs w:val="20"/>
              </w:rPr>
              <w:t>Mato Grosso:</w:t>
            </w:r>
            <w:r w:rsidRPr="578D5448">
              <w:rPr>
                <w:rFonts w:eastAsia="Arial" w:cs="Arial"/>
                <w:sz w:val="20"/>
                <w:szCs w:val="20"/>
              </w:rPr>
              <w:t xml:space="preserve"> </w:t>
            </w:r>
            <w:r w:rsidRPr="578D5448" w:rsidR="7C1532BF">
              <w:rPr>
                <w:rFonts w:eastAsia="Arial" w:cs="Arial"/>
                <w:sz w:val="20"/>
                <w:szCs w:val="20"/>
              </w:rPr>
              <w:t>M</w:t>
            </w:r>
            <w:r w:rsidRPr="578D5448" w:rsidR="7E65623E">
              <w:rPr>
                <w:rFonts w:eastAsia="Arial" w:cs="Arial"/>
                <w:sz w:val="20"/>
                <w:szCs w:val="20"/>
              </w:rPr>
              <w:t>ajor</w:t>
            </w:r>
            <w:r w:rsidRPr="578D5448">
              <w:rPr>
                <w:rFonts w:eastAsia="Arial" w:cs="Arial"/>
                <w:sz w:val="20"/>
                <w:szCs w:val="20"/>
              </w:rPr>
              <w:t xml:space="preserve"> </w:t>
            </w:r>
            <w:r w:rsidRPr="578D5448" w:rsidR="0034400E">
              <w:rPr>
                <w:rFonts w:eastAsia="Arial" w:cs="Arial"/>
                <w:sz w:val="20"/>
                <w:szCs w:val="20"/>
              </w:rPr>
              <w:t>(previously moderate)</w:t>
            </w:r>
          </w:p>
          <w:p w:rsidRPr="00F96651" w:rsidR="00F96651" w:rsidRDefault="00F96651" w14:paraId="3935B858" w14:textId="77777777">
            <w:pPr>
              <w:rPr>
                <w:rFonts w:eastAsia="Arial" w:cs="Arial"/>
                <w:sz w:val="20"/>
                <w:szCs w:val="20"/>
              </w:rPr>
            </w:pPr>
          </w:p>
          <w:p w:rsidRPr="00F96651" w:rsidR="00F96651" w:rsidRDefault="00F96651" w14:paraId="5CEDE301" w14:textId="6FC33A52">
            <w:pPr>
              <w:rPr>
                <w:rFonts w:eastAsia="Arial" w:cs="Arial"/>
                <w:sz w:val="20"/>
                <w:szCs w:val="20"/>
              </w:rPr>
            </w:pPr>
            <w:r w:rsidRPr="578D5448">
              <w:rPr>
                <w:rFonts w:eastAsia="Arial" w:cs="Arial"/>
                <w:b/>
                <w:bCs/>
                <w:sz w:val="20"/>
                <w:szCs w:val="20"/>
              </w:rPr>
              <w:t>Colombia:</w:t>
            </w:r>
            <w:r w:rsidRPr="578D5448">
              <w:rPr>
                <w:rFonts w:eastAsia="Arial" w:cs="Arial"/>
                <w:sz w:val="20"/>
                <w:szCs w:val="20"/>
              </w:rPr>
              <w:t xml:space="preserve"> </w:t>
            </w:r>
            <w:r w:rsidRPr="578D5448" w:rsidR="2C849BC6">
              <w:rPr>
                <w:rFonts w:eastAsia="Arial" w:cs="Arial"/>
                <w:sz w:val="20"/>
                <w:szCs w:val="20"/>
              </w:rPr>
              <w:t>M</w:t>
            </w:r>
            <w:r w:rsidRPr="578D5448" w:rsidR="009D7950">
              <w:rPr>
                <w:rFonts w:eastAsia="Arial" w:cs="Arial"/>
                <w:sz w:val="20"/>
                <w:szCs w:val="20"/>
              </w:rPr>
              <w:t>oderate</w:t>
            </w:r>
            <w:r w:rsidRPr="578D5448" w:rsidR="0034400E">
              <w:rPr>
                <w:rFonts w:eastAsia="Arial" w:cs="Arial"/>
                <w:sz w:val="20"/>
                <w:szCs w:val="20"/>
              </w:rPr>
              <w:t xml:space="preserve"> (</w:t>
            </w:r>
            <w:r w:rsidR="00C37833">
              <w:rPr>
                <w:rFonts w:eastAsia="Arial" w:cs="Arial"/>
                <w:sz w:val="20"/>
                <w:szCs w:val="20"/>
              </w:rPr>
              <w:t>no change</w:t>
            </w:r>
            <w:r w:rsidRPr="578D5448" w:rsidR="3F09BDD8">
              <w:rPr>
                <w:rFonts w:eastAsia="Arial" w:cs="Arial"/>
                <w:sz w:val="20"/>
                <w:szCs w:val="20"/>
              </w:rPr>
              <w:t>)</w:t>
            </w:r>
          </w:p>
          <w:p w:rsidRPr="00F96651" w:rsidR="00F96651" w:rsidRDefault="00F96651" w14:paraId="2D2A91CE" w14:textId="77777777">
            <w:pPr>
              <w:rPr>
                <w:rFonts w:eastAsia="Arial" w:cs="Arial"/>
                <w:sz w:val="20"/>
                <w:szCs w:val="20"/>
              </w:rPr>
            </w:pPr>
          </w:p>
          <w:p w:rsidRPr="00F96651" w:rsidR="00F96651" w:rsidRDefault="00F96651" w14:paraId="552849A7" w14:textId="4E38F0DC">
            <w:pPr>
              <w:rPr>
                <w:rFonts w:eastAsia="Arial" w:cs="Arial"/>
                <w:sz w:val="20"/>
                <w:szCs w:val="20"/>
              </w:rPr>
            </w:pPr>
            <w:r w:rsidRPr="578D5448">
              <w:rPr>
                <w:rFonts w:eastAsia="Arial" w:cs="Arial"/>
                <w:b/>
                <w:bCs/>
                <w:sz w:val="20"/>
                <w:szCs w:val="20"/>
              </w:rPr>
              <w:t>Acre:</w:t>
            </w:r>
            <w:r w:rsidRPr="578D5448">
              <w:rPr>
                <w:rFonts w:eastAsia="Arial" w:cs="Arial"/>
                <w:sz w:val="20"/>
                <w:szCs w:val="20"/>
              </w:rPr>
              <w:t xml:space="preserve"> </w:t>
            </w:r>
            <w:r w:rsidRPr="578D5448" w:rsidR="7C1532BF">
              <w:rPr>
                <w:rFonts w:eastAsia="Arial" w:cs="Arial"/>
                <w:sz w:val="20"/>
                <w:szCs w:val="20"/>
              </w:rPr>
              <w:t>M</w:t>
            </w:r>
            <w:r w:rsidR="00C37833">
              <w:rPr>
                <w:rFonts w:eastAsia="Arial" w:cs="Arial"/>
                <w:sz w:val="20"/>
                <w:szCs w:val="20"/>
              </w:rPr>
              <w:t>oderate</w:t>
            </w:r>
            <w:r w:rsidRPr="578D5448" w:rsidR="7C1532BF">
              <w:rPr>
                <w:rFonts w:eastAsia="Arial" w:cs="Arial"/>
                <w:sz w:val="20"/>
                <w:szCs w:val="20"/>
              </w:rPr>
              <w:t xml:space="preserve"> </w:t>
            </w:r>
            <w:r w:rsidRPr="578D5448" w:rsidR="3F09BDD8">
              <w:rPr>
                <w:rFonts w:eastAsia="Arial" w:cs="Arial"/>
                <w:sz w:val="20"/>
                <w:szCs w:val="20"/>
              </w:rPr>
              <w:lastRenderedPageBreak/>
              <w:t xml:space="preserve">(previously </w:t>
            </w:r>
            <w:r w:rsidR="00C37833">
              <w:rPr>
                <w:rFonts w:eastAsia="Arial" w:cs="Arial"/>
                <w:sz w:val="20"/>
                <w:szCs w:val="20"/>
              </w:rPr>
              <w:t>major</w:t>
            </w:r>
          </w:p>
        </w:tc>
      </w:tr>
      <w:tr w:rsidRPr="00F96651" w:rsidR="00BC730C" w:rsidTr="6165F64D" w14:paraId="219D6328" w14:textId="77777777">
        <w:trPr>
          <w:trHeight w:val="300"/>
        </w:trPr>
        <w:tc>
          <w:tcPr>
            <w:tcW w:w="24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F96651" w:rsidR="00F96651" w:rsidRDefault="00F96651" w14:paraId="27D1679A" w14:textId="77777777">
            <w:pPr>
              <w:rPr>
                <w:sz w:val="20"/>
                <w:szCs w:val="20"/>
              </w:rPr>
            </w:pPr>
            <w:r w:rsidRPr="00F96651">
              <w:rPr>
                <w:rFonts w:eastAsia="Arial" w:cs="Arial"/>
                <w:color w:val="000000" w:themeColor="text1"/>
                <w:sz w:val="20"/>
                <w:szCs w:val="20"/>
              </w:rPr>
              <w:lastRenderedPageBreak/>
              <w:t xml:space="preserve">Bottle-necks in implementation, communication and funding disbursement at all levels of implementation delay and reduce the effectiveness of the programme. </w:t>
            </w:r>
          </w:p>
        </w:tc>
        <w:tc>
          <w:tcPr>
            <w:tcW w:w="54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A16DD8" w:rsidP="00067061" w:rsidRDefault="00A16DD8" w14:paraId="7F813839" w14:textId="4D4F5DE0">
            <w:pPr>
              <w:rPr>
                <w:rFonts w:eastAsia="Arial" w:cs="Arial"/>
                <w:sz w:val="20"/>
                <w:szCs w:val="20"/>
              </w:rPr>
            </w:pPr>
            <w:r w:rsidRPr="6DF11C60">
              <w:rPr>
                <w:rFonts w:eastAsia="Arial" w:cs="Arial"/>
                <w:sz w:val="20"/>
                <w:szCs w:val="20"/>
              </w:rPr>
              <w:t>REM1 Colombia has now closed</w:t>
            </w:r>
            <w:r w:rsidRPr="6DF11C60" w:rsidR="5AC2B2A0">
              <w:rPr>
                <w:rFonts w:eastAsia="Arial" w:cs="Arial"/>
                <w:sz w:val="20"/>
                <w:szCs w:val="20"/>
              </w:rPr>
              <w:t xml:space="preserve"> and spending for Phase 2 has started. This will need to be monitored when UK funding is also disbursed in the next reporting period.</w:t>
            </w:r>
          </w:p>
          <w:p w:rsidR="00A16DD8" w:rsidP="00067061" w:rsidRDefault="00A16DD8" w14:paraId="35339F4D" w14:textId="77777777">
            <w:pPr>
              <w:rPr>
                <w:rFonts w:eastAsia="Arial" w:cs="Arial"/>
                <w:sz w:val="20"/>
                <w:szCs w:val="20"/>
              </w:rPr>
            </w:pPr>
          </w:p>
          <w:p w:rsidRPr="00F96651" w:rsidR="00F96651" w:rsidRDefault="00EE245E" w14:paraId="27803425" w14:textId="6347022C">
            <w:pPr>
              <w:rPr>
                <w:rFonts w:eastAsia="Arial" w:cs="Arial"/>
                <w:sz w:val="20"/>
                <w:szCs w:val="20"/>
              </w:rPr>
            </w:pPr>
            <w:r>
              <w:rPr>
                <w:rFonts w:eastAsia="Arial" w:cs="Arial"/>
                <w:sz w:val="20"/>
                <w:szCs w:val="20"/>
              </w:rPr>
              <w:t xml:space="preserve">Improvements have been seen in both </w:t>
            </w:r>
            <w:r w:rsidRPr="00F96651" w:rsidR="00F96651">
              <w:rPr>
                <w:rFonts w:eastAsia="Arial" w:cs="Arial"/>
                <w:sz w:val="20"/>
                <w:szCs w:val="20"/>
              </w:rPr>
              <w:t>Mato Grosso</w:t>
            </w:r>
            <w:r>
              <w:rPr>
                <w:rFonts w:eastAsia="Arial" w:cs="Arial"/>
                <w:sz w:val="20"/>
                <w:szCs w:val="20"/>
              </w:rPr>
              <w:t xml:space="preserve"> and Acre,</w:t>
            </w:r>
            <w:r w:rsidR="00CE40DD">
              <w:rPr>
                <w:rFonts w:eastAsia="Arial" w:cs="Arial"/>
                <w:sz w:val="20"/>
                <w:szCs w:val="20"/>
              </w:rPr>
              <w:t xml:space="preserve"> with significant changes to the programme design in Acre </w:t>
            </w:r>
            <w:r w:rsidR="00485DE1">
              <w:rPr>
                <w:rFonts w:eastAsia="Arial" w:cs="Arial"/>
                <w:sz w:val="20"/>
                <w:szCs w:val="20"/>
              </w:rPr>
              <w:t xml:space="preserve">through the policy milestones approach. </w:t>
            </w:r>
            <w:r w:rsidR="00EC1787">
              <w:rPr>
                <w:rFonts w:eastAsia="Arial" w:cs="Arial"/>
                <w:sz w:val="20"/>
                <w:szCs w:val="20"/>
              </w:rPr>
              <w:t xml:space="preserve">Both </w:t>
            </w:r>
            <w:r w:rsidR="00485DE1">
              <w:rPr>
                <w:rFonts w:eastAsia="Arial" w:cs="Arial"/>
                <w:sz w:val="20"/>
                <w:szCs w:val="20"/>
              </w:rPr>
              <w:t xml:space="preserve">Mato Grosso and Acre </w:t>
            </w:r>
            <w:r w:rsidR="0056305C">
              <w:rPr>
                <w:rFonts w:eastAsia="Arial" w:cs="Arial"/>
                <w:sz w:val="20"/>
                <w:szCs w:val="20"/>
              </w:rPr>
              <w:t xml:space="preserve">were extended last year, with Mato Grosso due to close on time and Acre needing a further extension to 2026. </w:t>
            </w:r>
          </w:p>
        </w:tc>
        <w:tc>
          <w:tcPr>
            <w:tcW w:w="1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tcPr>
          <w:p w:rsidRPr="009E73AA" w:rsidR="00F96651" w:rsidP="578D5448" w:rsidRDefault="00F96651" w14:paraId="7C5D47EE" w14:textId="1E912CA5">
            <w:pPr>
              <w:rPr>
                <w:b/>
                <w:bCs/>
                <w:sz w:val="20"/>
                <w:szCs w:val="20"/>
              </w:rPr>
            </w:pPr>
            <w:r w:rsidRPr="578D5448">
              <w:rPr>
                <w:rFonts w:eastAsia="Arial" w:cs="Arial"/>
                <w:b/>
                <w:bCs/>
                <w:sz w:val="20"/>
                <w:szCs w:val="20"/>
              </w:rPr>
              <w:t>Moderate</w:t>
            </w:r>
            <w:r w:rsidRPr="578D5448" w:rsidR="3F09BDD8">
              <w:rPr>
                <w:rFonts w:eastAsia="Arial" w:cs="Arial"/>
                <w:b/>
                <w:bCs/>
                <w:sz w:val="20"/>
                <w:szCs w:val="20"/>
              </w:rPr>
              <w:t xml:space="preserve"> (previously moderate)</w:t>
            </w:r>
          </w:p>
        </w:tc>
      </w:tr>
      <w:tr w:rsidRPr="00F96651" w:rsidR="00BC730C" w:rsidTr="6165F64D" w14:paraId="0148F859" w14:textId="77777777">
        <w:trPr>
          <w:trHeight w:val="300"/>
        </w:trPr>
        <w:tc>
          <w:tcPr>
            <w:tcW w:w="24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74AA0" w:rsidR="00F96651" w:rsidRDefault="00F96651" w14:paraId="2DF1CC60" w14:textId="77777777">
            <w:pPr>
              <w:rPr>
                <w:sz w:val="20"/>
                <w:szCs w:val="20"/>
              </w:rPr>
            </w:pPr>
            <w:r w:rsidRPr="00C74AA0">
              <w:rPr>
                <w:rFonts w:eastAsia="Arial" w:cs="Arial"/>
                <w:color w:val="000000" w:themeColor="text1"/>
                <w:sz w:val="20"/>
                <w:szCs w:val="20"/>
              </w:rPr>
              <w:t xml:space="preserve">Political situation affects implementation and inhibits the sustainability of programme achievements.  </w:t>
            </w:r>
          </w:p>
        </w:tc>
        <w:tc>
          <w:tcPr>
            <w:tcW w:w="54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74AA0" w:rsidR="003B33AC" w:rsidP="00067061" w:rsidRDefault="00C74AA0" w14:paraId="645F0994" w14:textId="7B33DDE4">
            <w:pPr>
              <w:rPr>
                <w:rFonts w:eastAsia="Arial" w:cs="Arial"/>
                <w:sz w:val="20"/>
                <w:szCs w:val="20"/>
              </w:rPr>
            </w:pPr>
            <w:r w:rsidRPr="6165F64D" w:rsidR="00C74AA0">
              <w:rPr>
                <w:rFonts w:eastAsia="Arial" w:cs="Arial"/>
                <w:sz w:val="20"/>
                <w:szCs w:val="20"/>
              </w:rPr>
              <w:t xml:space="preserve">In Colombia and Brazil both governments are around halfway through their tenure. </w:t>
            </w:r>
            <w:r w:rsidRPr="6165F64D" w:rsidR="6C2AE0F4">
              <w:rPr>
                <w:rFonts w:eastAsia="Arial" w:cs="Arial"/>
                <w:sz w:val="20"/>
                <w:szCs w:val="20"/>
              </w:rPr>
              <w:t>Deforestation is dropping in both</w:t>
            </w:r>
            <w:r w:rsidRPr="6165F64D" w:rsidR="6C2AE0F4">
              <w:rPr>
                <w:rFonts w:eastAsia="Arial" w:cs="Arial"/>
                <w:sz w:val="20"/>
                <w:szCs w:val="20"/>
              </w:rPr>
              <w:t xml:space="preserve"> locations.</w:t>
            </w:r>
          </w:p>
          <w:p w:rsidRPr="00C74AA0" w:rsidR="003B33AC" w:rsidP="00067061" w:rsidRDefault="003B33AC" w14:paraId="4285DEE0" w14:textId="77777777">
            <w:pPr>
              <w:rPr>
                <w:rFonts w:eastAsia="Arial" w:cs="Arial"/>
                <w:sz w:val="20"/>
                <w:szCs w:val="20"/>
              </w:rPr>
            </w:pPr>
          </w:p>
          <w:p w:rsidRPr="00C74AA0" w:rsidR="00F96651" w:rsidRDefault="7CAEF370" w14:paraId="303A465C" w14:textId="53CE1F08">
            <w:pPr>
              <w:rPr>
                <w:rFonts w:eastAsia="Arial" w:cs="Arial"/>
                <w:sz w:val="20"/>
                <w:szCs w:val="20"/>
              </w:rPr>
            </w:pPr>
            <w:r w:rsidRPr="00C74AA0">
              <w:rPr>
                <w:rFonts w:eastAsia="Arial" w:cs="Arial"/>
                <w:sz w:val="20"/>
                <w:szCs w:val="20"/>
              </w:rPr>
              <w:t xml:space="preserve">We will continue to identify, monitor and – where appropriate – influence the political levers at national and state level, to try and ensure continuity and long-term impact for the programme. </w:t>
            </w:r>
          </w:p>
        </w:tc>
        <w:tc>
          <w:tcPr>
            <w:tcW w:w="1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tcPr>
          <w:p w:rsidRPr="00F96651" w:rsidR="00F96651" w:rsidRDefault="47D139D4" w14:paraId="46A9F5D6" w14:textId="1F78D020">
            <w:pPr>
              <w:rPr>
                <w:rFonts w:eastAsia="Arial" w:cs="Arial"/>
                <w:sz w:val="20"/>
                <w:szCs w:val="20"/>
              </w:rPr>
            </w:pPr>
            <w:r w:rsidRPr="578D5448">
              <w:rPr>
                <w:rFonts w:eastAsia="Arial" w:cs="Arial"/>
                <w:b/>
                <w:bCs/>
                <w:sz w:val="20"/>
                <w:szCs w:val="20"/>
              </w:rPr>
              <w:t>M</w:t>
            </w:r>
            <w:r w:rsidRPr="578D5448" w:rsidR="7CAEF370">
              <w:rPr>
                <w:rFonts w:eastAsia="Arial" w:cs="Arial"/>
                <w:b/>
                <w:bCs/>
                <w:sz w:val="20"/>
                <w:szCs w:val="20"/>
              </w:rPr>
              <w:t>oderate</w:t>
            </w:r>
            <w:r w:rsidRPr="578D5448" w:rsidR="7CAEF370">
              <w:rPr>
                <w:rFonts w:eastAsia="Arial" w:cs="Arial"/>
                <w:sz w:val="20"/>
                <w:szCs w:val="20"/>
              </w:rPr>
              <w:t xml:space="preserve"> </w:t>
            </w:r>
            <w:r w:rsidRPr="578D5448" w:rsidR="3F09BDD8">
              <w:rPr>
                <w:rFonts w:eastAsia="Arial" w:cs="Arial"/>
                <w:sz w:val="20"/>
                <w:szCs w:val="20"/>
              </w:rPr>
              <w:t>(previously severe)</w:t>
            </w:r>
          </w:p>
        </w:tc>
      </w:tr>
      <w:tr w:rsidRPr="00F96651" w:rsidR="00BC730C" w:rsidTr="6165F64D" w14:paraId="6B89487C" w14:textId="77777777">
        <w:trPr>
          <w:trHeight w:val="300"/>
        </w:trPr>
        <w:tc>
          <w:tcPr>
            <w:tcW w:w="24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F1BB4" w:rsidR="00F96651" w:rsidRDefault="00F96651" w14:paraId="676C2D7F" w14:textId="77777777">
            <w:pPr>
              <w:rPr>
                <w:sz w:val="20"/>
                <w:szCs w:val="20"/>
              </w:rPr>
            </w:pPr>
            <w:r w:rsidRPr="002F1BB4">
              <w:rPr>
                <w:rFonts w:eastAsia="Arial" w:cs="Arial"/>
                <w:color w:val="000000" w:themeColor="text1"/>
                <w:sz w:val="20"/>
                <w:szCs w:val="20"/>
              </w:rPr>
              <w:t>‘Leakage’ occurs, where as a result of efforts to address deforestation in REM target areas, it increases elsewhere, therefore reducing the net benefit of the investment.</w:t>
            </w:r>
          </w:p>
        </w:tc>
        <w:tc>
          <w:tcPr>
            <w:tcW w:w="54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F1BB4" w:rsidR="00F96651" w:rsidRDefault="253A088D" w14:paraId="3C1A3FB3" w14:textId="37B90D68">
            <w:pPr>
              <w:rPr>
                <w:sz w:val="20"/>
                <w:szCs w:val="20"/>
              </w:rPr>
            </w:pPr>
            <w:r w:rsidRPr="002F1BB4">
              <w:rPr>
                <w:rFonts w:eastAsia="Arial" w:cs="Arial"/>
                <w:sz w:val="20"/>
                <w:szCs w:val="20"/>
              </w:rPr>
              <w:t xml:space="preserve">All programmes are jurisdictional. </w:t>
            </w:r>
            <w:r w:rsidRPr="002F1BB4" w:rsidR="7CAEF370">
              <w:rPr>
                <w:rFonts w:eastAsia="Arial" w:cs="Arial"/>
                <w:sz w:val="20"/>
                <w:szCs w:val="20"/>
              </w:rPr>
              <w:t xml:space="preserve">Both Brazil and Colombia have national forest monitoring systems, which would capture any leakage of emissions. We will seek to ensure that leakage effects are captured </w:t>
            </w:r>
            <w:r w:rsidRPr="002F1BB4" w:rsidR="3A7FB1DF">
              <w:rPr>
                <w:rFonts w:eastAsia="Arial" w:cs="Arial"/>
                <w:sz w:val="20"/>
                <w:szCs w:val="20"/>
              </w:rPr>
              <w:t xml:space="preserve">future REM phases, where the methodology to measure the counterfactual </w:t>
            </w:r>
            <w:r w:rsidRPr="002F1BB4" w:rsidR="37A5B205">
              <w:rPr>
                <w:rFonts w:eastAsia="Arial" w:cs="Arial"/>
                <w:sz w:val="20"/>
                <w:szCs w:val="20"/>
              </w:rPr>
              <w:t xml:space="preserve">is improving as the measurement of REM improved. </w:t>
            </w:r>
            <w:r w:rsidRPr="002F1BB4" w:rsidR="7CAEF370">
              <w:rPr>
                <w:rFonts w:eastAsia="Arial" w:cs="Arial"/>
                <w:sz w:val="20"/>
                <w:szCs w:val="20"/>
              </w:rPr>
              <w:t xml:space="preserve"> REM operat</w:t>
            </w:r>
            <w:r w:rsidRPr="002F1BB4" w:rsidR="7C021A60">
              <w:rPr>
                <w:rFonts w:eastAsia="Arial" w:cs="Arial"/>
                <w:sz w:val="20"/>
                <w:szCs w:val="20"/>
              </w:rPr>
              <w:t>ing</w:t>
            </w:r>
            <w:r w:rsidRPr="002F1BB4" w:rsidR="7CAEF370">
              <w:rPr>
                <w:rFonts w:eastAsia="Arial" w:cs="Arial"/>
                <w:sz w:val="20"/>
                <w:szCs w:val="20"/>
              </w:rPr>
              <w:t xml:space="preserve"> at such a large scale is itself a mitigation against leakage; though, in the Brazilian states, intra-state leakage is an important risk, especially where enforcement capabilities are relatively weak. </w:t>
            </w:r>
            <w:r w:rsidRPr="002F1BB4" w:rsidR="16DE0406">
              <w:rPr>
                <w:rFonts w:eastAsia="Arial" w:cs="Arial"/>
                <w:sz w:val="20"/>
                <w:szCs w:val="20"/>
              </w:rPr>
              <w:t xml:space="preserve">The buffer pool in REM, which will remain the same for Phase 2, will also act as insurance against this. </w:t>
            </w:r>
          </w:p>
        </w:tc>
        <w:tc>
          <w:tcPr>
            <w:tcW w:w="1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tcPr>
          <w:p w:rsidRPr="002F1BB4" w:rsidR="00F96651" w:rsidP="578D5448" w:rsidRDefault="00F96651" w14:paraId="560A7DCF" w14:textId="6F294AFE">
            <w:pPr>
              <w:rPr>
                <w:rFonts w:eastAsia="Arial" w:cs="Arial"/>
                <w:b/>
                <w:bCs/>
                <w:sz w:val="20"/>
                <w:szCs w:val="20"/>
              </w:rPr>
            </w:pPr>
            <w:r w:rsidRPr="002F1BB4">
              <w:rPr>
                <w:rFonts w:eastAsia="Arial" w:cs="Arial"/>
                <w:b/>
                <w:bCs/>
                <w:sz w:val="20"/>
                <w:szCs w:val="20"/>
              </w:rPr>
              <w:t>Moderate</w:t>
            </w:r>
            <w:r w:rsidRPr="002F1BB4" w:rsidR="00B3368C">
              <w:rPr>
                <w:rFonts w:eastAsia="Arial" w:cs="Arial"/>
                <w:b/>
                <w:bCs/>
                <w:sz w:val="20"/>
                <w:szCs w:val="20"/>
              </w:rPr>
              <w:t xml:space="preserve"> (as last year)</w:t>
            </w:r>
          </w:p>
        </w:tc>
      </w:tr>
      <w:tr w:rsidRPr="00F96651" w:rsidR="00BC730C" w:rsidTr="6165F64D" w14:paraId="45693113" w14:textId="77777777">
        <w:trPr>
          <w:trHeight w:val="300"/>
        </w:trPr>
        <w:tc>
          <w:tcPr>
            <w:tcW w:w="24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F1BB4" w:rsidR="00F96651" w:rsidRDefault="7CAEF370" w14:paraId="0CAEB888" w14:textId="0F32CD0D">
            <w:pPr>
              <w:rPr>
                <w:sz w:val="20"/>
                <w:szCs w:val="20"/>
              </w:rPr>
            </w:pPr>
            <w:r w:rsidRPr="002F1BB4">
              <w:rPr>
                <w:rFonts w:eastAsia="Arial" w:cs="Arial"/>
                <w:color w:val="000000" w:themeColor="text1"/>
                <w:sz w:val="20"/>
                <w:szCs w:val="20"/>
              </w:rPr>
              <w:t>Local communities and other non</w:t>
            </w:r>
            <w:r w:rsidRPr="002F1BB4" w:rsidR="24764756">
              <w:rPr>
                <w:rFonts w:eastAsia="Arial" w:cs="Arial"/>
                <w:color w:val="000000" w:themeColor="text1"/>
                <w:sz w:val="20"/>
                <w:szCs w:val="20"/>
              </w:rPr>
              <w:t>-</w:t>
            </w:r>
            <w:r w:rsidRPr="002F1BB4">
              <w:rPr>
                <w:rFonts w:eastAsia="Arial" w:cs="Arial"/>
                <w:color w:val="000000" w:themeColor="text1"/>
                <w:sz w:val="20"/>
                <w:szCs w:val="20"/>
              </w:rPr>
              <w:t>state actors are not effectively engaged in programmes or have grievances because the programme impacts their lives.</w:t>
            </w:r>
          </w:p>
        </w:tc>
        <w:tc>
          <w:tcPr>
            <w:tcW w:w="54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F1BB4" w:rsidR="00F96651" w:rsidRDefault="6E4F2D36" w14:paraId="25E9FA12" w14:textId="460222F8">
            <w:pPr>
              <w:rPr>
                <w:rFonts w:eastAsia="Arial" w:cs="Arial"/>
                <w:sz w:val="20"/>
                <w:szCs w:val="20"/>
              </w:rPr>
            </w:pPr>
            <w:r w:rsidRPr="002F1BB4">
              <w:rPr>
                <w:rFonts w:eastAsia="Arial" w:cs="Arial"/>
                <w:sz w:val="20"/>
                <w:szCs w:val="20"/>
              </w:rPr>
              <w:t>DESNZ</w:t>
            </w:r>
            <w:r w:rsidRPr="002F1BB4" w:rsidR="7CAEF370">
              <w:rPr>
                <w:rFonts w:eastAsia="Arial" w:cs="Arial"/>
                <w:sz w:val="20"/>
                <w:szCs w:val="20"/>
              </w:rPr>
              <w:t xml:space="preserve"> </w:t>
            </w:r>
            <w:r w:rsidRPr="002F1BB4" w:rsidR="5186EA23">
              <w:rPr>
                <w:rFonts w:eastAsia="Arial" w:cs="Arial"/>
                <w:sz w:val="20"/>
                <w:szCs w:val="20"/>
              </w:rPr>
              <w:t xml:space="preserve">continues to </w:t>
            </w:r>
            <w:r w:rsidRPr="002F1BB4" w:rsidR="7CAEF370">
              <w:rPr>
                <w:rFonts w:eastAsia="Arial" w:cs="Arial"/>
                <w:sz w:val="20"/>
                <w:szCs w:val="20"/>
              </w:rPr>
              <w:t>prioritise social safeguard</w:t>
            </w:r>
            <w:r w:rsidRPr="002F1BB4" w:rsidR="5186EA23">
              <w:rPr>
                <w:rFonts w:eastAsia="Arial" w:cs="Arial"/>
                <w:sz w:val="20"/>
                <w:szCs w:val="20"/>
              </w:rPr>
              <w:t>ing</w:t>
            </w:r>
            <w:r w:rsidRPr="002F1BB4" w:rsidR="7CAEF370">
              <w:rPr>
                <w:rFonts w:eastAsia="Arial" w:cs="Arial"/>
                <w:sz w:val="20"/>
                <w:szCs w:val="20"/>
              </w:rPr>
              <w:t xml:space="preserve"> systems </w:t>
            </w:r>
            <w:r w:rsidRPr="002F1BB4" w:rsidR="5186EA23">
              <w:rPr>
                <w:rFonts w:eastAsia="Arial" w:cs="Arial"/>
                <w:sz w:val="20"/>
                <w:szCs w:val="20"/>
              </w:rPr>
              <w:t>- ensuring they</w:t>
            </w:r>
            <w:r w:rsidRPr="002F1BB4" w:rsidR="7CAEF370">
              <w:rPr>
                <w:rFonts w:eastAsia="Arial" w:cs="Arial"/>
                <w:sz w:val="20"/>
                <w:szCs w:val="20"/>
              </w:rPr>
              <w:t xml:space="preserve"> are well-designed and implemented, and results are consistently reported upon. </w:t>
            </w:r>
            <w:r w:rsidRPr="002F1BB4">
              <w:rPr>
                <w:rFonts w:eastAsia="Arial" w:cs="Arial"/>
                <w:sz w:val="20"/>
                <w:szCs w:val="20"/>
              </w:rPr>
              <w:t>Some progress has been made in all states</w:t>
            </w:r>
            <w:r w:rsidRPr="002F1BB4" w:rsidR="70261858">
              <w:rPr>
                <w:rFonts w:eastAsia="Arial" w:cs="Arial"/>
                <w:sz w:val="20"/>
                <w:szCs w:val="20"/>
              </w:rPr>
              <w:t>, especially in Colombia which has the most advanced safeguarding system and is looking to use this in a nested approach,</w:t>
            </w:r>
            <w:r w:rsidRPr="002F1BB4">
              <w:rPr>
                <w:rFonts w:eastAsia="Arial" w:cs="Arial"/>
                <w:sz w:val="20"/>
                <w:szCs w:val="20"/>
              </w:rPr>
              <w:t xml:space="preserve"> and Mato Grosso started reporting again this year. This was a key theme of the workshop in Leticia</w:t>
            </w:r>
            <w:r w:rsidR="002F1BB4">
              <w:rPr>
                <w:rFonts w:eastAsia="Arial" w:cs="Arial"/>
                <w:sz w:val="20"/>
                <w:szCs w:val="20"/>
              </w:rPr>
              <w:t xml:space="preserve"> in this reporting period, </w:t>
            </w:r>
            <w:r w:rsidRPr="002F1BB4">
              <w:rPr>
                <w:rFonts w:eastAsia="Arial" w:cs="Arial"/>
                <w:sz w:val="20"/>
                <w:szCs w:val="20"/>
              </w:rPr>
              <w:t xml:space="preserve">and donors must acknowledge the challenges in maintaining these systems by these jurisdictions, and support as required. </w:t>
            </w:r>
            <w:r w:rsidRPr="002F1BB4" w:rsidR="2CB88943">
              <w:rPr>
                <w:rFonts w:eastAsia="Arial" w:cs="Arial"/>
                <w:sz w:val="20"/>
                <w:szCs w:val="20"/>
              </w:rPr>
              <w:t xml:space="preserve">Although the continued failure of Acre to report </w:t>
            </w:r>
            <w:r w:rsidRPr="002F1BB4" w:rsidR="0591DA76">
              <w:rPr>
                <w:rFonts w:eastAsia="Arial" w:cs="Arial"/>
                <w:sz w:val="20"/>
                <w:szCs w:val="20"/>
              </w:rPr>
              <w:t>to the UNFCCC on</w:t>
            </w:r>
            <w:r w:rsidRPr="002F1BB4" w:rsidR="2CB88943">
              <w:rPr>
                <w:rFonts w:eastAsia="Arial" w:cs="Arial"/>
                <w:sz w:val="20"/>
                <w:szCs w:val="20"/>
              </w:rPr>
              <w:t xml:space="preserve"> safeguards is a</w:t>
            </w:r>
            <w:r w:rsidRPr="002F1BB4" w:rsidR="0591DA76">
              <w:rPr>
                <w:rFonts w:eastAsia="Arial" w:cs="Arial"/>
                <w:sz w:val="20"/>
                <w:szCs w:val="20"/>
              </w:rPr>
              <w:t>n ongoing</w:t>
            </w:r>
            <w:r w:rsidRPr="002F1BB4" w:rsidR="2CB88943">
              <w:rPr>
                <w:rFonts w:eastAsia="Arial" w:cs="Arial"/>
                <w:sz w:val="20"/>
                <w:szCs w:val="20"/>
              </w:rPr>
              <w:t xml:space="preserve"> concern. </w:t>
            </w:r>
          </w:p>
        </w:tc>
        <w:tc>
          <w:tcPr>
            <w:tcW w:w="1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C000" w:themeFill="accent4"/>
            <w:tcMar/>
          </w:tcPr>
          <w:p w:rsidRPr="009E73AA" w:rsidR="00F96651" w:rsidP="578D5448" w:rsidRDefault="00F96651" w14:paraId="1C2B5504" w14:textId="11839242">
            <w:pPr>
              <w:rPr>
                <w:rFonts w:eastAsia="Arial" w:cs="Arial"/>
                <w:b/>
                <w:bCs/>
                <w:sz w:val="20"/>
                <w:szCs w:val="20"/>
              </w:rPr>
            </w:pPr>
            <w:r w:rsidRPr="578D5448">
              <w:rPr>
                <w:rFonts w:eastAsia="Arial" w:cs="Arial"/>
                <w:b/>
                <w:bCs/>
                <w:sz w:val="20"/>
                <w:szCs w:val="20"/>
              </w:rPr>
              <w:t>Moderate</w:t>
            </w:r>
            <w:r w:rsidRPr="578D5448" w:rsidR="00B3368C">
              <w:rPr>
                <w:rFonts w:eastAsia="Arial" w:cs="Arial"/>
                <w:b/>
                <w:bCs/>
                <w:sz w:val="20"/>
                <w:szCs w:val="20"/>
              </w:rPr>
              <w:t xml:space="preserve"> (as last year)</w:t>
            </w:r>
          </w:p>
        </w:tc>
      </w:tr>
    </w:tbl>
    <w:p w:rsidRPr="00D80C6C" w:rsidR="00B74143" w:rsidP="004D5FD5" w:rsidRDefault="00B74143" w14:paraId="3C5CF6C8" w14:textId="77777777">
      <w:pPr>
        <w:jc w:val="both"/>
        <w:rPr>
          <w:rFonts w:cs="Arial"/>
          <w:b/>
          <w:bCs/>
          <w:sz w:val="22"/>
          <w:szCs w:val="22"/>
        </w:rPr>
      </w:pPr>
    </w:p>
    <w:p w:rsidR="0025594B" w:rsidRDefault="0025594B" w14:paraId="370555A6" w14:textId="6977960E"/>
    <w:tbl>
      <w:tblPr>
        <w:tblStyle w:val="TableGrid"/>
        <w:tblW w:w="0" w:type="auto"/>
        <w:tblLook w:val="04A0" w:firstRow="1" w:lastRow="0" w:firstColumn="1" w:lastColumn="0" w:noHBand="0" w:noVBand="1"/>
      </w:tblPr>
      <w:tblGrid>
        <w:gridCol w:w="9016"/>
      </w:tblGrid>
      <w:tr w:rsidRPr="00C74AA0" w:rsidR="00CB2873" w:rsidTr="51BB3CA1" w14:paraId="3775346F" w14:textId="77777777">
        <w:tc>
          <w:tcPr>
            <w:tcW w:w="9016" w:type="dxa"/>
            <w:shd w:val="clear" w:color="auto" w:fill="DEEAF6" w:themeFill="accent5" w:themeFillTint="33"/>
          </w:tcPr>
          <w:p w:rsidRPr="00C74AA0" w:rsidR="00CB2873" w:rsidP="1282DE27" w:rsidRDefault="00A95D0D" w14:paraId="64B9656F" w14:textId="2D4E7C5A">
            <w:pPr>
              <w:rPr>
                <w:sz w:val="22"/>
                <w:szCs w:val="22"/>
              </w:rPr>
            </w:pPr>
            <w:bookmarkStart w:name="_Toc2082133812" w:id="69"/>
            <w:r w:rsidRPr="51BB3CA1">
              <w:rPr>
                <w:rStyle w:val="Heading1Char"/>
                <w:rFonts w:ascii="Arial" w:hAnsi="Arial" w:cs="Arial"/>
                <w:b/>
                <w:bCs/>
                <w:color w:val="auto"/>
                <w:sz w:val="28"/>
                <w:szCs w:val="28"/>
              </w:rPr>
              <w:t>Section F: Programme management: delivery, VfM, commercial and financial performance</w:t>
            </w:r>
            <w:bookmarkEnd w:id="69"/>
            <w:r w:rsidRPr="51BB3CA1">
              <w:rPr>
                <w:sz w:val="22"/>
                <w:szCs w:val="22"/>
              </w:rPr>
              <w:t xml:space="preserve"> </w:t>
            </w:r>
          </w:p>
        </w:tc>
      </w:tr>
    </w:tbl>
    <w:p w:rsidRPr="00C74AA0" w:rsidR="00CB2873" w:rsidP="004D5FD5" w:rsidRDefault="00CB2873" w14:paraId="6268AFF3" w14:textId="7623B8C4">
      <w:pPr>
        <w:jc w:val="both"/>
        <w:rPr>
          <w:rFonts w:cs="Arial"/>
          <w:sz w:val="22"/>
          <w:szCs w:val="22"/>
        </w:rPr>
      </w:pPr>
    </w:p>
    <w:p w:rsidRPr="0025594B" w:rsidR="003D222C" w:rsidP="0025594B" w:rsidRDefault="4280B332" w14:paraId="3B873EA5" w14:textId="1AAFAF34">
      <w:pPr>
        <w:jc w:val="both"/>
        <w:rPr>
          <w:rFonts w:cs="Arial"/>
          <w:sz w:val="20"/>
          <w:szCs w:val="20"/>
        </w:rPr>
      </w:pPr>
      <w:bookmarkStart w:name="_Toc1971678053" w:id="70"/>
      <w:r w:rsidRPr="51BB3CA1">
        <w:rPr>
          <w:rStyle w:val="Heading2Char"/>
          <w:rFonts w:cs="Arial"/>
          <w:sz w:val="24"/>
          <w:szCs w:val="24"/>
        </w:rPr>
        <w:t>Summa</w:t>
      </w:r>
      <w:r w:rsidRPr="51BB3CA1" w:rsidR="0D75F818">
        <w:rPr>
          <w:rStyle w:val="Heading2Char"/>
          <w:rFonts w:cs="Arial"/>
          <w:sz w:val="24"/>
          <w:szCs w:val="24"/>
        </w:rPr>
        <w:t>ry of</w:t>
      </w:r>
      <w:r w:rsidRPr="51BB3CA1">
        <w:rPr>
          <w:rStyle w:val="Heading2Char"/>
          <w:rFonts w:cs="Arial"/>
          <w:sz w:val="24"/>
          <w:szCs w:val="24"/>
        </w:rPr>
        <w:t xml:space="preserve"> the performance of partners and </w:t>
      </w:r>
      <w:r w:rsidRPr="51BB3CA1" w:rsidR="4176DC20">
        <w:rPr>
          <w:rStyle w:val="Heading2Char"/>
          <w:rFonts w:cs="Arial"/>
          <w:sz w:val="24"/>
          <w:szCs w:val="24"/>
        </w:rPr>
        <w:t>DESNZ</w:t>
      </w:r>
      <w:r w:rsidRPr="51BB3CA1">
        <w:rPr>
          <w:rStyle w:val="Heading2Char"/>
          <w:rFonts w:cs="Arial"/>
          <w:sz w:val="24"/>
          <w:szCs w:val="24"/>
        </w:rPr>
        <w:t>, notably on commercial and financial issues, and including consideration of VfM</w:t>
      </w:r>
      <w:bookmarkEnd w:id="70"/>
    </w:p>
    <w:p w:rsidRPr="0025594B" w:rsidR="00572232" w:rsidP="0025594B" w:rsidRDefault="00572232" w14:paraId="10407DF2" w14:textId="77777777">
      <w:pPr>
        <w:jc w:val="both"/>
        <w:rPr>
          <w:rFonts w:cs="Arial"/>
          <w:bCs/>
          <w:sz w:val="22"/>
          <w:szCs w:val="22"/>
          <w:highlight w:val="yellow"/>
        </w:rPr>
      </w:pPr>
    </w:p>
    <w:p w:rsidRPr="0025594B" w:rsidR="00A771E4" w:rsidP="0025594B" w:rsidRDefault="00414D32" w14:paraId="03D52C15" w14:textId="57942D9B">
      <w:pPr>
        <w:jc w:val="both"/>
        <w:rPr>
          <w:rFonts w:cs="Arial"/>
          <w:sz w:val="20"/>
          <w:szCs w:val="20"/>
        </w:rPr>
      </w:pPr>
      <w:r w:rsidRPr="722F6E6D">
        <w:rPr>
          <w:rFonts w:cs="Arial"/>
          <w:sz w:val="20"/>
          <w:szCs w:val="20"/>
        </w:rPr>
        <w:t>The</w:t>
      </w:r>
      <w:r w:rsidRPr="722F6E6D" w:rsidR="00A02095">
        <w:rPr>
          <w:rFonts w:cs="Arial"/>
          <w:sz w:val="20"/>
          <w:szCs w:val="20"/>
        </w:rPr>
        <w:t xml:space="preserve"> REM programme </w:t>
      </w:r>
      <w:r w:rsidRPr="722F6E6D" w:rsidR="2CAC70D3">
        <w:rPr>
          <w:rFonts w:cs="Arial"/>
          <w:sz w:val="20"/>
          <w:szCs w:val="20"/>
        </w:rPr>
        <w:t xml:space="preserve">has </w:t>
      </w:r>
      <w:r w:rsidRPr="722F6E6D" w:rsidR="0024471F">
        <w:rPr>
          <w:rFonts w:cs="Arial"/>
          <w:sz w:val="20"/>
          <w:szCs w:val="20"/>
        </w:rPr>
        <w:t>continue</w:t>
      </w:r>
      <w:r w:rsidRPr="722F6E6D" w:rsidR="0A784483">
        <w:rPr>
          <w:rFonts w:cs="Arial"/>
          <w:sz w:val="20"/>
          <w:szCs w:val="20"/>
        </w:rPr>
        <w:t>d</w:t>
      </w:r>
      <w:r w:rsidRPr="722F6E6D" w:rsidR="0024471F">
        <w:rPr>
          <w:rFonts w:cs="Arial"/>
          <w:sz w:val="20"/>
          <w:szCs w:val="20"/>
        </w:rPr>
        <w:t xml:space="preserve"> to be a </w:t>
      </w:r>
      <w:r w:rsidRPr="722F6E6D" w:rsidR="38BBD3BA">
        <w:rPr>
          <w:rFonts w:cs="Arial"/>
          <w:sz w:val="20"/>
          <w:szCs w:val="20"/>
        </w:rPr>
        <w:t xml:space="preserve">generally </w:t>
      </w:r>
      <w:r w:rsidRPr="722F6E6D" w:rsidR="008D3FA6">
        <w:rPr>
          <w:rFonts w:cs="Arial"/>
          <w:sz w:val="20"/>
          <w:szCs w:val="20"/>
        </w:rPr>
        <w:t>well</w:t>
      </w:r>
      <w:r w:rsidRPr="722F6E6D" w:rsidR="0024471F">
        <w:rPr>
          <w:rFonts w:cs="Arial"/>
          <w:sz w:val="20"/>
          <w:szCs w:val="20"/>
        </w:rPr>
        <w:t xml:space="preserve"> performing programme</w:t>
      </w:r>
      <w:r w:rsidRPr="722F6E6D" w:rsidR="7087DEE6">
        <w:rPr>
          <w:rFonts w:cs="Arial"/>
          <w:sz w:val="20"/>
          <w:szCs w:val="20"/>
        </w:rPr>
        <w:t xml:space="preserve"> into the close of the first phase and the implementation of REM</w:t>
      </w:r>
      <w:r w:rsidRPr="722F6E6D" w:rsidR="00157103">
        <w:rPr>
          <w:rFonts w:cs="Arial"/>
          <w:sz w:val="20"/>
          <w:szCs w:val="20"/>
        </w:rPr>
        <w:t xml:space="preserve"> 2</w:t>
      </w:r>
      <w:r w:rsidRPr="722F6E6D" w:rsidR="0024471F">
        <w:rPr>
          <w:rFonts w:cs="Arial"/>
          <w:sz w:val="20"/>
          <w:szCs w:val="20"/>
        </w:rPr>
        <w:t>, providing good value for money</w:t>
      </w:r>
      <w:r w:rsidRPr="722F6E6D" w:rsidR="008D3FA6">
        <w:rPr>
          <w:rFonts w:cs="Arial"/>
          <w:sz w:val="20"/>
          <w:szCs w:val="20"/>
        </w:rPr>
        <w:t xml:space="preserve">, transformational impact and with an effective delivery partner. </w:t>
      </w:r>
      <w:r w:rsidRPr="722F6E6D" w:rsidR="223F2405">
        <w:rPr>
          <w:rFonts w:cs="Arial"/>
          <w:sz w:val="20"/>
          <w:szCs w:val="20"/>
        </w:rPr>
        <w:t xml:space="preserve">Despite this, </w:t>
      </w:r>
      <w:r w:rsidRPr="722F6E6D" w:rsidR="020A194B">
        <w:rPr>
          <w:rFonts w:cs="Arial"/>
          <w:sz w:val="20"/>
          <w:szCs w:val="20"/>
        </w:rPr>
        <w:t xml:space="preserve">results vary greatly across regions, with impact limited in Acre due to programme design issues, Mato Grosso due to a challenging political environment, and Ecuador, due to the lack of an appropriate financial intermediary. </w:t>
      </w:r>
      <w:r w:rsidRPr="722F6E6D" w:rsidR="24189501">
        <w:rPr>
          <w:rFonts w:cs="Arial"/>
          <w:sz w:val="20"/>
          <w:szCs w:val="20"/>
        </w:rPr>
        <w:t xml:space="preserve">For the programme </w:t>
      </w:r>
      <w:r w:rsidRPr="722F6E6D" w:rsidR="24189501">
        <w:rPr>
          <w:rFonts w:cs="Arial"/>
          <w:sz w:val="20"/>
          <w:szCs w:val="20"/>
        </w:rPr>
        <w:lastRenderedPageBreak/>
        <w:t xml:space="preserve">to continue to be good value for money in REM </w:t>
      </w:r>
      <w:r w:rsidRPr="722F6E6D" w:rsidR="00157103">
        <w:rPr>
          <w:rFonts w:cs="Arial"/>
          <w:sz w:val="20"/>
          <w:szCs w:val="20"/>
        </w:rPr>
        <w:t>2</w:t>
      </w:r>
      <w:r w:rsidRPr="722F6E6D" w:rsidR="24189501">
        <w:rPr>
          <w:rFonts w:cs="Arial"/>
          <w:sz w:val="20"/>
          <w:szCs w:val="20"/>
        </w:rPr>
        <w:t>, the programme should take significant steps to avoid the delays and issues that have hindered progress across the last reporting period.</w:t>
      </w:r>
    </w:p>
    <w:p w:rsidRPr="0025594B" w:rsidR="00707764" w:rsidP="0025594B" w:rsidRDefault="00707764" w14:paraId="52DABEEE" w14:textId="2C8B7FA7">
      <w:pPr>
        <w:jc w:val="both"/>
        <w:rPr>
          <w:rFonts w:cs="Arial"/>
          <w:sz w:val="20"/>
          <w:szCs w:val="20"/>
        </w:rPr>
      </w:pPr>
    </w:p>
    <w:p w:rsidRPr="0025594B" w:rsidR="00833C68" w:rsidP="0025594B" w:rsidRDefault="24189501" w14:paraId="44629DE2" w14:textId="122CDA00">
      <w:pPr>
        <w:jc w:val="both"/>
        <w:rPr>
          <w:rFonts w:cs="Arial"/>
          <w:sz w:val="20"/>
          <w:szCs w:val="20"/>
        </w:rPr>
      </w:pPr>
      <w:r w:rsidRPr="722F6E6D">
        <w:rPr>
          <w:rFonts w:cs="Arial"/>
          <w:sz w:val="20"/>
          <w:szCs w:val="20"/>
        </w:rPr>
        <w:t>Despite barriers, i</w:t>
      </w:r>
      <w:r w:rsidRPr="722F6E6D" w:rsidR="21686C59">
        <w:rPr>
          <w:rFonts w:cs="Arial"/>
          <w:sz w:val="20"/>
          <w:szCs w:val="20"/>
        </w:rPr>
        <w:t>t</w:t>
      </w:r>
      <w:r w:rsidRPr="722F6E6D" w:rsidR="787586E1">
        <w:rPr>
          <w:rFonts w:cs="Arial"/>
          <w:sz w:val="20"/>
          <w:szCs w:val="20"/>
        </w:rPr>
        <w:t xml:space="preserve"> is clear that long term capacity is being built </w:t>
      </w:r>
      <w:r w:rsidRPr="722F6E6D" w:rsidR="7B9ED1B6">
        <w:rPr>
          <w:rFonts w:cs="Arial"/>
          <w:sz w:val="20"/>
          <w:szCs w:val="20"/>
        </w:rPr>
        <w:t>in jurisdictions</w:t>
      </w:r>
      <w:r w:rsidRPr="722F6E6D" w:rsidR="787586E1">
        <w:rPr>
          <w:rFonts w:cs="Arial"/>
          <w:sz w:val="20"/>
          <w:szCs w:val="20"/>
        </w:rPr>
        <w:t>; all REM programmes are locally</w:t>
      </w:r>
      <w:r w:rsidRPr="722F6E6D" w:rsidR="2EB38445">
        <w:rPr>
          <w:rFonts w:cs="Arial"/>
          <w:sz w:val="20"/>
          <w:szCs w:val="20"/>
        </w:rPr>
        <w:t xml:space="preserve"> </w:t>
      </w:r>
      <w:r w:rsidRPr="722F6E6D" w:rsidR="787586E1">
        <w:rPr>
          <w:rFonts w:cs="Arial"/>
          <w:sz w:val="20"/>
          <w:szCs w:val="20"/>
        </w:rPr>
        <w:t>owned and implemented. This includes local consultants (e.g. GOPA employs a local staff member rather than international) improving the overall long-term capacity and impact of REM.</w:t>
      </w:r>
      <w:r w:rsidRPr="722F6E6D" w:rsidR="00157103">
        <w:rPr>
          <w:rFonts w:cs="Arial"/>
          <w:sz w:val="20"/>
          <w:szCs w:val="20"/>
        </w:rPr>
        <w:t xml:space="preserve"> REM in Colombia is aiming to be mainstreamed into the Government of Colombia.</w:t>
      </w:r>
      <w:r w:rsidRPr="722F6E6D" w:rsidR="787586E1">
        <w:rPr>
          <w:rFonts w:cs="Arial"/>
          <w:sz w:val="20"/>
          <w:szCs w:val="20"/>
        </w:rPr>
        <w:t xml:space="preserve"> </w:t>
      </w:r>
    </w:p>
    <w:p w:rsidRPr="0025594B" w:rsidR="00A771E4" w:rsidP="0025594B" w:rsidRDefault="00A771E4" w14:paraId="2D7B5E74" w14:textId="77777777">
      <w:pPr>
        <w:jc w:val="both"/>
        <w:rPr>
          <w:rFonts w:cs="Arial"/>
          <w:bCs/>
          <w:sz w:val="20"/>
          <w:szCs w:val="20"/>
          <w:highlight w:val="yellow"/>
        </w:rPr>
      </w:pPr>
    </w:p>
    <w:p w:rsidRPr="00544F8D" w:rsidR="00D0302B" w:rsidP="0025594B" w:rsidRDefault="1392DBC7" w14:paraId="2C3EF177" w14:textId="3D23D594">
      <w:pPr>
        <w:jc w:val="both"/>
        <w:rPr>
          <w:rFonts w:cs="Arial"/>
          <w:sz w:val="20"/>
          <w:szCs w:val="20"/>
        </w:rPr>
      </w:pPr>
      <w:r w:rsidRPr="00544F8D">
        <w:rPr>
          <w:rFonts w:cs="Arial"/>
          <w:sz w:val="20"/>
          <w:szCs w:val="20"/>
        </w:rPr>
        <w:t xml:space="preserve">REM has built the pathways for access to other carbon finance. </w:t>
      </w:r>
      <w:r w:rsidRPr="00544F8D" w:rsidR="005906AB">
        <w:rPr>
          <w:rFonts w:cs="Arial"/>
          <w:sz w:val="20"/>
          <w:szCs w:val="20"/>
        </w:rPr>
        <w:t xml:space="preserve">Both states in Brazil have referenced the groundwork REM has laid for the ART TREES process for LEAF, which is now being complimented by further support through Ricardo </w:t>
      </w:r>
      <w:r w:rsidRPr="00544F8D" w:rsidR="00D87AA2">
        <w:rPr>
          <w:rFonts w:cs="Arial"/>
          <w:sz w:val="20"/>
          <w:szCs w:val="20"/>
        </w:rPr>
        <w:t xml:space="preserve">LEAF Technical Assistance. Both Acre and Mato Grosso are closest to signing an ERPA for LEAF apart from Pará, out of the states in Brazil. </w:t>
      </w:r>
      <w:r w:rsidRPr="00544F8D" w:rsidR="676A58A1">
        <w:rPr>
          <w:rFonts w:cs="Arial"/>
          <w:sz w:val="20"/>
          <w:szCs w:val="20"/>
        </w:rPr>
        <w:t xml:space="preserve">REM has clearly built long-term </w:t>
      </w:r>
      <w:r w:rsidRPr="00544F8D" w:rsidR="186F7707">
        <w:rPr>
          <w:rFonts w:cs="Arial"/>
          <w:sz w:val="20"/>
          <w:szCs w:val="20"/>
        </w:rPr>
        <w:t xml:space="preserve">capability allowing the states to access further finance from </w:t>
      </w:r>
      <w:r w:rsidRPr="00544F8D">
        <w:rPr>
          <w:rFonts w:cs="Arial"/>
          <w:sz w:val="20"/>
          <w:szCs w:val="20"/>
        </w:rPr>
        <w:t>deforestation</w:t>
      </w:r>
      <w:r w:rsidRPr="00544F8D" w:rsidR="186F7707">
        <w:rPr>
          <w:rFonts w:cs="Arial"/>
          <w:sz w:val="20"/>
          <w:szCs w:val="20"/>
        </w:rPr>
        <w:t xml:space="preserve"> reduction.</w:t>
      </w:r>
    </w:p>
    <w:p w:rsidRPr="0025594B" w:rsidR="00BC5866" w:rsidP="0025594B" w:rsidRDefault="00BC5866" w14:paraId="1851F65E" w14:textId="74243F9A">
      <w:pPr>
        <w:jc w:val="both"/>
        <w:rPr>
          <w:rFonts w:cs="Arial"/>
          <w:sz w:val="20"/>
          <w:szCs w:val="20"/>
          <w:highlight w:val="yellow"/>
        </w:rPr>
      </w:pPr>
    </w:p>
    <w:p w:rsidRPr="0025594B" w:rsidR="55660D77" w:rsidP="0025594B" w:rsidRDefault="55660D77" w14:paraId="782B3039" w14:textId="03D08BA2">
      <w:pPr>
        <w:spacing w:after="160" w:line="259" w:lineRule="auto"/>
        <w:contextualSpacing/>
        <w:jc w:val="both"/>
        <w:rPr>
          <w:rFonts w:eastAsia="Arial" w:cs="Arial"/>
          <w:color w:val="000000" w:themeColor="text1"/>
          <w:sz w:val="20"/>
          <w:szCs w:val="20"/>
        </w:rPr>
      </w:pPr>
      <w:r w:rsidRPr="55FE0A13">
        <w:rPr>
          <w:rFonts w:eastAsia="Arial" w:cs="Arial"/>
          <w:b/>
          <w:color w:val="000000" w:themeColor="text1"/>
          <w:sz w:val="20"/>
          <w:szCs w:val="20"/>
          <w:lang w:val="en-US"/>
        </w:rPr>
        <w:t>Economy:</w:t>
      </w:r>
    </w:p>
    <w:p w:rsidRPr="0025594B" w:rsidR="1CAABCE6" w:rsidP="0025594B" w:rsidRDefault="1CAABCE6" w14:paraId="0A86CEFD" w14:textId="34957A2B">
      <w:pPr>
        <w:spacing w:after="160" w:line="259" w:lineRule="auto"/>
        <w:contextualSpacing/>
        <w:jc w:val="both"/>
        <w:rPr>
          <w:rFonts w:eastAsia="Arial" w:cs="Arial"/>
          <w:color w:val="000000" w:themeColor="text1"/>
          <w:sz w:val="20"/>
          <w:szCs w:val="20"/>
        </w:rPr>
      </w:pPr>
      <w:r w:rsidRPr="55FE0A13">
        <w:rPr>
          <w:rFonts w:eastAsia="Arial" w:cs="Arial"/>
          <w:color w:val="000000" w:themeColor="text1"/>
          <w:sz w:val="20"/>
          <w:szCs w:val="20"/>
        </w:rPr>
        <w:t xml:space="preserve">The key cost drivers are the volume of ERs purchased, exchange rate fluctuations and fees paid to KfW and financial intermediaries. </w:t>
      </w:r>
    </w:p>
    <w:p w:rsidRPr="0025594B" w:rsidR="3C55AC76" w:rsidP="0025594B" w:rsidRDefault="3C55AC76" w14:paraId="19A4115D" w14:textId="389E0281">
      <w:pPr>
        <w:spacing w:after="160" w:line="259" w:lineRule="auto"/>
        <w:contextualSpacing/>
        <w:jc w:val="both"/>
        <w:rPr>
          <w:rFonts w:eastAsia="Arial" w:cs="Arial"/>
          <w:color w:val="000000" w:themeColor="text1"/>
          <w:sz w:val="20"/>
          <w:szCs w:val="20"/>
        </w:rPr>
      </w:pPr>
    </w:p>
    <w:p w:rsidRPr="0025594B" w:rsidR="55660D77" w:rsidP="0025594B" w:rsidRDefault="669C53B9" w14:paraId="29EE483B" w14:textId="72047935">
      <w:pPr>
        <w:spacing w:after="160" w:line="259" w:lineRule="auto"/>
        <w:contextualSpacing/>
        <w:jc w:val="both"/>
        <w:rPr>
          <w:rFonts w:eastAsia="Arial" w:cs="Arial"/>
          <w:color w:val="000000" w:themeColor="text1"/>
          <w:sz w:val="20"/>
          <w:szCs w:val="20"/>
        </w:rPr>
      </w:pPr>
      <w:r w:rsidRPr="21E821A9">
        <w:rPr>
          <w:rFonts w:eastAsia="Arial" w:cs="Arial"/>
          <w:color w:val="000000" w:themeColor="text1"/>
          <w:sz w:val="20"/>
          <w:szCs w:val="20"/>
        </w:rPr>
        <w:t xml:space="preserve">Disbursements are paid to KfW in GBP at the point of request but held in EUR and then paid in </w:t>
      </w:r>
      <w:r w:rsidRPr="21E821A9" w:rsidR="279FCAEB">
        <w:rPr>
          <w:rFonts w:eastAsia="Arial" w:cs="Arial"/>
          <w:color w:val="000000" w:themeColor="text1"/>
          <w:sz w:val="20"/>
          <w:szCs w:val="20"/>
        </w:rPr>
        <w:t xml:space="preserve">the equivalent in EUR of the </w:t>
      </w:r>
      <w:r w:rsidRPr="21E821A9">
        <w:rPr>
          <w:rFonts w:eastAsia="Arial" w:cs="Arial"/>
          <w:color w:val="000000" w:themeColor="text1"/>
          <w:sz w:val="20"/>
          <w:szCs w:val="20"/>
        </w:rPr>
        <w:t xml:space="preserve">USD </w:t>
      </w:r>
      <w:r w:rsidRPr="21E821A9" w:rsidR="279FCAEB">
        <w:rPr>
          <w:rFonts w:eastAsia="Arial" w:cs="Arial"/>
          <w:color w:val="000000" w:themeColor="text1"/>
          <w:sz w:val="20"/>
          <w:szCs w:val="20"/>
        </w:rPr>
        <w:t xml:space="preserve">amount </w:t>
      </w:r>
      <w:r w:rsidRPr="21E821A9">
        <w:rPr>
          <w:rFonts w:eastAsia="Arial" w:cs="Arial"/>
          <w:color w:val="000000" w:themeColor="text1"/>
          <w:sz w:val="20"/>
          <w:szCs w:val="20"/>
        </w:rPr>
        <w:t xml:space="preserve">to recipient countries. Therefore, a degree of exchange rate fluctuation is expected to influence the total amount contributed by the UK. </w:t>
      </w:r>
      <w:r w:rsidRPr="21E821A9" w:rsidR="4BB4C183">
        <w:rPr>
          <w:rFonts w:eastAsia="Arial" w:cs="Arial"/>
          <w:color w:val="000000" w:themeColor="text1"/>
          <w:sz w:val="20"/>
          <w:szCs w:val="20"/>
        </w:rPr>
        <w:t xml:space="preserve">DESNZ </w:t>
      </w:r>
      <w:r w:rsidRPr="21E821A9">
        <w:rPr>
          <w:rFonts w:eastAsia="Arial" w:cs="Arial"/>
          <w:color w:val="000000" w:themeColor="text1"/>
          <w:sz w:val="20"/>
          <w:szCs w:val="20"/>
        </w:rPr>
        <w:t>will continue monitoring this, as GBP:EUR and EUR:USD exchange rate fluctuations do affect the total funds available for disbursement. However, in Colombia and Mato Grosso where all payments have been finalised</w:t>
      </w:r>
      <w:r w:rsidRPr="21E821A9" w:rsidR="2527FE33">
        <w:rPr>
          <w:rFonts w:eastAsia="Arial" w:cs="Arial"/>
          <w:color w:val="000000" w:themeColor="text1"/>
          <w:sz w:val="20"/>
          <w:szCs w:val="20"/>
        </w:rPr>
        <w:t xml:space="preserve"> for the first phase</w:t>
      </w:r>
      <w:r w:rsidRPr="21E821A9">
        <w:rPr>
          <w:rFonts w:eastAsia="Arial" w:cs="Arial"/>
          <w:color w:val="000000" w:themeColor="text1"/>
          <w:sz w:val="20"/>
          <w:szCs w:val="20"/>
        </w:rPr>
        <w:t xml:space="preserve">, fluctuations had a negligible effect on attribution rates relative to initial budget commitments. </w:t>
      </w:r>
    </w:p>
    <w:p w:rsidRPr="0025594B" w:rsidR="3C55AC76" w:rsidP="0025594B" w:rsidRDefault="3C55AC76" w14:paraId="5CB96B1D" w14:textId="7995026F">
      <w:pPr>
        <w:spacing w:after="160" w:line="259" w:lineRule="auto"/>
        <w:contextualSpacing/>
        <w:jc w:val="both"/>
        <w:rPr>
          <w:rFonts w:eastAsia="Arial" w:cs="Arial"/>
          <w:color w:val="000000" w:themeColor="text1"/>
          <w:sz w:val="20"/>
          <w:szCs w:val="20"/>
        </w:rPr>
      </w:pPr>
    </w:p>
    <w:p w:rsidRPr="0025594B" w:rsidR="00FB6817" w:rsidP="0025594B" w:rsidRDefault="669C53B9" w14:paraId="7311CD2D" w14:textId="593595C5">
      <w:pPr>
        <w:spacing w:after="160" w:line="259" w:lineRule="auto"/>
        <w:contextualSpacing/>
        <w:jc w:val="both"/>
        <w:rPr>
          <w:rFonts w:cs="Arial"/>
          <w:sz w:val="20"/>
          <w:szCs w:val="20"/>
        </w:rPr>
      </w:pPr>
      <w:r w:rsidRPr="722F6E6D">
        <w:rPr>
          <w:rFonts w:eastAsia="Arial" w:cs="Arial"/>
          <w:color w:val="000000" w:themeColor="text1"/>
          <w:sz w:val="20"/>
          <w:szCs w:val="20"/>
        </w:rPr>
        <w:t xml:space="preserve">Management fees of KfW </w:t>
      </w:r>
      <w:r w:rsidRPr="722F6E6D" w:rsidR="7A588CF7">
        <w:rPr>
          <w:rFonts w:eastAsia="Arial" w:cs="Arial"/>
          <w:color w:val="000000" w:themeColor="text1"/>
          <w:sz w:val="20"/>
          <w:szCs w:val="20"/>
        </w:rPr>
        <w:t xml:space="preserve">for both REM and REM </w:t>
      </w:r>
      <w:r w:rsidRPr="722F6E6D" w:rsidR="00157103">
        <w:rPr>
          <w:rFonts w:eastAsia="Arial" w:cs="Arial"/>
          <w:color w:val="000000" w:themeColor="text1"/>
          <w:sz w:val="20"/>
          <w:szCs w:val="20"/>
        </w:rPr>
        <w:t>2</w:t>
      </w:r>
      <w:r w:rsidRPr="722F6E6D" w:rsidR="7A588CF7">
        <w:rPr>
          <w:rFonts w:eastAsia="Arial" w:cs="Arial"/>
          <w:color w:val="000000" w:themeColor="text1"/>
          <w:sz w:val="20"/>
          <w:szCs w:val="20"/>
        </w:rPr>
        <w:t xml:space="preserve"> </w:t>
      </w:r>
      <w:r w:rsidRPr="722F6E6D">
        <w:rPr>
          <w:rFonts w:eastAsia="Arial" w:cs="Arial"/>
          <w:color w:val="000000" w:themeColor="text1"/>
          <w:sz w:val="20"/>
          <w:szCs w:val="20"/>
        </w:rPr>
        <w:t xml:space="preserve">remain as presented in the business case (2.5% for </w:t>
      </w:r>
      <w:r w:rsidRPr="722F6E6D" w:rsidR="45EEC652">
        <w:rPr>
          <w:rFonts w:eastAsia="Arial" w:cs="Arial"/>
          <w:color w:val="000000" w:themeColor="text1"/>
          <w:sz w:val="20"/>
          <w:szCs w:val="20"/>
        </w:rPr>
        <w:t>all jurisdictions</w:t>
      </w:r>
      <w:r w:rsidRPr="722F6E6D">
        <w:rPr>
          <w:rFonts w:eastAsia="Arial" w:cs="Arial"/>
          <w:color w:val="000000" w:themeColor="text1"/>
          <w:sz w:val="20"/>
          <w:szCs w:val="20"/>
        </w:rPr>
        <w:t>).</w:t>
      </w:r>
      <w:r w:rsidRPr="722F6E6D" w:rsidR="45EEC652">
        <w:rPr>
          <w:rFonts w:eastAsia="Arial" w:cs="Arial"/>
          <w:color w:val="000000" w:themeColor="text1"/>
          <w:sz w:val="20"/>
          <w:szCs w:val="20"/>
        </w:rPr>
        <w:t xml:space="preserve"> For </w:t>
      </w:r>
      <w:r w:rsidRPr="722F6E6D" w:rsidR="7F9A15BD">
        <w:rPr>
          <w:rFonts w:eastAsia="Arial" w:cs="Arial"/>
          <w:color w:val="000000" w:themeColor="text1"/>
          <w:sz w:val="20"/>
          <w:szCs w:val="20"/>
        </w:rPr>
        <w:t xml:space="preserve">REM </w:t>
      </w:r>
      <w:r w:rsidRPr="722F6E6D" w:rsidR="00157103">
        <w:rPr>
          <w:rFonts w:eastAsia="Arial" w:cs="Arial"/>
          <w:color w:val="000000" w:themeColor="text1"/>
          <w:sz w:val="20"/>
          <w:szCs w:val="20"/>
        </w:rPr>
        <w:t>2</w:t>
      </w:r>
      <w:r w:rsidRPr="722F6E6D" w:rsidR="45EEC652">
        <w:rPr>
          <w:rFonts w:eastAsia="Arial" w:cs="Arial"/>
          <w:color w:val="000000" w:themeColor="text1"/>
          <w:sz w:val="20"/>
          <w:szCs w:val="20"/>
        </w:rPr>
        <w:t>,</w:t>
      </w:r>
      <w:r w:rsidRPr="722F6E6D" w:rsidR="6A22ABE2">
        <w:rPr>
          <w:rFonts w:eastAsia="Arial" w:cs="Arial"/>
          <w:color w:val="000000" w:themeColor="text1"/>
          <w:sz w:val="20"/>
          <w:szCs w:val="20"/>
        </w:rPr>
        <w:t xml:space="preserve"> an additional 1.5% </w:t>
      </w:r>
      <w:r w:rsidRPr="722F6E6D" w:rsidR="40E77132">
        <w:rPr>
          <w:rFonts w:eastAsia="Arial" w:cs="Arial"/>
          <w:color w:val="000000" w:themeColor="text1"/>
          <w:sz w:val="20"/>
          <w:szCs w:val="20"/>
        </w:rPr>
        <w:t xml:space="preserve">is </w:t>
      </w:r>
      <w:r w:rsidRPr="722F6E6D" w:rsidR="6A22ABE2">
        <w:rPr>
          <w:rFonts w:eastAsia="Arial" w:cs="Arial"/>
          <w:color w:val="000000" w:themeColor="text1"/>
          <w:sz w:val="20"/>
          <w:szCs w:val="20"/>
        </w:rPr>
        <w:t xml:space="preserve">set aside </w:t>
      </w:r>
      <w:r w:rsidRPr="722F6E6D" w:rsidR="279FCAEB">
        <w:rPr>
          <w:rFonts w:eastAsia="Arial" w:cs="Arial"/>
          <w:color w:val="000000" w:themeColor="text1"/>
          <w:sz w:val="20"/>
          <w:szCs w:val="20"/>
        </w:rPr>
        <w:t xml:space="preserve">in </w:t>
      </w:r>
      <w:r w:rsidRPr="722F6E6D" w:rsidR="2782BB9D">
        <w:rPr>
          <w:rFonts w:eastAsia="Arial" w:cs="Arial"/>
          <w:color w:val="000000" w:themeColor="text1"/>
          <w:sz w:val="20"/>
          <w:szCs w:val="20"/>
        </w:rPr>
        <w:t xml:space="preserve">a Technical Assistance </w:t>
      </w:r>
      <w:r w:rsidRPr="722F6E6D" w:rsidR="279FCAEB">
        <w:rPr>
          <w:rFonts w:eastAsia="Arial" w:cs="Arial"/>
          <w:color w:val="000000" w:themeColor="text1"/>
          <w:sz w:val="20"/>
          <w:szCs w:val="20"/>
        </w:rPr>
        <w:t xml:space="preserve">Account </w:t>
      </w:r>
      <w:r w:rsidRPr="722F6E6D" w:rsidR="14469F03">
        <w:rPr>
          <w:rFonts w:eastAsia="Arial" w:cs="Arial"/>
          <w:color w:val="000000" w:themeColor="text1"/>
          <w:sz w:val="20"/>
          <w:szCs w:val="20"/>
        </w:rPr>
        <w:t>to</w:t>
      </w:r>
      <w:r w:rsidRPr="722F6E6D" w:rsidR="55E52BAD">
        <w:rPr>
          <w:rFonts w:eastAsia="Arial" w:cs="Arial"/>
          <w:color w:val="000000" w:themeColor="text1"/>
          <w:sz w:val="20"/>
          <w:szCs w:val="20"/>
        </w:rPr>
        <w:t xml:space="preserve"> cover </w:t>
      </w:r>
      <w:r w:rsidRPr="722F6E6D" w:rsidR="76596E84">
        <w:rPr>
          <w:rFonts w:eastAsia="Arial" w:cs="Arial"/>
          <w:color w:val="000000" w:themeColor="text1"/>
          <w:sz w:val="20"/>
          <w:szCs w:val="20"/>
        </w:rPr>
        <w:t xml:space="preserve">evaluations, </w:t>
      </w:r>
      <w:r w:rsidRPr="722F6E6D" w:rsidR="279FCAEB">
        <w:rPr>
          <w:rFonts w:eastAsia="Arial" w:cs="Arial"/>
          <w:color w:val="000000" w:themeColor="text1"/>
          <w:sz w:val="20"/>
          <w:szCs w:val="20"/>
        </w:rPr>
        <w:t xml:space="preserve">communications </w:t>
      </w:r>
      <w:r w:rsidRPr="722F6E6D" w:rsidR="76596E84">
        <w:rPr>
          <w:rFonts w:eastAsia="Arial" w:cs="Arial"/>
          <w:color w:val="000000" w:themeColor="text1"/>
          <w:sz w:val="20"/>
          <w:szCs w:val="20"/>
        </w:rPr>
        <w:t>and support to the jurisdiction.</w:t>
      </w:r>
      <w:r w:rsidRPr="722F6E6D" w:rsidR="57D33042">
        <w:rPr>
          <w:rFonts w:eastAsia="Arial" w:cs="Arial"/>
          <w:color w:val="000000" w:themeColor="text1"/>
          <w:sz w:val="20"/>
          <w:szCs w:val="20"/>
        </w:rPr>
        <w:t xml:space="preserve"> </w:t>
      </w:r>
      <w:r w:rsidRPr="722F6E6D" w:rsidR="69438930">
        <w:rPr>
          <w:rFonts w:eastAsia="Arial" w:cs="Arial"/>
          <w:color w:val="000000" w:themeColor="text1"/>
          <w:sz w:val="20"/>
          <w:szCs w:val="20"/>
        </w:rPr>
        <w:t>Economy is improved by paying low fees (relative to the wider ICF portfolio) as BMZ assume a higher proportion of KfW costs.</w:t>
      </w:r>
      <w:r w:rsidRPr="722F6E6D" w:rsidR="57D33042">
        <w:rPr>
          <w:rFonts w:cs="Arial"/>
          <w:sz w:val="20"/>
          <w:szCs w:val="20"/>
        </w:rPr>
        <w:t xml:space="preserve"> </w:t>
      </w:r>
      <w:r w:rsidRPr="722F6E6D" w:rsidR="50CDFFE2">
        <w:rPr>
          <w:rFonts w:cs="Arial"/>
          <w:sz w:val="20"/>
          <w:szCs w:val="20"/>
        </w:rPr>
        <w:t>Additionally, f</w:t>
      </w:r>
      <w:r w:rsidRPr="722F6E6D" w:rsidR="41EA0CC4">
        <w:rPr>
          <w:rFonts w:cs="Arial"/>
          <w:sz w:val="20"/>
          <w:szCs w:val="20"/>
        </w:rPr>
        <w:t>inancial intermediary fees are charged in M</w:t>
      </w:r>
      <w:r w:rsidRPr="722F6E6D" w:rsidR="75F7B17C">
        <w:rPr>
          <w:rFonts w:cs="Arial"/>
          <w:sz w:val="20"/>
          <w:szCs w:val="20"/>
        </w:rPr>
        <w:t>ato Grosso</w:t>
      </w:r>
      <w:r w:rsidRPr="722F6E6D" w:rsidR="41EA0CC4">
        <w:rPr>
          <w:rFonts w:cs="Arial"/>
          <w:sz w:val="20"/>
          <w:szCs w:val="20"/>
        </w:rPr>
        <w:t xml:space="preserve"> and Colombia, </w:t>
      </w:r>
      <w:r w:rsidRPr="722F6E6D" w:rsidR="4D9CBD48">
        <w:rPr>
          <w:rFonts w:cs="Arial"/>
          <w:sz w:val="20"/>
          <w:szCs w:val="20"/>
        </w:rPr>
        <w:t xml:space="preserve">for the first phase, </w:t>
      </w:r>
      <w:r w:rsidRPr="722F6E6D" w:rsidR="41EA0CC4">
        <w:rPr>
          <w:rFonts w:cs="Arial"/>
          <w:sz w:val="20"/>
          <w:szCs w:val="20"/>
        </w:rPr>
        <w:t xml:space="preserve">these </w:t>
      </w:r>
      <w:r w:rsidRPr="722F6E6D" w:rsidR="1B699DC0">
        <w:rPr>
          <w:rFonts w:cs="Arial"/>
          <w:sz w:val="20"/>
          <w:szCs w:val="20"/>
        </w:rPr>
        <w:t>were</w:t>
      </w:r>
      <w:r w:rsidRPr="722F6E6D" w:rsidR="41EA0CC4">
        <w:rPr>
          <w:rFonts w:cs="Arial"/>
          <w:sz w:val="20"/>
          <w:szCs w:val="20"/>
        </w:rPr>
        <w:t xml:space="preserve"> 1</w:t>
      </w:r>
      <w:r w:rsidRPr="722F6E6D" w:rsidR="2635D8D0">
        <w:rPr>
          <w:rFonts w:cs="Arial"/>
          <w:sz w:val="20"/>
          <w:szCs w:val="20"/>
        </w:rPr>
        <w:t>0.9</w:t>
      </w:r>
      <w:r w:rsidRPr="722F6E6D" w:rsidR="41EA0CC4">
        <w:rPr>
          <w:rFonts w:cs="Arial"/>
          <w:sz w:val="20"/>
          <w:szCs w:val="20"/>
        </w:rPr>
        <w:t xml:space="preserve">% and 6.7% respectively. </w:t>
      </w:r>
      <w:r w:rsidRPr="722F6E6D" w:rsidR="06332020">
        <w:rPr>
          <w:rFonts w:cs="Arial"/>
          <w:sz w:val="20"/>
          <w:szCs w:val="20"/>
        </w:rPr>
        <w:t>For</w:t>
      </w:r>
      <w:r w:rsidRPr="722F6E6D" w:rsidR="41EA0CC4">
        <w:rPr>
          <w:rFonts w:cs="Arial"/>
          <w:sz w:val="20"/>
          <w:szCs w:val="20"/>
        </w:rPr>
        <w:t xml:space="preserve"> </w:t>
      </w:r>
      <w:r w:rsidRPr="722F6E6D" w:rsidR="1829C81D">
        <w:rPr>
          <w:rFonts w:cs="Arial"/>
          <w:sz w:val="20"/>
          <w:szCs w:val="20"/>
        </w:rPr>
        <w:t xml:space="preserve">REM </w:t>
      </w:r>
      <w:r w:rsidRPr="722F6E6D" w:rsidR="00157103">
        <w:rPr>
          <w:rFonts w:cs="Arial"/>
          <w:sz w:val="20"/>
          <w:szCs w:val="20"/>
        </w:rPr>
        <w:t>2</w:t>
      </w:r>
      <w:r w:rsidRPr="722F6E6D" w:rsidR="1829C81D">
        <w:rPr>
          <w:rFonts w:cs="Arial"/>
          <w:sz w:val="20"/>
          <w:szCs w:val="20"/>
        </w:rPr>
        <w:t>,</w:t>
      </w:r>
      <w:r w:rsidRPr="722F6E6D" w:rsidR="41EA0CC4">
        <w:rPr>
          <w:rFonts w:cs="Arial"/>
          <w:sz w:val="20"/>
          <w:szCs w:val="20"/>
        </w:rPr>
        <w:t xml:space="preserve"> the fina</w:t>
      </w:r>
      <w:r w:rsidRPr="722F6E6D" w:rsidR="279FCAEB">
        <w:rPr>
          <w:rFonts w:cs="Arial"/>
          <w:sz w:val="20"/>
          <w:szCs w:val="20"/>
        </w:rPr>
        <w:t>n</w:t>
      </w:r>
      <w:r w:rsidRPr="722F6E6D" w:rsidR="41EA0CC4">
        <w:rPr>
          <w:rFonts w:cs="Arial"/>
          <w:sz w:val="20"/>
          <w:szCs w:val="20"/>
        </w:rPr>
        <w:t>cial intermediary in M</w:t>
      </w:r>
      <w:r w:rsidRPr="722F6E6D" w:rsidR="179A9F38">
        <w:rPr>
          <w:rFonts w:cs="Arial"/>
          <w:sz w:val="20"/>
          <w:szCs w:val="20"/>
        </w:rPr>
        <w:t>ato Grosso has</w:t>
      </w:r>
      <w:r w:rsidRPr="722F6E6D" w:rsidR="41EA0CC4">
        <w:rPr>
          <w:rFonts w:cs="Arial"/>
          <w:sz w:val="20"/>
          <w:szCs w:val="20"/>
        </w:rPr>
        <w:t xml:space="preserve"> change</w:t>
      </w:r>
      <w:r w:rsidRPr="722F6E6D" w:rsidR="5F504009">
        <w:rPr>
          <w:rFonts w:cs="Arial"/>
          <w:sz w:val="20"/>
          <w:szCs w:val="20"/>
        </w:rPr>
        <w:t>d</w:t>
      </w:r>
      <w:r w:rsidRPr="722F6E6D" w:rsidR="41EA0CC4">
        <w:rPr>
          <w:rFonts w:cs="Arial"/>
          <w:sz w:val="20"/>
          <w:szCs w:val="20"/>
        </w:rPr>
        <w:t xml:space="preserve"> from Funbio to FAS</w:t>
      </w:r>
      <w:r w:rsidRPr="722F6E6D" w:rsidR="781885E5">
        <w:rPr>
          <w:rFonts w:cs="Arial"/>
          <w:sz w:val="20"/>
          <w:szCs w:val="20"/>
        </w:rPr>
        <w:t xml:space="preserve">, with </w:t>
      </w:r>
      <w:r w:rsidRPr="722F6E6D" w:rsidR="41EA0CC4">
        <w:rPr>
          <w:rFonts w:cs="Arial"/>
          <w:sz w:val="20"/>
          <w:szCs w:val="20"/>
        </w:rPr>
        <w:t xml:space="preserve">fees </w:t>
      </w:r>
      <w:r w:rsidRPr="722F6E6D" w:rsidR="781885E5">
        <w:rPr>
          <w:rFonts w:cs="Arial"/>
          <w:sz w:val="20"/>
          <w:szCs w:val="20"/>
        </w:rPr>
        <w:t>falling</w:t>
      </w:r>
      <w:r w:rsidRPr="722F6E6D" w:rsidR="41EA0CC4">
        <w:rPr>
          <w:rFonts w:cs="Arial"/>
          <w:sz w:val="20"/>
          <w:szCs w:val="20"/>
        </w:rPr>
        <w:t xml:space="preserve"> to </w:t>
      </w:r>
      <w:r w:rsidRPr="722F6E6D" w:rsidR="781885E5">
        <w:rPr>
          <w:rFonts w:cs="Arial"/>
          <w:sz w:val="20"/>
          <w:szCs w:val="20"/>
        </w:rPr>
        <w:t>6</w:t>
      </w:r>
      <w:r w:rsidRPr="722F6E6D" w:rsidR="3B9B2A82">
        <w:rPr>
          <w:rFonts w:cs="Arial"/>
          <w:sz w:val="20"/>
          <w:szCs w:val="20"/>
        </w:rPr>
        <w:t>.</w:t>
      </w:r>
      <w:r w:rsidRPr="722F6E6D" w:rsidR="41EA0CC4">
        <w:rPr>
          <w:rFonts w:cs="Arial"/>
          <w:sz w:val="20"/>
          <w:szCs w:val="20"/>
        </w:rPr>
        <w:t>7%</w:t>
      </w:r>
      <w:r w:rsidRPr="722F6E6D" w:rsidR="279FCAEB">
        <w:rPr>
          <w:rFonts w:cs="Arial"/>
          <w:sz w:val="20"/>
          <w:szCs w:val="20"/>
        </w:rPr>
        <w:t xml:space="preserve"> </w:t>
      </w:r>
      <w:r w:rsidRPr="722F6E6D" w:rsidR="7FA4D99E">
        <w:rPr>
          <w:rFonts w:cs="Arial"/>
          <w:sz w:val="20"/>
          <w:szCs w:val="20"/>
        </w:rPr>
        <w:t>(plus adjustments for</w:t>
      </w:r>
      <w:r w:rsidRPr="722F6E6D" w:rsidR="279FCAEB">
        <w:rPr>
          <w:rFonts w:cs="Arial"/>
          <w:sz w:val="20"/>
          <w:szCs w:val="20"/>
        </w:rPr>
        <w:t xml:space="preserve"> inflation and </w:t>
      </w:r>
      <w:r w:rsidRPr="722F6E6D" w:rsidR="7FA4D99E">
        <w:rPr>
          <w:rFonts w:cs="Arial"/>
          <w:sz w:val="20"/>
          <w:szCs w:val="20"/>
        </w:rPr>
        <w:t>exchange rate fluctuation)</w:t>
      </w:r>
      <w:r w:rsidRPr="722F6E6D" w:rsidR="41EA0CC4">
        <w:rPr>
          <w:rFonts w:cs="Arial"/>
          <w:sz w:val="20"/>
          <w:szCs w:val="20"/>
        </w:rPr>
        <w:t>,</w:t>
      </w:r>
      <w:r w:rsidRPr="722F6E6D" w:rsidR="74BD4473">
        <w:rPr>
          <w:rFonts w:cs="Arial"/>
          <w:sz w:val="20"/>
          <w:szCs w:val="20"/>
        </w:rPr>
        <w:t xml:space="preserve"> further</w:t>
      </w:r>
      <w:r w:rsidRPr="722F6E6D" w:rsidR="41EA0CC4">
        <w:rPr>
          <w:rFonts w:cs="Arial"/>
          <w:sz w:val="20"/>
          <w:szCs w:val="20"/>
        </w:rPr>
        <w:t xml:space="preserve"> improving VfM.</w:t>
      </w:r>
      <w:r w:rsidRPr="722F6E6D" w:rsidR="4899B157">
        <w:rPr>
          <w:rFonts w:cs="Arial"/>
          <w:sz w:val="20"/>
          <w:szCs w:val="20"/>
        </w:rPr>
        <w:t xml:space="preserve"> Overall, total programme fees continue to represent good VfM and are within the acceptable range for ICF programmes (5-15%).</w:t>
      </w:r>
    </w:p>
    <w:p w:rsidRPr="0025594B" w:rsidR="3C55AC76" w:rsidP="0025594B" w:rsidRDefault="3C55AC76" w14:paraId="68A39BC7" w14:textId="5895BCD0">
      <w:pPr>
        <w:spacing w:after="160" w:line="259" w:lineRule="auto"/>
        <w:contextualSpacing/>
        <w:jc w:val="both"/>
        <w:rPr>
          <w:rFonts w:eastAsia="Arial" w:cs="Arial"/>
          <w:color w:val="000000" w:themeColor="text1"/>
          <w:sz w:val="20"/>
          <w:szCs w:val="20"/>
          <w:highlight w:val="yellow"/>
        </w:rPr>
      </w:pPr>
    </w:p>
    <w:p w:rsidRPr="0025594B" w:rsidR="5B4FA217" w:rsidP="0025594B" w:rsidRDefault="5B4FA217" w14:paraId="6ED5132E" w14:textId="7276355C">
      <w:pPr>
        <w:spacing w:after="160" w:line="259" w:lineRule="auto"/>
        <w:contextualSpacing/>
        <w:jc w:val="both"/>
        <w:rPr>
          <w:rFonts w:eastAsia="Arial" w:cs="Arial"/>
          <w:color w:val="000000" w:themeColor="text1"/>
          <w:sz w:val="20"/>
          <w:szCs w:val="20"/>
        </w:rPr>
      </w:pPr>
      <w:r w:rsidRPr="665A25F4">
        <w:rPr>
          <w:rFonts w:eastAsia="Arial" w:cs="Arial"/>
          <w:color w:val="000000" w:themeColor="text1"/>
          <w:sz w:val="20"/>
          <w:szCs w:val="20"/>
        </w:rPr>
        <w:t xml:space="preserve">The reference price for results-based payments </w:t>
      </w:r>
      <w:r w:rsidRPr="665A25F4" w:rsidR="137FE36F">
        <w:rPr>
          <w:rFonts w:eastAsia="Arial" w:cs="Arial"/>
          <w:color w:val="000000" w:themeColor="text1"/>
          <w:sz w:val="20"/>
          <w:szCs w:val="20"/>
        </w:rPr>
        <w:t>continues to be set at</w:t>
      </w:r>
      <w:r w:rsidRPr="665A25F4">
        <w:rPr>
          <w:rFonts w:eastAsia="Arial" w:cs="Arial"/>
          <w:color w:val="000000" w:themeColor="text1"/>
          <w:sz w:val="20"/>
          <w:szCs w:val="20"/>
        </w:rPr>
        <w:t xml:space="preserve"> $5.13/tCO</w:t>
      </w:r>
      <w:r w:rsidRPr="665A25F4">
        <w:rPr>
          <w:rFonts w:eastAsia="Arial" w:cs="Arial"/>
          <w:color w:val="000000" w:themeColor="text1"/>
          <w:sz w:val="20"/>
          <w:szCs w:val="20"/>
          <w:vertAlign w:val="subscript"/>
        </w:rPr>
        <w:t>2</w:t>
      </w:r>
      <w:r w:rsidRPr="665A25F4">
        <w:rPr>
          <w:rFonts w:eastAsia="Arial" w:cs="Arial"/>
          <w:color w:val="000000" w:themeColor="text1"/>
          <w:sz w:val="20"/>
          <w:szCs w:val="20"/>
        </w:rPr>
        <w:t>e,</w:t>
      </w:r>
      <w:r w:rsidRPr="665A25F4" w:rsidR="0C7C676B">
        <w:rPr>
          <w:rFonts w:eastAsia="Arial" w:cs="Arial"/>
          <w:color w:val="000000" w:themeColor="text1"/>
          <w:sz w:val="20"/>
          <w:szCs w:val="20"/>
        </w:rPr>
        <w:t xml:space="preserve"> although this is not dissimilar to prices in the voluntary carbon market </w:t>
      </w:r>
      <w:r w:rsidRPr="665A25F4" w:rsidR="3DB48515">
        <w:rPr>
          <w:rFonts w:eastAsia="Arial" w:cs="Arial"/>
          <w:color w:val="000000" w:themeColor="text1"/>
          <w:sz w:val="20"/>
          <w:szCs w:val="20"/>
        </w:rPr>
        <w:t>(approximately $8/tCO2e), this valuation lag</w:t>
      </w:r>
      <w:r w:rsidRPr="665A25F4" w:rsidR="78F38F63">
        <w:rPr>
          <w:rFonts w:eastAsia="Arial" w:cs="Arial"/>
          <w:color w:val="000000" w:themeColor="text1"/>
          <w:sz w:val="20"/>
          <w:szCs w:val="20"/>
        </w:rPr>
        <w:t>s</w:t>
      </w:r>
      <w:r w:rsidRPr="665A25F4" w:rsidR="3DB48515">
        <w:rPr>
          <w:rFonts w:eastAsia="Arial" w:cs="Arial"/>
          <w:color w:val="000000" w:themeColor="text1"/>
          <w:sz w:val="20"/>
          <w:szCs w:val="20"/>
        </w:rPr>
        <w:t xml:space="preserve"> behind prices set in other ICF programmes (</w:t>
      </w:r>
      <w:r w:rsidRPr="665A25F4" w:rsidR="27B7EE99">
        <w:rPr>
          <w:rFonts w:eastAsia="Arial" w:cs="Arial"/>
          <w:color w:val="000000" w:themeColor="text1"/>
          <w:sz w:val="20"/>
          <w:szCs w:val="20"/>
        </w:rPr>
        <w:t>for example, LEAF and ISFL).</w:t>
      </w:r>
      <w:r w:rsidRPr="665A25F4">
        <w:rPr>
          <w:rFonts w:eastAsia="Arial" w:cs="Arial"/>
          <w:color w:val="000000" w:themeColor="text1"/>
          <w:sz w:val="20"/>
          <w:szCs w:val="20"/>
        </w:rPr>
        <w:t xml:space="preserve"> </w:t>
      </w:r>
      <w:r w:rsidRPr="665A25F4" w:rsidR="2EDA5BC5">
        <w:rPr>
          <w:rFonts w:eastAsia="Arial" w:cs="Arial"/>
          <w:color w:val="000000" w:themeColor="text1"/>
          <w:sz w:val="20"/>
          <w:szCs w:val="20"/>
        </w:rPr>
        <w:t>Although good for economy, t</w:t>
      </w:r>
      <w:r w:rsidRPr="665A25F4">
        <w:rPr>
          <w:rFonts w:eastAsia="Arial" w:cs="Arial"/>
          <w:color w:val="000000" w:themeColor="text1"/>
          <w:sz w:val="20"/>
          <w:szCs w:val="20"/>
        </w:rPr>
        <w:t xml:space="preserve">his </w:t>
      </w:r>
      <w:r w:rsidRPr="665A25F4" w:rsidR="14DDA45B">
        <w:rPr>
          <w:rFonts w:eastAsia="Arial" w:cs="Arial"/>
          <w:color w:val="000000" w:themeColor="text1"/>
          <w:sz w:val="20"/>
          <w:szCs w:val="20"/>
        </w:rPr>
        <w:t>should be acknowledged as a threat to e</w:t>
      </w:r>
      <w:r w:rsidRPr="665A25F4" w:rsidR="5446FF5D">
        <w:rPr>
          <w:rFonts w:eastAsia="Arial" w:cs="Arial"/>
          <w:color w:val="000000" w:themeColor="text1"/>
          <w:sz w:val="20"/>
          <w:szCs w:val="20"/>
        </w:rPr>
        <w:t>ffectiveness and equity</w:t>
      </w:r>
      <w:r w:rsidRPr="665A25F4" w:rsidR="14DDA45B">
        <w:rPr>
          <w:rFonts w:eastAsia="Arial" w:cs="Arial"/>
          <w:color w:val="000000" w:themeColor="text1"/>
          <w:sz w:val="20"/>
          <w:szCs w:val="20"/>
        </w:rPr>
        <w:t xml:space="preserve"> as the second phase of the programme progresses.</w:t>
      </w:r>
    </w:p>
    <w:p w:rsidRPr="0025594B" w:rsidR="3C55AC76" w:rsidP="0025594B" w:rsidRDefault="3C55AC76" w14:paraId="4F252642" w14:textId="3C7C6320">
      <w:pPr>
        <w:spacing w:after="160" w:line="259" w:lineRule="auto"/>
        <w:contextualSpacing/>
        <w:jc w:val="both"/>
        <w:rPr>
          <w:rFonts w:eastAsia="Arial" w:cs="Arial"/>
          <w:color w:val="000000" w:themeColor="text1"/>
          <w:sz w:val="20"/>
          <w:szCs w:val="20"/>
          <w:highlight w:val="yellow"/>
        </w:rPr>
      </w:pPr>
    </w:p>
    <w:p w:rsidRPr="0025594B" w:rsidR="001A4FAC" w:rsidP="0025594B" w:rsidRDefault="55660D77" w14:paraId="506B995A" w14:textId="565D72D5">
      <w:pPr>
        <w:spacing w:after="160" w:line="259" w:lineRule="auto"/>
        <w:contextualSpacing/>
        <w:jc w:val="both"/>
        <w:rPr>
          <w:rFonts w:eastAsia="Arial" w:cs="Arial"/>
          <w:color w:val="000000" w:themeColor="text1"/>
          <w:sz w:val="20"/>
          <w:szCs w:val="20"/>
          <w:lang w:val="en-US"/>
        </w:rPr>
      </w:pPr>
      <w:r w:rsidRPr="2F6DDFAE">
        <w:rPr>
          <w:rFonts w:eastAsia="Arial" w:cs="Arial"/>
          <w:b/>
          <w:color w:val="000000" w:themeColor="text1"/>
          <w:sz w:val="20"/>
          <w:szCs w:val="20"/>
          <w:lang w:val="en-US"/>
        </w:rPr>
        <w:t>Efficiency:</w:t>
      </w:r>
    </w:p>
    <w:p w:rsidR="0830E447" w:rsidP="19265A5F" w:rsidRDefault="2BC2F0EA" w14:paraId="3778E97F" w14:textId="6C334954">
      <w:pPr>
        <w:spacing w:after="160" w:line="259" w:lineRule="auto"/>
        <w:contextualSpacing/>
        <w:jc w:val="both"/>
        <w:rPr>
          <w:rFonts w:eastAsia="Arial" w:cs="Arial"/>
          <w:color w:val="000000" w:themeColor="text1"/>
          <w:sz w:val="20"/>
          <w:szCs w:val="20"/>
          <w:lang w:val="en-US"/>
        </w:rPr>
      </w:pPr>
      <w:r w:rsidRPr="19265A5F">
        <w:rPr>
          <w:rFonts w:eastAsia="Arial" w:cs="Arial"/>
          <w:color w:val="000000" w:themeColor="text1"/>
          <w:sz w:val="20"/>
          <w:szCs w:val="20"/>
          <w:lang w:val="en-US"/>
        </w:rPr>
        <w:t>Overall, e</w:t>
      </w:r>
      <w:r w:rsidRPr="19265A5F" w:rsidR="0830E447">
        <w:rPr>
          <w:rFonts w:eastAsia="Arial" w:cs="Arial"/>
          <w:color w:val="000000" w:themeColor="text1"/>
          <w:sz w:val="20"/>
          <w:szCs w:val="20"/>
          <w:lang w:val="en-US"/>
        </w:rPr>
        <w:t>fficiency has varied greatly between regions</w:t>
      </w:r>
      <w:r w:rsidRPr="19265A5F" w:rsidR="32E127AF">
        <w:rPr>
          <w:rFonts w:eastAsia="Arial" w:cs="Arial"/>
          <w:color w:val="000000" w:themeColor="text1"/>
          <w:sz w:val="20"/>
          <w:szCs w:val="20"/>
          <w:lang w:val="en-US"/>
        </w:rPr>
        <w:t xml:space="preserve">. The first phase of REM has shown, in general, good efficiency, with Mato Grosso and Colombia well-placed to maintain this into REM </w:t>
      </w:r>
      <w:r w:rsidR="00157103">
        <w:rPr>
          <w:rFonts w:eastAsia="Arial" w:cs="Arial"/>
          <w:color w:val="000000" w:themeColor="text1"/>
          <w:sz w:val="20"/>
          <w:szCs w:val="20"/>
          <w:lang w:val="en-US"/>
        </w:rPr>
        <w:t>2</w:t>
      </w:r>
      <w:r w:rsidRPr="19265A5F" w:rsidR="32E127AF">
        <w:rPr>
          <w:rFonts w:eastAsia="Arial" w:cs="Arial"/>
          <w:color w:val="000000" w:themeColor="text1"/>
          <w:sz w:val="20"/>
          <w:szCs w:val="20"/>
          <w:lang w:val="en-US"/>
        </w:rPr>
        <w:t xml:space="preserve">. Since the last Annual Review, suitable steps have been taken in Acre to </w:t>
      </w:r>
      <w:r w:rsidRPr="19265A5F" w:rsidR="0015D8BE">
        <w:rPr>
          <w:rFonts w:eastAsia="Arial" w:cs="Arial"/>
          <w:color w:val="000000" w:themeColor="text1"/>
          <w:sz w:val="20"/>
          <w:szCs w:val="20"/>
          <w:lang w:val="en-US"/>
        </w:rPr>
        <w:t xml:space="preserve">improve efficiency towards the end of the programme following the extension agreed in the last reporting period. Ecuador continues to show poor efficiency through a lack of </w:t>
      </w:r>
      <w:r w:rsidRPr="19265A5F" w:rsidR="0C7D9F9C">
        <w:rPr>
          <w:rFonts w:eastAsia="Arial" w:cs="Arial"/>
          <w:color w:val="000000" w:themeColor="text1"/>
          <w:sz w:val="20"/>
          <w:szCs w:val="20"/>
          <w:lang w:val="en-US"/>
        </w:rPr>
        <w:t>implementation;</w:t>
      </w:r>
      <w:r w:rsidRPr="19265A5F" w:rsidR="0015D8BE">
        <w:rPr>
          <w:rFonts w:eastAsia="Arial" w:cs="Arial"/>
          <w:color w:val="000000" w:themeColor="text1"/>
          <w:sz w:val="20"/>
          <w:szCs w:val="20"/>
          <w:lang w:val="en-US"/>
        </w:rPr>
        <w:t xml:space="preserve"> however, this is not expected to remain an issue into future reporting periods. Consequently, the programme continues to show </w:t>
      </w:r>
      <w:r w:rsidRPr="19265A5F" w:rsidR="20EE9324">
        <w:rPr>
          <w:rFonts w:eastAsia="Arial" w:cs="Arial"/>
          <w:color w:val="000000" w:themeColor="text1"/>
          <w:sz w:val="20"/>
          <w:szCs w:val="20"/>
          <w:lang w:val="en-US"/>
        </w:rPr>
        <w:t>good, if variable, efficiency across both phases.</w:t>
      </w:r>
    </w:p>
    <w:p w:rsidR="1734B60F" w:rsidP="5E7CA0BC" w:rsidRDefault="1734B60F" w14:paraId="0240E1F6" w14:textId="0B5FBC37">
      <w:pPr>
        <w:spacing w:after="160" w:line="259" w:lineRule="auto"/>
        <w:contextualSpacing/>
        <w:jc w:val="both"/>
        <w:rPr>
          <w:rFonts w:eastAsia="Arial" w:cs="Arial"/>
          <w:color w:val="000000" w:themeColor="text1"/>
          <w:sz w:val="20"/>
          <w:szCs w:val="20"/>
          <w:lang w:val="en-US"/>
        </w:rPr>
      </w:pPr>
    </w:p>
    <w:p w:rsidR="2F6DDFAE" w:rsidP="5E7CA0BC" w:rsidRDefault="6CEC8AAF" w14:paraId="3B85901C" w14:textId="3C5D2FCE">
      <w:pPr>
        <w:spacing w:after="160" w:line="259" w:lineRule="auto"/>
        <w:contextualSpacing/>
        <w:jc w:val="both"/>
        <w:rPr>
          <w:rFonts w:eastAsia="Arial" w:cs="Arial"/>
          <w:color w:val="000000" w:themeColor="text1"/>
          <w:sz w:val="20"/>
          <w:szCs w:val="20"/>
          <w:lang w:val="en-US"/>
        </w:rPr>
      </w:pPr>
      <w:r w:rsidRPr="569EA5E9">
        <w:rPr>
          <w:rFonts w:eastAsia="Arial" w:cs="Arial"/>
          <w:color w:val="000000" w:themeColor="text1"/>
          <w:sz w:val="20"/>
          <w:szCs w:val="20"/>
          <w:lang w:val="en-US"/>
        </w:rPr>
        <w:t>Colombia: The first phase of REM recorded efficient implementation, with the investment of 10</w:t>
      </w:r>
      <w:r w:rsidRPr="569EA5E9" w:rsidR="593D6B1F">
        <w:rPr>
          <w:rFonts w:eastAsia="Arial" w:cs="Arial"/>
          <w:color w:val="000000" w:themeColor="text1"/>
          <w:sz w:val="20"/>
          <w:szCs w:val="20"/>
          <w:lang w:val="en-US"/>
        </w:rPr>
        <w:t xml:space="preserve">0% of donor funds. Efficiency has been maintained into the implementation of REM </w:t>
      </w:r>
      <w:r w:rsidR="00157103">
        <w:rPr>
          <w:rFonts w:eastAsia="Arial" w:cs="Arial"/>
          <w:color w:val="000000" w:themeColor="text1"/>
          <w:sz w:val="20"/>
          <w:szCs w:val="20"/>
          <w:lang w:val="en-US"/>
        </w:rPr>
        <w:t>2</w:t>
      </w:r>
      <w:r w:rsidRPr="569EA5E9" w:rsidR="593D6B1F">
        <w:rPr>
          <w:rFonts w:eastAsia="Arial" w:cs="Arial"/>
          <w:color w:val="000000" w:themeColor="text1"/>
          <w:sz w:val="20"/>
          <w:szCs w:val="20"/>
          <w:lang w:val="en-US"/>
        </w:rPr>
        <w:t xml:space="preserve"> by maintaining the same implementation partner, Visión Amazonía</w:t>
      </w:r>
      <w:r w:rsidRPr="569EA5E9" w:rsidR="300D85FE">
        <w:rPr>
          <w:rFonts w:eastAsia="Arial" w:cs="Arial"/>
          <w:color w:val="000000" w:themeColor="text1"/>
          <w:sz w:val="20"/>
          <w:szCs w:val="20"/>
          <w:lang w:val="en-US"/>
        </w:rPr>
        <w:t>. Efficiency will be further improved by the expansion of the Visión Amazonía team by 5 staff members to cover expanding activities.</w:t>
      </w:r>
      <w:r w:rsidRPr="569EA5E9" w:rsidR="72954155">
        <w:rPr>
          <w:rFonts w:eastAsia="Arial" w:cs="Arial"/>
          <w:color w:val="000000" w:themeColor="text1"/>
          <w:sz w:val="20"/>
          <w:szCs w:val="20"/>
          <w:lang w:val="en-US"/>
        </w:rPr>
        <w:t xml:space="preserve"> </w:t>
      </w:r>
      <w:r w:rsidRPr="569EA5E9" w:rsidR="61FDCCAE">
        <w:rPr>
          <w:rFonts w:eastAsia="Arial" w:cs="Arial"/>
          <w:color w:val="000000" w:themeColor="text1"/>
          <w:sz w:val="20"/>
          <w:szCs w:val="20"/>
          <w:lang w:val="en-US"/>
        </w:rPr>
        <w:t>However, e</w:t>
      </w:r>
      <w:r w:rsidRPr="569EA5E9" w:rsidR="72954155">
        <w:rPr>
          <w:rFonts w:eastAsia="Arial" w:cs="Arial"/>
          <w:color w:val="000000" w:themeColor="text1"/>
          <w:sz w:val="20"/>
          <w:szCs w:val="20"/>
          <w:lang w:val="en-US"/>
        </w:rPr>
        <w:t xml:space="preserve">fficiency for REM </w:t>
      </w:r>
      <w:r w:rsidR="00157103">
        <w:rPr>
          <w:rFonts w:eastAsia="Arial" w:cs="Arial"/>
          <w:color w:val="000000" w:themeColor="text1"/>
          <w:sz w:val="20"/>
          <w:szCs w:val="20"/>
          <w:lang w:val="en-US"/>
        </w:rPr>
        <w:t>2</w:t>
      </w:r>
      <w:r w:rsidRPr="569EA5E9" w:rsidR="72954155">
        <w:rPr>
          <w:rFonts w:eastAsia="Arial" w:cs="Arial"/>
          <w:color w:val="000000" w:themeColor="text1"/>
          <w:sz w:val="20"/>
          <w:szCs w:val="20"/>
          <w:lang w:val="en-US"/>
        </w:rPr>
        <w:t xml:space="preserve"> in Colombia has been limited through delays to the agreement of policy milestone payments and a logframe, with UK funding yet to be disbursed.</w:t>
      </w:r>
    </w:p>
    <w:p w:rsidR="7B8F290B" w:rsidP="5E7CA0BC" w:rsidRDefault="7B8F290B" w14:paraId="746BD83A" w14:textId="0316CF45">
      <w:pPr>
        <w:spacing w:after="160" w:line="259" w:lineRule="auto"/>
        <w:contextualSpacing/>
        <w:jc w:val="both"/>
        <w:rPr>
          <w:rFonts w:eastAsia="Arial" w:cs="Arial"/>
          <w:color w:val="000000" w:themeColor="text1"/>
          <w:sz w:val="20"/>
          <w:szCs w:val="20"/>
          <w:lang w:val="en-US"/>
        </w:rPr>
      </w:pPr>
    </w:p>
    <w:p w:rsidR="6CEC8AAF" w:rsidP="3C236CA4" w:rsidRDefault="6CEC8AAF" w14:paraId="627D8B9A" w14:textId="166E2E1C">
      <w:pPr>
        <w:spacing w:after="160" w:line="259" w:lineRule="auto"/>
        <w:contextualSpacing/>
        <w:jc w:val="both"/>
        <w:rPr>
          <w:rFonts w:eastAsia="Arial" w:cs="Arial"/>
          <w:color w:val="000000" w:themeColor="text1"/>
          <w:sz w:val="20"/>
          <w:szCs w:val="20"/>
          <w:lang w:val="en-US"/>
        </w:rPr>
      </w:pPr>
      <w:r w:rsidRPr="3C236CA4">
        <w:rPr>
          <w:rFonts w:eastAsia="Arial" w:cs="Arial"/>
          <w:color w:val="000000" w:themeColor="text1"/>
          <w:sz w:val="20"/>
          <w:szCs w:val="20"/>
          <w:lang w:val="en-US"/>
        </w:rPr>
        <w:lastRenderedPageBreak/>
        <w:t>Acre:</w:t>
      </w:r>
      <w:r w:rsidRPr="3C236CA4" w:rsidR="7DD8BAD0">
        <w:rPr>
          <w:rFonts w:eastAsia="Arial" w:cs="Arial"/>
          <w:color w:val="000000" w:themeColor="text1"/>
          <w:sz w:val="20"/>
          <w:szCs w:val="20"/>
          <w:lang w:val="en-US"/>
        </w:rPr>
        <w:t xml:space="preserve"> The first phase of REM </w:t>
      </w:r>
      <w:r w:rsidRPr="3C236CA4" w:rsidR="447205C1">
        <w:rPr>
          <w:rFonts w:eastAsia="Arial" w:cs="Arial"/>
          <w:color w:val="000000" w:themeColor="text1"/>
          <w:sz w:val="20"/>
          <w:szCs w:val="20"/>
          <w:lang w:val="en-US"/>
        </w:rPr>
        <w:t xml:space="preserve">currently has not been completed in Acre due to a programme extension agreed in the last reporting period. </w:t>
      </w:r>
      <w:r w:rsidRPr="3C236CA4" w:rsidR="3606D526">
        <w:rPr>
          <w:rFonts w:eastAsia="Arial" w:cs="Arial"/>
          <w:color w:val="000000" w:themeColor="text1"/>
          <w:sz w:val="20"/>
          <w:szCs w:val="20"/>
          <w:lang w:val="en-US"/>
        </w:rPr>
        <w:t xml:space="preserve">Efficiency will be improved through the implementation of the findings of a mini evaluation conducted in the last reporting period as to how best to allocate remaining funds. </w:t>
      </w:r>
      <w:r w:rsidRPr="3C236CA4" w:rsidR="0748D08D">
        <w:rPr>
          <w:rFonts w:eastAsia="Arial" w:cs="Arial"/>
          <w:color w:val="000000" w:themeColor="text1"/>
          <w:sz w:val="20"/>
          <w:szCs w:val="20"/>
          <w:lang w:val="en-US"/>
        </w:rPr>
        <w:t>Efficiency has been further improved through the organisation of an exchange with Mato Grosso as to how best to manage the programme.</w:t>
      </w:r>
    </w:p>
    <w:p w:rsidR="1734B60F" w:rsidP="1734B60F" w:rsidRDefault="1734B60F" w14:paraId="163F591E" w14:textId="396EB6E2">
      <w:pPr>
        <w:spacing w:after="160" w:line="259" w:lineRule="auto"/>
        <w:contextualSpacing/>
        <w:jc w:val="both"/>
        <w:rPr>
          <w:rFonts w:eastAsia="Arial" w:cs="Arial"/>
          <w:color w:val="000000" w:themeColor="text1"/>
          <w:sz w:val="20"/>
          <w:szCs w:val="20"/>
          <w:highlight w:val="yellow"/>
          <w:lang w:val="en-US"/>
        </w:rPr>
      </w:pPr>
    </w:p>
    <w:p w:rsidR="1734B60F" w:rsidP="2DF17A67" w:rsidRDefault="6CEC8AAF" w14:paraId="398E1685" w14:textId="080920E7">
      <w:pPr>
        <w:spacing w:after="160" w:line="259" w:lineRule="auto"/>
        <w:contextualSpacing/>
        <w:jc w:val="both"/>
        <w:rPr>
          <w:rFonts w:eastAsia="Arial" w:cs="Arial"/>
          <w:color w:val="000000" w:themeColor="text1"/>
          <w:sz w:val="20"/>
          <w:szCs w:val="20"/>
          <w:lang w:val="en-US"/>
        </w:rPr>
      </w:pPr>
      <w:r w:rsidRPr="39D3C88E">
        <w:rPr>
          <w:rFonts w:eastAsia="Arial" w:cs="Arial"/>
          <w:color w:val="000000" w:themeColor="text1"/>
          <w:sz w:val="20"/>
          <w:szCs w:val="20"/>
          <w:lang w:val="en-US"/>
        </w:rPr>
        <w:t>Mato Grosso:</w:t>
      </w:r>
      <w:r w:rsidRPr="39D3C88E" w:rsidR="455E6F01">
        <w:rPr>
          <w:rFonts w:eastAsia="Arial" w:cs="Arial"/>
          <w:color w:val="000000" w:themeColor="text1"/>
          <w:sz w:val="20"/>
          <w:szCs w:val="20"/>
          <w:lang w:val="en-US"/>
        </w:rPr>
        <w:t xml:space="preserve"> </w:t>
      </w:r>
      <w:r w:rsidRPr="39D3C88E" w:rsidR="0060E6D8">
        <w:rPr>
          <w:rFonts w:eastAsia="Arial" w:cs="Arial"/>
          <w:color w:val="000000" w:themeColor="text1"/>
          <w:sz w:val="20"/>
          <w:szCs w:val="20"/>
          <w:lang w:val="en-US"/>
        </w:rPr>
        <w:t xml:space="preserve">The first phase of REM recorded efficient implementation, with results produced under an institutionalised environmental agenda (PCI). Furthermore, </w:t>
      </w:r>
      <w:r w:rsidRPr="39D3C88E" w:rsidR="411D4B1A">
        <w:rPr>
          <w:rFonts w:eastAsia="Arial" w:cs="Arial"/>
          <w:color w:val="000000" w:themeColor="text1"/>
          <w:sz w:val="20"/>
          <w:szCs w:val="20"/>
          <w:lang w:val="en-US"/>
        </w:rPr>
        <w:t xml:space="preserve">Mato Grosso has improved efficiency through effective preparation for REM </w:t>
      </w:r>
      <w:r w:rsidR="00157103">
        <w:rPr>
          <w:rFonts w:eastAsia="Arial" w:cs="Arial"/>
          <w:color w:val="000000" w:themeColor="text1"/>
          <w:sz w:val="20"/>
          <w:szCs w:val="20"/>
          <w:lang w:val="en-US"/>
        </w:rPr>
        <w:t>2,</w:t>
      </w:r>
      <w:r w:rsidRPr="39D3C88E" w:rsidR="411D4B1A">
        <w:rPr>
          <w:rFonts w:eastAsia="Arial" w:cs="Arial"/>
          <w:color w:val="000000" w:themeColor="text1"/>
          <w:sz w:val="20"/>
          <w:szCs w:val="20"/>
          <w:lang w:val="en-US"/>
        </w:rPr>
        <w:t xml:space="preserve"> with the final legal agreement for contribution signed in July 2024, and</w:t>
      </w:r>
      <w:r w:rsidRPr="39D3C88E" w:rsidR="255DCED3">
        <w:rPr>
          <w:rFonts w:eastAsia="Arial" w:cs="Arial"/>
          <w:color w:val="000000" w:themeColor="text1"/>
          <w:sz w:val="20"/>
          <w:szCs w:val="20"/>
          <w:lang w:val="en-US"/>
        </w:rPr>
        <w:t xml:space="preserve"> a new financial intermediary secured. The first disbursement has already occurred but falls into the next reporting period. </w:t>
      </w:r>
    </w:p>
    <w:p w:rsidRPr="00AC2763" w:rsidR="6CEC8AAF" w:rsidP="2DF17A67" w:rsidRDefault="6CEC8AAF" w14:paraId="2B032C82" w14:textId="4E2F9261">
      <w:pPr>
        <w:pStyle w:val="FootnoteText"/>
        <w:contextualSpacing/>
        <w:jc w:val="both"/>
        <w:rPr>
          <w:rFonts w:ascii="Arial" w:hAnsi="Arial" w:eastAsia="Arial" w:cs="Arial"/>
          <w:color w:val="000000" w:themeColor="text1"/>
          <w:lang w:val="en-US"/>
        </w:rPr>
      </w:pPr>
      <w:r w:rsidRPr="00AC2763">
        <w:rPr>
          <w:rFonts w:ascii="Arial" w:hAnsi="Arial" w:eastAsia="Arial" w:cs="Arial"/>
          <w:color w:val="000000" w:themeColor="text1"/>
          <w:lang w:val="en-US"/>
        </w:rPr>
        <w:t xml:space="preserve">Ecuador: </w:t>
      </w:r>
      <w:r w:rsidRPr="00AC2763" w:rsidR="34413E50">
        <w:rPr>
          <w:rFonts w:ascii="Arial" w:hAnsi="Arial" w:eastAsia="Arial" w:cs="Arial"/>
          <w:color w:val="000000" w:themeColor="text1"/>
          <w:lang w:val="en-US"/>
        </w:rPr>
        <w:t>Efficiency in Ecuador has been poor as the i</w:t>
      </w:r>
      <w:r w:rsidRPr="00AC2763" w:rsidR="70A6A8B5">
        <w:rPr>
          <w:rFonts w:ascii="Arial" w:hAnsi="Arial" w:eastAsia="Arial" w:cs="Arial"/>
          <w:color w:val="000000" w:themeColor="text1"/>
          <w:lang w:val="en-US"/>
        </w:rPr>
        <w:t xml:space="preserve">mplementation of REM </w:t>
      </w:r>
      <w:r w:rsidR="00157103">
        <w:rPr>
          <w:rFonts w:ascii="Arial" w:hAnsi="Arial" w:eastAsia="Arial" w:cs="Arial"/>
          <w:color w:val="000000" w:themeColor="text1"/>
          <w:lang w:val="en-US"/>
        </w:rPr>
        <w:t>2</w:t>
      </w:r>
      <w:r w:rsidRPr="00AC2763" w:rsidR="70A6A8B5">
        <w:rPr>
          <w:rFonts w:ascii="Arial" w:hAnsi="Arial" w:eastAsia="Arial" w:cs="Arial"/>
          <w:color w:val="000000" w:themeColor="text1"/>
          <w:lang w:val="en-US"/>
        </w:rPr>
        <w:t xml:space="preserve"> in Ecuador has been delayed due to difficulties in disbursing funding through the financial intermediary. </w:t>
      </w:r>
      <w:r w:rsidRPr="00AC2763" w:rsidR="43564E19">
        <w:rPr>
          <w:rFonts w:ascii="Arial" w:hAnsi="Arial" w:eastAsia="Arial" w:cs="Arial"/>
          <w:color w:val="000000" w:themeColor="text1"/>
          <w:lang w:val="en-US"/>
        </w:rPr>
        <w:t>This is expected to improve in 2025 due to significant progress made in the appointment of a suitable intermediary.</w:t>
      </w:r>
    </w:p>
    <w:p w:rsidRPr="0025594B" w:rsidR="55660D77" w:rsidP="67EDD18D" w:rsidRDefault="15039F34" w14:paraId="43B55462" w14:textId="2318758F">
      <w:pPr>
        <w:pStyle w:val="FootnoteText"/>
        <w:spacing w:after="160" w:line="259" w:lineRule="auto"/>
        <w:contextualSpacing/>
        <w:jc w:val="both"/>
        <w:rPr>
          <w:rFonts w:eastAsia="Arial" w:cs="Arial"/>
          <w:color w:val="000000" w:themeColor="text1"/>
          <w:highlight w:val="yellow"/>
          <w:lang w:val="en-US"/>
        </w:rPr>
      </w:pPr>
      <w:r w:rsidRPr="67EDD18D">
        <w:rPr>
          <w:rFonts w:ascii="Arial" w:hAnsi="Arial" w:eastAsia="Arial" w:cs="Arial"/>
          <w:lang w:val="en-US"/>
        </w:rPr>
        <w:t xml:space="preserve"> </w:t>
      </w:r>
    </w:p>
    <w:p w:rsidRPr="0025594B" w:rsidR="55660D77" w:rsidP="0025594B" w:rsidRDefault="55660D77" w14:paraId="79D05168" w14:textId="24DF3CFD">
      <w:pPr>
        <w:spacing w:after="160" w:line="259" w:lineRule="auto"/>
        <w:contextualSpacing/>
        <w:jc w:val="both"/>
        <w:rPr>
          <w:rFonts w:eastAsia="Arial" w:cs="Arial"/>
          <w:color w:val="000000" w:themeColor="text1"/>
          <w:sz w:val="20"/>
          <w:szCs w:val="20"/>
        </w:rPr>
      </w:pPr>
      <w:r w:rsidRPr="2ABAFB95">
        <w:rPr>
          <w:rFonts w:eastAsia="Arial" w:cs="Arial"/>
          <w:b/>
          <w:color w:val="000000" w:themeColor="text1"/>
          <w:sz w:val="20"/>
          <w:szCs w:val="20"/>
          <w:lang w:val="en-US"/>
        </w:rPr>
        <w:t xml:space="preserve">Effectiveness: </w:t>
      </w:r>
    </w:p>
    <w:p w:rsidRPr="0025594B" w:rsidR="55660D77" w:rsidP="11C608C6" w:rsidRDefault="669C53B9" w14:paraId="6B45839F" w14:textId="70206828">
      <w:pPr>
        <w:spacing w:after="160" w:line="259" w:lineRule="auto"/>
        <w:contextualSpacing/>
        <w:jc w:val="both"/>
        <w:rPr>
          <w:rFonts w:eastAsia="Arial" w:cs="Arial"/>
          <w:color w:val="000000" w:themeColor="text1"/>
          <w:sz w:val="20"/>
          <w:szCs w:val="20"/>
          <w:lang w:val="en-US"/>
        </w:rPr>
      </w:pPr>
      <w:r w:rsidRPr="2040F9BA">
        <w:rPr>
          <w:rFonts w:eastAsia="Arial" w:cs="Arial"/>
          <w:color w:val="000000" w:themeColor="text1"/>
          <w:sz w:val="20"/>
          <w:szCs w:val="20"/>
          <w:lang w:val="en-US"/>
        </w:rPr>
        <w:t xml:space="preserve">REM is a results-based programme which makes ex-post payments to reward emissions reductions.  These avoided emissions are the focus of programme monitoring and reporting. </w:t>
      </w:r>
      <w:r w:rsidRPr="2040F9BA" w:rsidR="667677D3">
        <w:rPr>
          <w:rFonts w:eastAsia="Arial" w:cs="Arial"/>
          <w:color w:val="000000" w:themeColor="text1"/>
          <w:sz w:val="20"/>
          <w:szCs w:val="20"/>
          <w:lang w:val="en-US"/>
        </w:rPr>
        <w:t xml:space="preserve"> Beyond the emissions reductions, </w:t>
      </w:r>
      <w:r w:rsidRPr="2040F9BA">
        <w:rPr>
          <w:rFonts w:eastAsia="Arial" w:cs="Arial"/>
          <w:color w:val="000000" w:themeColor="text1"/>
          <w:sz w:val="20"/>
          <w:szCs w:val="20"/>
          <w:lang w:val="en-US"/>
        </w:rPr>
        <w:t xml:space="preserve">further carbon savings will be made because of the activities funded though the results-based finance, such as agro-environmental activities. </w:t>
      </w:r>
      <w:r w:rsidRPr="11C608C6" w:rsidR="62FB215C">
        <w:rPr>
          <w:rFonts w:eastAsia="Arial" w:cs="Arial"/>
          <w:color w:val="000000" w:themeColor="text1"/>
          <w:sz w:val="20"/>
          <w:szCs w:val="20"/>
          <w:lang w:val="en-US"/>
        </w:rPr>
        <w:t>As mentioned earlier, these emissions are paid for at $5.13/tonne, this is significantly below other ICF interventions such as BioCF ISFL and the LEAF Coalition. It should be acknowledged that continuing to pay below-market prices for Carbon has the potential to damage the effectiveness of interventions due to a negative impact on incentives (especially if recipient countries perceive prices to be unfair).</w:t>
      </w:r>
      <w:r w:rsidRPr="11C608C6">
        <w:rPr>
          <w:rFonts w:eastAsia="Arial" w:cs="Arial"/>
          <w:color w:val="000000" w:themeColor="text1"/>
          <w:sz w:val="20"/>
          <w:szCs w:val="20"/>
          <w:lang w:val="en-US"/>
        </w:rPr>
        <w:t xml:space="preserve"> </w:t>
      </w:r>
    </w:p>
    <w:p w:rsidRPr="0025594B" w:rsidR="55660D77" w:rsidP="11C608C6" w:rsidRDefault="55660D77" w14:paraId="3907F8F4" w14:textId="68D5224E">
      <w:pPr>
        <w:spacing w:after="160" w:line="259" w:lineRule="auto"/>
        <w:contextualSpacing/>
        <w:jc w:val="both"/>
        <w:rPr>
          <w:rFonts w:eastAsia="Arial" w:cs="Arial"/>
          <w:color w:val="000000" w:themeColor="text1"/>
          <w:sz w:val="20"/>
          <w:szCs w:val="20"/>
          <w:lang w:val="en-US"/>
        </w:rPr>
      </w:pPr>
    </w:p>
    <w:p w:rsidRPr="0025594B" w:rsidR="55660D77" w:rsidP="0025594B" w:rsidRDefault="480AAC69" w14:paraId="2A0B3BE8" w14:textId="65FC61CE">
      <w:pPr>
        <w:spacing w:after="160" w:line="259" w:lineRule="auto"/>
        <w:contextualSpacing/>
        <w:jc w:val="both"/>
        <w:rPr>
          <w:rFonts w:eastAsia="Arial" w:cs="Arial"/>
          <w:color w:val="000000" w:themeColor="text1"/>
          <w:sz w:val="20"/>
          <w:szCs w:val="20"/>
          <w:lang w:val="en-US"/>
        </w:rPr>
      </w:pPr>
      <w:r w:rsidRPr="7F8A63AA">
        <w:rPr>
          <w:rFonts w:eastAsia="Arial" w:cs="Arial"/>
          <w:color w:val="000000" w:themeColor="text1"/>
          <w:sz w:val="20"/>
          <w:szCs w:val="20"/>
          <w:lang w:val="en-US"/>
        </w:rPr>
        <w:t xml:space="preserve">Overall, REM has continued to </w:t>
      </w:r>
      <w:r w:rsidRPr="75E80744">
        <w:rPr>
          <w:rFonts w:eastAsia="Arial" w:cs="Arial"/>
          <w:color w:val="000000" w:themeColor="text1"/>
          <w:sz w:val="20"/>
          <w:szCs w:val="20"/>
          <w:lang w:val="en-US"/>
        </w:rPr>
        <w:t xml:space="preserve">be effective at producing the desired </w:t>
      </w:r>
      <w:r w:rsidRPr="4FFDC0CF">
        <w:rPr>
          <w:rFonts w:eastAsia="Arial" w:cs="Arial"/>
          <w:color w:val="000000" w:themeColor="text1"/>
          <w:sz w:val="20"/>
          <w:szCs w:val="20"/>
          <w:lang w:val="en-US"/>
        </w:rPr>
        <w:t xml:space="preserve">outputs, </w:t>
      </w:r>
      <w:r w:rsidRPr="51F3C663">
        <w:rPr>
          <w:rFonts w:eastAsia="Arial" w:cs="Arial"/>
          <w:color w:val="000000" w:themeColor="text1"/>
          <w:sz w:val="20"/>
          <w:szCs w:val="20"/>
          <w:lang w:val="en-US"/>
        </w:rPr>
        <w:t>especially in Colombia. However,</w:t>
      </w:r>
      <w:r w:rsidRPr="5DF7A619">
        <w:rPr>
          <w:rFonts w:eastAsia="Arial" w:cs="Arial"/>
          <w:color w:val="000000" w:themeColor="text1"/>
          <w:sz w:val="20"/>
          <w:szCs w:val="20"/>
          <w:lang w:val="en-US"/>
        </w:rPr>
        <w:t xml:space="preserve"> issues with</w:t>
      </w:r>
      <w:r w:rsidRPr="51F3C663">
        <w:rPr>
          <w:rFonts w:eastAsia="Arial" w:cs="Arial"/>
          <w:color w:val="000000" w:themeColor="text1"/>
          <w:sz w:val="20"/>
          <w:szCs w:val="20"/>
          <w:lang w:val="en-US"/>
        </w:rPr>
        <w:t xml:space="preserve"> </w:t>
      </w:r>
      <w:r w:rsidRPr="3892FBCB">
        <w:rPr>
          <w:rFonts w:eastAsia="Arial" w:cs="Arial"/>
          <w:color w:val="000000" w:themeColor="text1"/>
          <w:sz w:val="20"/>
          <w:szCs w:val="20"/>
          <w:lang w:val="en-US"/>
        </w:rPr>
        <w:t xml:space="preserve">programme </w:t>
      </w:r>
      <w:r w:rsidRPr="5DF7A619">
        <w:rPr>
          <w:rFonts w:eastAsia="Arial" w:cs="Arial"/>
          <w:color w:val="000000" w:themeColor="text1"/>
          <w:sz w:val="20"/>
          <w:szCs w:val="20"/>
          <w:lang w:val="en-US"/>
        </w:rPr>
        <w:t>d</w:t>
      </w:r>
      <w:r w:rsidRPr="5DF7A619" w:rsidR="10EC5940">
        <w:rPr>
          <w:rFonts w:eastAsia="Arial" w:cs="Arial"/>
          <w:color w:val="000000" w:themeColor="text1"/>
          <w:sz w:val="20"/>
          <w:szCs w:val="20"/>
          <w:lang w:val="en-US"/>
        </w:rPr>
        <w:t xml:space="preserve">esign in Acre and a </w:t>
      </w:r>
      <w:r w:rsidRPr="5B6CC85A" w:rsidR="10EC5940">
        <w:rPr>
          <w:rFonts w:eastAsia="Arial" w:cs="Arial"/>
          <w:color w:val="000000" w:themeColor="text1"/>
          <w:sz w:val="20"/>
          <w:szCs w:val="20"/>
          <w:lang w:val="en-US"/>
        </w:rPr>
        <w:t xml:space="preserve">challenging political environment in Mato </w:t>
      </w:r>
      <w:r w:rsidRPr="2F4C1548" w:rsidR="10EC5940">
        <w:rPr>
          <w:rFonts w:eastAsia="Arial" w:cs="Arial"/>
          <w:color w:val="000000" w:themeColor="text1"/>
          <w:sz w:val="20"/>
          <w:szCs w:val="20"/>
          <w:lang w:val="en-US"/>
        </w:rPr>
        <w:t xml:space="preserve">Grosso have resulted in significant barriers to </w:t>
      </w:r>
      <w:r w:rsidRPr="1E2BABD5" w:rsidR="10EC5940">
        <w:rPr>
          <w:rFonts w:eastAsia="Arial" w:cs="Arial"/>
          <w:color w:val="000000" w:themeColor="text1"/>
          <w:sz w:val="20"/>
          <w:szCs w:val="20"/>
          <w:lang w:val="en-US"/>
        </w:rPr>
        <w:t>effectiveness in some outputs</w:t>
      </w:r>
      <w:r w:rsidRPr="18EDD769" w:rsidR="1DD1FE95">
        <w:rPr>
          <w:rFonts w:eastAsia="Arial" w:cs="Arial"/>
          <w:color w:val="000000" w:themeColor="text1"/>
          <w:sz w:val="20"/>
          <w:szCs w:val="20"/>
          <w:lang w:val="en-US"/>
        </w:rPr>
        <w:t xml:space="preserve">, with work </w:t>
      </w:r>
      <w:r w:rsidRPr="3C122F55" w:rsidR="1DD1FE95">
        <w:rPr>
          <w:rFonts w:eastAsia="Arial" w:cs="Arial"/>
          <w:color w:val="000000" w:themeColor="text1"/>
          <w:sz w:val="20"/>
          <w:szCs w:val="20"/>
          <w:lang w:val="en-US"/>
        </w:rPr>
        <w:t xml:space="preserve">undertaken to combat these expected to produce results </w:t>
      </w:r>
      <w:r w:rsidRPr="673C2D0F" w:rsidR="1DD1FE95">
        <w:rPr>
          <w:rFonts w:eastAsia="Arial" w:cs="Arial"/>
          <w:color w:val="000000" w:themeColor="text1"/>
          <w:sz w:val="20"/>
          <w:szCs w:val="20"/>
          <w:lang w:val="en-US"/>
        </w:rPr>
        <w:t>in the next reporting period</w:t>
      </w:r>
      <w:r w:rsidRPr="673C2D0F" w:rsidR="10EC5940">
        <w:rPr>
          <w:rFonts w:eastAsia="Arial" w:cs="Arial"/>
          <w:color w:val="000000" w:themeColor="text1"/>
          <w:sz w:val="20"/>
          <w:szCs w:val="20"/>
          <w:lang w:val="en-US"/>
        </w:rPr>
        <w:t>.</w:t>
      </w:r>
      <w:r w:rsidRPr="18EDD769" w:rsidR="10EC5940">
        <w:rPr>
          <w:rFonts w:eastAsia="Arial" w:cs="Arial"/>
          <w:color w:val="000000" w:themeColor="text1"/>
          <w:sz w:val="20"/>
          <w:szCs w:val="20"/>
          <w:lang w:val="en-US"/>
        </w:rPr>
        <w:t xml:space="preserve"> </w:t>
      </w:r>
      <w:r w:rsidRPr="18EDD769" w:rsidR="43F86A1E">
        <w:rPr>
          <w:rFonts w:eastAsia="Arial" w:cs="Arial"/>
          <w:color w:val="000000" w:themeColor="text1"/>
          <w:sz w:val="20"/>
          <w:szCs w:val="20"/>
          <w:lang w:val="en-US"/>
        </w:rPr>
        <w:t>T</w:t>
      </w:r>
      <w:r w:rsidRPr="18EDD769" w:rsidR="3429F5E1">
        <w:rPr>
          <w:rFonts w:eastAsia="Arial" w:cs="Arial"/>
          <w:color w:val="000000" w:themeColor="text1"/>
          <w:sz w:val="20"/>
          <w:szCs w:val="20"/>
          <w:lang w:val="en-US"/>
        </w:rPr>
        <w:t>o</w:t>
      </w:r>
      <w:r w:rsidRPr="2C5415B6" w:rsidR="3429F5E1">
        <w:rPr>
          <w:rFonts w:eastAsia="Arial" w:cs="Arial"/>
          <w:color w:val="000000" w:themeColor="text1"/>
          <w:sz w:val="20"/>
          <w:szCs w:val="20"/>
          <w:lang w:val="en-US"/>
        </w:rPr>
        <w:t xml:space="preserve"> note, t</w:t>
      </w:r>
      <w:r w:rsidRPr="2C5415B6" w:rsidR="43F86A1E">
        <w:rPr>
          <w:rFonts w:eastAsia="Arial" w:cs="Arial"/>
          <w:color w:val="000000" w:themeColor="text1"/>
          <w:sz w:val="20"/>
          <w:szCs w:val="20"/>
          <w:lang w:val="en-US"/>
        </w:rPr>
        <w:t>his</w:t>
      </w:r>
      <w:r w:rsidRPr="2D0B7CCB" w:rsidR="43F86A1E">
        <w:rPr>
          <w:rFonts w:eastAsia="Arial" w:cs="Arial"/>
          <w:color w:val="000000" w:themeColor="text1"/>
          <w:sz w:val="20"/>
          <w:szCs w:val="20"/>
          <w:lang w:val="en-US"/>
        </w:rPr>
        <w:t xml:space="preserve"> section only covers the </w:t>
      </w:r>
      <w:r w:rsidRPr="686CD613" w:rsidR="43F86A1E">
        <w:rPr>
          <w:rFonts w:eastAsia="Arial" w:cs="Arial"/>
          <w:color w:val="000000" w:themeColor="text1"/>
          <w:sz w:val="20"/>
          <w:szCs w:val="20"/>
          <w:lang w:val="en-US"/>
        </w:rPr>
        <w:t xml:space="preserve">results of the first phase of REM, </w:t>
      </w:r>
      <w:r w:rsidRPr="02A058C1" w:rsidR="43F86A1E">
        <w:rPr>
          <w:rFonts w:eastAsia="Arial" w:cs="Arial"/>
          <w:color w:val="000000" w:themeColor="text1"/>
          <w:sz w:val="20"/>
          <w:szCs w:val="20"/>
          <w:lang w:val="en-US"/>
        </w:rPr>
        <w:t xml:space="preserve">results from REM </w:t>
      </w:r>
      <w:r w:rsidR="00157103">
        <w:rPr>
          <w:rFonts w:eastAsia="Arial" w:cs="Arial"/>
          <w:color w:val="000000" w:themeColor="text1"/>
          <w:sz w:val="20"/>
          <w:szCs w:val="20"/>
          <w:lang w:val="en-US"/>
        </w:rPr>
        <w:t>2</w:t>
      </w:r>
      <w:r w:rsidRPr="02A058C1" w:rsidR="43F86A1E">
        <w:rPr>
          <w:rFonts w:eastAsia="Arial" w:cs="Arial"/>
          <w:color w:val="000000" w:themeColor="text1"/>
          <w:sz w:val="20"/>
          <w:szCs w:val="20"/>
          <w:lang w:val="en-US"/>
        </w:rPr>
        <w:t xml:space="preserve"> will be </w:t>
      </w:r>
      <w:r w:rsidRPr="5753B462" w:rsidR="43F86A1E">
        <w:rPr>
          <w:rFonts w:eastAsia="Arial" w:cs="Arial"/>
          <w:color w:val="000000" w:themeColor="text1"/>
          <w:sz w:val="20"/>
          <w:szCs w:val="20"/>
          <w:lang w:val="en-US"/>
        </w:rPr>
        <w:t>included in future reporting periods.</w:t>
      </w:r>
      <w:r w:rsidRPr="25CE1696" w:rsidR="43F86A1E">
        <w:rPr>
          <w:rFonts w:eastAsia="Arial" w:cs="Arial"/>
          <w:color w:val="000000" w:themeColor="text1"/>
          <w:sz w:val="20"/>
          <w:szCs w:val="20"/>
          <w:lang w:val="en-US"/>
        </w:rPr>
        <w:t xml:space="preserve"> </w:t>
      </w:r>
    </w:p>
    <w:p w:rsidR="362E3340" w:rsidP="00744BA6" w:rsidRDefault="362E3340" w14:paraId="64D7EF36" w14:textId="7E24A1FA">
      <w:pPr>
        <w:spacing w:after="160" w:line="259" w:lineRule="auto"/>
        <w:contextualSpacing/>
        <w:jc w:val="both"/>
        <w:rPr>
          <w:rFonts w:eastAsia="Arial" w:cs="Arial"/>
          <w:color w:val="000000" w:themeColor="text1"/>
          <w:sz w:val="20"/>
          <w:szCs w:val="20"/>
          <w:lang w:val="en-US"/>
        </w:rPr>
      </w:pPr>
    </w:p>
    <w:p w:rsidR="439FAA71" w:rsidP="48E583F5" w:rsidRDefault="16182511" w14:paraId="40E708E1" w14:textId="4B02C11A">
      <w:pPr>
        <w:spacing w:after="160" w:line="259" w:lineRule="auto"/>
        <w:contextualSpacing/>
        <w:jc w:val="both"/>
        <w:rPr>
          <w:rFonts w:eastAsia="Arial" w:cs="Arial"/>
          <w:color w:val="000000" w:themeColor="text1"/>
          <w:sz w:val="20"/>
          <w:szCs w:val="20"/>
          <w:lang w:val="en-US"/>
        </w:rPr>
      </w:pPr>
      <w:r w:rsidRPr="527F5638">
        <w:rPr>
          <w:rFonts w:eastAsia="Arial" w:cs="Arial"/>
          <w:color w:val="000000" w:themeColor="text1"/>
          <w:sz w:val="20"/>
          <w:szCs w:val="20"/>
          <w:lang w:val="en-US"/>
        </w:rPr>
        <w:t xml:space="preserve">In the last reporting </w:t>
      </w:r>
      <w:r w:rsidRPr="7D3E5265">
        <w:rPr>
          <w:rFonts w:eastAsia="Arial" w:cs="Arial"/>
          <w:color w:val="000000" w:themeColor="text1"/>
          <w:sz w:val="20"/>
          <w:szCs w:val="20"/>
          <w:lang w:val="en-US"/>
        </w:rPr>
        <w:t xml:space="preserve">period, REM has proven to be effective </w:t>
      </w:r>
      <w:r w:rsidRPr="75A27980">
        <w:rPr>
          <w:rFonts w:eastAsia="Arial" w:cs="Arial"/>
          <w:color w:val="000000" w:themeColor="text1"/>
          <w:sz w:val="20"/>
          <w:szCs w:val="20"/>
          <w:lang w:val="en-US"/>
        </w:rPr>
        <w:t xml:space="preserve">across </w:t>
      </w:r>
      <w:r w:rsidRPr="416748E4" w:rsidR="7117324E">
        <w:rPr>
          <w:rFonts w:eastAsia="Arial" w:cs="Arial"/>
          <w:color w:val="000000" w:themeColor="text1"/>
          <w:sz w:val="20"/>
          <w:szCs w:val="20"/>
          <w:lang w:val="en-US"/>
        </w:rPr>
        <w:t xml:space="preserve">a range of </w:t>
      </w:r>
      <w:r w:rsidRPr="416748E4">
        <w:rPr>
          <w:rFonts w:eastAsia="Arial" w:cs="Arial"/>
          <w:color w:val="000000" w:themeColor="text1"/>
          <w:sz w:val="20"/>
          <w:szCs w:val="20"/>
          <w:lang w:val="en-US"/>
        </w:rPr>
        <w:t>logframe</w:t>
      </w:r>
      <w:r w:rsidRPr="612E6EFA">
        <w:rPr>
          <w:rFonts w:eastAsia="Arial" w:cs="Arial"/>
          <w:color w:val="000000" w:themeColor="text1"/>
          <w:sz w:val="20"/>
          <w:szCs w:val="20"/>
          <w:lang w:val="en-US"/>
        </w:rPr>
        <w:t xml:space="preserve"> indicators, especially in Colombia and </w:t>
      </w:r>
      <w:r w:rsidRPr="417F2D4E">
        <w:rPr>
          <w:rFonts w:eastAsia="Arial" w:cs="Arial"/>
          <w:color w:val="000000" w:themeColor="text1"/>
          <w:sz w:val="20"/>
          <w:szCs w:val="20"/>
          <w:lang w:val="en-US"/>
        </w:rPr>
        <w:t xml:space="preserve">Mato Grosso. </w:t>
      </w:r>
      <w:r w:rsidRPr="52881B0F" w:rsidR="0B2C0A58">
        <w:rPr>
          <w:rFonts w:eastAsia="Arial" w:cs="Arial"/>
          <w:color w:val="000000" w:themeColor="text1"/>
          <w:sz w:val="20"/>
          <w:szCs w:val="20"/>
          <w:lang w:val="en-US"/>
        </w:rPr>
        <w:t>Firstly, i</w:t>
      </w:r>
      <w:r w:rsidRPr="52881B0F" w:rsidR="2D8021E1">
        <w:rPr>
          <w:rFonts w:eastAsia="Arial" w:cs="Arial"/>
          <w:color w:val="000000" w:themeColor="text1"/>
          <w:sz w:val="20"/>
          <w:szCs w:val="20"/>
          <w:lang w:val="en-US"/>
        </w:rPr>
        <w:t>n</w:t>
      </w:r>
      <w:r w:rsidRPr="0BBFF4E2" w:rsidR="2D8021E1">
        <w:rPr>
          <w:rFonts w:eastAsia="Arial" w:cs="Arial"/>
          <w:color w:val="000000" w:themeColor="text1"/>
          <w:sz w:val="20"/>
          <w:szCs w:val="20"/>
          <w:lang w:val="en-US"/>
        </w:rPr>
        <w:t xml:space="preserve"> the last reporting period </w:t>
      </w:r>
      <w:r w:rsidRPr="39BA0E47" w:rsidR="2D8021E1">
        <w:rPr>
          <w:rFonts w:eastAsia="Arial" w:cs="Arial"/>
          <w:color w:val="000000" w:themeColor="text1"/>
          <w:sz w:val="20"/>
          <w:szCs w:val="20"/>
          <w:lang w:val="en-US"/>
        </w:rPr>
        <w:t xml:space="preserve">milestones for </w:t>
      </w:r>
      <w:r w:rsidRPr="0BBFF4E2" w:rsidR="2D8021E1">
        <w:rPr>
          <w:rFonts w:eastAsia="Arial" w:cs="Arial"/>
          <w:color w:val="000000" w:themeColor="text1"/>
          <w:sz w:val="20"/>
          <w:szCs w:val="20"/>
          <w:lang w:val="en-US"/>
        </w:rPr>
        <w:t xml:space="preserve">Indicators 4 and 5 have </w:t>
      </w:r>
      <w:r w:rsidRPr="1D039019" w:rsidR="2D8021E1">
        <w:rPr>
          <w:rFonts w:eastAsia="Arial" w:cs="Arial"/>
          <w:color w:val="000000" w:themeColor="text1"/>
          <w:sz w:val="20"/>
          <w:szCs w:val="20"/>
          <w:lang w:val="en-US"/>
        </w:rPr>
        <w:t xml:space="preserve">been almost fully met, with the only exception of Acre </w:t>
      </w:r>
      <w:r w:rsidRPr="6C06305E" w:rsidR="2D8021E1">
        <w:rPr>
          <w:rFonts w:eastAsia="Arial" w:cs="Arial"/>
          <w:color w:val="000000" w:themeColor="text1"/>
          <w:sz w:val="20"/>
          <w:szCs w:val="20"/>
          <w:lang w:val="en-US"/>
        </w:rPr>
        <w:t xml:space="preserve">failing to meet the target of 70% </w:t>
      </w:r>
      <w:r w:rsidRPr="2E6AB9E8" w:rsidR="37837054">
        <w:rPr>
          <w:rFonts w:eastAsia="Arial" w:cs="Arial"/>
          <w:color w:val="000000" w:themeColor="text1"/>
          <w:sz w:val="20"/>
          <w:szCs w:val="20"/>
          <w:lang w:val="en-US"/>
        </w:rPr>
        <w:t xml:space="preserve">of the </w:t>
      </w:r>
      <w:r w:rsidRPr="2E6AB9E8" w:rsidR="2D8021E1">
        <w:rPr>
          <w:rFonts w:eastAsia="Arial" w:cs="Arial"/>
          <w:color w:val="000000" w:themeColor="text1"/>
          <w:sz w:val="20"/>
          <w:szCs w:val="20"/>
          <w:lang w:val="en-US"/>
        </w:rPr>
        <w:t>finance</w:t>
      </w:r>
      <w:r w:rsidRPr="4D547453" w:rsidR="2D8021E1">
        <w:rPr>
          <w:rFonts w:eastAsia="Arial" w:cs="Arial"/>
          <w:color w:val="000000" w:themeColor="text1"/>
          <w:sz w:val="20"/>
          <w:szCs w:val="20"/>
          <w:lang w:val="en-US"/>
        </w:rPr>
        <w:t xml:space="preserve"> disbursed to activities taking place at the local level</w:t>
      </w:r>
      <w:r w:rsidRPr="6D54D348" w:rsidR="2D8021E1">
        <w:rPr>
          <w:rFonts w:eastAsia="Arial" w:cs="Arial"/>
          <w:color w:val="000000" w:themeColor="text1"/>
          <w:sz w:val="20"/>
          <w:szCs w:val="20"/>
          <w:lang w:val="en-US"/>
        </w:rPr>
        <w:t xml:space="preserve">. </w:t>
      </w:r>
      <w:r w:rsidRPr="084EBB2A" w:rsidR="362973ED">
        <w:rPr>
          <w:rFonts w:eastAsia="Arial" w:cs="Arial"/>
          <w:color w:val="000000" w:themeColor="text1"/>
          <w:sz w:val="20"/>
          <w:szCs w:val="20"/>
          <w:lang w:val="en-US"/>
        </w:rPr>
        <w:t>Secondly</w:t>
      </w:r>
      <w:r w:rsidRPr="63D2B698" w:rsidR="318C9076">
        <w:rPr>
          <w:rFonts w:eastAsia="Arial" w:cs="Arial"/>
          <w:color w:val="000000" w:themeColor="text1"/>
          <w:sz w:val="20"/>
          <w:szCs w:val="20"/>
          <w:lang w:val="en-US"/>
        </w:rPr>
        <w:t>, f</w:t>
      </w:r>
      <w:r w:rsidRPr="63D2B698" w:rsidR="02087FA0">
        <w:rPr>
          <w:rFonts w:eastAsia="Arial" w:cs="Arial"/>
          <w:color w:val="000000" w:themeColor="text1"/>
          <w:sz w:val="20"/>
          <w:szCs w:val="20"/>
          <w:lang w:val="en-US"/>
        </w:rPr>
        <w:t>or</w:t>
      </w:r>
      <w:r w:rsidRPr="78BC7EA4" w:rsidR="02087FA0">
        <w:rPr>
          <w:rFonts w:eastAsia="Arial" w:cs="Arial"/>
          <w:color w:val="000000" w:themeColor="text1"/>
          <w:sz w:val="20"/>
          <w:szCs w:val="20"/>
          <w:lang w:val="en-US"/>
        </w:rPr>
        <w:t xml:space="preserve"> the first year, the Colombia-specific Output 3 has fully met expectations, with significant improvements in the effectiveness of implementing Indicator 11.</w:t>
      </w:r>
      <w:r w:rsidRPr="084EBB2A" w:rsidR="4DD4C4F1">
        <w:rPr>
          <w:rFonts w:eastAsia="Arial" w:cs="Arial"/>
          <w:color w:val="000000" w:themeColor="text1"/>
          <w:sz w:val="20"/>
          <w:szCs w:val="20"/>
          <w:lang w:val="en-US"/>
        </w:rPr>
        <w:t xml:space="preserve"> </w:t>
      </w:r>
    </w:p>
    <w:p w:rsidR="11C608C6" w:rsidP="11C608C6" w:rsidRDefault="11C608C6" w14:paraId="24B400F4" w14:textId="7CE26748">
      <w:pPr>
        <w:spacing w:after="160" w:line="259" w:lineRule="auto"/>
        <w:contextualSpacing/>
        <w:jc w:val="both"/>
        <w:rPr>
          <w:rFonts w:eastAsia="Arial" w:cs="Arial"/>
          <w:color w:val="000000" w:themeColor="text1"/>
          <w:sz w:val="20"/>
          <w:szCs w:val="20"/>
          <w:lang w:val="en-US"/>
        </w:rPr>
      </w:pPr>
    </w:p>
    <w:p w:rsidR="13E11C15" w:rsidP="13E11C15" w:rsidRDefault="2D2A7251" w14:paraId="32606F6B" w14:textId="7DE22C13">
      <w:pPr>
        <w:spacing w:after="160" w:line="259" w:lineRule="auto"/>
        <w:contextualSpacing/>
        <w:jc w:val="both"/>
        <w:rPr>
          <w:rFonts w:eastAsia="Arial" w:cs="Arial"/>
          <w:color w:val="000000" w:themeColor="text1"/>
          <w:sz w:val="20"/>
          <w:szCs w:val="20"/>
          <w:lang w:val="en-US"/>
        </w:rPr>
      </w:pPr>
      <w:r w:rsidRPr="28D8891B">
        <w:rPr>
          <w:rFonts w:eastAsia="Arial" w:cs="Arial"/>
          <w:color w:val="000000" w:themeColor="text1"/>
          <w:sz w:val="20"/>
          <w:szCs w:val="20"/>
          <w:lang w:val="en-US"/>
        </w:rPr>
        <w:t>Furthermore</w:t>
      </w:r>
      <w:r w:rsidRPr="5837AB77" w:rsidR="4DD4C4F1">
        <w:rPr>
          <w:rFonts w:eastAsia="Arial" w:cs="Arial"/>
          <w:color w:val="000000" w:themeColor="text1"/>
          <w:sz w:val="20"/>
          <w:szCs w:val="20"/>
          <w:lang w:val="en-US"/>
        </w:rPr>
        <w:t>, despite making no progress on Indicator 3</w:t>
      </w:r>
      <w:r w:rsidRPr="6183B5C2" w:rsidR="4DD4C4F1">
        <w:rPr>
          <w:rFonts w:eastAsia="Arial" w:cs="Arial"/>
          <w:color w:val="000000" w:themeColor="text1"/>
          <w:sz w:val="20"/>
          <w:szCs w:val="20"/>
          <w:lang w:val="en-US"/>
        </w:rPr>
        <w:t xml:space="preserve"> due to delays in payment </w:t>
      </w:r>
      <w:r w:rsidRPr="75F9703D" w:rsidR="02087FA0">
        <w:rPr>
          <w:rFonts w:eastAsia="Arial" w:cs="Arial"/>
          <w:color w:val="000000" w:themeColor="text1"/>
          <w:sz w:val="20"/>
          <w:szCs w:val="20"/>
          <w:lang w:val="en-US"/>
        </w:rPr>
        <w:t>disbursements</w:t>
      </w:r>
      <w:r w:rsidRPr="6C2FE5D8" w:rsidR="4DD4C4F1">
        <w:rPr>
          <w:rFonts w:eastAsia="Arial" w:cs="Arial"/>
          <w:color w:val="000000" w:themeColor="text1"/>
          <w:sz w:val="20"/>
          <w:szCs w:val="20"/>
          <w:lang w:val="en-US"/>
        </w:rPr>
        <w:t xml:space="preserve"> </w:t>
      </w:r>
      <w:r w:rsidRPr="29E5DFA8" w:rsidR="4DD4C4F1">
        <w:rPr>
          <w:rFonts w:eastAsia="Arial" w:cs="Arial"/>
          <w:color w:val="000000" w:themeColor="text1"/>
          <w:sz w:val="20"/>
          <w:szCs w:val="20"/>
          <w:lang w:val="en-US"/>
        </w:rPr>
        <w:t>i</w:t>
      </w:r>
      <w:r w:rsidRPr="29E5DFA8" w:rsidR="02087FA0">
        <w:rPr>
          <w:rFonts w:eastAsia="Arial" w:cs="Arial"/>
          <w:color w:val="000000" w:themeColor="text1"/>
          <w:sz w:val="20"/>
          <w:szCs w:val="20"/>
          <w:lang w:val="en-US"/>
        </w:rPr>
        <w:t>n</w:t>
      </w:r>
      <w:r w:rsidRPr="75F9703D" w:rsidR="02087FA0">
        <w:rPr>
          <w:rFonts w:eastAsia="Arial" w:cs="Arial"/>
          <w:color w:val="000000" w:themeColor="text1"/>
          <w:sz w:val="20"/>
          <w:szCs w:val="20"/>
          <w:lang w:val="en-US"/>
        </w:rPr>
        <w:t xml:space="preserve"> the last year, the programmes in Colombia and Acre have shown to be effective at reducing deforestation rates</w:t>
      </w:r>
      <w:r w:rsidRPr="383D58C3" w:rsidR="0AD0B52C">
        <w:rPr>
          <w:rFonts w:eastAsia="Arial" w:cs="Arial"/>
          <w:color w:val="000000" w:themeColor="text1"/>
          <w:sz w:val="20"/>
          <w:szCs w:val="20"/>
          <w:lang w:val="en-US"/>
        </w:rPr>
        <w:t>, however,</w:t>
      </w:r>
      <w:r w:rsidRPr="383D58C3" w:rsidR="02087FA0">
        <w:rPr>
          <w:rFonts w:eastAsia="Arial" w:cs="Arial"/>
          <w:color w:val="000000" w:themeColor="text1"/>
          <w:sz w:val="20"/>
          <w:szCs w:val="20"/>
          <w:lang w:val="en-US"/>
        </w:rPr>
        <w:t xml:space="preserve"> </w:t>
      </w:r>
      <w:r w:rsidRPr="383D58C3" w:rsidR="18AD0C93">
        <w:rPr>
          <w:rFonts w:eastAsia="Arial" w:cs="Arial"/>
          <w:color w:val="000000" w:themeColor="text1"/>
          <w:sz w:val="20"/>
          <w:szCs w:val="20"/>
          <w:lang w:val="en-US"/>
        </w:rPr>
        <w:t>t</w:t>
      </w:r>
      <w:r w:rsidRPr="383D58C3" w:rsidR="02087FA0">
        <w:rPr>
          <w:rFonts w:eastAsia="Arial" w:cs="Arial"/>
          <w:color w:val="000000" w:themeColor="text1"/>
          <w:sz w:val="20"/>
          <w:szCs w:val="20"/>
          <w:lang w:val="en-US"/>
        </w:rPr>
        <w:t>he</w:t>
      </w:r>
      <w:r w:rsidRPr="75F9703D" w:rsidR="02087FA0">
        <w:rPr>
          <w:rFonts w:eastAsia="Arial" w:cs="Arial"/>
          <w:color w:val="000000" w:themeColor="text1"/>
          <w:sz w:val="20"/>
          <w:szCs w:val="20"/>
          <w:lang w:val="en-US"/>
        </w:rPr>
        <w:t xml:space="preserve"> lack of political appetite for tackling deforestation in Mato Grosso continues to be a barrier for effectiveness in achieving Indicator 3.</w:t>
      </w:r>
      <w:r w:rsidRPr="28D8891B" w:rsidR="21495B6C">
        <w:rPr>
          <w:rFonts w:eastAsia="Arial" w:cs="Arial"/>
          <w:color w:val="000000" w:themeColor="text1"/>
          <w:sz w:val="20"/>
          <w:szCs w:val="20"/>
          <w:lang w:val="en-US"/>
        </w:rPr>
        <w:t xml:space="preserve"> </w:t>
      </w:r>
      <w:r w:rsidRPr="1BA04375" w:rsidR="21495B6C">
        <w:rPr>
          <w:rFonts w:eastAsia="Arial" w:cs="Arial"/>
          <w:color w:val="000000" w:themeColor="text1"/>
          <w:sz w:val="20"/>
          <w:szCs w:val="20"/>
          <w:lang w:val="en-US"/>
        </w:rPr>
        <w:t>F</w:t>
      </w:r>
      <w:r w:rsidRPr="1BA04375" w:rsidR="5118066D">
        <w:rPr>
          <w:rFonts w:eastAsia="Arial" w:cs="Arial"/>
          <w:color w:val="000000" w:themeColor="text1"/>
          <w:sz w:val="20"/>
          <w:szCs w:val="20"/>
          <w:lang w:val="en-US"/>
        </w:rPr>
        <w:t>inally,</w:t>
      </w:r>
      <w:r w:rsidRPr="36E68EA2" w:rsidR="439FAA71">
        <w:rPr>
          <w:rFonts w:eastAsia="Arial" w:cs="Arial"/>
          <w:color w:val="000000" w:themeColor="text1"/>
          <w:sz w:val="20"/>
          <w:szCs w:val="20"/>
          <w:lang w:val="en-US"/>
        </w:rPr>
        <w:t xml:space="preserve"> the combination of the three programmes </w:t>
      </w:r>
      <w:r w:rsidRPr="63FCF722" w:rsidR="439FAA71">
        <w:rPr>
          <w:rFonts w:eastAsia="Arial" w:cs="Arial"/>
          <w:color w:val="000000" w:themeColor="text1"/>
          <w:sz w:val="20"/>
          <w:szCs w:val="20"/>
          <w:lang w:val="en-US"/>
        </w:rPr>
        <w:t xml:space="preserve">greatly surpassed expectations for </w:t>
      </w:r>
      <w:r w:rsidRPr="3860C752" w:rsidR="439FAA71">
        <w:rPr>
          <w:rFonts w:eastAsia="Arial" w:cs="Arial"/>
          <w:color w:val="000000" w:themeColor="text1"/>
          <w:sz w:val="20"/>
          <w:szCs w:val="20"/>
          <w:lang w:val="en-US"/>
        </w:rPr>
        <w:t xml:space="preserve">all indicators for Output 5, </w:t>
      </w:r>
      <w:r w:rsidRPr="4D19B0E7" w:rsidR="439FAA71">
        <w:rPr>
          <w:rFonts w:eastAsia="Arial" w:cs="Arial"/>
          <w:color w:val="000000" w:themeColor="text1"/>
          <w:sz w:val="20"/>
          <w:szCs w:val="20"/>
          <w:lang w:val="en-US"/>
        </w:rPr>
        <w:t xml:space="preserve">suggesting significant improvement of environmental governance with </w:t>
      </w:r>
      <w:r w:rsidRPr="460FBA68" w:rsidR="439FAA71">
        <w:rPr>
          <w:rFonts w:eastAsia="Arial" w:cs="Arial"/>
          <w:color w:val="000000" w:themeColor="text1"/>
          <w:sz w:val="20"/>
          <w:szCs w:val="20"/>
          <w:lang w:val="en-US"/>
        </w:rPr>
        <w:t>Indigenous peoples.</w:t>
      </w:r>
      <w:r w:rsidRPr="2EBD2F67" w:rsidR="3E584972">
        <w:rPr>
          <w:rFonts w:eastAsia="Arial" w:cs="Arial"/>
          <w:color w:val="000000" w:themeColor="text1"/>
          <w:sz w:val="20"/>
          <w:szCs w:val="20"/>
          <w:lang w:val="en-US"/>
        </w:rPr>
        <w:t xml:space="preserve"> </w:t>
      </w:r>
      <w:r w:rsidRPr="11182CD8" w:rsidR="3E584972">
        <w:rPr>
          <w:rFonts w:eastAsia="Arial" w:cs="Arial"/>
          <w:color w:val="000000" w:themeColor="text1"/>
          <w:sz w:val="20"/>
          <w:szCs w:val="20"/>
          <w:lang w:val="en-US"/>
        </w:rPr>
        <w:t xml:space="preserve">As seen generally, interventions in </w:t>
      </w:r>
      <w:r w:rsidRPr="06E0DB33" w:rsidR="3E584972">
        <w:rPr>
          <w:rFonts w:eastAsia="Arial" w:cs="Arial"/>
          <w:color w:val="000000" w:themeColor="text1"/>
          <w:sz w:val="20"/>
          <w:szCs w:val="20"/>
          <w:lang w:val="en-US"/>
        </w:rPr>
        <w:t xml:space="preserve">Colombia and Mato Grosso have </w:t>
      </w:r>
      <w:r w:rsidRPr="32A20ACA" w:rsidR="5692DEF3">
        <w:rPr>
          <w:rFonts w:eastAsia="Arial" w:cs="Arial"/>
          <w:color w:val="000000" w:themeColor="text1"/>
          <w:sz w:val="20"/>
          <w:szCs w:val="20"/>
          <w:lang w:val="en-US"/>
        </w:rPr>
        <w:t xml:space="preserve">proven to be effective, with </w:t>
      </w:r>
      <w:r w:rsidRPr="263723BF" w:rsidR="5692DEF3">
        <w:rPr>
          <w:rFonts w:eastAsia="Arial" w:cs="Arial"/>
          <w:color w:val="000000" w:themeColor="text1"/>
          <w:sz w:val="20"/>
          <w:szCs w:val="20"/>
          <w:lang w:val="en-US"/>
        </w:rPr>
        <w:t>Acre lagging behind.</w:t>
      </w:r>
    </w:p>
    <w:p w:rsidR="4884999D" w:rsidP="4884999D" w:rsidRDefault="4884999D" w14:paraId="35081273" w14:textId="05059162">
      <w:pPr>
        <w:spacing w:after="160" w:line="259" w:lineRule="auto"/>
        <w:contextualSpacing/>
        <w:jc w:val="both"/>
        <w:rPr>
          <w:rFonts w:eastAsia="Arial" w:cs="Arial"/>
          <w:color w:val="000000" w:themeColor="text1"/>
          <w:sz w:val="20"/>
          <w:szCs w:val="20"/>
          <w:lang w:val="en-US"/>
        </w:rPr>
      </w:pPr>
    </w:p>
    <w:p w:rsidRPr="0025594B" w:rsidR="00EE4226" w:rsidP="0025594B" w:rsidRDefault="2393FA53" w14:paraId="1DF8DAC2" w14:textId="573C2534">
      <w:pPr>
        <w:spacing w:after="160" w:line="259" w:lineRule="auto"/>
        <w:contextualSpacing/>
        <w:jc w:val="both"/>
        <w:rPr>
          <w:rFonts w:eastAsia="Arial" w:cs="Arial"/>
          <w:color w:val="000000" w:themeColor="text1"/>
          <w:sz w:val="20"/>
          <w:szCs w:val="20"/>
          <w:lang w:val="en-US"/>
        </w:rPr>
      </w:pPr>
      <w:r w:rsidRPr="14E10A24">
        <w:rPr>
          <w:rFonts w:eastAsia="Arial" w:cs="Arial"/>
          <w:color w:val="000000" w:themeColor="text1"/>
          <w:sz w:val="20"/>
          <w:szCs w:val="20"/>
          <w:lang w:val="en-US"/>
        </w:rPr>
        <w:t xml:space="preserve">Despite general improvements across the programme, </w:t>
      </w:r>
      <w:r w:rsidRPr="7173B8BD">
        <w:rPr>
          <w:rFonts w:eastAsia="Arial" w:cs="Arial"/>
          <w:color w:val="000000" w:themeColor="text1"/>
          <w:sz w:val="20"/>
          <w:szCs w:val="20"/>
          <w:lang w:val="en-US"/>
        </w:rPr>
        <w:t xml:space="preserve">REM has failed to meet </w:t>
      </w:r>
      <w:r w:rsidRPr="44DAA1D3">
        <w:rPr>
          <w:rFonts w:eastAsia="Arial" w:cs="Arial"/>
          <w:color w:val="000000" w:themeColor="text1"/>
          <w:sz w:val="20"/>
          <w:szCs w:val="20"/>
          <w:lang w:val="en-US"/>
        </w:rPr>
        <w:t xml:space="preserve">expectations </w:t>
      </w:r>
      <w:r w:rsidRPr="416748E4" w:rsidR="55C07693">
        <w:rPr>
          <w:rFonts w:eastAsia="Arial" w:cs="Arial"/>
          <w:color w:val="000000" w:themeColor="text1"/>
          <w:sz w:val="20"/>
          <w:szCs w:val="20"/>
          <w:lang w:val="en-US"/>
        </w:rPr>
        <w:t>for</w:t>
      </w:r>
      <w:r w:rsidRPr="44DAA1D3">
        <w:rPr>
          <w:rFonts w:eastAsia="Arial" w:cs="Arial"/>
          <w:color w:val="000000" w:themeColor="text1"/>
          <w:sz w:val="20"/>
          <w:szCs w:val="20"/>
          <w:lang w:val="en-US"/>
        </w:rPr>
        <w:t xml:space="preserve"> several</w:t>
      </w:r>
      <w:r w:rsidRPr="416748E4" w:rsidR="55C07693">
        <w:rPr>
          <w:rFonts w:eastAsia="Arial" w:cs="Arial"/>
          <w:color w:val="000000" w:themeColor="text1"/>
          <w:sz w:val="20"/>
          <w:szCs w:val="20"/>
          <w:lang w:val="en-US"/>
        </w:rPr>
        <w:t xml:space="preserve"> logframe </w:t>
      </w:r>
      <w:r w:rsidRPr="69714222" w:rsidR="55C07693">
        <w:rPr>
          <w:rFonts w:eastAsia="Arial" w:cs="Arial"/>
          <w:color w:val="000000" w:themeColor="text1"/>
          <w:sz w:val="20"/>
          <w:szCs w:val="20"/>
          <w:lang w:val="en-US"/>
        </w:rPr>
        <w:t>indicators (</w:t>
      </w:r>
      <w:r w:rsidRPr="4031D169" w:rsidR="55C07693">
        <w:rPr>
          <w:rFonts w:eastAsia="Arial" w:cs="Arial"/>
          <w:color w:val="000000" w:themeColor="text1"/>
          <w:sz w:val="20"/>
          <w:szCs w:val="20"/>
          <w:lang w:val="en-US"/>
        </w:rPr>
        <w:t xml:space="preserve">Indicators 8 and 15). </w:t>
      </w:r>
      <w:r w:rsidRPr="4554C2D7" w:rsidR="04FEEF9F">
        <w:rPr>
          <w:rFonts w:eastAsia="Arial" w:cs="Arial"/>
          <w:color w:val="000000" w:themeColor="text1"/>
          <w:sz w:val="20"/>
          <w:szCs w:val="20"/>
          <w:lang w:val="en-US"/>
        </w:rPr>
        <w:t xml:space="preserve">Despite this, as described </w:t>
      </w:r>
      <w:r w:rsidRPr="1063A6BC" w:rsidR="69CAE102">
        <w:rPr>
          <w:rFonts w:eastAsia="Arial" w:cs="Arial"/>
          <w:color w:val="000000" w:themeColor="text1"/>
          <w:sz w:val="20"/>
          <w:szCs w:val="20"/>
          <w:lang w:val="en-US"/>
        </w:rPr>
        <w:t xml:space="preserve">above, </w:t>
      </w:r>
      <w:r w:rsidRPr="7905D2BD" w:rsidR="69CAE102">
        <w:rPr>
          <w:rFonts w:eastAsia="Arial" w:cs="Arial"/>
          <w:color w:val="000000" w:themeColor="text1"/>
          <w:sz w:val="20"/>
          <w:szCs w:val="20"/>
          <w:lang w:val="en-US"/>
        </w:rPr>
        <w:t xml:space="preserve">necessary steps have been taken to ensure effectiveness in the next </w:t>
      </w:r>
      <w:r w:rsidRPr="772A8754" w:rsidR="69CAE102">
        <w:rPr>
          <w:rFonts w:eastAsia="Arial" w:cs="Arial"/>
          <w:color w:val="000000" w:themeColor="text1"/>
          <w:sz w:val="20"/>
          <w:szCs w:val="20"/>
          <w:lang w:val="en-US"/>
        </w:rPr>
        <w:t xml:space="preserve">reporting period, with evidence to show </w:t>
      </w:r>
      <w:r w:rsidRPr="1197B24C" w:rsidR="69CAE102">
        <w:rPr>
          <w:rFonts w:eastAsia="Arial" w:cs="Arial"/>
          <w:color w:val="000000" w:themeColor="text1"/>
          <w:sz w:val="20"/>
          <w:szCs w:val="20"/>
          <w:lang w:val="en-US"/>
        </w:rPr>
        <w:t xml:space="preserve">progress across the last year, </w:t>
      </w:r>
      <w:r w:rsidRPr="51453A70" w:rsidR="69CAE102">
        <w:rPr>
          <w:rFonts w:eastAsia="Arial" w:cs="Arial"/>
          <w:color w:val="000000" w:themeColor="text1"/>
          <w:sz w:val="20"/>
          <w:szCs w:val="20"/>
          <w:lang w:val="en-US"/>
        </w:rPr>
        <w:t>if not at the level expected.</w:t>
      </w:r>
    </w:p>
    <w:p w:rsidR="152EA8E1" w:rsidP="152EA8E1" w:rsidRDefault="152EA8E1" w14:paraId="7ECEE5F2" w14:textId="6860436C">
      <w:pPr>
        <w:spacing w:after="160" w:line="259" w:lineRule="auto"/>
        <w:contextualSpacing/>
        <w:jc w:val="both"/>
        <w:rPr>
          <w:rFonts w:eastAsia="Arial" w:cs="Arial"/>
          <w:color w:val="000000" w:themeColor="text1"/>
          <w:sz w:val="20"/>
          <w:szCs w:val="20"/>
          <w:lang w:val="en-US"/>
        </w:rPr>
      </w:pPr>
    </w:p>
    <w:p w:rsidR="58FE6BC9" w:rsidP="58FE6BC9" w:rsidRDefault="712D0F3C" w14:paraId="2B212FE7" w14:textId="69EDC292">
      <w:pPr>
        <w:spacing w:after="160" w:line="259" w:lineRule="auto"/>
        <w:jc w:val="both"/>
        <w:rPr>
          <w:rFonts w:eastAsia="Arial" w:cs="Arial"/>
          <w:color w:val="000000" w:themeColor="text1"/>
          <w:sz w:val="20"/>
          <w:szCs w:val="20"/>
          <w:lang w:val="en-US"/>
        </w:rPr>
      </w:pPr>
      <w:r w:rsidRPr="68F46394">
        <w:rPr>
          <w:rFonts w:eastAsia="Arial" w:cs="Arial"/>
          <w:color w:val="000000" w:themeColor="text1"/>
          <w:sz w:val="20"/>
          <w:szCs w:val="20"/>
          <w:lang w:val="en-US"/>
        </w:rPr>
        <w:t>Monitoring ICF KPIs for REM requires aggregating data across the different Annual Reports as they do not map directly onto logframe indicators</w:t>
      </w:r>
      <w:r w:rsidRPr="68F46394" w:rsidR="209E8789">
        <w:rPr>
          <w:rFonts w:eastAsia="Arial" w:cs="Arial"/>
          <w:color w:val="000000" w:themeColor="text1"/>
          <w:sz w:val="20"/>
          <w:szCs w:val="20"/>
          <w:lang w:val="en-US"/>
        </w:rPr>
        <w:t>, particularly for KPI results derived from benefit sharing activities</w:t>
      </w:r>
      <w:r w:rsidRPr="68F46394">
        <w:rPr>
          <w:rFonts w:eastAsia="Arial" w:cs="Arial"/>
          <w:color w:val="000000" w:themeColor="text1"/>
          <w:sz w:val="20"/>
          <w:szCs w:val="20"/>
          <w:lang w:val="en-US"/>
        </w:rPr>
        <w:t xml:space="preserve">. </w:t>
      </w:r>
      <w:r w:rsidRPr="68F46394" w:rsidR="528CB8D7">
        <w:rPr>
          <w:rFonts w:eastAsia="Arial" w:cs="Arial"/>
          <w:color w:val="000000" w:themeColor="text1"/>
          <w:sz w:val="20"/>
          <w:szCs w:val="20"/>
          <w:lang w:val="en-US"/>
        </w:rPr>
        <w:t>ICF KPIs are also adjusted internally for additionality and leakage.</w:t>
      </w:r>
      <w:r w:rsidRPr="68F46394">
        <w:rPr>
          <w:rFonts w:eastAsia="Arial" w:cs="Arial"/>
          <w:color w:val="000000" w:themeColor="text1"/>
          <w:sz w:val="20"/>
          <w:szCs w:val="20"/>
          <w:lang w:val="en-US"/>
        </w:rPr>
        <w:t xml:space="preserve"> </w:t>
      </w:r>
      <w:r w:rsidRPr="68F46394" w:rsidR="4C186F53">
        <w:rPr>
          <w:rFonts w:eastAsia="Arial" w:cs="Arial"/>
          <w:color w:val="000000" w:themeColor="text1"/>
          <w:sz w:val="20"/>
          <w:szCs w:val="20"/>
          <w:lang w:val="en-US"/>
        </w:rPr>
        <w:t>Consequently</w:t>
      </w:r>
      <w:r w:rsidRPr="68F46394">
        <w:rPr>
          <w:rFonts w:eastAsia="Arial" w:cs="Arial"/>
          <w:color w:val="000000" w:themeColor="text1"/>
          <w:sz w:val="20"/>
          <w:szCs w:val="20"/>
          <w:lang w:val="en-US"/>
        </w:rPr>
        <w:t>, ICF KPI results are not directly comparable with</w:t>
      </w:r>
      <w:r w:rsidRPr="68F46394" w:rsidR="72ECC5AF">
        <w:rPr>
          <w:rFonts w:eastAsia="Arial" w:cs="Arial"/>
          <w:color w:val="000000" w:themeColor="text1"/>
          <w:sz w:val="20"/>
          <w:szCs w:val="20"/>
          <w:lang w:val="en-US"/>
        </w:rPr>
        <w:t xml:space="preserve"> logframe </w:t>
      </w:r>
      <w:r w:rsidRPr="68F46394" w:rsidR="4DAED13C">
        <w:rPr>
          <w:rFonts w:eastAsia="Arial" w:cs="Arial"/>
          <w:color w:val="000000" w:themeColor="text1"/>
          <w:sz w:val="20"/>
          <w:szCs w:val="20"/>
          <w:lang w:val="en-US"/>
        </w:rPr>
        <w:t xml:space="preserve">indicators. </w:t>
      </w:r>
    </w:p>
    <w:p w:rsidRPr="00C33607" w:rsidR="55660D77" w:rsidP="0025594B" w:rsidRDefault="55660D77" w14:paraId="4B2C3210" w14:textId="776F7D07">
      <w:pPr>
        <w:spacing w:after="160" w:line="259" w:lineRule="auto"/>
        <w:contextualSpacing/>
        <w:jc w:val="both"/>
        <w:rPr>
          <w:rFonts w:eastAsia="Arial" w:cs="Arial"/>
          <w:color w:val="000000" w:themeColor="text1"/>
          <w:sz w:val="20"/>
          <w:szCs w:val="20"/>
        </w:rPr>
      </w:pPr>
      <w:r w:rsidRPr="00C33607">
        <w:rPr>
          <w:rFonts w:eastAsia="Arial" w:cs="Arial"/>
          <w:b/>
          <w:bCs/>
          <w:color w:val="000000" w:themeColor="text1"/>
          <w:sz w:val="20"/>
          <w:szCs w:val="20"/>
          <w:lang w:val="en-US"/>
        </w:rPr>
        <w:lastRenderedPageBreak/>
        <w:t>Equity:</w:t>
      </w:r>
    </w:p>
    <w:p w:rsidRPr="00C33607" w:rsidR="318548AF" w:rsidP="0025594B" w:rsidRDefault="60941391" w14:paraId="6044885A" w14:textId="118E7C7F">
      <w:pPr>
        <w:spacing w:after="160" w:line="259" w:lineRule="auto"/>
        <w:contextualSpacing/>
        <w:jc w:val="both"/>
        <w:rPr>
          <w:rFonts w:eastAsia="Arial" w:cs="Arial"/>
          <w:color w:val="000000" w:themeColor="text1"/>
          <w:sz w:val="20"/>
          <w:szCs w:val="20"/>
        </w:rPr>
      </w:pPr>
      <w:r w:rsidRPr="00C33607">
        <w:rPr>
          <w:rStyle w:val="normaltextrun"/>
          <w:rFonts w:eastAsia="Arial" w:cs="Arial"/>
          <w:color w:val="000000" w:themeColor="text1"/>
          <w:sz w:val="20"/>
          <w:szCs w:val="20"/>
          <w:lang w:val="en-US"/>
        </w:rPr>
        <w:t xml:space="preserve">Equity refers to how programme benefits are distributed amongst target populations. </w:t>
      </w:r>
      <w:r w:rsidRPr="00C33607" w:rsidR="669C53B9">
        <w:rPr>
          <w:rFonts w:eastAsia="Arial" w:cs="Arial"/>
          <w:color w:val="000000" w:themeColor="text1"/>
          <w:sz w:val="20"/>
          <w:szCs w:val="20"/>
          <w:lang w:val="en-US"/>
        </w:rPr>
        <w:t>All indicators of Output 5 of the logframe have met or exceeded their planned targets, and thus this programme has met equity considerations relating to VfM.</w:t>
      </w:r>
    </w:p>
    <w:p w:rsidRPr="00C33607" w:rsidR="009A1112" w:rsidP="0025594B" w:rsidRDefault="009A1112" w14:paraId="402A1AAC" w14:textId="564322D7">
      <w:pPr>
        <w:jc w:val="both"/>
        <w:rPr>
          <w:rFonts w:cs="Arial"/>
          <w:sz w:val="20"/>
          <w:szCs w:val="20"/>
        </w:rPr>
      </w:pPr>
    </w:p>
    <w:p w:rsidR="001E0173" w:rsidP="0025594B" w:rsidRDefault="001E0173" w14:paraId="3C74C11E" w14:textId="7C506801">
      <w:pPr>
        <w:jc w:val="both"/>
        <w:rPr>
          <w:rFonts w:cs="Arial"/>
          <w:sz w:val="20"/>
          <w:szCs w:val="20"/>
        </w:rPr>
      </w:pPr>
      <w:r w:rsidRPr="00C33607">
        <w:rPr>
          <w:rFonts w:cs="Arial"/>
          <w:sz w:val="20"/>
          <w:szCs w:val="20"/>
        </w:rPr>
        <w:t xml:space="preserve">In Colombia in the next reporting period, but was prepared in the current reporting period, </w:t>
      </w:r>
      <w:r w:rsidRPr="00C33607" w:rsidR="00425468">
        <w:rPr>
          <w:rFonts w:cs="Arial"/>
          <w:sz w:val="20"/>
          <w:szCs w:val="20"/>
        </w:rPr>
        <w:t xml:space="preserve">REM 2 has </w:t>
      </w:r>
      <w:r w:rsidRPr="00C33607" w:rsidR="009F2C00">
        <w:rPr>
          <w:rFonts w:cs="Arial"/>
          <w:sz w:val="20"/>
          <w:szCs w:val="20"/>
        </w:rPr>
        <w:t>approved over £5 million of proposals under the 4</w:t>
      </w:r>
      <w:r w:rsidRPr="00C33607" w:rsidR="009F2C00">
        <w:rPr>
          <w:rFonts w:cs="Arial"/>
          <w:sz w:val="20"/>
          <w:szCs w:val="20"/>
          <w:vertAlign w:val="superscript"/>
        </w:rPr>
        <w:t>th</w:t>
      </w:r>
      <w:r w:rsidRPr="00C33607" w:rsidR="009F2C00">
        <w:rPr>
          <w:rFonts w:cs="Arial"/>
          <w:sz w:val="20"/>
          <w:szCs w:val="20"/>
        </w:rPr>
        <w:t xml:space="preserve"> call for proposals for Indigenous projects on </w:t>
      </w:r>
      <w:r w:rsidRPr="00C33607" w:rsidR="00A27725">
        <w:rPr>
          <w:rFonts w:cs="Arial"/>
          <w:sz w:val="20"/>
          <w:szCs w:val="20"/>
        </w:rPr>
        <w:t xml:space="preserve">8/11/24, where half of the funding will go to women. </w:t>
      </w:r>
    </w:p>
    <w:p w:rsidRPr="00C33607" w:rsidR="00F45BEC" w:rsidP="0025594B" w:rsidRDefault="00F45BEC" w14:paraId="07EFBF9E" w14:textId="77777777">
      <w:pPr>
        <w:jc w:val="both"/>
        <w:rPr>
          <w:rFonts w:cs="Arial"/>
          <w:sz w:val="20"/>
          <w:szCs w:val="20"/>
        </w:rPr>
      </w:pPr>
    </w:p>
    <w:p w:rsidRPr="00C33607" w:rsidR="007E326A" w:rsidP="0025594B" w:rsidRDefault="001E0173" w14:paraId="7E245CCD" w14:textId="4463842E">
      <w:pPr>
        <w:jc w:val="both"/>
        <w:rPr>
          <w:rFonts w:cs="Arial"/>
          <w:sz w:val="22"/>
          <w:szCs w:val="22"/>
        </w:rPr>
      </w:pPr>
      <w:r w:rsidRPr="00C33607">
        <w:rPr>
          <w:rFonts w:cs="Arial"/>
          <w:sz w:val="20"/>
          <w:szCs w:val="20"/>
        </w:rPr>
        <w:t xml:space="preserve">In Acre, </w:t>
      </w:r>
      <w:r w:rsidRPr="00C33607" w:rsidR="00A27725">
        <w:rPr>
          <w:rFonts w:cs="Arial"/>
          <w:sz w:val="20"/>
          <w:szCs w:val="20"/>
        </w:rPr>
        <w:t xml:space="preserve">a special secretariat has been set up (SEMAPI) which is led by Indigenous leaders, with </w:t>
      </w:r>
      <w:r w:rsidRPr="00C33607" w:rsidR="00C33607">
        <w:rPr>
          <w:rFonts w:cs="Arial"/>
          <w:sz w:val="20"/>
          <w:szCs w:val="20"/>
        </w:rPr>
        <w:t>implementation of the Indigenous Pillar now run by SEMAPI. The consultation process through the thematic chambers is also a good example of involving target groups in decision-making for the programme.</w:t>
      </w:r>
    </w:p>
    <w:p w:rsidRPr="00C33607" w:rsidR="00C679E0" w:rsidP="0025594B" w:rsidRDefault="00C679E0" w14:paraId="51807687" w14:textId="77777777">
      <w:pPr>
        <w:jc w:val="both"/>
        <w:rPr>
          <w:rFonts w:cs="Arial"/>
          <w:sz w:val="20"/>
          <w:szCs w:val="20"/>
        </w:rPr>
      </w:pPr>
    </w:p>
    <w:p w:rsidR="58FE6BC9" w:rsidP="58FE6BC9" w:rsidRDefault="00142E4A" w14:paraId="5C70228A" w14:textId="377EA3FE">
      <w:pPr>
        <w:jc w:val="both"/>
        <w:rPr>
          <w:rFonts w:cs="Arial"/>
          <w:sz w:val="20"/>
          <w:szCs w:val="20"/>
        </w:rPr>
      </w:pPr>
      <w:r w:rsidRPr="00C33607">
        <w:rPr>
          <w:rFonts w:cs="Arial"/>
          <w:sz w:val="20"/>
          <w:szCs w:val="20"/>
        </w:rPr>
        <w:t>Efforts have also been made to inc</w:t>
      </w:r>
      <w:r w:rsidRPr="00C33607" w:rsidR="00AC6F83">
        <w:rPr>
          <w:rFonts w:cs="Arial"/>
          <w:sz w:val="20"/>
          <w:szCs w:val="20"/>
        </w:rPr>
        <w:t>rease y</w:t>
      </w:r>
      <w:r w:rsidRPr="00C33607" w:rsidR="00C679E0">
        <w:rPr>
          <w:rFonts w:cs="Arial"/>
          <w:sz w:val="20"/>
          <w:szCs w:val="20"/>
        </w:rPr>
        <w:t xml:space="preserve">outh engagement </w:t>
      </w:r>
      <w:r w:rsidRPr="00C33607" w:rsidR="00AC6F83">
        <w:rPr>
          <w:rFonts w:cs="Arial"/>
          <w:sz w:val="20"/>
          <w:szCs w:val="20"/>
        </w:rPr>
        <w:t>and participation</w:t>
      </w:r>
      <w:r w:rsidRPr="00C33607" w:rsidR="002F69F1">
        <w:rPr>
          <w:rFonts w:cs="Arial"/>
          <w:sz w:val="20"/>
          <w:szCs w:val="20"/>
        </w:rPr>
        <w:t>, for example</w:t>
      </w:r>
      <w:r w:rsidRPr="00C33607" w:rsidR="00AC6F83">
        <w:rPr>
          <w:rFonts w:cs="Arial"/>
          <w:sz w:val="20"/>
          <w:szCs w:val="20"/>
        </w:rPr>
        <w:t xml:space="preserve"> </w:t>
      </w:r>
      <w:r w:rsidRPr="00C33607" w:rsidR="00C679E0">
        <w:rPr>
          <w:rFonts w:cs="Arial"/>
          <w:sz w:val="20"/>
          <w:szCs w:val="20"/>
        </w:rPr>
        <w:t>in</w:t>
      </w:r>
      <w:r w:rsidRPr="00C33607" w:rsidR="00E44C88">
        <w:rPr>
          <w:rFonts w:cs="Arial"/>
          <w:sz w:val="20"/>
          <w:szCs w:val="20"/>
        </w:rPr>
        <w:t xml:space="preserve"> Colombia in</w:t>
      </w:r>
      <w:r w:rsidRPr="00C33607" w:rsidR="00C679E0">
        <w:rPr>
          <w:rFonts w:cs="Arial"/>
          <w:sz w:val="20"/>
          <w:szCs w:val="20"/>
        </w:rPr>
        <w:t xml:space="preserve"> </w:t>
      </w:r>
      <w:r w:rsidRPr="00C33607" w:rsidR="00AC6F83">
        <w:rPr>
          <w:rFonts w:cs="Arial"/>
          <w:sz w:val="20"/>
          <w:szCs w:val="20"/>
        </w:rPr>
        <w:t>municipalities with higher deforestation figures</w:t>
      </w:r>
      <w:r w:rsidRPr="00C33607" w:rsidR="00E44C88">
        <w:rPr>
          <w:rFonts w:cs="Arial"/>
          <w:sz w:val="20"/>
          <w:szCs w:val="20"/>
        </w:rPr>
        <w:t xml:space="preserve"> with an aim to </w:t>
      </w:r>
      <w:r w:rsidRPr="00C33607" w:rsidR="004E2B2D">
        <w:rPr>
          <w:rFonts w:cs="Arial"/>
          <w:sz w:val="20"/>
          <w:szCs w:val="20"/>
        </w:rPr>
        <w:t>strength</w:t>
      </w:r>
      <w:r w:rsidRPr="00C33607" w:rsidR="00E44C88">
        <w:rPr>
          <w:rFonts w:cs="Arial"/>
          <w:sz w:val="20"/>
          <w:szCs w:val="20"/>
        </w:rPr>
        <w:t xml:space="preserve">en </w:t>
      </w:r>
      <w:r w:rsidRPr="00C33607" w:rsidR="004E2B2D">
        <w:rPr>
          <w:rFonts w:cs="Arial"/>
          <w:sz w:val="20"/>
          <w:szCs w:val="20"/>
        </w:rPr>
        <w:t>forest governance through environmental education</w:t>
      </w:r>
      <w:r w:rsidRPr="00C33607" w:rsidR="002F69F1">
        <w:rPr>
          <w:rFonts w:cs="Arial"/>
          <w:sz w:val="20"/>
          <w:szCs w:val="20"/>
        </w:rPr>
        <w:t>, resulting in the formulation of 54 school environmental projects.</w:t>
      </w:r>
      <w:r w:rsidRPr="0025594B" w:rsidR="002F69F1">
        <w:rPr>
          <w:rFonts w:cs="Arial"/>
          <w:sz w:val="20"/>
          <w:szCs w:val="20"/>
        </w:rPr>
        <w:t xml:space="preserve"> </w:t>
      </w:r>
      <w:r w:rsidR="00A27725">
        <w:rPr>
          <w:rFonts w:cs="Arial"/>
          <w:sz w:val="20"/>
          <w:szCs w:val="20"/>
        </w:rPr>
        <w:t xml:space="preserve">In Acre, schools are also supported in Indigenous areas, supporting local traditions and customs, and teaching of Indigenous ways of life and culture. </w:t>
      </w:r>
    </w:p>
    <w:p w:rsidRPr="0025594B" w:rsidR="0057533F" w:rsidP="0025594B" w:rsidRDefault="0057533F" w14:paraId="0C3F5A69" w14:textId="77777777">
      <w:pPr>
        <w:jc w:val="both"/>
        <w:rPr>
          <w:rFonts w:cs="Arial"/>
          <w:bCs/>
          <w:sz w:val="22"/>
          <w:szCs w:val="22"/>
        </w:rPr>
      </w:pPr>
    </w:p>
    <w:p w:rsidRPr="0025594B" w:rsidR="00910DB0" w:rsidP="0025594B" w:rsidRDefault="00910DB0" w14:paraId="105A9F32" w14:textId="77577EE9">
      <w:pPr>
        <w:jc w:val="both"/>
        <w:rPr>
          <w:rFonts w:eastAsia="Arial" w:cs="Arial"/>
          <w:b/>
          <w:bCs/>
          <w:sz w:val="22"/>
          <w:szCs w:val="22"/>
          <w:u w:val="single"/>
        </w:rPr>
      </w:pPr>
      <w:r w:rsidRPr="0025594B">
        <w:rPr>
          <w:rFonts w:eastAsia="Arial" w:cs="Arial"/>
          <w:b/>
          <w:bCs/>
          <w:sz w:val="22"/>
          <w:szCs w:val="22"/>
          <w:u w:val="single"/>
        </w:rPr>
        <w:t xml:space="preserve">Delivery partner performance </w:t>
      </w:r>
    </w:p>
    <w:p w:rsidR="00A5558A" w:rsidP="0025594B" w:rsidRDefault="00A5558A" w14:paraId="5C925622" w14:textId="77777777">
      <w:pPr>
        <w:jc w:val="both"/>
        <w:rPr>
          <w:rFonts w:eastAsia="Arial" w:cs="Arial"/>
          <w:color w:val="000000" w:themeColor="text1"/>
          <w:sz w:val="20"/>
          <w:szCs w:val="20"/>
        </w:rPr>
      </w:pPr>
    </w:p>
    <w:p w:rsidRPr="0025594B" w:rsidR="00910DB0" w:rsidP="0025594B" w:rsidRDefault="00910DB0" w14:paraId="7F99FE60" w14:textId="025045CC">
      <w:pPr>
        <w:jc w:val="both"/>
        <w:rPr>
          <w:rFonts w:eastAsia="Arial" w:cs="Arial"/>
          <w:color w:val="000000" w:themeColor="text1"/>
          <w:sz w:val="20"/>
          <w:szCs w:val="20"/>
        </w:rPr>
      </w:pPr>
      <w:r w:rsidRPr="0025594B">
        <w:rPr>
          <w:rFonts w:eastAsia="Arial" w:cs="Arial"/>
          <w:color w:val="000000" w:themeColor="text1"/>
          <w:sz w:val="20"/>
          <w:szCs w:val="20"/>
        </w:rPr>
        <w:t xml:space="preserve">The programme is managed by KfW, which is the primary interlocuter and contracted party for </w:t>
      </w:r>
      <w:r w:rsidRPr="0025594B" w:rsidR="00BB597D">
        <w:rPr>
          <w:rFonts w:eastAsia="Arial" w:cs="Arial"/>
          <w:color w:val="000000" w:themeColor="text1"/>
          <w:sz w:val="20"/>
          <w:szCs w:val="20"/>
        </w:rPr>
        <w:t>DESNZ</w:t>
      </w:r>
      <w:r w:rsidRPr="0025594B">
        <w:rPr>
          <w:rFonts w:eastAsia="Arial" w:cs="Arial"/>
          <w:color w:val="000000" w:themeColor="text1"/>
          <w:sz w:val="20"/>
          <w:szCs w:val="20"/>
        </w:rPr>
        <w:t>. Down the delivery chain, KfW has agreements with implementing partners in each of the three jurisdictions. Funds are managed by FPN as fiduciary partner in Colombia and Funbio for Mato Grosso (</w:t>
      </w:r>
      <w:r w:rsidRPr="0025594B" w:rsidR="00D54C36">
        <w:rPr>
          <w:rFonts w:eastAsia="Arial" w:cs="Arial"/>
          <w:color w:val="000000" w:themeColor="text1"/>
          <w:sz w:val="20"/>
          <w:szCs w:val="20"/>
        </w:rPr>
        <w:t>now</w:t>
      </w:r>
      <w:r w:rsidRPr="0025594B">
        <w:rPr>
          <w:rFonts w:eastAsia="Arial" w:cs="Arial"/>
          <w:color w:val="000000" w:themeColor="text1"/>
          <w:sz w:val="20"/>
          <w:szCs w:val="20"/>
        </w:rPr>
        <w:t xml:space="preserve"> FAS for Phase 2), both of whom receive and manage the distribution of funding from KfW to the governments. </w:t>
      </w:r>
      <w:r w:rsidRPr="0025594B" w:rsidR="00D54C36">
        <w:rPr>
          <w:rFonts w:eastAsia="Arial" w:cs="Arial"/>
          <w:color w:val="000000" w:themeColor="text1"/>
          <w:sz w:val="20"/>
          <w:szCs w:val="20"/>
        </w:rPr>
        <w:t>In Acre it is managed by the state directly, reducing costs and increasing VFM.</w:t>
      </w:r>
    </w:p>
    <w:p w:rsidRPr="0025594B" w:rsidR="00910DB0" w:rsidP="0025594B" w:rsidRDefault="00910DB0" w14:paraId="4E770902" w14:textId="77777777">
      <w:pPr>
        <w:jc w:val="both"/>
        <w:rPr>
          <w:rFonts w:eastAsia="Arial" w:cs="Arial"/>
          <w:color w:val="000000" w:themeColor="text1"/>
          <w:sz w:val="20"/>
          <w:szCs w:val="20"/>
        </w:rPr>
      </w:pPr>
    </w:p>
    <w:p w:rsidR="00910DB0" w:rsidP="0025594B" w:rsidRDefault="00741748" w14:paraId="51C0B870" w14:textId="6F320006">
      <w:pPr>
        <w:jc w:val="both"/>
        <w:rPr>
          <w:rFonts w:eastAsia="Arial" w:cs="Arial"/>
          <w:sz w:val="20"/>
          <w:szCs w:val="20"/>
        </w:rPr>
      </w:pPr>
      <w:r>
        <w:rPr>
          <w:rFonts w:eastAsia="Arial" w:cs="Arial"/>
          <w:color w:val="000000" w:themeColor="text1"/>
          <w:sz w:val="20"/>
          <w:szCs w:val="20"/>
        </w:rPr>
        <w:t>Overall, w</w:t>
      </w:r>
      <w:r w:rsidRPr="0025594B" w:rsidR="00910DB0">
        <w:rPr>
          <w:rFonts w:eastAsia="Arial" w:cs="Arial"/>
          <w:color w:val="000000" w:themeColor="text1"/>
          <w:sz w:val="20"/>
          <w:szCs w:val="20"/>
        </w:rPr>
        <w:t>e consider KfW to be an effective delivery partner and continue to have confidence in KfW’s oversight of assets in the three locations. Reporting is provided in the form of annual financial statements, annual or bi-annual progress reporting, although this will be changed to annual in future to reduce burden on implementing partners and independent financial audits</w:t>
      </w:r>
      <w:r w:rsidRPr="0025594B" w:rsidR="00D54C36">
        <w:rPr>
          <w:rFonts w:eastAsia="Arial" w:cs="Arial"/>
          <w:color w:val="000000" w:themeColor="text1"/>
          <w:sz w:val="20"/>
          <w:szCs w:val="20"/>
        </w:rPr>
        <w:t>. These are produced by the states themselves. KfW is to leave comments on these, which we will need to see going forward.</w:t>
      </w:r>
      <w:r w:rsidRPr="0025594B" w:rsidR="00910DB0">
        <w:rPr>
          <w:rFonts w:eastAsia="Arial" w:cs="Arial"/>
          <w:sz w:val="20"/>
          <w:szCs w:val="20"/>
        </w:rPr>
        <w:t xml:space="preserve"> </w:t>
      </w:r>
      <w:r w:rsidRPr="0025594B" w:rsidR="001B7328">
        <w:rPr>
          <w:rFonts w:eastAsia="Arial" w:cs="Arial"/>
          <w:sz w:val="20"/>
          <w:szCs w:val="20"/>
        </w:rPr>
        <w:t>KfW gives DESNZ direct access to implementors and local communities on the ground</w:t>
      </w:r>
      <w:r w:rsidRPr="0025594B" w:rsidR="00D54C36">
        <w:rPr>
          <w:rFonts w:eastAsia="Arial" w:cs="Arial"/>
          <w:sz w:val="20"/>
          <w:szCs w:val="20"/>
        </w:rPr>
        <w:t xml:space="preserve">. </w:t>
      </w:r>
      <w:r w:rsidRPr="0025594B" w:rsidR="00AC552A">
        <w:rPr>
          <w:rFonts w:eastAsia="Arial" w:cs="Arial"/>
          <w:sz w:val="20"/>
          <w:szCs w:val="20"/>
        </w:rPr>
        <w:t>This has greatly improved our understanding and our input into the programme</w:t>
      </w:r>
      <w:r w:rsidRPr="0025594B" w:rsidR="002A46A0">
        <w:rPr>
          <w:rFonts w:eastAsia="Arial" w:cs="Arial"/>
          <w:sz w:val="20"/>
          <w:szCs w:val="20"/>
        </w:rPr>
        <w:t xml:space="preserve"> and has made ministerial visits to locations easy to organise. </w:t>
      </w:r>
      <w:r w:rsidRPr="0025594B" w:rsidR="00AC552A">
        <w:rPr>
          <w:rFonts w:eastAsia="Arial" w:cs="Arial"/>
          <w:sz w:val="20"/>
          <w:szCs w:val="20"/>
        </w:rPr>
        <w:t xml:space="preserve"> </w:t>
      </w:r>
    </w:p>
    <w:p w:rsidR="00C33607" w:rsidP="0025594B" w:rsidRDefault="00C33607" w14:paraId="0432D2C1" w14:textId="77777777">
      <w:pPr>
        <w:jc w:val="both"/>
        <w:rPr>
          <w:rFonts w:eastAsia="Arial" w:cs="Arial"/>
          <w:sz w:val="20"/>
          <w:szCs w:val="20"/>
        </w:rPr>
      </w:pPr>
    </w:p>
    <w:p w:rsidRPr="0025594B" w:rsidR="003E45EC" w:rsidP="0025594B" w:rsidRDefault="00C33607" w14:paraId="456B6C68" w14:textId="2F51B45D">
      <w:pPr>
        <w:jc w:val="both"/>
        <w:rPr>
          <w:rFonts w:eastAsia="Arial" w:cs="Arial"/>
          <w:sz w:val="20"/>
          <w:szCs w:val="20"/>
        </w:rPr>
      </w:pPr>
      <w:r w:rsidRPr="722F6E6D">
        <w:rPr>
          <w:rFonts w:eastAsia="Arial" w:cs="Arial"/>
          <w:sz w:val="20"/>
          <w:szCs w:val="20"/>
        </w:rPr>
        <w:t xml:space="preserve">We do consider that there </w:t>
      </w:r>
      <w:r w:rsidRPr="722F6E6D" w:rsidR="003659A4">
        <w:rPr>
          <w:rFonts w:eastAsia="Arial" w:cs="Arial"/>
          <w:sz w:val="20"/>
          <w:szCs w:val="20"/>
        </w:rPr>
        <w:t>are some</w:t>
      </w:r>
      <w:r w:rsidRPr="722F6E6D" w:rsidR="00D54584">
        <w:rPr>
          <w:rFonts w:eastAsia="Arial" w:cs="Arial"/>
          <w:sz w:val="20"/>
          <w:szCs w:val="20"/>
        </w:rPr>
        <w:t xml:space="preserve"> </w:t>
      </w:r>
      <w:r w:rsidRPr="722F6E6D" w:rsidR="005011C4">
        <w:rPr>
          <w:rFonts w:eastAsia="Arial" w:cs="Arial"/>
          <w:sz w:val="20"/>
          <w:szCs w:val="20"/>
        </w:rPr>
        <w:t>conflict-of-interest</w:t>
      </w:r>
      <w:r w:rsidRPr="722F6E6D" w:rsidR="003659A4">
        <w:rPr>
          <w:rFonts w:eastAsia="Arial" w:cs="Arial"/>
          <w:sz w:val="20"/>
          <w:szCs w:val="20"/>
        </w:rPr>
        <w:t xml:space="preserve"> challenges </w:t>
      </w:r>
      <w:r w:rsidRPr="722F6E6D" w:rsidR="002B2C78">
        <w:rPr>
          <w:rFonts w:eastAsia="Arial" w:cs="Arial"/>
          <w:sz w:val="20"/>
          <w:szCs w:val="20"/>
        </w:rPr>
        <w:t xml:space="preserve">for </w:t>
      </w:r>
      <w:r w:rsidRPr="722F6E6D" w:rsidR="003659A4">
        <w:rPr>
          <w:rFonts w:eastAsia="Arial" w:cs="Arial"/>
          <w:sz w:val="20"/>
          <w:szCs w:val="20"/>
        </w:rPr>
        <w:t>KfW as their role as a delivery partner</w:t>
      </w:r>
      <w:r w:rsidRPr="722F6E6D" w:rsidR="00D54584">
        <w:rPr>
          <w:rFonts w:eastAsia="Arial" w:cs="Arial"/>
          <w:sz w:val="20"/>
          <w:szCs w:val="20"/>
        </w:rPr>
        <w:t>, whilst in addition</w:t>
      </w:r>
      <w:r w:rsidRPr="722F6E6D" w:rsidR="001D5867">
        <w:rPr>
          <w:rFonts w:eastAsia="Arial" w:cs="Arial"/>
          <w:sz w:val="20"/>
          <w:szCs w:val="20"/>
        </w:rPr>
        <w:t>,</w:t>
      </w:r>
      <w:r w:rsidRPr="722F6E6D" w:rsidR="00D54584">
        <w:rPr>
          <w:rFonts w:eastAsia="Arial" w:cs="Arial"/>
          <w:sz w:val="20"/>
          <w:szCs w:val="20"/>
        </w:rPr>
        <w:t xml:space="preserve"> being expected to </w:t>
      </w:r>
      <w:r w:rsidRPr="722F6E6D" w:rsidR="003659A4">
        <w:rPr>
          <w:rFonts w:eastAsia="Arial" w:cs="Arial"/>
          <w:sz w:val="20"/>
          <w:szCs w:val="20"/>
        </w:rPr>
        <w:t>represent BMZ</w:t>
      </w:r>
      <w:r w:rsidRPr="722F6E6D" w:rsidR="00D54584">
        <w:rPr>
          <w:rFonts w:eastAsia="Arial" w:cs="Arial"/>
          <w:sz w:val="20"/>
          <w:szCs w:val="20"/>
        </w:rPr>
        <w:t xml:space="preserve"> or Germany</w:t>
      </w:r>
      <w:r w:rsidRPr="722F6E6D" w:rsidR="001D5867">
        <w:rPr>
          <w:rFonts w:eastAsia="Arial" w:cs="Arial"/>
          <w:sz w:val="20"/>
          <w:szCs w:val="20"/>
        </w:rPr>
        <w:t xml:space="preserve"> at times</w:t>
      </w:r>
      <w:r w:rsidRPr="722F6E6D" w:rsidR="00D54584">
        <w:rPr>
          <w:rFonts w:eastAsia="Arial" w:cs="Arial"/>
          <w:sz w:val="20"/>
          <w:szCs w:val="20"/>
        </w:rPr>
        <w:t>.</w:t>
      </w:r>
      <w:r w:rsidRPr="722F6E6D" w:rsidR="002F5037">
        <w:rPr>
          <w:rFonts w:eastAsia="Arial" w:cs="Arial"/>
          <w:sz w:val="20"/>
          <w:szCs w:val="20"/>
        </w:rPr>
        <w:t xml:space="preserve"> This has been particularly challenging with the Colombia policy milestones approach. We would like to see this conflict of interest resolved in future. </w:t>
      </w:r>
      <w:r w:rsidRPr="722F6E6D" w:rsidR="00D71F25">
        <w:rPr>
          <w:rFonts w:eastAsia="Arial" w:cs="Arial"/>
          <w:sz w:val="20"/>
          <w:szCs w:val="20"/>
        </w:rPr>
        <w:t xml:space="preserve">We also suggest further coordination between donors, with REM providing a good basis for this, especially in Colombia with the Joint Declaration of Intent. KfW should be part </w:t>
      </w:r>
      <w:r w:rsidRPr="722F6E6D" w:rsidR="5609406C">
        <w:rPr>
          <w:rFonts w:eastAsia="Arial" w:cs="Arial"/>
          <w:sz w:val="20"/>
          <w:szCs w:val="20"/>
        </w:rPr>
        <w:t>of or</w:t>
      </w:r>
      <w:r w:rsidRPr="722F6E6D" w:rsidR="00ED6CB0">
        <w:rPr>
          <w:rFonts w:eastAsia="Arial" w:cs="Arial"/>
          <w:sz w:val="20"/>
          <w:szCs w:val="20"/>
        </w:rPr>
        <w:t xml:space="preserve"> lead on this </w:t>
      </w:r>
      <w:r w:rsidRPr="722F6E6D" w:rsidR="00D71F25">
        <w:rPr>
          <w:rFonts w:eastAsia="Arial" w:cs="Arial"/>
          <w:sz w:val="20"/>
          <w:szCs w:val="20"/>
        </w:rPr>
        <w:t xml:space="preserve">this coordination effort. </w:t>
      </w:r>
      <w:r w:rsidRPr="722F6E6D" w:rsidR="003E45EC">
        <w:rPr>
          <w:rFonts w:eastAsia="Arial" w:cs="Arial"/>
          <w:sz w:val="20"/>
          <w:szCs w:val="20"/>
        </w:rPr>
        <w:t xml:space="preserve"> </w:t>
      </w:r>
    </w:p>
    <w:p w:rsidRPr="0025594B" w:rsidR="00910DB0" w:rsidP="0025594B" w:rsidRDefault="00910DB0" w14:paraId="5C931FE2" w14:textId="77777777">
      <w:pPr>
        <w:jc w:val="both"/>
        <w:rPr>
          <w:rFonts w:eastAsia="Arial" w:cs="Arial"/>
          <w:sz w:val="20"/>
          <w:szCs w:val="20"/>
        </w:rPr>
      </w:pPr>
    </w:p>
    <w:p w:rsidRPr="0025594B" w:rsidR="003D7B77" w:rsidP="0025594B" w:rsidRDefault="00910DB0" w14:paraId="01E1D43C" w14:textId="2A6039B3">
      <w:pPr>
        <w:jc w:val="both"/>
        <w:rPr>
          <w:rFonts w:eastAsia="Arial" w:cs="Arial"/>
          <w:sz w:val="20"/>
          <w:szCs w:val="20"/>
        </w:rPr>
      </w:pPr>
      <w:r w:rsidRPr="0025594B">
        <w:rPr>
          <w:rFonts w:eastAsia="Arial" w:cs="Arial"/>
          <w:sz w:val="20"/>
          <w:szCs w:val="20"/>
        </w:rPr>
        <w:t xml:space="preserve">The annual or bi-annual progress reporting is prepared by the implementing partners, with KfW not playing a significant direct role. We consider it positive that this responsibility is taken on by implementing partners, </w:t>
      </w:r>
      <w:r w:rsidRPr="0025594B" w:rsidR="00DB0896">
        <w:rPr>
          <w:rFonts w:eastAsia="Arial" w:cs="Arial"/>
          <w:sz w:val="20"/>
          <w:szCs w:val="20"/>
        </w:rPr>
        <w:t xml:space="preserve">as </w:t>
      </w:r>
      <w:r w:rsidRPr="0025594B">
        <w:rPr>
          <w:rFonts w:eastAsia="Arial" w:cs="Arial"/>
          <w:sz w:val="20"/>
          <w:szCs w:val="20"/>
        </w:rPr>
        <w:t xml:space="preserve">capacities for monitoring and reporting are built as a result. </w:t>
      </w:r>
      <w:r w:rsidRPr="0025594B" w:rsidR="002A46A0">
        <w:rPr>
          <w:rFonts w:eastAsia="Arial" w:cs="Arial"/>
          <w:sz w:val="20"/>
          <w:szCs w:val="20"/>
        </w:rPr>
        <w:t>However, further coordination could be undertaken by KfW to show the overall</w:t>
      </w:r>
      <w:r w:rsidRPr="0025594B" w:rsidR="00EB6582">
        <w:rPr>
          <w:rFonts w:eastAsia="Arial" w:cs="Arial"/>
          <w:sz w:val="20"/>
          <w:szCs w:val="20"/>
        </w:rPr>
        <w:t xml:space="preserve"> results across the programmes</w:t>
      </w:r>
      <w:r w:rsidR="00B72D55">
        <w:rPr>
          <w:rFonts w:eastAsia="Arial" w:cs="Arial"/>
          <w:sz w:val="20"/>
          <w:szCs w:val="20"/>
        </w:rPr>
        <w:t xml:space="preserve">, particularly in relation to consistency of </w:t>
      </w:r>
      <w:r w:rsidR="005E60CD">
        <w:rPr>
          <w:rFonts w:eastAsia="Arial" w:cs="Arial"/>
          <w:sz w:val="20"/>
          <w:szCs w:val="20"/>
        </w:rPr>
        <w:t>data collection and reporting across the programmes</w:t>
      </w:r>
      <w:r w:rsidRPr="0025594B" w:rsidR="00EB6582">
        <w:rPr>
          <w:rFonts w:eastAsia="Arial" w:cs="Arial"/>
          <w:sz w:val="20"/>
          <w:szCs w:val="20"/>
        </w:rPr>
        <w:t xml:space="preserve">. A dashboard is being developed this year </w:t>
      </w:r>
      <w:r w:rsidRPr="0025594B" w:rsidR="00FE0922">
        <w:rPr>
          <w:rFonts w:eastAsia="Arial" w:cs="Arial"/>
          <w:sz w:val="20"/>
          <w:szCs w:val="20"/>
        </w:rPr>
        <w:t>based on</w:t>
      </w:r>
      <w:r w:rsidRPr="0025594B" w:rsidR="00EB6582">
        <w:rPr>
          <w:rFonts w:eastAsia="Arial" w:cs="Arial"/>
          <w:sz w:val="20"/>
          <w:szCs w:val="20"/>
        </w:rPr>
        <w:t xml:space="preserve"> this feedback in the annual donor meeting. </w:t>
      </w:r>
    </w:p>
    <w:p w:rsidRPr="0025594B" w:rsidR="001B7328" w:rsidP="0025594B" w:rsidRDefault="001B7328" w14:paraId="501E625C" w14:textId="77777777">
      <w:pPr>
        <w:jc w:val="both"/>
        <w:rPr>
          <w:rFonts w:eastAsia="Arial" w:cs="Arial"/>
          <w:sz w:val="20"/>
          <w:szCs w:val="20"/>
        </w:rPr>
      </w:pPr>
    </w:p>
    <w:p w:rsidRPr="0025594B" w:rsidR="0088729E" w:rsidP="0025594B" w:rsidRDefault="00910DB0" w14:paraId="110D20F8" w14:textId="421606D5">
      <w:pPr>
        <w:jc w:val="both"/>
        <w:rPr>
          <w:rFonts w:eastAsia="Arial" w:cs="Arial"/>
          <w:color w:val="000000" w:themeColor="text1"/>
          <w:sz w:val="20"/>
          <w:szCs w:val="20"/>
        </w:rPr>
      </w:pPr>
      <w:r w:rsidRPr="0025594B">
        <w:rPr>
          <w:rFonts w:eastAsia="Arial" w:cs="Arial"/>
          <w:color w:val="000000" w:themeColor="text1"/>
          <w:sz w:val="20"/>
          <w:szCs w:val="20"/>
        </w:rPr>
        <w:t xml:space="preserve">Monthly catch-ups with KfW have been </w:t>
      </w:r>
      <w:r w:rsidRPr="0025594B" w:rsidR="00C30D51">
        <w:rPr>
          <w:rFonts w:eastAsia="Arial" w:cs="Arial"/>
          <w:color w:val="000000" w:themeColor="text1"/>
          <w:sz w:val="20"/>
          <w:szCs w:val="20"/>
        </w:rPr>
        <w:t>an</w:t>
      </w:r>
      <w:r w:rsidRPr="0025594B">
        <w:rPr>
          <w:rFonts w:eastAsia="Arial" w:cs="Arial"/>
          <w:color w:val="000000" w:themeColor="text1"/>
          <w:sz w:val="20"/>
          <w:szCs w:val="20"/>
        </w:rPr>
        <w:t xml:space="preserve"> effective way to receive updates on implementation, discuss priority risks or concerns, and jointly look ahead</w:t>
      </w:r>
      <w:r w:rsidRPr="0025594B" w:rsidR="00EB6582">
        <w:rPr>
          <w:rFonts w:eastAsia="Arial" w:cs="Arial"/>
          <w:color w:val="000000" w:themeColor="text1"/>
          <w:sz w:val="20"/>
          <w:szCs w:val="20"/>
        </w:rPr>
        <w:t xml:space="preserve"> with other donors</w:t>
      </w:r>
      <w:r w:rsidRPr="0025594B">
        <w:rPr>
          <w:rFonts w:eastAsia="Arial" w:cs="Arial"/>
          <w:color w:val="000000" w:themeColor="text1"/>
          <w:sz w:val="20"/>
          <w:szCs w:val="20"/>
        </w:rPr>
        <w:t>.</w:t>
      </w:r>
      <w:r w:rsidRPr="0025594B" w:rsidR="00AB6742">
        <w:rPr>
          <w:rFonts w:eastAsia="Arial" w:cs="Arial"/>
          <w:color w:val="000000" w:themeColor="text1"/>
          <w:sz w:val="20"/>
          <w:szCs w:val="20"/>
        </w:rPr>
        <w:t xml:space="preserve"> </w:t>
      </w:r>
      <w:r w:rsidRPr="0025594B">
        <w:rPr>
          <w:rFonts w:eastAsia="Arial" w:cs="Arial"/>
          <w:color w:val="000000" w:themeColor="text1"/>
          <w:sz w:val="20"/>
          <w:szCs w:val="20"/>
        </w:rPr>
        <w:t>This year, a</w:t>
      </w:r>
      <w:r w:rsidRPr="0025594B" w:rsidR="00AB6742">
        <w:rPr>
          <w:rFonts w:eastAsia="Arial" w:cs="Arial"/>
          <w:color w:val="000000" w:themeColor="text1"/>
          <w:sz w:val="20"/>
          <w:szCs w:val="20"/>
        </w:rPr>
        <w:t>nother useful</w:t>
      </w:r>
      <w:r w:rsidRPr="0025594B">
        <w:rPr>
          <w:rFonts w:eastAsia="Arial" w:cs="Arial"/>
          <w:color w:val="000000" w:themeColor="text1"/>
          <w:sz w:val="20"/>
          <w:szCs w:val="20"/>
        </w:rPr>
        <w:t xml:space="preserve"> annual donor meeting took place in Frankfurt</w:t>
      </w:r>
      <w:r w:rsidRPr="0025594B" w:rsidR="00AB6742">
        <w:rPr>
          <w:rFonts w:eastAsia="Arial" w:cs="Arial"/>
          <w:color w:val="000000" w:themeColor="text1"/>
          <w:sz w:val="20"/>
          <w:szCs w:val="20"/>
        </w:rPr>
        <w:t xml:space="preserve">, </w:t>
      </w:r>
      <w:r w:rsidRPr="0025594B" w:rsidR="00EE19EF">
        <w:rPr>
          <w:rFonts w:eastAsia="Arial" w:cs="Arial"/>
          <w:color w:val="000000" w:themeColor="text1"/>
          <w:sz w:val="20"/>
          <w:szCs w:val="20"/>
        </w:rPr>
        <w:t>outlined in the overview of this programme</w:t>
      </w:r>
      <w:r w:rsidRPr="0025594B" w:rsidR="00C83B79">
        <w:rPr>
          <w:rFonts w:eastAsia="Arial" w:cs="Arial"/>
          <w:color w:val="000000" w:themeColor="text1"/>
          <w:sz w:val="20"/>
          <w:szCs w:val="20"/>
        </w:rPr>
        <w:t xml:space="preserve">, as well as two </w:t>
      </w:r>
      <w:r w:rsidRPr="0025594B" w:rsidR="00080077">
        <w:rPr>
          <w:rFonts w:eastAsia="Arial" w:cs="Arial"/>
          <w:color w:val="000000" w:themeColor="text1"/>
          <w:sz w:val="20"/>
          <w:szCs w:val="20"/>
        </w:rPr>
        <w:t>monitoring missions</w:t>
      </w:r>
      <w:r w:rsidRPr="0025594B" w:rsidR="00EE19EF">
        <w:rPr>
          <w:rFonts w:eastAsia="Arial" w:cs="Arial"/>
          <w:color w:val="000000" w:themeColor="text1"/>
          <w:sz w:val="20"/>
          <w:szCs w:val="20"/>
        </w:rPr>
        <w:t>.</w:t>
      </w:r>
      <w:r w:rsidR="005011C4">
        <w:rPr>
          <w:rFonts w:eastAsia="Arial" w:cs="Arial"/>
          <w:color w:val="000000" w:themeColor="text1"/>
          <w:sz w:val="20"/>
          <w:szCs w:val="20"/>
        </w:rPr>
        <w:t xml:space="preserve"> These are highly valuable to see results on the ground, but in Colombia could change the format to </w:t>
      </w:r>
      <w:r w:rsidR="00E0158C">
        <w:rPr>
          <w:rFonts w:eastAsia="Arial" w:cs="Arial"/>
          <w:color w:val="000000" w:themeColor="text1"/>
          <w:sz w:val="20"/>
          <w:szCs w:val="20"/>
        </w:rPr>
        <w:t>observe different projects and meet different stakeholders,  maximising the value of the mission</w:t>
      </w:r>
      <w:r w:rsidR="005011C4">
        <w:rPr>
          <w:rFonts w:eastAsia="Arial" w:cs="Arial"/>
          <w:color w:val="000000" w:themeColor="text1"/>
          <w:sz w:val="20"/>
          <w:szCs w:val="20"/>
        </w:rPr>
        <w:t>.</w:t>
      </w:r>
      <w:r w:rsidRPr="0025594B" w:rsidR="00EE19EF">
        <w:rPr>
          <w:rFonts w:eastAsia="Arial" w:cs="Arial"/>
          <w:color w:val="000000" w:themeColor="text1"/>
          <w:sz w:val="20"/>
          <w:szCs w:val="20"/>
        </w:rPr>
        <w:t xml:space="preserve"> </w:t>
      </w:r>
      <w:r w:rsidRPr="0025594B" w:rsidR="00EB6582">
        <w:rPr>
          <w:rFonts w:eastAsia="Arial" w:cs="Arial"/>
          <w:color w:val="000000" w:themeColor="text1"/>
          <w:sz w:val="20"/>
          <w:szCs w:val="20"/>
        </w:rPr>
        <w:t>DESNZ will look back at the targets set in the annual donor meeting an</w:t>
      </w:r>
      <w:r w:rsidR="00E0158C">
        <w:rPr>
          <w:rFonts w:eastAsia="Arial" w:cs="Arial"/>
          <w:color w:val="000000" w:themeColor="text1"/>
          <w:sz w:val="20"/>
          <w:szCs w:val="20"/>
        </w:rPr>
        <w:t>d</w:t>
      </w:r>
      <w:r w:rsidRPr="0025594B" w:rsidR="00EB6582">
        <w:rPr>
          <w:rFonts w:eastAsia="Arial" w:cs="Arial"/>
          <w:color w:val="000000" w:themeColor="text1"/>
          <w:sz w:val="20"/>
          <w:szCs w:val="20"/>
        </w:rPr>
        <w:t xml:space="preserve"> review ahead of the next</w:t>
      </w:r>
      <w:r w:rsidR="00E0158C">
        <w:rPr>
          <w:rFonts w:eastAsia="Arial" w:cs="Arial"/>
          <w:color w:val="000000" w:themeColor="text1"/>
          <w:sz w:val="20"/>
          <w:szCs w:val="20"/>
        </w:rPr>
        <w:t xml:space="preserve"> </w:t>
      </w:r>
      <w:r w:rsidR="00ED6CB0">
        <w:rPr>
          <w:rFonts w:eastAsia="Arial" w:cs="Arial"/>
          <w:color w:val="000000" w:themeColor="text1"/>
          <w:sz w:val="20"/>
          <w:szCs w:val="20"/>
        </w:rPr>
        <w:t xml:space="preserve">annual donor meeting. </w:t>
      </w:r>
      <w:r w:rsidR="0087062B">
        <w:rPr>
          <w:rFonts w:eastAsia="Arial" w:cs="Arial"/>
          <w:color w:val="000000" w:themeColor="text1"/>
          <w:sz w:val="20"/>
          <w:szCs w:val="20"/>
        </w:rPr>
        <w:t>Some of the key aims are to ensure that the visibility of REM is improved, particularly for other REDD+ programmes</w:t>
      </w:r>
      <w:r w:rsidR="00D9042E">
        <w:rPr>
          <w:rFonts w:eastAsia="Arial" w:cs="Arial"/>
          <w:color w:val="000000" w:themeColor="text1"/>
          <w:sz w:val="20"/>
          <w:szCs w:val="20"/>
        </w:rPr>
        <w:t xml:space="preserve"> to ensure lessons learned are captured and the progress and challenges of REM are suitably shared. </w:t>
      </w:r>
    </w:p>
    <w:p w:rsidRPr="0025594B" w:rsidR="00910DB0" w:rsidP="0025594B" w:rsidRDefault="00910DB0" w14:paraId="08480497" w14:textId="77777777">
      <w:pPr>
        <w:jc w:val="both"/>
        <w:rPr>
          <w:rFonts w:cs="Arial"/>
          <w:sz w:val="22"/>
          <w:szCs w:val="22"/>
        </w:rPr>
      </w:pPr>
    </w:p>
    <w:p w:rsidR="00910DB0" w:rsidP="0025594B" w:rsidRDefault="167BE882" w14:paraId="5D0E803D" w14:textId="63A87F0E">
      <w:pPr>
        <w:jc w:val="both"/>
        <w:rPr>
          <w:rFonts w:cs="Arial"/>
          <w:sz w:val="20"/>
          <w:szCs w:val="20"/>
        </w:rPr>
      </w:pPr>
      <w:r w:rsidRPr="0025594B">
        <w:rPr>
          <w:rFonts w:cs="Arial"/>
          <w:sz w:val="20"/>
          <w:szCs w:val="20"/>
        </w:rPr>
        <w:lastRenderedPageBreak/>
        <w:t>Compliance with the contract between HMG and KfW has been unproblematic</w:t>
      </w:r>
      <w:r w:rsidRPr="30E5BF89" w:rsidR="32932E60">
        <w:rPr>
          <w:rFonts w:cs="Arial"/>
          <w:sz w:val="20"/>
          <w:szCs w:val="20"/>
        </w:rPr>
        <w:t>,</w:t>
      </w:r>
      <w:r w:rsidRPr="0025594B" w:rsidR="00EB6582">
        <w:rPr>
          <w:rFonts w:cs="Arial"/>
          <w:sz w:val="20"/>
          <w:szCs w:val="20"/>
        </w:rPr>
        <w:t xml:space="preserve"> and a new agreement has been </w:t>
      </w:r>
      <w:r w:rsidRPr="30E5BF89" w:rsidR="1BFD49C0">
        <w:rPr>
          <w:rFonts w:cs="Arial"/>
          <w:sz w:val="20"/>
          <w:szCs w:val="20"/>
        </w:rPr>
        <w:t>signed</w:t>
      </w:r>
      <w:r w:rsidRPr="0025594B" w:rsidR="00EB6582">
        <w:rPr>
          <w:rFonts w:cs="Arial"/>
          <w:sz w:val="20"/>
          <w:szCs w:val="20"/>
        </w:rPr>
        <w:t xml:space="preserve"> for Phase 2</w:t>
      </w:r>
      <w:r w:rsidRPr="0025594B" w:rsidR="00366B52">
        <w:rPr>
          <w:rFonts w:cs="Arial"/>
          <w:sz w:val="20"/>
          <w:szCs w:val="20"/>
        </w:rPr>
        <w:t xml:space="preserve"> with </w:t>
      </w:r>
      <w:r w:rsidRPr="0025594B" w:rsidR="004C02E4">
        <w:rPr>
          <w:rFonts w:cs="Arial"/>
          <w:sz w:val="20"/>
          <w:szCs w:val="20"/>
        </w:rPr>
        <w:t>up</w:t>
      </w:r>
      <w:r w:rsidRPr="30E5BF89" w:rsidR="14D0673F">
        <w:rPr>
          <w:rFonts w:cs="Arial"/>
          <w:sz w:val="20"/>
          <w:szCs w:val="20"/>
        </w:rPr>
        <w:t>-</w:t>
      </w:r>
      <w:r w:rsidRPr="0025594B" w:rsidR="004C02E4">
        <w:rPr>
          <w:rFonts w:cs="Arial"/>
          <w:sz w:val="20"/>
          <w:szCs w:val="20"/>
        </w:rPr>
        <w:t>to</w:t>
      </w:r>
      <w:r w:rsidRPr="30E5BF89" w:rsidR="14D0673F">
        <w:rPr>
          <w:rFonts w:cs="Arial"/>
          <w:sz w:val="20"/>
          <w:szCs w:val="20"/>
        </w:rPr>
        <w:t>-</w:t>
      </w:r>
      <w:r w:rsidRPr="0025594B" w:rsidR="004C02E4">
        <w:rPr>
          <w:rFonts w:cs="Arial"/>
          <w:sz w:val="20"/>
          <w:szCs w:val="20"/>
        </w:rPr>
        <w:t>date legislation and legal changes have been captured</w:t>
      </w:r>
      <w:r w:rsidRPr="0025594B">
        <w:rPr>
          <w:rFonts w:cs="Arial"/>
          <w:sz w:val="20"/>
          <w:szCs w:val="20"/>
        </w:rPr>
        <w:t xml:space="preserve">. </w:t>
      </w:r>
      <w:r w:rsidRPr="0025594B" w:rsidR="10BF4AAF">
        <w:rPr>
          <w:rFonts w:cs="Arial"/>
          <w:sz w:val="20"/>
          <w:szCs w:val="20"/>
        </w:rPr>
        <w:t>DESNZ will consider a further scoring system for the Delivery Partner</w:t>
      </w:r>
      <w:r w:rsidRPr="0025594B" w:rsidR="00366B52">
        <w:rPr>
          <w:rFonts w:cs="Arial"/>
          <w:sz w:val="20"/>
          <w:szCs w:val="20"/>
        </w:rPr>
        <w:t xml:space="preserve">, which we will review and let KfW know of any improvements that could be made. </w:t>
      </w:r>
    </w:p>
    <w:p w:rsidRPr="0025594B" w:rsidR="003D222C" w:rsidP="0025594B" w:rsidRDefault="003D222C" w14:paraId="68D44245" w14:textId="77777777">
      <w:pPr>
        <w:jc w:val="both"/>
        <w:rPr>
          <w:rFonts w:cs="Arial"/>
          <w:sz w:val="22"/>
          <w:szCs w:val="22"/>
        </w:rPr>
      </w:pPr>
    </w:p>
    <w:p w:rsidRPr="00FE0922" w:rsidR="23715ED0" w:rsidP="0025594B" w:rsidRDefault="003C0032" w14:paraId="17A27EF8" w14:textId="4C24FE9F">
      <w:pPr>
        <w:tabs>
          <w:tab w:val="right" w:leader="dot" w:pos="9710"/>
        </w:tabs>
        <w:contextualSpacing/>
        <w:jc w:val="both"/>
        <w:rPr>
          <w:rFonts w:eastAsia="Calibri" w:cs="Arial"/>
          <w:b/>
          <w:color w:val="000000" w:themeColor="text1"/>
          <w:sz w:val="22"/>
          <w:szCs w:val="22"/>
        </w:rPr>
      </w:pPr>
      <w:r w:rsidRPr="0025594B">
        <w:rPr>
          <w:rFonts w:eastAsia="Calibri" w:cs="Arial"/>
          <w:b/>
          <w:bCs/>
          <w:color w:val="000000" w:themeColor="text1"/>
          <w:sz w:val="28"/>
          <w:szCs w:val="28"/>
        </w:rPr>
        <w:t xml:space="preserve">Paris Alignment </w:t>
      </w:r>
    </w:p>
    <w:p w:rsidRPr="0025594B" w:rsidR="24958D28" w:rsidP="0025594B" w:rsidRDefault="0C34DB51" w14:paraId="2E0B0245" w14:textId="3C48885E">
      <w:pPr>
        <w:tabs>
          <w:tab w:val="right" w:leader="dot" w:pos="9710"/>
        </w:tabs>
        <w:contextualSpacing/>
        <w:jc w:val="both"/>
        <w:rPr>
          <w:rFonts w:eastAsia="Calibri" w:cs="Arial"/>
          <w:color w:val="000000" w:themeColor="text1"/>
          <w:sz w:val="20"/>
          <w:szCs w:val="20"/>
        </w:rPr>
      </w:pPr>
      <w:r w:rsidRPr="0025594B">
        <w:rPr>
          <w:rFonts w:eastAsia="Calibri" w:cs="Arial"/>
          <w:color w:val="000000" w:themeColor="text1"/>
          <w:sz w:val="20"/>
          <w:szCs w:val="20"/>
        </w:rPr>
        <w:t>It is not required to undertake Shadow Carbon Pricing because the price of carbon for the ERs generate</w:t>
      </w:r>
      <w:r w:rsidRPr="0025594B" w:rsidR="58AFE2B5">
        <w:rPr>
          <w:rFonts w:eastAsia="Calibri" w:cs="Arial"/>
          <w:color w:val="000000" w:themeColor="text1"/>
          <w:sz w:val="20"/>
          <w:szCs w:val="20"/>
        </w:rPr>
        <w:t>d</w:t>
      </w:r>
      <w:r w:rsidRPr="0025594B">
        <w:rPr>
          <w:rFonts w:eastAsia="Calibri" w:cs="Arial"/>
          <w:color w:val="000000" w:themeColor="text1"/>
          <w:sz w:val="20"/>
          <w:szCs w:val="20"/>
        </w:rPr>
        <w:t xml:space="preserve"> </w:t>
      </w:r>
      <w:r w:rsidRPr="0025594B" w:rsidR="7C46EFAB">
        <w:rPr>
          <w:rFonts w:eastAsia="Calibri" w:cs="Arial"/>
          <w:color w:val="000000" w:themeColor="text1"/>
          <w:sz w:val="20"/>
          <w:szCs w:val="20"/>
        </w:rPr>
        <w:t>through</w:t>
      </w:r>
      <w:r w:rsidRPr="0025594B">
        <w:rPr>
          <w:rFonts w:eastAsia="Calibri" w:cs="Arial"/>
          <w:color w:val="000000" w:themeColor="text1"/>
          <w:sz w:val="20"/>
          <w:szCs w:val="20"/>
        </w:rPr>
        <w:t xml:space="preserve"> REM is already part of the programme design</w:t>
      </w:r>
      <w:r w:rsidRPr="0025594B" w:rsidR="38596026">
        <w:rPr>
          <w:rFonts w:eastAsia="Calibri" w:cs="Arial"/>
          <w:color w:val="000000" w:themeColor="text1"/>
          <w:sz w:val="20"/>
          <w:szCs w:val="20"/>
        </w:rPr>
        <w:t xml:space="preserve"> and has been incorporated into the economic appraisal for the next phase of REM. </w:t>
      </w:r>
      <w:r w:rsidRPr="0025594B" w:rsidR="00056924">
        <w:rPr>
          <w:rFonts w:eastAsia="Calibri" w:cs="Arial"/>
          <w:color w:val="000000" w:themeColor="text1"/>
          <w:sz w:val="20"/>
          <w:szCs w:val="20"/>
        </w:rPr>
        <w:t xml:space="preserve">The </w:t>
      </w:r>
      <w:r w:rsidRPr="0025594B" w:rsidR="000A2AD4">
        <w:rPr>
          <w:rFonts w:eastAsia="Calibri" w:cs="Arial"/>
          <w:color w:val="000000" w:themeColor="text1"/>
          <w:sz w:val="20"/>
          <w:szCs w:val="20"/>
        </w:rPr>
        <w:t xml:space="preserve">cost-benefit ratio of the carbon pricing as it stands at 45 per tonne has been included in the Rem 2 Business Case and offers a good </w:t>
      </w:r>
      <w:r w:rsidRPr="0025594B" w:rsidR="00F477FF">
        <w:rPr>
          <w:rFonts w:eastAsia="Calibri" w:cs="Arial"/>
          <w:color w:val="000000" w:themeColor="text1"/>
          <w:sz w:val="20"/>
          <w:szCs w:val="20"/>
        </w:rPr>
        <w:t xml:space="preserve">benefit-cost ratio </w:t>
      </w:r>
      <w:r w:rsidRPr="0025594B" w:rsidR="00580FE4">
        <w:rPr>
          <w:rFonts w:eastAsia="Calibri" w:cs="Arial"/>
          <w:color w:val="000000" w:themeColor="text1"/>
          <w:sz w:val="20"/>
          <w:szCs w:val="20"/>
        </w:rPr>
        <w:t>of 26.95 at a minimum, showing good VfM for the activities undertaken by REM</w:t>
      </w:r>
      <w:r w:rsidRPr="0025594B" w:rsidR="0085588D">
        <w:rPr>
          <w:rFonts w:eastAsia="Calibri" w:cs="Arial"/>
          <w:color w:val="000000" w:themeColor="text1"/>
          <w:sz w:val="20"/>
          <w:szCs w:val="20"/>
        </w:rPr>
        <w:t xml:space="preserve">. See the Business Case for </w:t>
      </w:r>
      <w:r w:rsidRPr="0025594B" w:rsidR="001F0E7F">
        <w:rPr>
          <w:rFonts w:eastAsia="Calibri" w:cs="Arial"/>
          <w:color w:val="000000" w:themeColor="text1"/>
          <w:sz w:val="20"/>
          <w:szCs w:val="20"/>
        </w:rPr>
        <w:t>full analysis of VFM of REM 2, which is a good representation of the</w:t>
      </w:r>
      <w:r w:rsidRPr="0025594B" w:rsidR="00832647">
        <w:rPr>
          <w:rFonts w:eastAsia="Calibri" w:cs="Arial"/>
          <w:color w:val="000000" w:themeColor="text1"/>
          <w:sz w:val="20"/>
          <w:szCs w:val="20"/>
        </w:rPr>
        <w:t xml:space="preserve"> carbon pricing under REM 1. </w:t>
      </w:r>
    </w:p>
    <w:p w:rsidRPr="0025594B" w:rsidR="0006556E" w:rsidP="0025594B" w:rsidRDefault="0006556E" w14:paraId="6CF970FF" w14:textId="77777777">
      <w:pPr>
        <w:tabs>
          <w:tab w:val="right" w:leader="dot" w:pos="9710"/>
        </w:tabs>
        <w:contextualSpacing/>
        <w:jc w:val="both"/>
        <w:rPr>
          <w:rFonts w:eastAsia="Calibri" w:cs="Arial"/>
          <w:color w:val="000000" w:themeColor="text1"/>
          <w:sz w:val="20"/>
          <w:szCs w:val="20"/>
        </w:rPr>
      </w:pPr>
    </w:p>
    <w:p w:rsidRPr="0025594B" w:rsidR="00966935" w:rsidP="0025594B" w:rsidRDefault="0A2F5365" w14:paraId="185052AE" w14:textId="7A7C9DF1">
      <w:pPr>
        <w:tabs>
          <w:tab w:val="right" w:leader="dot" w:pos="9710"/>
        </w:tabs>
        <w:contextualSpacing/>
        <w:jc w:val="both"/>
        <w:rPr>
          <w:rFonts w:eastAsia="Calibri" w:cs="Arial"/>
          <w:color w:val="000000" w:themeColor="text1"/>
          <w:sz w:val="20"/>
          <w:szCs w:val="20"/>
        </w:rPr>
      </w:pPr>
      <w:r w:rsidRPr="0025594B">
        <w:rPr>
          <w:rFonts w:eastAsia="Calibri" w:cs="Arial"/>
          <w:color w:val="000000" w:themeColor="text1"/>
          <w:sz w:val="20"/>
          <w:szCs w:val="20"/>
        </w:rPr>
        <w:t>The programme</w:t>
      </w:r>
      <w:r w:rsidRPr="0025594B" w:rsidR="76C22611">
        <w:rPr>
          <w:rFonts w:eastAsia="Calibri" w:cs="Arial"/>
          <w:color w:val="000000" w:themeColor="text1"/>
          <w:sz w:val="20"/>
          <w:szCs w:val="20"/>
        </w:rPr>
        <w:t xml:space="preserve"> aligns with</w:t>
      </w:r>
      <w:r w:rsidRPr="0025594B">
        <w:rPr>
          <w:rFonts w:eastAsia="Calibri" w:cs="Arial"/>
          <w:color w:val="000000" w:themeColor="text1"/>
          <w:sz w:val="20"/>
          <w:szCs w:val="20"/>
        </w:rPr>
        <w:t xml:space="preserve"> HMG’s fossil fuel policy, nor does </w:t>
      </w:r>
      <w:r w:rsidRPr="0025594B" w:rsidR="4D30E5A1">
        <w:rPr>
          <w:rFonts w:eastAsia="Calibri" w:cs="Arial"/>
          <w:color w:val="000000" w:themeColor="text1"/>
          <w:sz w:val="20"/>
          <w:szCs w:val="20"/>
        </w:rPr>
        <w:t>run counter to</w:t>
      </w:r>
      <w:r w:rsidRPr="0025594B">
        <w:rPr>
          <w:rFonts w:eastAsia="Calibri" w:cs="Arial"/>
          <w:color w:val="000000" w:themeColor="text1"/>
          <w:sz w:val="20"/>
          <w:szCs w:val="20"/>
        </w:rPr>
        <w:t xml:space="preserve"> partner countries own clima</w:t>
      </w:r>
      <w:r w:rsidRPr="0025594B" w:rsidR="75886EA4">
        <w:rPr>
          <w:rFonts w:eastAsia="Calibri" w:cs="Arial"/>
          <w:color w:val="000000" w:themeColor="text1"/>
          <w:sz w:val="20"/>
          <w:szCs w:val="20"/>
        </w:rPr>
        <w:t xml:space="preserve">te plans. It </w:t>
      </w:r>
      <w:r w:rsidRPr="0025594B" w:rsidR="2CE5D3ED">
        <w:rPr>
          <w:rFonts w:eastAsia="Calibri" w:cs="Arial"/>
          <w:color w:val="000000" w:themeColor="text1"/>
          <w:sz w:val="20"/>
          <w:szCs w:val="20"/>
        </w:rPr>
        <w:t xml:space="preserve">actively looks to support countries to meet their NDCs and climate targets as </w:t>
      </w:r>
      <w:r w:rsidRPr="0025594B" w:rsidR="6987EE70">
        <w:rPr>
          <w:rFonts w:eastAsia="Calibri" w:cs="Arial"/>
          <w:color w:val="000000" w:themeColor="text1"/>
          <w:sz w:val="20"/>
          <w:szCs w:val="20"/>
        </w:rPr>
        <w:t xml:space="preserve">ERs purchased by donor countries are retired, not used for </w:t>
      </w:r>
      <w:r w:rsidRPr="0025594B" w:rsidR="33EF0E2A">
        <w:rPr>
          <w:rFonts w:eastAsia="Calibri" w:cs="Arial"/>
          <w:color w:val="000000" w:themeColor="text1"/>
          <w:sz w:val="20"/>
          <w:szCs w:val="20"/>
        </w:rPr>
        <w:t xml:space="preserve">international </w:t>
      </w:r>
      <w:r w:rsidRPr="0025594B" w:rsidR="6987EE70">
        <w:rPr>
          <w:rFonts w:eastAsia="Calibri" w:cs="Arial"/>
          <w:color w:val="000000" w:themeColor="text1"/>
          <w:sz w:val="20"/>
          <w:szCs w:val="20"/>
        </w:rPr>
        <w:t xml:space="preserve">offsets and </w:t>
      </w:r>
      <w:r w:rsidRPr="0025594B" w:rsidR="57E5CB53">
        <w:rPr>
          <w:rFonts w:eastAsia="Calibri" w:cs="Arial"/>
          <w:color w:val="000000" w:themeColor="text1"/>
          <w:sz w:val="20"/>
          <w:szCs w:val="20"/>
        </w:rPr>
        <w:t>a</w:t>
      </w:r>
      <w:r w:rsidRPr="0025594B" w:rsidR="6987EE70">
        <w:rPr>
          <w:rFonts w:eastAsia="Calibri" w:cs="Arial"/>
          <w:color w:val="000000" w:themeColor="text1"/>
          <w:sz w:val="20"/>
          <w:szCs w:val="20"/>
        </w:rPr>
        <w:t xml:space="preserve">re to be used against the countries’ </w:t>
      </w:r>
      <w:r w:rsidRPr="0025594B" w:rsidR="07BFBC12">
        <w:rPr>
          <w:rFonts w:eastAsia="Calibri" w:cs="Arial"/>
          <w:color w:val="000000" w:themeColor="text1"/>
          <w:sz w:val="20"/>
          <w:szCs w:val="20"/>
        </w:rPr>
        <w:t xml:space="preserve">own </w:t>
      </w:r>
      <w:r w:rsidRPr="0025594B" w:rsidR="6987EE70">
        <w:rPr>
          <w:rFonts w:eastAsia="Calibri" w:cs="Arial"/>
          <w:color w:val="000000" w:themeColor="text1"/>
          <w:sz w:val="20"/>
          <w:szCs w:val="20"/>
        </w:rPr>
        <w:t xml:space="preserve">national registries. </w:t>
      </w:r>
      <w:r w:rsidRPr="0025594B" w:rsidR="7A6472F0">
        <w:rPr>
          <w:rFonts w:eastAsia="Calibri" w:cs="Arial"/>
          <w:color w:val="000000" w:themeColor="text1"/>
          <w:sz w:val="20"/>
          <w:szCs w:val="20"/>
        </w:rPr>
        <w:t>A climate and risk assessment has been completed for REM 2 w</w:t>
      </w:r>
      <w:r w:rsidRPr="0025594B" w:rsidR="258C37A2">
        <w:rPr>
          <w:rFonts w:eastAsia="Calibri" w:cs="Arial"/>
          <w:color w:val="000000" w:themeColor="text1"/>
          <w:sz w:val="20"/>
          <w:szCs w:val="20"/>
        </w:rPr>
        <w:t xml:space="preserve">hich ensures that the programme is in line </w:t>
      </w:r>
      <w:r w:rsidRPr="0025594B" w:rsidR="2579FE8E">
        <w:rPr>
          <w:rFonts w:eastAsia="Calibri" w:cs="Arial"/>
          <w:color w:val="000000" w:themeColor="text1"/>
          <w:sz w:val="20"/>
          <w:szCs w:val="20"/>
        </w:rPr>
        <w:t xml:space="preserve">and </w:t>
      </w:r>
      <w:r w:rsidRPr="0025594B" w:rsidR="777954AF">
        <w:rPr>
          <w:rFonts w:eastAsia="Calibri" w:cs="Arial"/>
          <w:color w:val="000000" w:themeColor="text1"/>
          <w:sz w:val="20"/>
          <w:szCs w:val="20"/>
        </w:rPr>
        <w:t>sufficiently</w:t>
      </w:r>
      <w:r w:rsidRPr="0025594B" w:rsidR="2579FE8E">
        <w:rPr>
          <w:rFonts w:eastAsia="Calibri" w:cs="Arial"/>
          <w:color w:val="000000" w:themeColor="text1"/>
          <w:sz w:val="20"/>
          <w:szCs w:val="20"/>
        </w:rPr>
        <w:t xml:space="preserve"> monitored </w:t>
      </w:r>
      <w:r w:rsidRPr="0025594B" w:rsidR="777954AF">
        <w:rPr>
          <w:rFonts w:eastAsia="Calibri" w:cs="Arial"/>
          <w:color w:val="000000" w:themeColor="text1"/>
          <w:sz w:val="20"/>
          <w:szCs w:val="20"/>
        </w:rPr>
        <w:t xml:space="preserve">against environmental and climate damage risks: </w:t>
      </w:r>
      <w:hyperlink r:id="rId26">
        <w:r w:rsidRPr="0025594B" w:rsidR="258C37A2">
          <w:rPr>
            <w:rStyle w:val="Hyperlink"/>
            <w:rFonts w:eastAsia="Calibri" w:cs="Arial"/>
            <w:sz w:val="20"/>
            <w:szCs w:val="20"/>
          </w:rPr>
          <w:t xml:space="preserve">Climate Risk Assessment REM 2. </w:t>
        </w:r>
      </w:hyperlink>
      <w:r w:rsidRPr="0025594B" w:rsidR="258C37A2">
        <w:rPr>
          <w:rFonts w:eastAsia="Calibri" w:cs="Arial"/>
          <w:color w:val="000000" w:themeColor="text1"/>
          <w:sz w:val="20"/>
          <w:szCs w:val="20"/>
        </w:rPr>
        <w:t xml:space="preserve"> </w:t>
      </w:r>
    </w:p>
    <w:p w:rsidRPr="0025594B" w:rsidR="3F76CE01" w:rsidP="0025594B" w:rsidRDefault="3F76CE01" w14:paraId="4F23DEC2" w14:textId="5FF09D6E">
      <w:pPr>
        <w:tabs>
          <w:tab w:val="right" w:leader="dot" w:pos="9710"/>
        </w:tabs>
        <w:contextualSpacing/>
        <w:jc w:val="both"/>
        <w:rPr>
          <w:rFonts w:eastAsia="Calibri" w:cs="Arial"/>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8"/>
        <w:gridCol w:w="4508"/>
      </w:tblGrid>
      <w:tr w:rsidRPr="00E2696D" w:rsidR="24958D28" w:rsidTr="24958D28" w14:paraId="36D3E058"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3A09DD08" w14:textId="578BBF12">
            <w:pPr>
              <w:spacing w:line="276" w:lineRule="auto"/>
              <w:rPr>
                <w:rFonts w:eastAsia="Arial" w:cs="Arial"/>
                <w:color w:val="212121"/>
                <w:sz w:val="20"/>
                <w:szCs w:val="20"/>
              </w:rPr>
            </w:pPr>
            <w:r w:rsidRPr="00E2696D">
              <w:rPr>
                <w:rFonts w:eastAsia="Arial" w:cs="Arial"/>
                <w:b/>
                <w:bCs/>
                <w:color w:val="212121"/>
                <w:sz w:val="20"/>
                <w:szCs w:val="20"/>
              </w:rPr>
              <w:t>Paris alignment pillar</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5BAE3890" w14:textId="4ABF44DD">
            <w:pPr>
              <w:spacing w:line="276" w:lineRule="auto"/>
              <w:rPr>
                <w:rFonts w:eastAsia="Arial" w:cs="Arial"/>
                <w:color w:val="212121"/>
                <w:sz w:val="20"/>
                <w:szCs w:val="20"/>
              </w:rPr>
            </w:pPr>
            <w:r w:rsidRPr="00E2696D">
              <w:rPr>
                <w:rFonts w:eastAsia="Arial" w:cs="Arial"/>
                <w:b/>
                <w:bCs/>
                <w:color w:val="212121"/>
                <w:sz w:val="20"/>
                <w:szCs w:val="20"/>
              </w:rPr>
              <w:t>Description of activity</w:t>
            </w:r>
          </w:p>
        </w:tc>
      </w:tr>
      <w:tr w:rsidRPr="00E2696D" w:rsidR="24958D28" w:rsidTr="24958D28" w14:paraId="74634EF1"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74026F1A" w14:textId="628C2CE7">
            <w:pPr>
              <w:spacing w:line="276" w:lineRule="auto"/>
              <w:rPr>
                <w:rFonts w:eastAsia="Arial" w:cs="Arial"/>
                <w:color w:val="212121"/>
                <w:sz w:val="20"/>
                <w:szCs w:val="20"/>
              </w:rPr>
            </w:pPr>
            <w:r w:rsidRPr="00E2696D">
              <w:rPr>
                <w:rFonts w:eastAsia="Arial" w:cs="Arial"/>
                <w:color w:val="212121"/>
                <w:sz w:val="20"/>
                <w:szCs w:val="20"/>
              </w:rPr>
              <w:t>How have you taken a proportional approach to climate and environment risk assurance?</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003C0032" w14:paraId="206AEC96" w14:textId="62EEC2E2">
            <w:pPr>
              <w:spacing w:line="276" w:lineRule="auto"/>
              <w:rPr>
                <w:rFonts w:eastAsia="Arial" w:cs="Arial"/>
                <w:color w:val="212121"/>
                <w:sz w:val="20"/>
                <w:szCs w:val="20"/>
              </w:rPr>
            </w:pPr>
            <w:r w:rsidRPr="00E2696D">
              <w:rPr>
                <w:rFonts w:eastAsia="Arial" w:cs="Arial"/>
                <w:color w:val="212121"/>
                <w:sz w:val="20"/>
                <w:szCs w:val="20"/>
              </w:rPr>
              <w:t xml:space="preserve">Yes, this has been completed as part of the REM 2 Business </w:t>
            </w:r>
            <w:r w:rsidRPr="00E2696D" w:rsidR="003D47B6">
              <w:rPr>
                <w:rFonts w:eastAsia="Arial" w:cs="Arial"/>
                <w:color w:val="212121"/>
                <w:sz w:val="20"/>
                <w:szCs w:val="20"/>
              </w:rPr>
              <w:t>Case</w:t>
            </w:r>
            <w:r w:rsidRPr="00E2696D" w:rsidR="00C622B2">
              <w:rPr>
                <w:rFonts w:eastAsia="Arial" w:cs="Arial"/>
                <w:color w:val="212121"/>
                <w:sz w:val="20"/>
                <w:szCs w:val="20"/>
              </w:rPr>
              <w:t xml:space="preserve"> as set out </w:t>
            </w:r>
            <w:r w:rsidRPr="00E2696D" w:rsidR="001E7041">
              <w:rPr>
                <w:rFonts w:eastAsia="Arial" w:cs="Arial"/>
                <w:color w:val="212121"/>
                <w:sz w:val="20"/>
                <w:szCs w:val="20"/>
              </w:rPr>
              <w:t>above</w:t>
            </w:r>
          </w:p>
        </w:tc>
      </w:tr>
      <w:tr w:rsidRPr="00E2696D" w:rsidR="24958D28" w:rsidTr="24958D28" w14:paraId="24F160CD"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37F94F6E" w14:textId="4E36E106">
            <w:pPr>
              <w:spacing w:line="276" w:lineRule="auto"/>
              <w:rPr>
                <w:rFonts w:eastAsia="Arial" w:cs="Arial"/>
                <w:color w:val="212121"/>
                <w:sz w:val="20"/>
                <w:szCs w:val="20"/>
              </w:rPr>
            </w:pPr>
            <w:r w:rsidRPr="00E2696D">
              <w:rPr>
                <w:rFonts w:eastAsia="Arial" w:cs="Arial"/>
                <w:color w:val="212121"/>
                <w:sz w:val="20"/>
                <w:szCs w:val="20"/>
              </w:rPr>
              <w:t>How have you taken a proportional approach to using shadow carbon pricing?</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1043457E" w14:textId="1EB228B7">
            <w:pPr>
              <w:spacing w:line="276" w:lineRule="auto"/>
              <w:rPr>
                <w:rFonts w:eastAsia="Arial" w:cs="Arial"/>
                <w:color w:val="212121"/>
                <w:sz w:val="20"/>
                <w:szCs w:val="20"/>
              </w:rPr>
            </w:pPr>
            <w:r w:rsidRPr="00E2696D">
              <w:rPr>
                <w:rFonts w:eastAsia="Arial" w:cs="Arial"/>
                <w:color w:val="212121"/>
                <w:sz w:val="20"/>
                <w:szCs w:val="20"/>
              </w:rPr>
              <w:t xml:space="preserve"> </w:t>
            </w:r>
            <w:r w:rsidRPr="00E2696D" w:rsidR="00C622B2">
              <w:rPr>
                <w:rFonts w:eastAsia="Arial" w:cs="Arial"/>
                <w:color w:val="212121"/>
                <w:sz w:val="20"/>
                <w:szCs w:val="20"/>
              </w:rPr>
              <w:t>N/A</w:t>
            </w:r>
          </w:p>
        </w:tc>
      </w:tr>
      <w:tr w:rsidRPr="00E2696D" w:rsidR="24958D28" w:rsidTr="24958D28" w14:paraId="3A0589D5"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51F4163E" w14:textId="6044FA6D">
            <w:pPr>
              <w:spacing w:line="276" w:lineRule="auto"/>
              <w:rPr>
                <w:rFonts w:eastAsia="Arial" w:cs="Arial"/>
                <w:color w:val="212121"/>
                <w:sz w:val="20"/>
                <w:szCs w:val="20"/>
              </w:rPr>
            </w:pPr>
            <w:r w:rsidRPr="00E2696D">
              <w:rPr>
                <w:rFonts w:eastAsia="Arial" w:cs="Arial"/>
                <w:color w:val="212121"/>
                <w:sz w:val="20"/>
                <w:szCs w:val="20"/>
              </w:rPr>
              <w:t>Does the programme adhere to HMG’s fossil fuel policy?</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00C622B2" w14:paraId="4D99C99B" w14:textId="75179242">
            <w:pPr>
              <w:spacing w:line="276" w:lineRule="auto"/>
              <w:rPr>
                <w:rFonts w:eastAsia="Arial" w:cs="Arial"/>
                <w:color w:val="212121"/>
                <w:sz w:val="20"/>
                <w:szCs w:val="20"/>
              </w:rPr>
            </w:pPr>
            <w:r w:rsidRPr="00E2696D">
              <w:rPr>
                <w:rFonts w:eastAsia="Arial" w:cs="Arial"/>
                <w:color w:val="212121"/>
                <w:sz w:val="20"/>
                <w:szCs w:val="20"/>
              </w:rPr>
              <w:t>Yes</w:t>
            </w:r>
          </w:p>
        </w:tc>
      </w:tr>
      <w:tr w:rsidRPr="00E2696D" w:rsidR="24958D28" w:rsidTr="24958D28" w14:paraId="5AFB0C88"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24958D28" w14:paraId="046BB519" w14:textId="0AF09318">
            <w:pPr>
              <w:spacing w:line="276" w:lineRule="auto"/>
              <w:rPr>
                <w:rFonts w:eastAsia="Arial" w:cs="Arial"/>
                <w:color w:val="212121"/>
                <w:sz w:val="20"/>
                <w:szCs w:val="20"/>
              </w:rPr>
            </w:pPr>
            <w:r w:rsidRPr="00E2696D">
              <w:rPr>
                <w:rFonts w:eastAsia="Arial" w:cs="Arial"/>
                <w:color w:val="212121"/>
                <w:sz w:val="20"/>
                <w:szCs w:val="20"/>
              </w:rPr>
              <w:t>Are you ensuring the programme does not undermine impacted countries climate plans?</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E2696D" w:rsidR="24958D28" w:rsidP="24958D28" w:rsidRDefault="00C622B2" w14:paraId="6B3574C7" w14:textId="044753F0">
            <w:pPr>
              <w:spacing w:line="276" w:lineRule="auto"/>
              <w:rPr>
                <w:rFonts w:eastAsia="Calibri" w:cs="Arial"/>
                <w:color w:val="212121"/>
                <w:sz w:val="20"/>
                <w:szCs w:val="20"/>
              </w:rPr>
            </w:pPr>
            <w:r w:rsidRPr="00E2696D">
              <w:rPr>
                <w:rFonts w:eastAsia="Calibri" w:cs="Arial"/>
                <w:color w:val="212121"/>
                <w:sz w:val="20"/>
                <w:szCs w:val="20"/>
              </w:rPr>
              <w:t xml:space="preserve">It actively supports them. </w:t>
            </w:r>
          </w:p>
        </w:tc>
      </w:tr>
    </w:tbl>
    <w:p w:rsidR="24958D28" w:rsidP="24958D28" w:rsidRDefault="24958D28" w14:paraId="54553C26" w14:textId="50981ECF">
      <w:pPr>
        <w:jc w:val="both"/>
        <w:rPr>
          <w:rFonts w:cs="Arial"/>
          <w:sz w:val="22"/>
          <w:szCs w:val="22"/>
        </w:rPr>
      </w:pPr>
    </w:p>
    <w:p w:rsidR="24958D28" w:rsidP="24958D28" w:rsidRDefault="24958D28" w14:paraId="31875769" w14:textId="07D42045">
      <w:pPr>
        <w:jc w:val="both"/>
        <w:rPr>
          <w:rFonts w:cs="Arial"/>
          <w:sz w:val="22"/>
          <w:szCs w:val="22"/>
        </w:rPr>
      </w:pPr>
    </w:p>
    <w:tbl>
      <w:tblPr>
        <w:tblStyle w:val="TableGrid"/>
        <w:tblW w:w="9072" w:type="dxa"/>
        <w:tblInd w:w="-5" w:type="dxa"/>
        <w:tblLook w:val="04A0" w:firstRow="1" w:lastRow="0" w:firstColumn="1" w:lastColumn="0" w:noHBand="0" w:noVBand="1"/>
      </w:tblPr>
      <w:tblGrid>
        <w:gridCol w:w="4508"/>
        <w:gridCol w:w="4564"/>
      </w:tblGrid>
      <w:tr w:rsidRPr="00D80C6C" w:rsidR="00D171FA" w:rsidTr="000720C2" w14:paraId="237FE329"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92E94" w:rsidR="003D222C" w:rsidP="004D5FD5" w:rsidRDefault="003D222C" w14:paraId="31FF5132" w14:textId="77777777">
            <w:pPr>
              <w:jc w:val="both"/>
              <w:rPr>
                <w:rFonts w:cs="Arial"/>
                <w:sz w:val="20"/>
                <w:szCs w:val="20"/>
              </w:rPr>
            </w:pPr>
            <w:r w:rsidRPr="00D92E94">
              <w:rPr>
                <w:rFonts w:cs="Arial"/>
                <w:sz w:val="20"/>
                <w:szCs w:val="20"/>
              </w:rPr>
              <w:t>Date of last narrative financial report</w:t>
            </w:r>
          </w:p>
        </w:tc>
        <w:tc>
          <w:tcPr>
            <w:tcW w:w="4564" w:type="dxa"/>
            <w:tcBorders>
              <w:top w:val="single" w:color="auto" w:sz="4" w:space="0"/>
              <w:left w:val="single" w:color="auto" w:sz="4" w:space="0"/>
              <w:bottom w:val="single" w:color="auto" w:sz="4" w:space="0"/>
              <w:right w:val="single" w:color="auto" w:sz="4" w:space="0"/>
            </w:tcBorders>
          </w:tcPr>
          <w:p w:rsidRPr="00E70725" w:rsidR="003D222C" w:rsidP="004D5FD5" w:rsidRDefault="00C622B2" w14:paraId="134E6AFF" w14:textId="09035A84">
            <w:pPr>
              <w:jc w:val="both"/>
              <w:rPr>
                <w:rFonts w:cs="Arial"/>
                <w:sz w:val="20"/>
                <w:szCs w:val="20"/>
              </w:rPr>
            </w:pPr>
            <w:r w:rsidRPr="00E70725">
              <w:rPr>
                <w:rFonts w:cs="Arial"/>
                <w:sz w:val="20"/>
                <w:szCs w:val="20"/>
              </w:rPr>
              <w:t xml:space="preserve">Acre: </w:t>
            </w:r>
            <w:r w:rsidRPr="00E70725" w:rsidR="00E70725">
              <w:rPr>
                <w:rFonts w:cs="Arial"/>
                <w:sz w:val="20"/>
                <w:szCs w:val="20"/>
              </w:rPr>
              <w:t>August 2024</w:t>
            </w:r>
          </w:p>
          <w:p w:rsidRPr="00E70725" w:rsidR="00C622B2" w:rsidP="004D5FD5" w:rsidRDefault="00C622B2" w14:paraId="6D34A1A3" w14:textId="40B9C5FB">
            <w:pPr>
              <w:jc w:val="both"/>
              <w:rPr>
                <w:rFonts w:cs="Arial"/>
                <w:sz w:val="20"/>
                <w:szCs w:val="20"/>
              </w:rPr>
            </w:pPr>
            <w:r w:rsidRPr="00E70725">
              <w:rPr>
                <w:rFonts w:cs="Arial"/>
                <w:sz w:val="20"/>
                <w:szCs w:val="20"/>
              </w:rPr>
              <w:t xml:space="preserve">Colombia: </w:t>
            </w:r>
            <w:r w:rsidRPr="00E70725" w:rsidR="00FE0922">
              <w:rPr>
                <w:rFonts w:cs="Arial"/>
                <w:sz w:val="20"/>
                <w:szCs w:val="20"/>
              </w:rPr>
              <w:t>September 2024, with final report expected in May 2025 for REM 1.</w:t>
            </w:r>
          </w:p>
          <w:p w:rsidRPr="00E70725" w:rsidR="003D222C" w:rsidP="004D5FD5" w:rsidRDefault="00C622B2" w14:paraId="2ADAB5DF" w14:textId="0AA215DB">
            <w:pPr>
              <w:jc w:val="both"/>
              <w:rPr>
                <w:rFonts w:cs="Arial"/>
                <w:sz w:val="20"/>
                <w:szCs w:val="20"/>
              </w:rPr>
            </w:pPr>
            <w:r w:rsidRPr="00E70725">
              <w:rPr>
                <w:rFonts w:cs="Arial"/>
                <w:sz w:val="20"/>
                <w:szCs w:val="20"/>
              </w:rPr>
              <w:t xml:space="preserve">Mato Grosso: </w:t>
            </w:r>
            <w:r w:rsidRPr="00E70725" w:rsidR="00FE0922">
              <w:rPr>
                <w:rFonts w:cs="Arial"/>
                <w:sz w:val="20"/>
                <w:szCs w:val="20"/>
              </w:rPr>
              <w:t>September 2024</w:t>
            </w:r>
          </w:p>
        </w:tc>
      </w:tr>
      <w:tr w:rsidRPr="00D80C6C" w:rsidR="00D171FA" w:rsidTr="00D92E94" w14:paraId="1FE89B21" w14:textId="77777777">
        <w:trPr>
          <w:trHeight w:val="303"/>
        </w:trPr>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92E94" w:rsidR="003D222C" w:rsidP="004D5FD5" w:rsidRDefault="003D222C" w14:paraId="7C3A69BE" w14:textId="77777777">
            <w:pPr>
              <w:jc w:val="both"/>
              <w:rPr>
                <w:rFonts w:cs="Arial"/>
                <w:sz w:val="20"/>
                <w:szCs w:val="20"/>
              </w:rPr>
            </w:pPr>
            <w:r w:rsidRPr="00D92E94">
              <w:rPr>
                <w:rFonts w:cs="Arial"/>
                <w:sz w:val="20"/>
                <w:szCs w:val="20"/>
              </w:rPr>
              <w:t>Date of last audited annual statement</w:t>
            </w:r>
          </w:p>
        </w:tc>
        <w:tc>
          <w:tcPr>
            <w:tcW w:w="4564" w:type="dxa"/>
            <w:tcBorders>
              <w:top w:val="single" w:color="auto" w:sz="4" w:space="0"/>
              <w:left w:val="single" w:color="auto" w:sz="4" w:space="0"/>
              <w:bottom w:val="single" w:color="auto" w:sz="4" w:space="0"/>
              <w:right w:val="single" w:color="auto" w:sz="4" w:space="0"/>
            </w:tcBorders>
          </w:tcPr>
          <w:p w:rsidRPr="00E70725" w:rsidR="003D222C" w:rsidP="004D5FD5" w:rsidRDefault="00622561" w14:paraId="75018C5C" w14:textId="12B682E1">
            <w:pPr>
              <w:jc w:val="both"/>
              <w:rPr>
                <w:rFonts w:cs="Arial"/>
                <w:sz w:val="20"/>
                <w:szCs w:val="20"/>
              </w:rPr>
            </w:pPr>
            <w:r w:rsidRPr="00E70725">
              <w:rPr>
                <w:rFonts w:cs="Arial"/>
                <w:sz w:val="20"/>
                <w:szCs w:val="20"/>
              </w:rPr>
              <w:t xml:space="preserve">Acre: </w:t>
            </w:r>
            <w:r w:rsidRPr="00E70725" w:rsidR="00E70725">
              <w:rPr>
                <w:rFonts w:cs="Arial"/>
                <w:sz w:val="20"/>
                <w:szCs w:val="20"/>
              </w:rPr>
              <w:t>August 2024</w:t>
            </w:r>
          </w:p>
          <w:p w:rsidRPr="00E70725" w:rsidR="00622561" w:rsidP="004D5FD5" w:rsidRDefault="00622561" w14:paraId="53ADA44A" w14:textId="33896DF1">
            <w:pPr>
              <w:jc w:val="both"/>
              <w:rPr>
                <w:rFonts w:cs="Arial"/>
                <w:sz w:val="20"/>
                <w:szCs w:val="20"/>
              </w:rPr>
            </w:pPr>
            <w:r w:rsidRPr="00E70725">
              <w:rPr>
                <w:rFonts w:cs="Arial"/>
                <w:sz w:val="20"/>
                <w:szCs w:val="20"/>
              </w:rPr>
              <w:t xml:space="preserve">Colombia: </w:t>
            </w:r>
            <w:r w:rsidRPr="00E70725" w:rsidR="00E70725">
              <w:rPr>
                <w:rFonts w:cs="Arial"/>
                <w:sz w:val="20"/>
                <w:szCs w:val="20"/>
              </w:rPr>
              <w:t>2024</w:t>
            </w:r>
          </w:p>
          <w:p w:rsidRPr="00E70725" w:rsidR="00622561" w:rsidP="004D5FD5" w:rsidRDefault="00622561" w14:paraId="67F793A9" w14:textId="7F48657F">
            <w:pPr>
              <w:jc w:val="both"/>
              <w:rPr>
                <w:rFonts w:cs="Arial"/>
                <w:sz w:val="20"/>
                <w:szCs w:val="20"/>
              </w:rPr>
            </w:pPr>
            <w:r w:rsidRPr="00E70725">
              <w:rPr>
                <w:rFonts w:cs="Arial"/>
                <w:sz w:val="20"/>
                <w:szCs w:val="20"/>
              </w:rPr>
              <w:t>Mato Grosso: September 202</w:t>
            </w:r>
            <w:r w:rsidRPr="00E70725" w:rsidR="00E70725">
              <w:rPr>
                <w:rFonts w:cs="Arial"/>
                <w:sz w:val="20"/>
                <w:szCs w:val="20"/>
              </w:rPr>
              <w:t>4</w:t>
            </w:r>
          </w:p>
        </w:tc>
      </w:tr>
    </w:tbl>
    <w:p w:rsidR="22BDBAFC" w:rsidP="20342F90" w:rsidRDefault="22BDBAFC" w14:paraId="351B1459" w14:textId="5A032D84">
      <w:pPr>
        <w:jc w:val="both"/>
        <w:rPr>
          <w:rFonts w:cs="Arial"/>
          <w:sz w:val="22"/>
          <w:szCs w:val="22"/>
        </w:rPr>
      </w:pPr>
    </w:p>
    <w:sectPr w:rsidR="22BDBAFC" w:rsidSect="00D354FA">
      <w:headerReference w:type="default" r:id="rId27"/>
      <w:footerReference w:type="default" r:id="rId28"/>
      <w:headerReference w:type="first" r:id="rId29"/>
      <w:footerReference w:type="first" r:id="rId30"/>
      <w:pgSz w:w="11906" w:h="16838" w:orient="portrait"/>
      <w:pgMar w:top="709" w:right="1440" w:bottom="709" w:left="1440"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B6C" w:rsidP="003D222C" w:rsidRDefault="00004B6C" w14:paraId="0272806F" w14:textId="77777777">
      <w:r>
        <w:separator/>
      </w:r>
    </w:p>
  </w:endnote>
  <w:endnote w:type="continuationSeparator" w:id="0">
    <w:p w:rsidR="00004B6C" w:rsidP="003D222C" w:rsidRDefault="00004B6C" w14:paraId="460E31AB" w14:textId="77777777">
      <w:r>
        <w:continuationSeparator/>
      </w:r>
    </w:p>
  </w:endnote>
  <w:endnote w:type="continuationNotice" w:id="1">
    <w:p w:rsidR="00004B6C" w:rsidRDefault="00004B6C" w14:paraId="3AE5C0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rsidR="00920D19" w:rsidRDefault="00920D19" w14:paraId="6505D46B" w14:textId="26A3B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0D19" w:rsidRDefault="00920D19" w14:paraId="1D872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217" w:rsidRDefault="00E2696D" w14:paraId="4E83EFA8" w14:textId="628551BE">
    <w:pPr>
      <w:pStyle w:val="Footer"/>
    </w:pPr>
    <w: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B6C" w:rsidP="003D222C" w:rsidRDefault="00004B6C" w14:paraId="3F8E94E4" w14:textId="77777777">
      <w:r>
        <w:separator/>
      </w:r>
    </w:p>
  </w:footnote>
  <w:footnote w:type="continuationSeparator" w:id="0">
    <w:p w:rsidR="00004B6C" w:rsidP="003D222C" w:rsidRDefault="00004B6C" w14:paraId="0D76295F" w14:textId="77777777">
      <w:r>
        <w:continuationSeparator/>
      </w:r>
    </w:p>
  </w:footnote>
  <w:footnote w:type="continuationNotice" w:id="1">
    <w:p w:rsidR="00004B6C" w:rsidRDefault="00004B6C" w14:paraId="5A7D88B1" w14:textId="77777777"/>
  </w:footnote>
  <w:footnote w:id="2">
    <w:p w:rsidRPr="00AF0BC9" w:rsidR="00AF0BC9" w:rsidRDefault="00AF0BC9" w14:paraId="47627D2F" w14:textId="0AF7B0B9">
      <w:pPr>
        <w:pStyle w:val="FootnoteText"/>
        <w:rPr>
          <w:rFonts w:ascii="Arial" w:hAnsi="Arial" w:cs="Arial"/>
          <w:sz w:val="16"/>
          <w:szCs w:val="16"/>
        </w:rPr>
      </w:pPr>
      <w:r w:rsidRPr="00AF0BC9">
        <w:rPr>
          <w:rStyle w:val="FootnoteReference"/>
          <w:rFonts w:ascii="Arial" w:hAnsi="Arial" w:cs="Arial"/>
          <w:sz w:val="16"/>
          <w:szCs w:val="16"/>
        </w:rPr>
        <w:footnoteRef/>
      </w:r>
      <w:r w:rsidRPr="00AF0BC9">
        <w:rPr>
          <w:rFonts w:ascii="Arial" w:hAnsi="Arial" w:cs="Arial"/>
          <w:sz w:val="16"/>
          <w:szCs w:val="16"/>
        </w:rPr>
        <w:t xml:space="preserve"> Ecuador Phase 1 is funded by Germany and Norway. </w:t>
      </w:r>
    </w:p>
  </w:footnote>
  <w:footnote w:id="3">
    <w:p w:rsidRPr="00043002" w:rsidR="6D6666F9" w:rsidP="6D6666F9" w:rsidRDefault="6D6666F9" w14:paraId="7E31D6C2" w14:textId="0F081E2D">
      <w:pPr>
        <w:pStyle w:val="FootnoteText"/>
      </w:pPr>
      <w:r w:rsidRPr="00857149">
        <w:rPr>
          <w:rStyle w:val="FootnoteReference"/>
          <w:rFonts w:ascii="Arial" w:hAnsi="Arial" w:cs="Arial"/>
          <w:sz w:val="16"/>
          <w:szCs w:val="16"/>
        </w:rPr>
        <w:footnoteRef/>
      </w:r>
      <w:r w:rsidRPr="00857149" w:rsidR="7B264810">
        <w:rPr>
          <w:rFonts w:ascii="Arial" w:hAnsi="Arial" w:cs="Arial"/>
          <w:sz w:val="16"/>
          <w:szCs w:val="16"/>
        </w:rPr>
        <w:t xml:space="preserve"> </w:t>
      </w:r>
      <w:r w:rsidRPr="009E4111" w:rsidR="009E4111">
        <w:rPr>
          <w:rFonts w:ascii="Arial" w:hAnsi="Arial" w:cs="Arial"/>
          <w:sz w:val="16"/>
          <w:szCs w:val="16"/>
        </w:rPr>
        <w:t>https://terrabrasilis.dpi.inpe.br/app/dashboard/deforestation/biomes/legal_amazon/increments</w:t>
      </w:r>
      <w:r w:rsidR="7B264810">
        <w:fldChar w:fldCharType="begin"/>
      </w:r>
      <w:r w:rsidR="7B264810">
        <w:instrText>"</w:instrText>
      </w:r>
      <w:r w:rsidR="00043002">
        <w:instrText xml:space="preserve"> </w:instrText>
      </w:r>
      <w:r w:rsidR="7B264810">
        <w:instrText>https://terrabrasilis.dpi.inpe.br/app/dashboard/deforestation/biomes/legal_amazon/increments" \h</w:instrText>
      </w:r>
      <w:r w:rsidR="7B264810">
        <w:fldChar w:fldCharType="separate"/>
      </w:r>
      <w:r w:rsidRPr="00857149" w:rsidR="7B264810">
        <w:rPr>
          <w:rStyle w:val="Hyperlink"/>
          <w:rFonts w:ascii="Arial" w:hAnsi="Arial" w:cs="Arial"/>
          <w:sz w:val="16"/>
          <w:szCs w:val="16"/>
        </w:rPr>
        <w:t>https://terrabrasilis.dpi.inpe.br/app/dashboard/deforestation/biomes/legal_amazon/increments</w:t>
      </w:r>
      <w:r w:rsidR="7B264810">
        <w:fldChar w:fldCharType="end"/>
      </w:r>
      <w:r w:rsidRPr="00857149" w:rsidR="7B264810">
        <w:rPr>
          <w:rFonts w:ascii="Arial" w:hAnsi="Arial" w:cs="Arial"/>
          <w:sz w:val="16"/>
          <w:szCs w:val="16"/>
        </w:rPr>
        <w:t>. Lowest rates were in 2011: 5, 700km2, 2012: 4,400km2, 2013: 5,400km2, 2014: 5,100km2</w:t>
      </w:r>
      <w:r w:rsidR="004067CF">
        <w:rPr>
          <w:rFonts w:ascii="Arial" w:hAnsi="Arial" w:cs="Arial"/>
          <w:sz w:val="16"/>
          <w:szCs w:val="16"/>
        </w:rPr>
        <w:t xml:space="preserve">, for the legal Amazon. </w:t>
      </w:r>
      <w:r w:rsidR="00580C4A">
        <w:rPr>
          <w:rFonts w:ascii="Arial" w:hAnsi="Arial" w:cs="Arial"/>
          <w:sz w:val="16"/>
          <w:szCs w:val="16"/>
        </w:rPr>
        <w:t xml:space="preserve">This year was 5.800km2. </w:t>
      </w:r>
    </w:p>
  </w:footnote>
  <w:footnote w:id="4">
    <w:p w:rsidRPr="00123B56" w:rsidR="00123B56" w:rsidRDefault="00123B56" w14:paraId="3F4886F3" w14:textId="3C277932">
      <w:pPr>
        <w:pStyle w:val="FootnoteText"/>
        <w:rPr>
          <w:sz w:val="16"/>
          <w:szCs w:val="16"/>
        </w:rPr>
      </w:pPr>
      <w:r w:rsidRPr="00123B56">
        <w:rPr>
          <w:rStyle w:val="FootnoteReference"/>
          <w:sz w:val="16"/>
          <w:szCs w:val="16"/>
        </w:rPr>
        <w:footnoteRef/>
      </w:r>
      <w:r w:rsidRPr="00123B56">
        <w:rPr>
          <w:sz w:val="16"/>
          <w:szCs w:val="16"/>
        </w:rPr>
        <w:t xml:space="preserve"> </w:t>
      </w:r>
      <w:r w:rsidRPr="00544F8D">
        <w:rPr>
          <w:rFonts w:ascii="Arial" w:hAnsi="Arial" w:cs="Arial"/>
          <w:sz w:val="16"/>
          <w:szCs w:val="16"/>
        </w:rPr>
        <w:t>Nucleos de Desarrollo de Floresta y Biodiversidad (Forest Developement Clusters for Forest Management and Biodiversity).</w:t>
      </w:r>
      <w:r w:rsidRPr="00123B56">
        <w:rPr>
          <w:sz w:val="16"/>
          <w:szCs w:val="16"/>
        </w:rPr>
        <w:t xml:space="preserve"> </w:t>
      </w:r>
    </w:p>
  </w:footnote>
  <w:footnote w:id="5">
    <w:p w:rsidRPr="00E2696D" w:rsidR="000C23EC" w:rsidP="00F07456" w:rsidRDefault="000C23EC" w14:paraId="14BCD471" w14:textId="77777777">
      <w:pPr>
        <w:pStyle w:val="FootnoteText"/>
        <w:rPr>
          <w:rFonts w:ascii="Arial" w:hAnsi="Arial" w:cs="Arial"/>
          <w:sz w:val="16"/>
          <w:szCs w:val="16"/>
        </w:rPr>
      </w:pPr>
      <w:r w:rsidRPr="00E2696D">
        <w:rPr>
          <w:rStyle w:val="FootnoteReference"/>
          <w:rFonts w:ascii="Arial" w:hAnsi="Arial" w:cs="Arial"/>
          <w:sz w:val="16"/>
          <w:szCs w:val="16"/>
        </w:rPr>
        <w:footnoteRef/>
      </w:r>
      <w:r w:rsidRPr="00885FAE">
        <w:rPr>
          <w:rStyle w:val="normaltextrun"/>
          <w:rFonts w:ascii="Arial" w:hAnsi="Arial" w:cs="Arial"/>
          <w:color w:val="000000"/>
          <w:sz w:val="14"/>
          <w:szCs w:val="14"/>
          <w:bdr w:val="none" w:color="auto" w:sz="0" w:space="0" w:frame="1"/>
        </w:rPr>
        <w:t xml:space="preserve">Action Plan for Prevention and Control of Deforestation in the Amazon (within Acre). It is aligned with the national plan. </w:t>
      </w:r>
    </w:p>
  </w:footnote>
  <w:footnote w:id="6">
    <w:p w:rsidRPr="00544F8D" w:rsidR="006535C2" w:rsidP="0025594B" w:rsidRDefault="006535C2" w14:paraId="54F67B1E" w14:textId="5DEEE928">
      <w:pPr>
        <w:pStyle w:val="FootnoteText"/>
        <w:jc w:val="both"/>
        <w:rPr>
          <w:rFonts w:ascii="Arial" w:hAnsi="Arial" w:cs="Arial"/>
          <w:sz w:val="16"/>
          <w:szCs w:val="16"/>
        </w:rPr>
      </w:pPr>
      <w:r w:rsidRPr="00544F8D">
        <w:rPr>
          <w:rStyle w:val="FootnoteReference"/>
          <w:rFonts w:ascii="Arial" w:hAnsi="Arial" w:cs="Arial"/>
          <w:sz w:val="16"/>
          <w:szCs w:val="16"/>
        </w:rPr>
        <w:footnoteRef/>
      </w:r>
      <w:r w:rsidRPr="00544F8D">
        <w:rPr>
          <w:rFonts w:ascii="Arial" w:hAnsi="Arial" w:cs="Arial"/>
          <w:sz w:val="16"/>
          <w:szCs w:val="16"/>
        </w:rPr>
        <w:t xml:space="preserve"> Although some key aspects of the ToC are missing from the LF – including output indicators against ‘leveraging public and private finance’ and ‘simplifying the customer journey for forest nations’</w:t>
      </w:r>
      <w:r w:rsidRPr="00544F8D" w:rsidR="002B5839">
        <w:rPr>
          <w:rFonts w:ascii="Arial" w:hAnsi="Arial" w:cs="Arial"/>
          <w:sz w:val="16"/>
          <w:szCs w:val="16"/>
        </w:rPr>
        <w:t xml:space="preserve">. </w:t>
      </w:r>
    </w:p>
    <w:p w:rsidRPr="00544F8D" w:rsidR="006535C2" w:rsidP="0025594B" w:rsidRDefault="006535C2" w14:paraId="0EDDFF80" w14:textId="77777777">
      <w:pPr>
        <w:pStyle w:val="FootnoteText"/>
        <w:jc w:val="both"/>
        <w:rPr>
          <w:rFonts w:ascii="Arial" w:hAnsi="Arial" w:cs="Arial"/>
          <w:sz w:val="16"/>
          <w:szCs w:val="16"/>
        </w:rPr>
      </w:pPr>
      <w:r w:rsidRPr="00544F8D">
        <w:rPr>
          <w:rFonts w:ascii="Arial" w:hAnsi="Arial" w:cs="Arial"/>
          <w:sz w:val="16"/>
          <w:szCs w:val="16"/>
        </w:rPr>
        <w:t>On the outcome level, clear indicators on how ‘acceleration of REDD+ plans progressing faster is missing, partly captured in indicator 1. The log frame also does not capture fully the long-term impacts of demonstrating that REDD+ architecture can work. All of these could be built upon within the log frame in more detail, as well as showing proof of these theories across the REDD+ space by more widely disseminating the information.</w:t>
      </w:r>
    </w:p>
  </w:footnote>
  <w:footnote w:id="7">
    <w:p w:rsidRPr="005B337E" w:rsidR="005B337E" w:rsidRDefault="005B337E" w14:paraId="4BD0D58E" w14:textId="0A8EF6CC">
      <w:pPr>
        <w:pStyle w:val="FootnoteText"/>
        <w:rPr>
          <w:sz w:val="16"/>
          <w:szCs w:val="16"/>
        </w:rPr>
      </w:pPr>
      <w:r w:rsidRPr="00544F8D">
        <w:rPr>
          <w:rStyle w:val="FootnoteReference"/>
          <w:rFonts w:ascii="Arial" w:hAnsi="Arial" w:cs="Arial"/>
          <w:sz w:val="16"/>
          <w:szCs w:val="16"/>
        </w:rPr>
        <w:footnoteRef/>
      </w:r>
      <w:r w:rsidRPr="00544F8D">
        <w:rPr>
          <w:rFonts w:ascii="Arial" w:hAnsi="Arial" w:cs="Arial"/>
          <w:sz w:val="16"/>
          <w:szCs w:val="16"/>
        </w:rPr>
        <w:t xml:space="preserve"> Instituto de Hidrología, Meteorología y Estudios Ambientales / Institute of Hydrology, Meteorology and Environmental Studies, who are responsible for measuring deforestation across Colombia.</w:t>
      </w:r>
    </w:p>
  </w:footnote>
  <w:footnote w:id="8">
    <w:p w:rsidRPr="00544F8D" w:rsidR="00896A36" w:rsidP="0025594B" w:rsidRDefault="00896A36" w14:paraId="1C18DDAB" w14:textId="77777777">
      <w:pPr>
        <w:pStyle w:val="FootnoteText"/>
        <w:jc w:val="both"/>
        <w:rPr>
          <w:rFonts w:ascii="Arial" w:hAnsi="Arial" w:cs="Arial"/>
          <w:sz w:val="16"/>
          <w:szCs w:val="16"/>
        </w:rPr>
      </w:pPr>
      <w:r w:rsidRPr="00544F8D">
        <w:rPr>
          <w:rStyle w:val="FootnoteReference"/>
          <w:rFonts w:ascii="Arial" w:hAnsi="Arial" w:cs="Arial"/>
          <w:sz w:val="16"/>
          <w:szCs w:val="16"/>
        </w:rPr>
        <w:footnoteRef/>
      </w:r>
      <w:r w:rsidRPr="00544F8D">
        <w:rPr>
          <w:rFonts w:ascii="Arial" w:hAnsi="Arial" w:cs="Arial"/>
          <w:sz w:val="16"/>
          <w:szCs w:val="16"/>
        </w:rPr>
        <w:t xml:space="preserve"> Especially by enabling outputs including: increased finance flows, access to carbon pricing, changes to enabling environment (local capacity is being built through REM within governments, supporting NGOs and in the field), hectares of deforestation are being avoided and verified, green jobs are being created, and increased knowledge and capacity are applied across all actors in REM. </w:t>
      </w:r>
    </w:p>
  </w:footnote>
  <w:footnote w:id="9">
    <w:p w:rsidRPr="00544F8D" w:rsidR="00811D6F" w:rsidP="0025594B" w:rsidRDefault="00811D6F" w14:paraId="47B4F373" w14:textId="4C46B3E6">
      <w:pPr>
        <w:pStyle w:val="FootnoteText"/>
        <w:jc w:val="both"/>
        <w:rPr>
          <w:rFonts w:ascii="Arial" w:hAnsi="Arial" w:cs="Arial"/>
          <w:sz w:val="16"/>
          <w:szCs w:val="16"/>
        </w:rPr>
      </w:pPr>
      <w:r w:rsidRPr="00544F8D">
        <w:rPr>
          <w:rStyle w:val="FootnoteReference"/>
          <w:rFonts w:ascii="Arial" w:hAnsi="Arial" w:cs="Arial"/>
          <w:sz w:val="16"/>
          <w:szCs w:val="16"/>
        </w:rPr>
        <w:footnoteRef/>
      </w:r>
      <w:r w:rsidRPr="00544F8D">
        <w:rPr>
          <w:rFonts w:ascii="Arial" w:hAnsi="Arial" w:cs="Arial"/>
          <w:sz w:val="16"/>
          <w:szCs w:val="16"/>
        </w:rPr>
        <w:t xml:space="preserve">In REM Colombia, IDEAM found that the interventions undertaken in the NDF show greater levels of reductions compared to the national average, in Mato Grosso next reporting period shows that REM </w:t>
      </w:r>
      <w:r w:rsidRPr="00544F8D" w:rsidR="00E61F64">
        <w:rPr>
          <w:rFonts w:ascii="Arial" w:hAnsi="Arial" w:cs="Arial"/>
          <w:sz w:val="16"/>
          <w:szCs w:val="16"/>
        </w:rPr>
        <w:t xml:space="preserve">reduced deforestation by 80,000 hectares per year in 2020 and 2021, and Acre has done small-scale investigations into REM areas which will be increased over the next years. </w:t>
      </w:r>
    </w:p>
  </w:footnote>
  <w:footnote w:id="10">
    <w:p w:rsidRPr="00175608" w:rsidR="00F15E7F" w:rsidP="00F15E7F" w:rsidRDefault="00F15E7F" w14:paraId="67A49DB3" w14:textId="77777777">
      <w:pPr>
        <w:pStyle w:val="FootnoteText"/>
        <w:rPr>
          <w:sz w:val="16"/>
          <w:szCs w:val="16"/>
        </w:rPr>
      </w:pPr>
      <w:r w:rsidRPr="00544F8D">
        <w:rPr>
          <w:rStyle w:val="FootnoteReference"/>
          <w:rFonts w:ascii="Arial" w:hAnsi="Arial" w:cs="Arial"/>
          <w:sz w:val="16"/>
          <w:szCs w:val="16"/>
        </w:rPr>
        <w:footnoteRef/>
      </w:r>
      <w:r w:rsidRPr="00544F8D">
        <w:rPr>
          <w:rFonts w:ascii="Arial" w:hAnsi="Arial" w:cs="Arial"/>
          <w:sz w:val="16"/>
          <w:szCs w:val="16"/>
        </w:rPr>
        <w:t xml:space="preserve"> Note: this will be achieved in the next reporting period. </w:t>
      </w:r>
    </w:p>
  </w:footnote>
  <w:footnote w:id="11">
    <w:p w:rsidRPr="003F11B1" w:rsidR="00130371" w:rsidP="0025594B" w:rsidRDefault="00130371" w14:paraId="66ED1512" w14:textId="77777777">
      <w:pPr>
        <w:pStyle w:val="FootnoteText"/>
        <w:jc w:val="both"/>
        <w:rPr>
          <w:rFonts w:ascii="Arial" w:hAnsi="Arial" w:cs="Arial"/>
          <w:sz w:val="16"/>
          <w:szCs w:val="16"/>
        </w:rPr>
      </w:pPr>
      <w:r w:rsidRPr="003F11B1">
        <w:rPr>
          <w:rStyle w:val="FootnoteReference"/>
          <w:rFonts w:ascii="Arial" w:hAnsi="Arial" w:cs="Arial"/>
          <w:sz w:val="16"/>
          <w:szCs w:val="16"/>
        </w:rPr>
        <w:footnoteRef/>
      </w:r>
      <w:r w:rsidRPr="003F11B1">
        <w:rPr>
          <w:rFonts w:ascii="Arial" w:hAnsi="Arial" w:cs="Arial"/>
          <w:sz w:val="16"/>
          <w:szCs w:val="16"/>
        </w:rPr>
        <w:t xml:space="preserve"> Instituto de Hidrología, Meteorología y Estudios Ambientales / Institute of Hydrology, Meteorology and Environmental Studies, who are responsible for measuring deforestation across Colombia. </w:t>
      </w:r>
    </w:p>
  </w:footnote>
  <w:footnote w:id="12">
    <w:p w:rsidRPr="003F11B1" w:rsidR="00D21140" w:rsidP="003F11B1" w:rsidRDefault="00D21140" w14:paraId="776FD1B4" w14:textId="636104E9">
      <w:pPr>
        <w:pStyle w:val="FootnoteText"/>
        <w:rPr>
          <w:rFonts w:ascii="Arial" w:hAnsi="Arial" w:cs="Arial"/>
          <w:sz w:val="16"/>
          <w:szCs w:val="16"/>
        </w:rPr>
      </w:pPr>
      <w:r w:rsidRPr="003F11B1">
        <w:rPr>
          <w:rStyle w:val="FootnoteReference"/>
          <w:rFonts w:ascii="Arial" w:hAnsi="Arial" w:cs="Arial"/>
          <w:sz w:val="16"/>
          <w:szCs w:val="16"/>
        </w:rPr>
        <w:footnoteRef/>
      </w:r>
      <w:r w:rsidRPr="003F11B1">
        <w:rPr>
          <w:rFonts w:ascii="Arial" w:hAnsi="Arial" w:cs="Arial"/>
          <w:sz w:val="16"/>
          <w:szCs w:val="16"/>
        </w:rPr>
        <w:t xml:space="preserve"> </w:t>
      </w:r>
      <w:r w:rsidRPr="003F11B1" w:rsidR="003F11B1">
        <w:rPr>
          <w:rFonts w:ascii="Arial" w:hAnsi="Arial" w:cs="Arial"/>
          <w:sz w:val="16"/>
          <w:szCs w:val="16"/>
        </w:rPr>
        <w:t>The Planet Satellite Image Monitoring platform is a system that enables near-real-time monitoring of the entire Mato Grosso region, this generates accurate deforestation alerts, enabling the state government and law enforcement agencies to move quickly to identify hotspots, engage with landowners, seize equipment, limit losses, and prevent the progress of further environmental crimes.</w:t>
      </w:r>
    </w:p>
  </w:footnote>
  <w:footnote w:id="13">
    <w:p w:rsidRPr="00B2574B" w:rsidR="004B78DE" w:rsidP="0025594B" w:rsidRDefault="004B78DE" w14:paraId="0BC0BF2F" w14:textId="722BF543">
      <w:pPr>
        <w:pStyle w:val="FootnoteText"/>
        <w:jc w:val="both"/>
        <w:rPr>
          <w:rFonts w:ascii="Arial" w:hAnsi="Arial" w:cs="Arial"/>
          <w:sz w:val="16"/>
          <w:szCs w:val="16"/>
        </w:rPr>
      </w:pPr>
      <w:r w:rsidRPr="00B2574B">
        <w:rPr>
          <w:rStyle w:val="FootnoteReference"/>
          <w:rFonts w:ascii="Arial" w:hAnsi="Arial" w:cs="Arial"/>
          <w:sz w:val="16"/>
          <w:szCs w:val="16"/>
        </w:rPr>
        <w:footnoteRef/>
      </w:r>
      <w:r w:rsidRPr="00B2574B">
        <w:rPr>
          <w:rFonts w:ascii="Arial" w:hAnsi="Arial" w:cs="Arial"/>
          <w:sz w:val="16"/>
          <w:szCs w:val="16"/>
        </w:rPr>
        <w:t xml:space="preserve"> As of December 2023. This is up from 47% </w:t>
      </w:r>
      <w:r w:rsidRPr="00B2574B" w:rsidR="00E02F79">
        <w:rPr>
          <w:rFonts w:ascii="Arial" w:hAnsi="Arial" w:cs="Arial"/>
          <w:sz w:val="16"/>
          <w:szCs w:val="16"/>
        </w:rPr>
        <w:t xml:space="preserve">last year. </w:t>
      </w:r>
    </w:p>
  </w:footnote>
  <w:footnote w:id="14">
    <w:p w:rsidRPr="00B2574B" w:rsidR="007E26A3" w:rsidP="0025594B" w:rsidRDefault="007E26A3" w14:paraId="09FBA1F8" w14:textId="69A64F66">
      <w:pPr>
        <w:pStyle w:val="FootnoteText"/>
        <w:jc w:val="both"/>
        <w:rPr>
          <w:rFonts w:ascii="Arial" w:hAnsi="Arial" w:cs="Arial"/>
          <w:sz w:val="16"/>
          <w:szCs w:val="16"/>
        </w:rPr>
      </w:pPr>
      <w:r w:rsidRPr="00B2574B">
        <w:rPr>
          <w:rStyle w:val="FootnoteReference"/>
          <w:rFonts w:ascii="Arial" w:hAnsi="Arial" w:cs="Arial"/>
          <w:sz w:val="16"/>
          <w:szCs w:val="16"/>
        </w:rPr>
        <w:footnoteRef/>
      </w:r>
      <w:r w:rsidRPr="00B2574B" w:rsidR="6B6420B0">
        <w:rPr>
          <w:rFonts w:ascii="Arial" w:hAnsi="Arial" w:cs="Arial"/>
          <w:sz w:val="16"/>
          <w:szCs w:val="16"/>
        </w:rPr>
        <w:t xml:space="preserve"> This is 28,700 Indigenous people benefitted, according to: </w:t>
      </w:r>
      <w:hyperlink w:history="1" r:id="rId1">
        <w:r w:rsidRPr="00B2574B" w:rsidR="6B6420B0">
          <w:rPr>
            <w:rStyle w:val="Hyperlink"/>
            <w:rFonts w:ascii="Arial" w:hAnsi="Arial" w:cs="Arial"/>
            <w:sz w:val="16"/>
            <w:szCs w:val="16"/>
          </w:rPr>
          <w:t>https://rem.sema.mt.gov.br/en/territorios-indigenas/</w:t>
        </w:r>
      </w:hyperlink>
      <w:r w:rsidRPr="00B2574B" w:rsidR="6B6420B0">
        <w:rPr>
          <w:rFonts w:ascii="Arial" w:hAnsi="Arial" w:cs="Arial"/>
          <w:sz w:val="16"/>
          <w:szCs w:val="16"/>
        </w:rPr>
        <w:t xml:space="preserve"> and 15, 053 families according to: </w:t>
      </w:r>
      <w:hyperlink w:history="1" r:id="rId2">
        <w:r w:rsidRPr="00B2574B" w:rsidR="6B6420B0">
          <w:rPr>
            <w:rStyle w:val="Hyperlink"/>
            <w:rFonts w:ascii="Arial" w:hAnsi="Arial" w:cs="Arial"/>
            <w:sz w:val="16"/>
            <w:szCs w:val="16"/>
          </w:rPr>
          <w:t>https://rem.sema.mt.gov.br/en/</w:t>
        </w:r>
      </w:hyperlink>
      <w:r w:rsidRPr="00B2574B" w:rsidR="6B6420B0">
        <w:rPr>
          <w:rFonts w:ascii="Arial" w:hAnsi="Arial" w:cs="Arial"/>
          <w:sz w:val="16"/>
          <w:szCs w:val="16"/>
        </w:rPr>
        <w:t xml:space="preserve"> </w:t>
      </w:r>
    </w:p>
  </w:footnote>
  <w:footnote w:id="15">
    <w:p w:rsidR="4AAED18B" w:rsidP="4AAED18B" w:rsidRDefault="4AAED18B" w14:paraId="3B497310" w14:textId="0E1E5281">
      <w:pPr>
        <w:pStyle w:val="FootnoteText"/>
      </w:pPr>
      <w:r w:rsidRPr="00B2574B">
        <w:rPr>
          <w:rStyle w:val="FootnoteReference"/>
          <w:rFonts w:ascii="Arial" w:hAnsi="Arial" w:cs="Arial"/>
          <w:sz w:val="16"/>
          <w:szCs w:val="16"/>
        </w:rPr>
        <w:footnoteRef/>
      </w:r>
      <w:r w:rsidRPr="00B2574B" w:rsidR="46D19ED3">
        <w:rPr>
          <w:rFonts w:ascii="Arial" w:hAnsi="Arial" w:cs="Arial"/>
          <w:sz w:val="16"/>
          <w:szCs w:val="16"/>
        </w:rPr>
        <w:t xml:space="preserve"> </w:t>
      </w:r>
      <w:r w:rsidRPr="00B2574B" w:rsidR="002D3973">
        <w:rPr>
          <w:rFonts w:ascii="Arial" w:hAnsi="Arial" w:cs="Arial"/>
          <w:sz w:val="16"/>
          <w:szCs w:val="16"/>
        </w:rPr>
        <w:t>17</w:t>
      </w:r>
      <w:r w:rsidRPr="00B2574B" w:rsidR="46D19ED3">
        <w:rPr>
          <w:rFonts w:ascii="Arial" w:hAnsi="Arial" w:cs="Arial"/>
          <w:sz w:val="16"/>
          <w:szCs w:val="16"/>
        </w:rPr>
        <w:t xml:space="preserve">, 383 farming families and 22,000 Indigenous People (4, 400 Indigenous families, estimated to be 22, 000 people). </w:t>
      </w:r>
      <w:r w:rsidRPr="00B2574B" w:rsidR="00F03406">
        <w:rPr>
          <w:rFonts w:ascii="Arial" w:hAnsi="Arial" w:cs="Arial"/>
          <w:sz w:val="16"/>
          <w:szCs w:val="16"/>
        </w:rPr>
        <w:t>See overall results here:</w:t>
      </w:r>
      <w:r w:rsidR="00F03406">
        <w:rPr>
          <w:sz w:val="16"/>
          <w:szCs w:val="16"/>
        </w:rPr>
        <w:t xml:space="preserve"> </w:t>
      </w:r>
    </w:p>
  </w:footnote>
  <w:footnote w:id="16">
    <w:p w:rsidRPr="000504A7" w:rsidR="008E2F9B" w:rsidP="0025594B" w:rsidRDefault="008E2F9B" w14:paraId="6F6D3BC1" w14:textId="77777777">
      <w:pPr>
        <w:pStyle w:val="FootnoteText"/>
        <w:jc w:val="both"/>
        <w:rPr>
          <w:rFonts w:ascii="Arial" w:hAnsi="Arial" w:cs="Arial"/>
          <w:sz w:val="14"/>
          <w:szCs w:val="14"/>
        </w:rPr>
      </w:pPr>
      <w:r w:rsidRPr="000504A7">
        <w:rPr>
          <w:rStyle w:val="FootnoteReference"/>
          <w:rFonts w:ascii="Arial" w:hAnsi="Arial" w:cs="Arial"/>
          <w:sz w:val="14"/>
          <w:szCs w:val="14"/>
        </w:rPr>
        <w:footnoteRef/>
      </w:r>
      <w:r w:rsidRPr="000504A7">
        <w:rPr>
          <w:rFonts w:ascii="Arial" w:hAnsi="Arial" w:cs="Arial"/>
          <w:sz w:val="14"/>
          <w:szCs w:val="14"/>
        </w:rPr>
        <w:t xml:space="preserve"> Fully disbursed with some funding held back by Norway due to deforestation rising. This will not be fully disbursed. </w:t>
      </w:r>
    </w:p>
  </w:footnote>
  <w:footnote w:id="17">
    <w:p w:rsidRPr="00532E34" w:rsidR="008E2F9B" w:rsidP="0025594B" w:rsidRDefault="008E2F9B" w14:paraId="5463F593" w14:textId="09C494E2">
      <w:pPr>
        <w:pStyle w:val="FootnoteText"/>
        <w:jc w:val="both"/>
        <w:rPr>
          <w:rFonts w:ascii="Arial" w:hAnsi="Arial" w:cs="Arial"/>
          <w:sz w:val="18"/>
          <w:szCs w:val="18"/>
        </w:rPr>
      </w:pPr>
      <w:r w:rsidRPr="000504A7">
        <w:rPr>
          <w:rStyle w:val="FootnoteReference"/>
          <w:rFonts w:ascii="Arial" w:hAnsi="Arial" w:cs="Arial"/>
          <w:sz w:val="14"/>
          <w:szCs w:val="14"/>
        </w:rPr>
        <w:footnoteRef/>
      </w:r>
      <w:r w:rsidRPr="000504A7">
        <w:rPr>
          <w:rFonts w:ascii="Arial" w:hAnsi="Arial" w:cs="Arial"/>
          <w:sz w:val="14"/>
          <w:szCs w:val="14"/>
        </w:rPr>
        <w:t xml:space="preserve"> The total disbursed for Acre is: £10,49 M (UK) and EUR 7.5M (Germany)</w:t>
      </w:r>
      <w:r w:rsidR="00EB2A8C">
        <w:rPr>
          <w:rFonts w:ascii="Arial" w:hAnsi="Arial" w:cs="Arial"/>
          <w:sz w:val="14"/>
          <w:szCs w:val="14"/>
        </w:rPr>
        <w:t xml:space="preserve">. </w:t>
      </w:r>
    </w:p>
  </w:footnote>
  <w:footnote w:id="18">
    <w:p w:rsidRPr="0025594B" w:rsidR="00AB7A53" w:rsidP="0025594B" w:rsidRDefault="00AB7A53" w14:paraId="1D372BD3" w14:textId="0EB61CD7">
      <w:pPr>
        <w:pStyle w:val="FootnoteText"/>
        <w:jc w:val="both"/>
        <w:rPr>
          <w:rFonts w:ascii="Arial" w:hAnsi="Arial" w:cs="Arial"/>
          <w:sz w:val="14"/>
          <w:szCs w:val="14"/>
        </w:rPr>
      </w:pPr>
      <w:r w:rsidRPr="0025594B">
        <w:rPr>
          <w:rStyle w:val="FootnoteReference"/>
          <w:rFonts w:ascii="Arial" w:hAnsi="Arial" w:cs="Arial"/>
          <w:sz w:val="14"/>
          <w:szCs w:val="14"/>
        </w:rPr>
        <w:footnoteRef/>
      </w:r>
      <w:r w:rsidRPr="0025594B">
        <w:rPr>
          <w:rFonts w:ascii="Arial" w:hAnsi="Arial" w:cs="Arial"/>
          <w:sz w:val="14"/>
          <w:szCs w:val="14"/>
        </w:rPr>
        <w:t xml:space="preserve"> To note, these two instruments are: </w:t>
      </w:r>
    </w:p>
    <w:p w:rsidRPr="0025594B" w:rsidR="00AB7A53" w:rsidP="0025594B" w:rsidRDefault="00AB7A53" w14:paraId="436D5FAA" w14:textId="788046B9">
      <w:pPr>
        <w:pStyle w:val="FootnoteText"/>
        <w:numPr>
          <w:ilvl w:val="0"/>
          <w:numId w:val="41"/>
        </w:numPr>
        <w:jc w:val="both"/>
        <w:rPr>
          <w:rFonts w:ascii="Arial" w:hAnsi="Arial" w:cs="Arial"/>
          <w:sz w:val="14"/>
          <w:szCs w:val="14"/>
        </w:rPr>
      </w:pPr>
      <w:r w:rsidRPr="0025594B">
        <w:rPr>
          <w:rFonts w:ascii="Arial" w:hAnsi="Arial" w:cs="Arial"/>
          <w:sz w:val="14"/>
          <w:szCs w:val="14"/>
        </w:rPr>
        <w:t>Reporting against the Carbon Registry (Info Hub in Brazil and RENARE in Colombia</w:t>
      </w:r>
      <w:r w:rsidRPr="0025594B" w:rsidR="00CE2C8F">
        <w:rPr>
          <w:rFonts w:ascii="Arial" w:hAnsi="Arial" w:cs="Arial"/>
          <w:sz w:val="14"/>
          <w:szCs w:val="14"/>
        </w:rPr>
        <w:t xml:space="preserve">). MT achieved both, AC only the registry and Colombia only the safeguards summary whereas RENARE is currently not operational (siac.gov.co)). </w:t>
      </w:r>
    </w:p>
  </w:footnote>
  <w:footnote w:id="19">
    <w:p w:rsidRPr="0025594B" w:rsidR="00244B4F" w:rsidP="0025594B" w:rsidRDefault="00244B4F" w14:paraId="59DA829F" w14:textId="0E4F5264">
      <w:pPr>
        <w:pStyle w:val="FootnoteText"/>
        <w:jc w:val="both"/>
        <w:rPr>
          <w:rFonts w:ascii="Arial" w:hAnsi="Arial" w:cs="Arial"/>
          <w:sz w:val="14"/>
          <w:szCs w:val="14"/>
        </w:rPr>
      </w:pPr>
      <w:r w:rsidRPr="0025594B">
        <w:rPr>
          <w:rStyle w:val="FootnoteReference"/>
          <w:rFonts w:ascii="Arial" w:hAnsi="Arial" w:cs="Arial"/>
          <w:sz w:val="14"/>
          <w:szCs w:val="14"/>
        </w:rPr>
        <w:footnoteRef/>
      </w:r>
      <w:r w:rsidRPr="0025594B">
        <w:rPr>
          <w:rFonts w:ascii="Arial" w:hAnsi="Arial" w:cs="Arial"/>
          <w:sz w:val="14"/>
          <w:szCs w:val="14"/>
        </w:rPr>
        <w:t xml:space="preserve"> Compared to 134 last year and 30 when the programme first started.</w:t>
      </w:r>
    </w:p>
  </w:footnote>
  <w:footnote w:id="20">
    <w:p w:rsidRPr="00F72181" w:rsidR="003754B1" w:rsidP="0025594B" w:rsidRDefault="003754B1" w14:paraId="5ECB4A0D" w14:textId="0D44B1CE">
      <w:pPr>
        <w:pStyle w:val="FootnoteText"/>
        <w:jc w:val="both"/>
        <w:rPr>
          <w:rFonts w:ascii="Arial" w:hAnsi="Arial" w:cs="Arial"/>
          <w:sz w:val="14"/>
          <w:szCs w:val="14"/>
        </w:rPr>
      </w:pPr>
      <w:r w:rsidRPr="00F72181">
        <w:rPr>
          <w:rStyle w:val="FootnoteReference"/>
          <w:rFonts w:ascii="Arial" w:hAnsi="Arial" w:cs="Arial"/>
          <w:sz w:val="14"/>
          <w:szCs w:val="14"/>
        </w:rPr>
        <w:footnoteRef/>
      </w:r>
      <w:r w:rsidRPr="00F72181">
        <w:rPr>
          <w:rFonts w:ascii="Arial" w:hAnsi="Arial" w:cs="Arial"/>
          <w:sz w:val="14"/>
          <w:szCs w:val="14"/>
        </w:rPr>
        <w:t xml:space="preserve"> </w:t>
      </w:r>
      <w:r w:rsidR="00C535C7">
        <w:rPr>
          <w:rFonts w:ascii="Arial" w:hAnsi="Arial" w:cs="Arial"/>
          <w:sz w:val="14"/>
          <w:szCs w:val="14"/>
        </w:rPr>
        <w:t xml:space="preserve">This year is a lower number than last year, due to a report by EMPAER which showed some duplication of people from the previous year, showing the realistic number now. </w:t>
      </w:r>
    </w:p>
  </w:footnote>
  <w:footnote w:id="21">
    <w:p w:rsidRPr="00F72181" w:rsidR="00422581" w:rsidP="0025594B" w:rsidRDefault="00422581" w14:paraId="1F18106F" w14:textId="572D9798">
      <w:pPr>
        <w:pStyle w:val="FootnoteText"/>
        <w:jc w:val="both"/>
        <w:rPr>
          <w:rFonts w:ascii="Arial" w:hAnsi="Arial" w:cs="Arial"/>
          <w:sz w:val="14"/>
          <w:szCs w:val="14"/>
        </w:rPr>
      </w:pPr>
      <w:r w:rsidRPr="00F72181">
        <w:rPr>
          <w:rStyle w:val="FootnoteReference"/>
          <w:rFonts w:ascii="Arial" w:hAnsi="Arial" w:cs="Arial"/>
          <w:sz w:val="14"/>
          <w:szCs w:val="14"/>
        </w:rPr>
        <w:footnoteRef/>
      </w:r>
      <w:r w:rsidRPr="00F72181">
        <w:rPr>
          <w:rFonts w:ascii="Arial" w:hAnsi="Arial" w:cs="Arial"/>
          <w:sz w:val="14"/>
          <w:szCs w:val="14"/>
        </w:rPr>
        <w:t xml:space="preserve"> </w:t>
      </w:r>
      <w:r w:rsidRPr="00F72181" w:rsidR="004C04D5">
        <w:rPr>
          <w:rFonts w:ascii="Arial" w:hAnsi="Arial" w:cs="Arial"/>
          <w:sz w:val="14"/>
          <w:szCs w:val="14"/>
        </w:rPr>
        <w:t>This is lower than reported last year; t</w:t>
      </w:r>
      <w:r w:rsidRPr="00F72181">
        <w:rPr>
          <w:rFonts w:ascii="Arial" w:hAnsi="Arial" w:cs="Arial"/>
          <w:sz w:val="14"/>
          <w:szCs w:val="14"/>
        </w:rPr>
        <w:t xml:space="preserve">here have been some fluctuations in this due to </w:t>
      </w:r>
      <w:r w:rsidRPr="00F72181" w:rsidR="00E853A6">
        <w:rPr>
          <w:rFonts w:ascii="Arial" w:hAnsi="Arial" w:cs="Arial"/>
          <w:sz w:val="14"/>
          <w:szCs w:val="14"/>
        </w:rPr>
        <w:t xml:space="preserve">Acre </w:t>
      </w:r>
      <w:r w:rsidRPr="00F72181" w:rsidR="00BE6BC1">
        <w:rPr>
          <w:rFonts w:ascii="Arial" w:hAnsi="Arial" w:cs="Arial"/>
          <w:sz w:val="14"/>
          <w:szCs w:val="14"/>
        </w:rPr>
        <w:t>recounting</w:t>
      </w:r>
      <w:r w:rsidRPr="00F72181" w:rsidR="00F37831">
        <w:rPr>
          <w:rFonts w:ascii="Arial" w:hAnsi="Arial" w:cs="Arial"/>
          <w:sz w:val="14"/>
          <w:szCs w:val="14"/>
        </w:rPr>
        <w:t xml:space="preserve"> after re-structuring the programme following the mid-term evaluation. </w:t>
      </w:r>
    </w:p>
  </w:footnote>
  <w:footnote w:id="22">
    <w:p w:rsidRPr="00175B6F" w:rsidR="003754B1" w:rsidP="0025594B" w:rsidRDefault="003754B1" w14:paraId="7332BD60" w14:textId="73A4CE8C">
      <w:pPr>
        <w:pStyle w:val="FootnoteText"/>
        <w:jc w:val="both"/>
        <w:rPr>
          <w:rFonts w:ascii="Arial" w:hAnsi="Arial" w:cs="Arial"/>
          <w:sz w:val="18"/>
          <w:szCs w:val="18"/>
        </w:rPr>
      </w:pPr>
      <w:r w:rsidRPr="00F72181">
        <w:rPr>
          <w:rStyle w:val="FootnoteReference"/>
          <w:rFonts w:ascii="Arial" w:hAnsi="Arial" w:cs="Arial"/>
          <w:sz w:val="14"/>
          <w:szCs w:val="14"/>
        </w:rPr>
        <w:footnoteRef/>
      </w:r>
      <w:r w:rsidRPr="00F72181">
        <w:rPr>
          <w:rFonts w:ascii="Arial" w:hAnsi="Arial" w:cs="Arial"/>
          <w:sz w:val="14"/>
          <w:szCs w:val="14"/>
        </w:rPr>
        <w:t xml:space="preserve"> </w:t>
      </w:r>
      <w:r w:rsidRPr="00F72181" w:rsidR="001A13EA">
        <w:rPr>
          <w:rStyle w:val="normaltextrun"/>
          <w:rFonts w:ascii="Arial" w:hAnsi="Arial" w:cs="Arial"/>
          <w:color w:val="000000"/>
          <w:sz w:val="14"/>
          <w:szCs w:val="14"/>
          <w:shd w:val="clear" w:color="auto" w:fill="FFFFFF"/>
        </w:rPr>
        <w:t>The number of hectares under conservation has been far exceeded, reaching 298,884 ha in December 2022, compared to a goal of 200,000 ha, thanks to the signing of conservation agreements in agri-environmental projects, rural extension, productive alliances, green financial instruments, including the Amazon Forest Instrument (IFA).</w:t>
      </w:r>
      <w:r w:rsidRPr="00F72181" w:rsidR="001A13EA">
        <w:rPr>
          <w:rStyle w:val="eop"/>
          <w:rFonts w:ascii="Arial Narrow" w:hAnsi="Arial Narrow"/>
          <w:color w:val="000000"/>
          <w:sz w:val="14"/>
          <w:szCs w:val="14"/>
          <w:shd w:val="clear" w:color="auto" w:fill="FFFFFF"/>
        </w:rPr>
        <w:t> </w:t>
      </w:r>
    </w:p>
  </w:footnote>
  <w:footnote w:id="23">
    <w:p w:rsidRPr="00A4020F" w:rsidR="001C2CAE" w:rsidP="0025594B" w:rsidRDefault="001C2CAE" w14:paraId="379BA21E" w14:textId="77777777">
      <w:pPr>
        <w:pStyle w:val="FootnoteText"/>
        <w:jc w:val="both"/>
        <w:rPr>
          <w:rFonts w:ascii="Arial" w:hAnsi="Arial" w:cs="Arial"/>
          <w:sz w:val="14"/>
          <w:szCs w:val="14"/>
        </w:rPr>
      </w:pPr>
      <w:r w:rsidRPr="00A4020F">
        <w:rPr>
          <w:rStyle w:val="FootnoteReference"/>
          <w:rFonts w:ascii="Arial" w:hAnsi="Arial" w:cs="Arial"/>
          <w:sz w:val="14"/>
          <w:szCs w:val="14"/>
        </w:rPr>
        <w:footnoteRef/>
      </w:r>
      <w:r w:rsidRPr="00A4020F">
        <w:rPr>
          <w:rFonts w:ascii="Arial" w:hAnsi="Arial" w:cs="Arial"/>
          <w:sz w:val="14"/>
          <w:szCs w:val="14"/>
        </w:rPr>
        <w:t xml:space="preserve"> Adapted and extended as there was such an overachievement. </w:t>
      </w:r>
    </w:p>
  </w:footnote>
  <w:footnote w:id="24">
    <w:p w:rsidRPr="00A4020F" w:rsidR="001C2CAE" w:rsidP="0025594B" w:rsidRDefault="001C2CAE" w14:paraId="68A7191C" w14:textId="77777777">
      <w:pPr>
        <w:jc w:val="both"/>
        <w:rPr>
          <w:rFonts w:eastAsia="Arial" w:cs="Arial"/>
          <w:sz w:val="16"/>
          <w:szCs w:val="16"/>
        </w:rPr>
      </w:pPr>
      <w:r w:rsidRPr="00A4020F">
        <w:rPr>
          <w:rStyle w:val="FootnoteReference"/>
          <w:rFonts w:cs="Arial"/>
          <w:sz w:val="14"/>
          <w:szCs w:val="14"/>
        </w:rPr>
        <w:footnoteRef/>
      </w:r>
      <w:r w:rsidRPr="00A4020F">
        <w:rPr>
          <w:rFonts w:cs="Arial"/>
          <w:sz w:val="14"/>
          <w:szCs w:val="14"/>
        </w:rPr>
        <w:t xml:space="preserve"> </w:t>
      </w:r>
      <w:r w:rsidRPr="00A4020F">
        <w:rPr>
          <w:rFonts w:eastAsia="Arial" w:cs="Arial"/>
          <w:sz w:val="14"/>
          <w:szCs w:val="14"/>
        </w:rPr>
        <w:t>These projects are being implemented and co-financed with UNDP, through a single framework call for proposals. The purpose of these projects is to enhance indigenous women’s capacities, leadership and capability for collective action, in order to make visible their traditional knowledge, develop sustainable economic initiatives, and participate in management and governance structures.</w:t>
      </w:r>
    </w:p>
  </w:footnote>
  <w:footnote w:id="25">
    <w:p w:rsidR="003051C6" w:rsidP="0025594B" w:rsidRDefault="003051C6" w14:paraId="23219E03" w14:textId="4AD30492">
      <w:pPr>
        <w:pStyle w:val="FootnoteText"/>
        <w:jc w:val="both"/>
        <w:rPr>
          <w:sz w:val="18"/>
          <w:szCs w:val="18"/>
        </w:rPr>
      </w:pPr>
      <w:r w:rsidRPr="003E4000">
        <w:rPr>
          <w:rStyle w:val="FootnoteReference"/>
          <w:rFonts w:ascii="Arial" w:hAnsi="Arial" w:cs="Arial"/>
          <w:sz w:val="14"/>
          <w:szCs w:val="14"/>
        </w:rPr>
        <w:footnoteRef/>
      </w:r>
      <w:r w:rsidRPr="003E4000" w:rsidR="578D5448">
        <w:rPr>
          <w:rFonts w:ascii="Arial" w:hAnsi="Arial" w:cs="Arial"/>
          <w:sz w:val="14"/>
          <w:szCs w:val="14"/>
        </w:rPr>
        <w:t xml:space="preserve"> </w:t>
      </w:r>
      <w:r w:rsidR="00B40681">
        <w:rPr>
          <w:rFonts w:ascii="Arial" w:hAnsi="Arial" w:cs="Arial"/>
          <w:sz w:val="14"/>
          <w:szCs w:val="14"/>
        </w:rPr>
        <w:t>A mix up in data means this was overcalculated last year</w:t>
      </w:r>
      <w:r w:rsidR="00777461">
        <w:rPr>
          <w:rFonts w:ascii="Arial" w:hAnsi="Arial" w:cs="Arial"/>
          <w:sz w:val="14"/>
          <w:szCs w:val="14"/>
        </w:rPr>
        <w:t xml:space="preserve">, and the monitoring has improved this year. </w:t>
      </w:r>
      <w:r w:rsidR="00B40681">
        <w:rPr>
          <w:rFonts w:ascii="Arial" w:hAnsi="Arial" w:cs="Arial"/>
          <w:sz w:val="14"/>
          <w:szCs w:val="14"/>
        </w:rPr>
        <w:t xml:space="preserve">The actual amount is </w:t>
      </w:r>
      <w:r w:rsidR="00BB70AD">
        <w:rPr>
          <w:rFonts w:ascii="Arial" w:hAnsi="Arial" w:cs="Arial"/>
          <w:sz w:val="14"/>
          <w:szCs w:val="14"/>
        </w:rPr>
        <w:t>29</w:t>
      </w:r>
      <w:r w:rsidR="000D57F1">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164467" w:rsidP="00164467" w:rsidRDefault="00E2696D" w14:paraId="78DECE93" w14:textId="48BB2BC7">
    <w:pPr>
      <w:pStyle w:val="Header"/>
      <w:pBdr>
        <w:bottom w:val="single" w:color="2B7EE2" w:sz="2" w:space="3"/>
      </w:pBdr>
      <w:rPr>
        <w:color w:val="041E42"/>
        <w:sz w:val="22"/>
      </w:rPr>
    </w:pPr>
    <w:r>
      <w:rPr>
        <w:color w:val="041E42"/>
        <w:sz w:val="22"/>
      </w:rPr>
      <w:t>REDD+ Early Movers Annual Review 2022-2023</w:t>
    </w:r>
  </w:p>
  <w:p w:rsidR="00164467" w:rsidRDefault="00164467" w14:paraId="0FC91C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7FEB" w:rsidRDefault="00E64702" w14:paraId="227BA78C" w14:textId="2ECCA5CD">
    <w:pPr>
      <w:pStyle w:val="Header"/>
    </w:pPr>
    <w:r>
      <w:rPr>
        <w:noProof/>
      </w:rPr>
      <w:drawing>
        <wp:inline distT="0" distB="0" distL="0" distR="0" wp14:anchorId="653BEA8C" wp14:editId="2F7827DB">
          <wp:extent cx="2131029" cy="936702"/>
          <wp:effectExtent l="0" t="0" r="0" b="0"/>
          <wp:docPr id="1041250492" name="Picture 104125049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6C8"/>
    <w:multiLevelType w:val="hybridMultilevel"/>
    <w:tmpl w:val="2BA24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1ECDC1"/>
    <w:multiLevelType w:val="hybridMultilevel"/>
    <w:tmpl w:val="FFFFFFFF"/>
    <w:lvl w:ilvl="0" w:tplc="1660B43A">
      <w:start w:val="1"/>
      <w:numFmt w:val="bullet"/>
      <w:lvlText w:val=""/>
      <w:lvlJc w:val="left"/>
      <w:pPr>
        <w:ind w:left="720" w:hanging="360"/>
      </w:pPr>
      <w:rPr>
        <w:rFonts w:hint="default" w:ascii="Symbol" w:hAnsi="Symbol"/>
      </w:rPr>
    </w:lvl>
    <w:lvl w:ilvl="1" w:tplc="91005948">
      <w:start w:val="1"/>
      <w:numFmt w:val="bullet"/>
      <w:lvlText w:val="o"/>
      <w:lvlJc w:val="left"/>
      <w:pPr>
        <w:ind w:left="1009" w:hanging="363"/>
      </w:pPr>
      <w:rPr>
        <w:rFonts w:hint="default" w:ascii="Courier New" w:hAnsi="Courier New"/>
      </w:rPr>
    </w:lvl>
    <w:lvl w:ilvl="2" w:tplc="8F6A8264">
      <w:start w:val="1"/>
      <w:numFmt w:val="bullet"/>
      <w:lvlText w:val=""/>
      <w:lvlJc w:val="left"/>
      <w:pPr>
        <w:ind w:left="2160" w:hanging="360"/>
      </w:pPr>
      <w:rPr>
        <w:rFonts w:hint="default" w:ascii="Wingdings" w:hAnsi="Wingdings"/>
      </w:rPr>
    </w:lvl>
    <w:lvl w:ilvl="3" w:tplc="C33C9152">
      <w:start w:val="1"/>
      <w:numFmt w:val="bullet"/>
      <w:lvlText w:val=""/>
      <w:lvlJc w:val="left"/>
      <w:pPr>
        <w:ind w:left="2880" w:hanging="360"/>
      </w:pPr>
      <w:rPr>
        <w:rFonts w:hint="default" w:ascii="Symbol" w:hAnsi="Symbol"/>
      </w:rPr>
    </w:lvl>
    <w:lvl w:ilvl="4" w:tplc="91001D70">
      <w:start w:val="1"/>
      <w:numFmt w:val="bullet"/>
      <w:lvlText w:val="o"/>
      <w:lvlJc w:val="left"/>
      <w:pPr>
        <w:ind w:left="3600" w:hanging="360"/>
      </w:pPr>
      <w:rPr>
        <w:rFonts w:hint="default" w:ascii="Courier New" w:hAnsi="Courier New"/>
      </w:rPr>
    </w:lvl>
    <w:lvl w:ilvl="5" w:tplc="A634C5A2">
      <w:start w:val="1"/>
      <w:numFmt w:val="bullet"/>
      <w:lvlText w:val=""/>
      <w:lvlJc w:val="left"/>
      <w:pPr>
        <w:ind w:left="4320" w:hanging="360"/>
      </w:pPr>
      <w:rPr>
        <w:rFonts w:hint="default" w:ascii="Wingdings" w:hAnsi="Wingdings"/>
      </w:rPr>
    </w:lvl>
    <w:lvl w:ilvl="6" w:tplc="78E8C1B6">
      <w:start w:val="1"/>
      <w:numFmt w:val="bullet"/>
      <w:lvlText w:val=""/>
      <w:lvlJc w:val="left"/>
      <w:pPr>
        <w:ind w:left="5040" w:hanging="360"/>
      </w:pPr>
      <w:rPr>
        <w:rFonts w:hint="default" w:ascii="Symbol" w:hAnsi="Symbol"/>
      </w:rPr>
    </w:lvl>
    <w:lvl w:ilvl="7" w:tplc="F3245FA2">
      <w:start w:val="1"/>
      <w:numFmt w:val="bullet"/>
      <w:lvlText w:val="o"/>
      <w:lvlJc w:val="left"/>
      <w:pPr>
        <w:ind w:left="5760" w:hanging="360"/>
      </w:pPr>
      <w:rPr>
        <w:rFonts w:hint="default" w:ascii="Courier New" w:hAnsi="Courier New"/>
      </w:rPr>
    </w:lvl>
    <w:lvl w:ilvl="8" w:tplc="3FFADDC4">
      <w:start w:val="1"/>
      <w:numFmt w:val="bullet"/>
      <w:lvlText w:val=""/>
      <w:lvlJc w:val="left"/>
      <w:pPr>
        <w:ind w:left="6480" w:hanging="360"/>
      </w:pPr>
      <w:rPr>
        <w:rFonts w:hint="default" w:ascii="Wingdings" w:hAnsi="Wingdings"/>
      </w:rPr>
    </w:lvl>
  </w:abstractNum>
  <w:abstractNum w:abstractNumId="2" w15:restartNumberingAfterBreak="0">
    <w:nsid w:val="073E13FF"/>
    <w:multiLevelType w:val="hybridMultilevel"/>
    <w:tmpl w:val="A38EE7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CB75DB"/>
    <w:multiLevelType w:val="hybridMultilevel"/>
    <w:tmpl w:val="C6D45A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D2CEF"/>
    <w:multiLevelType w:val="hybridMultilevel"/>
    <w:tmpl w:val="E1088474"/>
    <w:lvl w:ilvl="0" w:tplc="E94CD14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C024AD"/>
    <w:multiLevelType w:val="hybridMultilevel"/>
    <w:tmpl w:val="71788A30"/>
    <w:lvl w:ilvl="0" w:tplc="C2780E9C">
      <w:start w:val="1"/>
      <w:numFmt w:val="decimal"/>
      <w:lvlText w:val="%1."/>
      <w:lvlJc w:val="left"/>
      <w:pPr>
        <w:ind w:left="720" w:hanging="360"/>
      </w:pPr>
    </w:lvl>
    <w:lvl w:ilvl="1" w:tplc="F47CC920">
      <w:start w:val="1"/>
      <w:numFmt w:val="decimal"/>
      <w:lvlText w:val="%2."/>
      <w:lvlJc w:val="left"/>
      <w:pPr>
        <w:ind w:left="720" w:hanging="360"/>
      </w:pPr>
    </w:lvl>
    <w:lvl w:ilvl="2" w:tplc="6AAA714C">
      <w:start w:val="1"/>
      <w:numFmt w:val="decimal"/>
      <w:lvlText w:val="%3."/>
      <w:lvlJc w:val="left"/>
      <w:pPr>
        <w:ind w:left="720" w:hanging="360"/>
      </w:pPr>
    </w:lvl>
    <w:lvl w:ilvl="3" w:tplc="CD5854F6">
      <w:start w:val="1"/>
      <w:numFmt w:val="decimal"/>
      <w:lvlText w:val="%4."/>
      <w:lvlJc w:val="left"/>
      <w:pPr>
        <w:ind w:left="720" w:hanging="360"/>
      </w:pPr>
    </w:lvl>
    <w:lvl w:ilvl="4" w:tplc="DD94179A">
      <w:start w:val="1"/>
      <w:numFmt w:val="decimal"/>
      <w:lvlText w:val="%5."/>
      <w:lvlJc w:val="left"/>
      <w:pPr>
        <w:ind w:left="720" w:hanging="360"/>
      </w:pPr>
    </w:lvl>
    <w:lvl w:ilvl="5" w:tplc="E88A72EE">
      <w:start w:val="1"/>
      <w:numFmt w:val="decimal"/>
      <w:lvlText w:val="%6."/>
      <w:lvlJc w:val="left"/>
      <w:pPr>
        <w:ind w:left="720" w:hanging="360"/>
      </w:pPr>
    </w:lvl>
    <w:lvl w:ilvl="6" w:tplc="7C58C572">
      <w:start w:val="1"/>
      <w:numFmt w:val="decimal"/>
      <w:lvlText w:val="%7."/>
      <w:lvlJc w:val="left"/>
      <w:pPr>
        <w:ind w:left="720" w:hanging="360"/>
      </w:pPr>
    </w:lvl>
    <w:lvl w:ilvl="7" w:tplc="5E8EC950">
      <w:start w:val="1"/>
      <w:numFmt w:val="decimal"/>
      <w:lvlText w:val="%8."/>
      <w:lvlJc w:val="left"/>
      <w:pPr>
        <w:ind w:left="720" w:hanging="360"/>
      </w:pPr>
    </w:lvl>
    <w:lvl w:ilvl="8" w:tplc="9DC2B5FE">
      <w:start w:val="1"/>
      <w:numFmt w:val="decimal"/>
      <w:lvlText w:val="%9."/>
      <w:lvlJc w:val="left"/>
      <w:pPr>
        <w:ind w:left="720" w:hanging="360"/>
      </w:pPr>
    </w:lvl>
  </w:abstractNum>
  <w:abstractNum w:abstractNumId="6" w15:restartNumberingAfterBreak="0">
    <w:nsid w:val="0DCC0CF0"/>
    <w:multiLevelType w:val="hybridMultilevel"/>
    <w:tmpl w:val="1AB60420"/>
    <w:lvl w:ilvl="0" w:tplc="D944C6D2">
      <w:start w:val="1"/>
      <w:numFmt w:val="lowerLetter"/>
      <w:lvlText w:val="%1)"/>
      <w:lvlJc w:val="left"/>
      <w:pPr>
        <w:ind w:left="660" w:hanging="360"/>
      </w:pPr>
      <w:rPr>
        <w:rFonts w:hint="default" w:eastAsia="Arial" w:cs="Arial"/>
        <w:sz w:val="2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0E520194"/>
    <w:multiLevelType w:val="hybridMultilevel"/>
    <w:tmpl w:val="D69CB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3D226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B30B5"/>
    <w:multiLevelType w:val="hybridMultilevel"/>
    <w:tmpl w:val="8C6A50C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65146A8"/>
    <w:multiLevelType w:val="hybridMultilevel"/>
    <w:tmpl w:val="DF96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AC35234"/>
    <w:multiLevelType w:val="hybridMultilevel"/>
    <w:tmpl w:val="C9B84288"/>
    <w:lvl w:ilvl="0" w:tplc="D63693FC">
      <w:start w:val="1"/>
      <w:numFmt w:val="bullet"/>
      <w:lvlText w:val="-"/>
      <w:lvlJc w:val="left"/>
      <w:pPr>
        <w:ind w:left="720" w:hanging="360"/>
      </w:pPr>
      <w:rPr>
        <w:rFonts w:hint="default" w:ascii="Courier New" w:hAnsi="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86216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B13E5F"/>
    <w:multiLevelType w:val="hybridMultilevel"/>
    <w:tmpl w:val="1EDE7E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356490D"/>
    <w:multiLevelType w:val="hybridMultilevel"/>
    <w:tmpl w:val="90A452C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287063C7"/>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A26D7"/>
    <w:multiLevelType w:val="hybridMultilevel"/>
    <w:tmpl w:val="FFFFFFFF"/>
    <w:lvl w:ilvl="0" w:tplc="62920268">
      <w:start w:val="1"/>
      <w:numFmt w:val="bullet"/>
      <w:lvlText w:val="-"/>
      <w:lvlJc w:val="left"/>
      <w:pPr>
        <w:ind w:left="720" w:hanging="360"/>
      </w:pPr>
      <w:rPr>
        <w:rFonts w:hint="default" w:ascii="Aptos" w:hAnsi="Aptos"/>
      </w:rPr>
    </w:lvl>
    <w:lvl w:ilvl="1" w:tplc="910E4D5E">
      <w:start w:val="1"/>
      <w:numFmt w:val="bullet"/>
      <w:lvlText w:val="o"/>
      <w:lvlJc w:val="left"/>
      <w:pPr>
        <w:ind w:left="1440" w:hanging="360"/>
      </w:pPr>
      <w:rPr>
        <w:rFonts w:hint="default" w:ascii="Courier New" w:hAnsi="Courier New"/>
      </w:rPr>
    </w:lvl>
    <w:lvl w:ilvl="2" w:tplc="7DE4088A">
      <w:start w:val="1"/>
      <w:numFmt w:val="bullet"/>
      <w:lvlText w:val=""/>
      <w:lvlJc w:val="left"/>
      <w:pPr>
        <w:ind w:left="2160" w:hanging="360"/>
      </w:pPr>
      <w:rPr>
        <w:rFonts w:hint="default" w:ascii="Wingdings" w:hAnsi="Wingdings"/>
      </w:rPr>
    </w:lvl>
    <w:lvl w:ilvl="3" w:tplc="F1B2BDE8">
      <w:start w:val="1"/>
      <w:numFmt w:val="bullet"/>
      <w:lvlText w:val=""/>
      <w:lvlJc w:val="left"/>
      <w:pPr>
        <w:ind w:left="2880" w:hanging="360"/>
      </w:pPr>
      <w:rPr>
        <w:rFonts w:hint="default" w:ascii="Symbol" w:hAnsi="Symbol"/>
      </w:rPr>
    </w:lvl>
    <w:lvl w:ilvl="4" w:tplc="0004E2B0">
      <w:start w:val="1"/>
      <w:numFmt w:val="bullet"/>
      <w:lvlText w:val="o"/>
      <w:lvlJc w:val="left"/>
      <w:pPr>
        <w:ind w:left="3600" w:hanging="360"/>
      </w:pPr>
      <w:rPr>
        <w:rFonts w:hint="default" w:ascii="Courier New" w:hAnsi="Courier New"/>
      </w:rPr>
    </w:lvl>
    <w:lvl w:ilvl="5" w:tplc="010C8236">
      <w:start w:val="1"/>
      <w:numFmt w:val="bullet"/>
      <w:lvlText w:val=""/>
      <w:lvlJc w:val="left"/>
      <w:pPr>
        <w:ind w:left="4320" w:hanging="360"/>
      </w:pPr>
      <w:rPr>
        <w:rFonts w:hint="default" w:ascii="Wingdings" w:hAnsi="Wingdings"/>
      </w:rPr>
    </w:lvl>
    <w:lvl w:ilvl="6" w:tplc="C44E7C12">
      <w:start w:val="1"/>
      <w:numFmt w:val="bullet"/>
      <w:lvlText w:val=""/>
      <w:lvlJc w:val="left"/>
      <w:pPr>
        <w:ind w:left="5040" w:hanging="360"/>
      </w:pPr>
      <w:rPr>
        <w:rFonts w:hint="default" w:ascii="Symbol" w:hAnsi="Symbol"/>
      </w:rPr>
    </w:lvl>
    <w:lvl w:ilvl="7" w:tplc="53F8B3AE">
      <w:start w:val="1"/>
      <w:numFmt w:val="bullet"/>
      <w:lvlText w:val="o"/>
      <w:lvlJc w:val="left"/>
      <w:pPr>
        <w:ind w:left="5760" w:hanging="360"/>
      </w:pPr>
      <w:rPr>
        <w:rFonts w:hint="default" w:ascii="Courier New" w:hAnsi="Courier New"/>
      </w:rPr>
    </w:lvl>
    <w:lvl w:ilvl="8" w:tplc="9E5A4BCE">
      <w:start w:val="1"/>
      <w:numFmt w:val="bullet"/>
      <w:lvlText w:val=""/>
      <w:lvlJc w:val="left"/>
      <w:pPr>
        <w:ind w:left="6480" w:hanging="360"/>
      </w:pPr>
      <w:rPr>
        <w:rFonts w:hint="default" w:ascii="Wingdings" w:hAnsi="Wingdings"/>
      </w:rPr>
    </w:lvl>
  </w:abstractNum>
  <w:abstractNum w:abstractNumId="17" w15:restartNumberingAfterBreak="0">
    <w:nsid w:val="2C12A8B1"/>
    <w:multiLevelType w:val="hybridMultilevel"/>
    <w:tmpl w:val="FFFFFFFF"/>
    <w:lvl w:ilvl="0" w:tplc="ADA042A8">
      <w:start w:val="1"/>
      <w:numFmt w:val="bullet"/>
      <w:lvlText w:val=""/>
      <w:lvlJc w:val="left"/>
      <w:pPr>
        <w:ind w:left="855" w:hanging="360"/>
      </w:pPr>
      <w:rPr>
        <w:rFonts w:hint="default" w:ascii="Symbol" w:hAnsi="Symbol"/>
      </w:rPr>
    </w:lvl>
    <w:lvl w:ilvl="1" w:tplc="B3D8DE5C">
      <w:start w:val="1"/>
      <w:numFmt w:val="bullet"/>
      <w:lvlText w:val="o"/>
      <w:lvlJc w:val="left"/>
      <w:pPr>
        <w:ind w:left="1440" w:hanging="360"/>
      </w:pPr>
      <w:rPr>
        <w:rFonts w:hint="default" w:ascii="Courier New" w:hAnsi="Courier New"/>
      </w:rPr>
    </w:lvl>
    <w:lvl w:ilvl="2" w:tplc="EB966FB2">
      <w:start w:val="1"/>
      <w:numFmt w:val="bullet"/>
      <w:lvlText w:val=""/>
      <w:lvlJc w:val="left"/>
      <w:pPr>
        <w:ind w:left="2160" w:hanging="360"/>
      </w:pPr>
      <w:rPr>
        <w:rFonts w:hint="default" w:ascii="Wingdings" w:hAnsi="Wingdings"/>
      </w:rPr>
    </w:lvl>
    <w:lvl w:ilvl="3" w:tplc="8A26432C">
      <w:start w:val="1"/>
      <w:numFmt w:val="bullet"/>
      <w:lvlText w:val=""/>
      <w:lvlJc w:val="left"/>
      <w:pPr>
        <w:ind w:left="2880" w:hanging="360"/>
      </w:pPr>
      <w:rPr>
        <w:rFonts w:hint="default" w:ascii="Symbol" w:hAnsi="Symbol"/>
      </w:rPr>
    </w:lvl>
    <w:lvl w:ilvl="4" w:tplc="663A5348">
      <w:start w:val="1"/>
      <w:numFmt w:val="bullet"/>
      <w:lvlText w:val="o"/>
      <w:lvlJc w:val="left"/>
      <w:pPr>
        <w:ind w:left="3600" w:hanging="360"/>
      </w:pPr>
      <w:rPr>
        <w:rFonts w:hint="default" w:ascii="Courier New" w:hAnsi="Courier New"/>
      </w:rPr>
    </w:lvl>
    <w:lvl w:ilvl="5" w:tplc="6C0EDF9E">
      <w:start w:val="1"/>
      <w:numFmt w:val="bullet"/>
      <w:lvlText w:val=""/>
      <w:lvlJc w:val="left"/>
      <w:pPr>
        <w:ind w:left="4320" w:hanging="360"/>
      </w:pPr>
      <w:rPr>
        <w:rFonts w:hint="default" w:ascii="Wingdings" w:hAnsi="Wingdings"/>
      </w:rPr>
    </w:lvl>
    <w:lvl w:ilvl="6" w:tplc="3ACADAFC">
      <w:start w:val="1"/>
      <w:numFmt w:val="bullet"/>
      <w:lvlText w:val=""/>
      <w:lvlJc w:val="left"/>
      <w:pPr>
        <w:ind w:left="5040" w:hanging="360"/>
      </w:pPr>
      <w:rPr>
        <w:rFonts w:hint="default" w:ascii="Symbol" w:hAnsi="Symbol"/>
      </w:rPr>
    </w:lvl>
    <w:lvl w:ilvl="7" w:tplc="93B0552C">
      <w:start w:val="1"/>
      <w:numFmt w:val="bullet"/>
      <w:lvlText w:val="o"/>
      <w:lvlJc w:val="left"/>
      <w:pPr>
        <w:ind w:left="5760" w:hanging="360"/>
      </w:pPr>
      <w:rPr>
        <w:rFonts w:hint="default" w:ascii="Courier New" w:hAnsi="Courier New"/>
      </w:rPr>
    </w:lvl>
    <w:lvl w:ilvl="8" w:tplc="F61657F4">
      <w:start w:val="1"/>
      <w:numFmt w:val="bullet"/>
      <w:lvlText w:val=""/>
      <w:lvlJc w:val="left"/>
      <w:pPr>
        <w:ind w:left="6480" w:hanging="360"/>
      </w:pPr>
      <w:rPr>
        <w:rFonts w:hint="default" w:ascii="Wingdings" w:hAnsi="Wingdings"/>
      </w:rPr>
    </w:lvl>
  </w:abstractNum>
  <w:abstractNum w:abstractNumId="18" w15:restartNumberingAfterBreak="0">
    <w:nsid w:val="30AD0722"/>
    <w:multiLevelType w:val="multilevel"/>
    <w:tmpl w:val="8A5EB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1774C53"/>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810E8B"/>
    <w:multiLevelType w:val="hybridMultilevel"/>
    <w:tmpl w:val="F6E09A74"/>
    <w:lvl w:ilvl="0" w:tplc="07745B1E">
      <w:start w:val="1"/>
      <w:numFmt w:val="lowerLetter"/>
      <w:lvlText w:val="%1)"/>
      <w:lvlJc w:val="left"/>
      <w:pPr>
        <w:ind w:left="720" w:hanging="360"/>
      </w:pPr>
      <w:rPr>
        <w:rFonts w:hint="default" w:eastAsia="Arial" w:cs="Arial"/>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5426D5"/>
    <w:multiLevelType w:val="hybridMultilevel"/>
    <w:tmpl w:val="16D8B5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8C445E"/>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0B1514"/>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55EDAF"/>
    <w:multiLevelType w:val="hybridMultilevel"/>
    <w:tmpl w:val="A586ABF8"/>
    <w:lvl w:ilvl="0" w:tplc="C89CBEC6">
      <w:start w:val="1"/>
      <w:numFmt w:val="bullet"/>
      <w:lvlText w:val="-"/>
      <w:lvlJc w:val="left"/>
      <w:pPr>
        <w:ind w:left="720" w:hanging="360"/>
      </w:pPr>
      <w:rPr>
        <w:rFonts w:hint="default" w:ascii="Calibri" w:hAnsi="Calibri"/>
      </w:rPr>
    </w:lvl>
    <w:lvl w:ilvl="1" w:tplc="4296DA0A">
      <w:start w:val="1"/>
      <w:numFmt w:val="bullet"/>
      <w:lvlText w:val="o"/>
      <w:lvlJc w:val="left"/>
      <w:pPr>
        <w:ind w:left="1440" w:hanging="360"/>
      </w:pPr>
      <w:rPr>
        <w:rFonts w:hint="default" w:ascii="Courier New" w:hAnsi="Courier New"/>
      </w:rPr>
    </w:lvl>
    <w:lvl w:ilvl="2" w:tplc="2D741D58">
      <w:start w:val="1"/>
      <w:numFmt w:val="bullet"/>
      <w:lvlText w:val=""/>
      <w:lvlJc w:val="left"/>
      <w:pPr>
        <w:ind w:left="2160" w:hanging="360"/>
      </w:pPr>
      <w:rPr>
        <w:rFonts w:hint="default" w:ascii="Wingdings" w:hAnsi="Wingdings"/>
      </w:rPr>
    </w:lvl>
    <w:lvl w:ilvl="3" w:tplc="39085420">
      <w:start w:val="1"/>
      <w:numFmt w:val="bullet"/>
      <w:lvlText w:val=""/>
      <w:lvlJc w:val="left"/>
      <w:pPr>
        <w:ind w:left="2880" w:hanging="360"/>
      </w:pPr>
      <w:rPr>
        <w:rFonts w:hint="default" w:ascii="Symbol" w:hAnsi="Symbol"/>
      </w:rPr>
    </w:lvl>
    <w:lvl w:ilvl="4" w:tplc="D42E9BBC">
      <w:start w:val="1"/>
      <w:numFmt w:val="bullet"/>
      <w:lvlText w:val="o"/>
      <w:lvlJc w:val="left"/>
      <w:pPr>
        <w:ind w:left="3600" w:hanging="360"/>
      </w:pPr>
      <w:rPr>
        <w:rFonts w:hint="default" w:ascii="Courier New" w:hAnsi="Courier New"/>
      </w:rPr>
    </w:lvl>
    <w:lvl w:ilvl="5" w:tplc="E99A49D4">
      <w:start w:val="1"/>
      <w:numFmt w:val="bullet"/>
      <w:lvlText w:val=""/>
      <w:lvlJc w:val="left"/>
      <w:pPr>
        <w:ind w:left="4320" w:hanging="360"/>
      </w:pPr>
      <w:rPr>
        <w:rFonts w:hint="default" w:ascii="Wingdings" w:hAnsi="Wingdings"/>
      </w:rPr>
    </w:lvl>
    <w:lvl w:ilvl="6" w:tplc="C408FE6A">
      <w:start w:val="1"/>
      <w:numFmt w:val="bullet"/>
      <w:lvlText w:val=""/>
      <w:lvlJc w:val="left"/>
      <w:pPr>
        <w:ind w:left="5040" w:hanging="360"/>
      </w:pPr>
      <w:rPr>
        <w:rFonts w:hint="default" w:ascii="Symbol" w:hAnsi="Symbol"/>
      </w:rPr>
    </w:lvl>
    <w:lvl w:ilvl="7" w:tplc="B28E924E">
      <w:start w:val="1"/>
      <w:numFmt w:val="bullet"/>
      <w:lvlText w:val="o"/>
      <w:lvlJc w:val="left"/>
      <w:pPr>
        <w:ind w:left="5760" w:hanging="360"/>
      </w:pPr>
      <w:rPr>
        <w:rFonts w:hint="default" w:ascii="Courier New" w:hAnsi="Courier New"/>
      </w:rPr>
    </w:lvl>
    <w:lvl w:ilvl="8" w:tplc="351A7C02">
      <w:start w:val="1"/>
      <w:numFmt w:val="bullet"/>
      <w:lvlText w:val=""/>
      <w:lvlJc w:val="left"/>
      <w:pPr>
        <w:ind w:left="6480" w:hanging="360"/>
      </w:pPr>
      <w:rPr>
        <w:rFonts w:hint="default" w:ascii="Wingdings" w:hAnsi="Wingdings"/>
      </w:rPr>
    </w:lvl>
  </w:abstractNum>
  <w:abstractNum w:abstractNumId="25" w15:restartNumberingAfterBreak="0">
    <w:nsid w:val="42A9E51D"/>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467EE2"/>
    <w:multiLevelType w:val="hybridMultilevel"/>
    <w:tmpl w:val="148C98AA"/>
    <w:lvl w:ilvl="0" w:tplc="D63693FC">
      <w:start w:val="1"/>
      <w:numFmt w:val="bullet"/>
      <w:lvlText w:val="-"/>
      <w:lvlJc w:val="left"/>
      <w:pPr>
        <w:ind w:left="1080" w:hanging="360"/>
      </w:pPr>
      <w:rPr>
        <w:rFonts w:hint="default" w:ascii="Courier New" w:hAnsi="Courier New"/>
      </w:rPr>
    </w:lvl>
    <w:lvl w:ilvl="1" w:tplc="D63693FC">
      <w:start w:val="1"/>
      <w:numFmt w:val="bullet"/>
      <w:lvlText w:val="-"/>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6CD7A16"/>
    <w:multiLevelType w:val="hybridMultilevel"/>
    <w:tmpl w:val="853CE7FA"/>
    <w:lvl w:ilvl="0" w:tplc="EABCC84C">
      <w:start w:val="1"/>
      <w:numFmt w:val="bullet"/>
      <w:lvlText w:val=""/>
      <w:lvlJc w:val="left"/>
      <w:pPr>
        <w:ind w:left="720" w:hanging="360"/>
      </w:pPr>
      <w:rPr>
        <w:rFonts w:hint="default" w:ascii="Symbol" w:hAnsi="Symbo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F97A37"/>
    <w:multiLevelType w:val="hybridMultilevel"/>
    <w:tmpl w:val="B306879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799AC20"/>
    <w:multiLevelType w:val="hybridMultilevel"/>
    <w:tmpl w:val="C130072C"/>
    <w:lvl w:ilvl="0" w:tplc="92C074EE">
      <w:start w:val="1"/>
      <w:numFmt w:val="lowerLetter"/>
      <w:lvlText w:val="%1)"/>
      <w:lvlJc w:val="left"/>
      <w:pPr>
        <w:ind w:left="720" w:hanging="360"/>
      </w:pPr>
    </w:lvl>
    <w:lvl w:ilvl="1" w:tplc="37C850D2">
      <w:start w:val="1"/>
      <w:numFmt w:val="lowerLetter"/>
      <w:lvlText w:val="%2."/>
      <w:lvlJc w:val="left"/>
      <w:pPr>
        <w:ind w:left="1440" w:hanging="360"/>
      </w:pPr>
    </w:lvl>
    <w:lvl w:ilvl="2" w:tplc="09DCBB04">
      <w:start w:val="1"/>
      <w:numFmt w:val="lowerRoman"/>
      <w:lvlText w:val="%3."/>
      <w:lvlJc w:val="right"/>
      <w:pPr>
        <w:ind w:left="2160" w:hanging="180"/>
      </w:pPr>
    </w:lvl>
    <w:lvl w:ilvl="3" w:tplc="31E6B1FC">
      <w:start w:val="1"/>
      <w:numFmt w:val="decimal"/>
      <w:lvlText w:val="%4."/>
      <w:lvlJc w:val="left"/>
      <w:pPr>
        <w:ind w:left="2880" w:hanging="360"/>
      </w:pPr>
    </w:lvl>
    <w:lvl w:ilvl="4" w:tplc="9EBE45A2">
      <w:start w:val="1"/>
      <w:numFmt w:val="lowerLetter"/>
      <w:lvlText w:val="%5."/>
      <w:lvlJc w:val="left"/>
      <w:pPr>
        <w:ind w:left="3600" w:hanging="360"/>
      </w:pPr>
    </w:lvl>
    <w:lvl w:ilvl="5" w:tplc="A6C21150">
      <w:start w:val="1"/>
      <w:numFmt w:val="lowerRoman"/>
      <w:lvlText w:val="%6."/>
      <w:lvlJc w:val="right"/>
      <w:pPr>
        <w:ind w:left="4320" w:hanging="180"/>
      </w:pPr>
    </w:lvl>
    <w:lvl w:ilvl="6" w:tplc="953A5766">
      <w:start w:val="1"/>
      <w:numFmt w:val="decimal"/>
      <w:lvlText w:val="%7."/>
      <w:lvlJc w:val="left"/>
      <w:pPr>
        <w:ind w:left="5040" w:hanging="360"/>
      </w:pPr>
    </w:lvl>
    <w:lvl w:ilvl="7" w:tplc="4028CFE0">
      <w:start w:val="1"/>
      <w:numFmt w:val="lowerLetter"/>
      <w:lvlText w:val="%8."/>
      <w:lvlJc w:val="left"/>
      <w:pPr>
        <w:ind w:left="5760" w:hanging="360"/>
      </w:pPr>
    </w:lvl>
    <w:lvl w:ilvl="8" w:tplc="7C6E210A">
      <w:start w:val="1"/>
      <w:numFmt w:val="lowerRoman"/>
      <w:lvlText w:val="%9."/>
      <w:lvlJc w:val="right"/>
      <w:pPr>
        <w:ind w:left="6480" w:hanging="180"/>
      </w:pPr>
    </w:lvl>
  </w:abstractNum>
  <w:abstractNum w:abstractNumId="30" w15:restartNumberingAfterBreak="0">
    <w:nsid w:val="48D87C6F"/>
    <w:multiLevelType w:val="hybridMultilevel"/>
    <w:tmpl w:val="99AE10EC"/>
    <w:lvl w:ilvl="0" w:tplc="9306D41C">
      <w:start w:val="1"/>
      <w:numFmt w:val="lowerLetter"/>
      <w:lvlText w:val="%1."/>
      <w:lvlJc w:val="left"/>
      <w:pPr>
        <w:ind w:left="720" w:hanging="360"/>
      </w:pPr>
    </w:lvl>
    <w:lvl w:ilvl="1" w:tplc="B1EAEC3A">
      <w:start w:val="1"/>
      <w:numFmt w:val="lowerLetter"/>
      <w:lvlText w:val="%2."/>
      <w:lvlJc w:val="left"/>
      <w:pPr>
        <w:ind w:left="1440" w:hanging="360"/>
      </w:pPr>
    </w:lvl>
    <w:lvl w:ilvl="2" w:tplc="EE9A2C96">
      <w:start w:val="1"/>
      <w:numFmt w:val="lowerRoman"/>
      <w:lvlText w:val="%3."/>
      <w:lvlJc w:val="right"/>
      <w:pPr>
        <w:ind w:left="2160" w:hanging="180"/>
      </w:pPr>
    </w:lvl>
    <w:lvl w:ilvl="3" w:tplc="C486E42E">
      <w:start w:val="1"/>
      <w:numFmt w:val="decimal"/>
      <w:lvlText w:val="%4."/>
      <w:lvlJc w:val="left"/>
      <w:pPr>
        <w:ind w:left="2880" w:hanging="360"/>
      </w:pPr>
    </w:lvl>
    <w:lvl w:ilvl="4" w:tplc="6A2ED7D6">
      <w:start w:val="1"/>
      <w:numFmt w:val="lowerLetter"/>
      <w:lvlText w:val="%5."/>
      <w:lvlJc w:val="left"/>
      <w:pPr>
        <w:ind w:left="3600" w:hanging="360"/>
      </w:pPr>
    </w:lvl>
    <w:lvl w:ilvl="5" w:tplc="A3884294">
      <w:start w:val="1"/>
      <w:numFmt w:val="lowerRoman"/>
      <w:lvlText w:val="%6."/>
      <w:lvlJc w:val="right"/>
      <w:pPr>
        <w:ind w:left="4320" w:hanging="180"/>
      </w:pPr>
    </w:lvl>
    <w:lvl w:ilvl="6" w:tplc="8E9EE52E">
      <w:start w:val="1"/>
      <w:numFmt w:val="decimal"/>
      <w:lvlText w:val="%7."/>
      <w:lvlJc w:val="left"/>
      <w:pPr>
        <w:ind w:left="5040" w:hanging="360"/>
      </w:pPr>
    </w:lvl>
    <w:lvl w:ilvl="7" w:tplc="C6EA912C">
      <w:start w:val="1"/>
      <w:numFmt w:val="lowerLetter"/>
      <w:lvlText w:val="%8."/>
      <w:lvlJc w:val="left"/>
      <w:pPr>
        <w:ind w:left="5760" w:hanging="360"/>
      </w:pPr>
    </w:lvl>
    <w:lvl w:ilvl="8" w:tplc="E724FD54">
      <w:start w:val="1"/>
      <w:numFmt w:val="lowerRoman"/>
      <w:lvlText w:val="%9."/>
      <w:lvlJc w:val="right"/>
      <w:pPr>
        <w:ind w:left="6480" w:hanging="180"/>
      </w:pPr>
    </w:lvl>
  </w:abstractNum>
  <w:abstractNum w:abstractNumId="31" w15:restartNumberingAfterBreak="0">
    <w:nsid w:val="4E5978B6"/>
    <w:multiLevelType w:val="hybridMultilevel"/>
    <w:tmpl w:val="04C8B1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001B62"/>
    <w:multiLevelType w:val="hybridMultilevel"/>
    <w:tmpl w:val="735AD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2FC596E"/>
    <w:multiLevelType w:val="hybridMultilevel"/>
    <w:tmpl w:val="D4DEC2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E46074"/>
    <w:multiLevelType w:val="hybridMultilevel"/>
    <w:tmpl w:val="DB0E3796"/>
    <w:lvl w:ilvl="0" w:tplc="6624EBB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78D793D"/>
    <w:multiLevelType w:val="hybridMultilevel"/>
    <w:tmpl w:val="8C6A50C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579B2E51"/>
    <w:multiLevelType w:val="hybridMultilevel"/>
    <w:tmpl w:val="D0E8E9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410A42"/>
    <w:multiLevelType w:val="hybridMultilevel"/>
    <w:tmpl w:val="9CACEFF2"/>
    <w:lvl w:ilvl="0" w:tplc="0809000F">
      <w:start w:val="1"/>
      <w:numFmt w:val="decimal"/>
      <w:lvlText w:val="%1."/>
      <w:lvlJc w:val="left"/>
      <w:pPr>
        <w:ind w:left="720" w:hanging="360"/>
      </w:pPr>
      <w:rPr>
        <w:rFonts w:hint="default"/>
      </w:rPr>
    </w:lvl>
    <w:lvl w:ilvl="1" w:tplc="4E3A7CB2">
      <w:start w:val="1"/>
      <w:numFmt w:val="lowerLetter"/>
      <w:lvlText w:val="%2."/>
      <w:lvlJc w:val="left"/>
      <w:pPr>
        <w:ind w:left="1440" w:hanging="360"/>
      </w:pPr>
    </w:lvl>
    <w:lvl w:ilvl="2" w:tplc="43740D26">
      <w:start w:val="1"/>
      <w:numFmt w:val="lowerRoman"/>
      <w:lvlText w:val="%3."/>
      <w:lvlJc w:val="right"/>
      <w:pPr>
        <w:ind w:left="2160" w:hanging="180"/>
      </w:pPr>
    </w:lvl>
    <w:lvl w:ilvl="3" w:tplc="C93ED9A6">
      <w:start w:val="1"/>
      <w:numFmt w:val="decimal"/>
      <w:lvlText w:val="%4."/>
      <w:lvlJc w:val="left"/>
      <w:pPr>
        <w:ind w:left="2880" w:hanging="360"/>
      </w:pPr>
    </w:lvl>
    <w:lvl w:ilvl="4" w:tplc="61127CCE">
      <w:start w:val="1"/>
      <w:numFmt w:val="lowerLetter"/>
      <w:lvlText w:val="%5."/>
      <w:lvlJc w:val="left"/>
      <w:pPr>
        <w:ind w:left="3600" w:hanging="360"/>
      </w:pPr>
    </w:lvl>
    <w:lvl w:ilvl="5" w:tplc="858CEEE0">
      <w:start w:val="1"/>
      <w:numFmt w:val="lowerRoman"/>
      <w:lvlText w:val="%6."/>
      <w:lvlJc w:val="right"/>
      <w:pPr>
        <w:ind w:left="4320" w:hanging="180"/>
      </w:pPr>
    </w:lvl>
    <w:lvl w:ilvl="6" w:tplc="AA6A18DE">
      <w:start w:val="1"/>
      <w:numFmt w:val="decimal"/>
      <w:lvlText w:val="%7."/>
      <w:lvlJc w:val="left"/>
      <w:pPr>
        <w:ind w:left="5040" w:hanging="360"/>
      </w:pPr>
    </w:lvl>
    <w:lvl w:ilvl="7" w:tplc="4A6C9D88">
      <w:start w:val="1"/>
      <w:numFmt w:val="lowerLetter"/>
      <w:lvlText w:val="%8."/>
      <w:lvlJc w:val="left"/>
      <w:pPr>
        <w:ind w:left="5760" w:hanging="360"/>
      </w:pPr>
    </w:lvl>
    <w:lvl w:ilvl="8" w:tplc="EFC028E8">
      <w:start w:val="1"/>
      <w:numFmt w:val="lowerRoman"/>
      <w:lvlText w:val="%9."/>
      <w:lvlJc w:val="right"/>
      <w:pPr>
        <w:ind w:left="6480" w:hanging="180"/>
      </w:pPr>
    </w:lvl>
  </w:abstractNum>
  <w:abstractNum w:abstractNumId="38" w15:restartNumberingAfterBreak="0">
    <w:nsid w:val="58822D64"/>
    <w:multiLevelType w:val="hybridMultilevel"/>
    <w:tmpl w:val="FE08FD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58C8E66B"/>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674BE7"/>
    <w:multiLevelType w:val="hybridMultilevel"/>
    <w:tmpl w:val="5352D3EA"/>
    <w:lvl w:ilvl="0" w:tplc="30267BAC">
      <w:start w:val="1"/>
      <w:numFmt w:val="bullet"/>
      <w:lvlText w:val="·"/>
      <w:lvlJc w:val="left"/>
      <w:pPr>
        <w:ind w:left="720" w:hanging="360"/>
      </w:pPr>
      <w:rPr>
        <w:rFonts w:hint="default" w:ascii="Symbol" w:hAnsi="Symbol"/>
      </w:rPr>
    </w:lvl>
    <w:lvl w:ilvl="1" w:tplc="EC646538">
      <w:start w:val="1"/>
      <w:numFmt w:val="bullet"/>
      <w:lvlText w:val="o"/>
      <w:lvlJc w:val="left"/>
      <w:pPr>
        <w:ind w:left="1440" w:hanging="360"/>
      </w:pPr>
      <w:rPr>
        <w:rFonts w:hint="default" w:ascii="Courier New" w:hAnsi="Courier New"/>
      </w:rPr>
    </w:lvl>
    <w:lvl w:ilvl="2" w:tplc="6CC65F96">
      <w:start w:val="1"/>
      <w:numFmt w:val="bullet"/>
      <w:lvlText w:val=""/>
      <w:lvlJc w:val="left"/>
      <w:pPr>
        <w:ind w:left="2160" w:hanging="360"/>
      </w:pPr>
      <w:rPr>
        <w:rFonts w:hint="default" w:ascii="Wingdings" w:hAnsi="Wingdings"/>
      </w:rPr>
    </w:lvl>
    <w:lvl w:ilvl="3" w:tplc="96B66808">
      <w:start w:val="1"/>
      <w:numFmt w:val="bullet"/>
      <w:lvlText w:val=""/>
      <w:lvlJc w:val="left"/>
      <w:pPr>
        <w:ind w:left="2880" w:hanging="360"/>
      </w:pPr>
      <w:rPr>
        <w:rFonts w:hint="default" w:ascii="Symbol" w:hAnsi="Symbol"/>
      </w:rPr>
    </w:lvl>
    <w:lvl w:ilvl="4" w:tplc="52C256BC">
      <w:start w:val="1"/>
      <w:numFmt w:val="bullet"/>
      <w:lvlText w:val="o"/>
      <w:lvlJc w:val="left"/>
      <w:pPr>
        <w:ind w:left="3600" w:hanging="360"/>
      </w:pPr>
      <w:rPr>
        <w:rFonts w:hint="default" w:ascii="Courier New" w:hAnsi="Courier New"/>
      </w:rPr>
    </w:lvl>
    <w:lvl w:ilvl="5" w:tplc="C90A2D12">
      <w:start w:val="1"/>
      <w:numFmt w:val="bullet"/>
      <w:lvlText w:val=""/>
      <w:lvlJc w:val="left"/>
      <w:pPr>
        <w:ind w:left="4320" w:hanging="360"/>
      </w:pPr>
      <w:rPr>
        <w:rFonts w:hint="default" w:ascii="Wingdings" w:hAnsi="Wingdings"/>
      </w:rPr>
    </w:lvl>
    <w:lvl w:ilvl="6" w:tplc="87B0FEAC">
      <w:start w:val="1"/>
      <w:numFmt w:val="bullet"/>
      <w:lvlText w:val=""/>
      <w:lvlJc w:val="left"/>
      <w:pPr>
        <w:ind w:left="5040" w:hanging="360"/>
      </w:pPr>
      <w:rPr>
        <w:rFonts w:hint="default" w:ascii="Symbol" w:hAnsi="Symbol"/>
      </w:rPr>
    </w:lvl>
    <w:lvl w:ilvl="7" w:tplc="B450DA54">
      <w:start w:val="1"/>
      <w:numFmt w:val="bullet"/>
      <w:lvlText w:val="o"/>
      <w:lvlJc w:val="left"/>
      <w:pPr>
        <w:ind w:left="5760" w:hanging="360"/>
      </w:pPr>
      <w:rPr>
        <w:rFonts w:hint="default" w:ascii="Courier New" w:hAnsi="Courier New"/>
      </w:rPr>
    </w:lvl>
    <w:lvl w:ilvl="8" w:tplc="87D09E20">
      <w:start w:val="1"/>
      <w:numFmt w:val="bullet"/>
      <w:lvlText w:val=""/>
      <w:lvlJc w:val="left"/>
      <w:pPr>
        <w:ind w:left="6480" w:hanging="360"/>
      </w:pPr>
      <w:rPr>
        <w:rFonts w:hint="default" w:ascii="Wingdings" w:hAnsi="Wingdings"/>
      </w:rPr>
    </w:lvl>
  </w:abstractNum>
  <w:abstractNum w:abstractNumId="41" w15:restartNumberingAfterBreak="0">
    <w:nsid w:val="5D400C38"/>
    <w:multiLevelType w:val="hybridMultilevel"/>
    <w:tmpl w:val="FFFFFFFF"/>
    <w:lvl w:ilvl="0" w:tplc="AB3E1032">
      <w:start w:val="1"/>
      <w:numFmt w:val="upperLetter"/>
      <w:lvlText w:val="%1)"/>
      <w:lvlJc w:val="left"/>
      <w:pPr>
        <w:ind w:left="720" w:hanging="360"/>
      </w:pPr>
    </w:lvl>
    <w:lvl w:ilvl="1" w:tplc="D286FD2C">
      <w:start w:val="1"/>
      <w:numFmt w:val="lowerLetter"/>
      <w:lvlText w:val="%2."/>
      <w:lvlJc w:val="left"/>
      <w:pPr>
        <w:ind w:left="1440" w:hanging="360"/>
      </w:pPr>
    </w:lvl>
    <w:lvl w:ilvl="2" w:tplc="27D0AF62">
      <w:start w:val="1"/>
      <w:numFmt w:val="lowerRoman"/>
      <w:lvlText w:val="%3."/>
      <w:lvlJc w:val="right"/>
      <w:pPr>
        <w:ind w:left="2160" w:hanging="180"/>
      </w:pPr>
    </w:lvl>
    <w:lvl w:ilvl="3" w:tplc="AE125F02">
      <w:start w:val="1"/>
      <w:numFmt w:val="decimal"/>
      <w:lvlText w:val="%4."/>
      <w:lvlJc w:val="left"/>
      <w:pPr>
        <w:ind w:left="2880" w:hanging="360"/>
      </w:pPr>
    </w:lvl>
    <w:lvl w:ilvl="4" w:tplc="66F05E08">
      <w:start w:val="1"/>
      <w:numFmt w:val="lowerLetter"/>
      <w:lvlText w:val="%5."/>
      <w:lvlJc w:val="left"/>
      <w:pPr>
        <w:ind w:left="3600" w:hanging="360"/>
      </w:pPr>
    </w:lvl>
    <w:lvl w:ilvl="5" w:tplc="CF0695FA">
      <w:start w:val="1"/>
      <w:numFmt w:val="lowerRoman"/>
      <w:lvlText w:val="%6."/>
      <w:lvlJc w:val="right"/>
      <w:pPr>
        <w:ind w:left="4320" w:hanging="180"/>
      </w:pPr>
    </w:lvl>
    <w:lvl w:ilvl="6" w:tplc="21B0A224">
      <w:start w:val="1"/>
      <w:numFmt w:val="decimal"/>
      <w:lvlText w:val="%7."/>
      <w:lvlJc w:val="left"/>
      <w:pPr>
        <w:ind w:left="5040" w:hanging="360"/>
      </w:pPr>
    </w:lvl>
    <w:lvl w:ilvl="7" w:tplc="B0BA861E">
      <w:start w:val="1"/>
      <w:numFmt w:val="lowerLetter"/>
      <w:lvlText w:val="%8."/>
      <w:lvlJc w:val="left"/>
      <w:pPr>
        <w:ind w:left="5760" w:hanging="360"/>
      </w:pPr>
    </w:lvl>
    <w:lvl w:ilvl="8" w:tplc="8E1E9BD8">
      <w:start w:val="1"/>
      <w:numFmt w:val="lowerRoman"/>
      <w:lvlText w:val="%9."/>
      <w:lvlJc w:val="right"/>
      <w:pPr>
        <w:ind w:left="6480" w:hanging="180"/>
      </w:pPr>
    </w:lvl>
  </w:abstractNum>
  <w:abstractNum w:abstractNumId="42" w15:restartNumberingAfterBreak="0">
    <w:nsid w:val="6B061D35"/>
    <w:multiLevelType w:val="hybridMultilevel"/>
    <w:tmpl w:val="962ECC8C"/>
    <w:lvl w:ilvl="0" w:tplc="CCB6074E">
      <w:start w:val="1"/>
      <w:numFmt w:val="lowerLetter"/>
      <w:lvlText w:val="%1."/>
      <w:lvlJc w:val="left"/>
      <w:pPr>
        <w:ind w:left="720" w:hanging="360"/>
      </w:pPr>
      <w:rPr>
        <w:rFonts w:ascii="Arial" w:hAnsi="Arial" w:eastAsia="Times New Roman"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392FB8"/>
    <w:multiLevelType w:val="hybridMultilevel"/>
    <w:tmpl w:val="CC627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B659C7"/>
    <w:multiLevelType w:val="hybridMultilevel"/>
    <w:tmpl w:val="FFFFFFFF"/>
    <w:lvl w:ilvl="0" w:tplc="5852A780">
      <w:start w:val="1"/>
      <w:numFmt w:val="bullet"/>
      <w:lvlText w:val=""/>
      <w:lvlJc w:val="left"/>
      <w:pPr>
        <w:ind w:left="720" w:hanging="360"/>
      </w:pPr>
      <w:rPr>
        <w:rFonts w:hint="default" w:ascii="Symbol" w:hAnsi="Symbol"/>
      </w:rPr>
    </w:lvl>
    <w:lvl w:ilvl="1" w:tplc="83469120">
      <w:start w:val="1"/>
      <w:numFmt w:val="bullet"/>
      <w:lvlText w:val="o"/>
      <w:lvlJc w:val="left"/>
      <w:pPr>
        <w:ind w:left="1009" w:hanging="363"/>
      </w:pPr>
      <w:rPr>
        <w:rFonts w:hint="default" w:ascii="Courier New" w:hAnsi="Courier New"/>
      </w:rPr>
    </w:lvl>
    <w:lvl w:ilvl="2" w:tplc="09E026D8">
      <w:start w:val="1"/>
      <w:numFmt w:val="bullet"/>
      <w:lvlText w:val=""/>
      <w:lvlJc w:val="left"/>
      <w:pPr>
        <w:ind w:left="2160" w:hanging="360"/>
      </w:pPr>
      <w:rPr>
        <w:rFonts w:hint="default" w:ascii="Wingdings" w:hAnsi="Wingdings"/>
      </w:rPr>
    </w:lvl>
    <w:lvl w:ilvl="3" w:tplc="A26A6ADA">
      <w:start w:val="1"/>
      <w:numFmt w:val="bullet"/>
      <w:lvlText w:val=""/>
      <w:lvlJc w:val="left"/>
      <w:pPr>
        <w:ind w:left="2880" w:hanging="360"/>
      </w:pPr>
      <w:rPr>
        <w:rFonts w:hint="default" w:ascii="Symbol" w:hAnsi="Symbol"/>
      </w:rPr>
    </w:lvl>
    <w:lvl w:ilvl="4" w:tplc="A2865FF8">
      <w:start w:val="1"/>
      <w:numFmt w:val="bullet"/>
      <w:lvlText w:val="o"/>
      <w:lvlJc w:val="left"/>
      <w:pPr>
        <w:ind w:left="3600" w:hanging="360"/>
      </w:pPr>
      <w:rPr>
        <w:rFonts w:hint="default" w:ascii="Courier New" w:hAnsi="Courier New"/>
      </w:rPr>
    </w:lvl>
    <w:lvl w:ilvl="5" w:tplc="47060242">
      <w:start w:val="1"/>
      <w:numFmt w:val="bullet"/>
      <w:lvlText w:val=""/>
      <w:lvlJc w:val="left"/>
      <w:pPr>
        <w:ind w:left="4320" w:hanging="360"/>
      </w:pPr>
      <w:rPr>
        <w:rFonts w:hint="default" w:ascii="Wingdings" w:hAnsi="Wingdings"/>
      </w:rPr>
    </w:lvl>
    <w:lvl w:ilvl="6" w:tplc="F97E15C2">
      <w:start w:val="1"/>
      <w:numFmt w:val="bullet"/>
      <w:lvlText w:val=""/>
      <w:lvlJc w:val="left"/>
      <w:pPr>
        <w:ind w:left="5040" w:hanging="360"/>
      </w:pPr>
      <w:rPr>
        <w:rFonts w:hint="default" w:ascii="Symbol" w:hAnsi="Symbol"/>
      </w:rPr>
    </w:lvl>
    <w:lvl w:ilvl="7" w:tplc="2280FEEC">
      <w:start w:val="1"/>
      <w:numFmt w:val="bullet"/>
      <w:lvlText w:val="o"/>
      <w:lvlJc w:val="left"/>
      <w:pPr>
        <w:ind w:left="5760" w:hanging="360"/>
      </w:pPr>
      <w:rPr>
        <w:rFonts w:hint="default" w:ascii="Courier New" w:hAnsi="Courier New"/>
      </w:rPr>
    </w:lvl>
    <w:lvl w:ilvl="8" w:tplc="2B76BFF8">
      <w:start w:val="1"/>
      <w:numFmt w:val="bullet"/>
      <w:lvlText w:val=""/>
      <w:lvlJc w:val="left"/>
      <w:pPr>
        <w:ind w:left="6480" w:hanging="360"/>
      </w:pPr>
      <w:rPr>
        <w:rFonts w:hint="default" w:ascii="Wingdings" w:hAnsi="Wingdings"/>
      </w:rPr>
    </w:lvl>
  </w:abstractNum>
  <w:abstractNum w:abstractNumId="45" w15:restartNumberingAfterBreak="0">
    <w:nsid w:val="7346855F"/>
    <w:multiLevelType w:val="multilevel"/>
    <w:tmpl w:val="FFFFFFFF"/>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76C71175"/>
    <w:multiLevelType w:val="hybridMultilevel"/>
    <w:tmpl w:val="D2882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E7702C"/>
    <w:multiLevelType w:val="hybridMultilevel"/>
    <w:tmpl w:val="47EE03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ACB2156"/>
    <w:multiLevelType w:val="hybridMultilevel"/>
    <w:tmpl w:val="9A46ED9A"/>
    <w:lvl w:ilvl="0" w:tplc="F5346C56">
      <w:start w:val="1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B5F3A76"/>
    <w:multiLevelType w:val="hybridMultilevel"/>
    <w:tmpl w:val="F96EA8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7612031">
    <w:abstractNumId w:val="41"/>
  </w:num>
  <w:num w:numId="2" w16cid:durableId="516963044">
    <w:abstractNumId w:val="24"/>
  </w:num>
  <w:num w:numId="3" w16cid:durableId="1183397702">
    <w:abstractNumId w:val="1"/>
  </w:num>
  <w:num w:numId="4" w16cid:durableId="1315063852">
    <w:abstractNumId w:val="17"/>
  </w:num>
  <w:num w:numId="5" w16cid:durableId="910627168">
    <w:abstractNumId w:val="39"/>
  </w:num>
  <w:num w:numId="6" w16cid:durableId="1441491218">
    <w:abstractNumId w:val="22"/>
  </w:num>
  <w:num w:numId="7" w16cid:durableId="1547137026">
    <w:abstractNumId w:val="25"/>
  </w:num>
  <w:num w:numId="8" w16cid:durableId="1776631928">
    <w:abstractNumId w:val="8"/>
  </w:num>
  <w:num w:numId="9" w16cid:durableId="1851338002">
    <w:abstractNumId w:val="44"/>
  </w:num>
  <w:num w:numId="10" w16cid:durableId="1602643484">
    <w:abstractNumId w:val="19"/>
  </w:num>
  <w:num w:numId="11" w16cid:durableId="476263862">
    <w:abstractNumId w:val="15"/>
  </w:num>
  <w:num w:numId="12" w16cid:durableId="497574361">
    <w:abstractNumId w:val="23"/>
  </w:num>
  <w:num w:numId="13" w16cid:durableId="1510872749">
    <w:abstractNumId w:val="12"/>
  </w:num>
  <w:num w:numId="14" w16cid:durableId="1598714425">
    <w:abstractNumId w:val="45"/>
  </w:num>
  <w:num w:numId="15" w16cid:durableId="1048920116">
    <w:abstractNumId w:val="13"/>
  </w:num>
  <w:num w:numId="16" w16cid:durableId="714812672">
    <w:abstractNumId w:val="32"/>
  </w:num>
  <w:num w:numId="17" w16cid:durableId="748505300">
    <w:abstractNumId w:val="21"/>
  </w:num>
  <w:num w:numId="18" w16cid:durableId="1302731980">
    <w:abstractNumId w:val="28"/>
  </w:num>
  <w:num w:numId="19" w16cid:durableId="554388160">
    <w:abstractNumId w:val="14"/>
  </w:num>
  <w:num w:numId="20" w16cid:durableId="1329014394">
    <w:abstractNumId w:val="11"/>
  </w:num>
  <w:num w:numId="21" w16cid:durableId="611786646">
    <w:abstractNumId w:val="26"/>
  </w:num>
  <w:num w:numId="22" w16cid:durableId="1876309383">
    <w:abstractNumId w:val="35"/>
  </w:num>
  <w:num w:numId="23" w16cid:durableId="663512441">
    <w:abstractNumId w:val="29"/>
  </w:num>
  <w:num w:numId="24" w16cid:durableId="1151478597">
    <w:abstractNumId w:val="37"/>
  </w:num>
  <w:num w:numId="25" w16cid:durableId="261688126">
    <w:abstractNumId w:val="30"/>
  </w:num>
  <w:num w:numId="26" w16cid:durableId="1621692405">
    <w:abstractNumId w:val="33"/>
  </w:num>
  <w:num w:numId="27" w16cid:durableId="40331707">
    <w:abstractNumId w:val="18"/>
  </w:num>
  <w:num w:numId="28" w16cid:durableId="1114904581">
    <w:abstractNumId w:val="40"/>
  </w:num>
  <w:num w:numId="29" w16cid:durableId="1337003774">
    <w:abstractNumId w:val="27"/>
  </w:num>
  <w:num w:numId="30" w16cid:durableId="712386986">
    <w:abstractNumId w:val="5"/>
  </w:num>
  <w:num w:numId="31" w16cid:durableId="1291010101">
    <w:abstractNumId w:val="31"/>
  </w:num>
  <w:num w:numId="32" w16cid:durableId="1986929532">
    <w:abstractNumId w:val="47"/>
  </w:num>
  <w:num w:numId="33" w16cid:durableId="1218128461">
    <w:abstractNumId w:val="46"/>
  </w:num>
  <w:num w:numId="34" w16cid:durableId="1554808810">
    <w:abstractNumId w:val="2"/>
  </w:num>
  <w:num w:numId="35" w16cid:durableId="1903175677">
    <w:abstractNumId w:val="38"/>
  </w:num>
  <w:num w:numId="36" w16cid:durableId="341246995">
    <w:abstractNumId w:val="49"/>
  </w:num>
  <w:num w:numId="37" w16cid:durableId="247924866">
    <w:abstractNumId w:val="10"/>
  </w:num>
  <w:num w:numId="38" w16cid:durableId="1689599540">
    <w:abstractNumId w:val="0"/>
  </w:num>
  <w:num w:numId="39" w16cid:durableId="1363819270">
    <w:abstractNumId w:val="20"/>
  </w:num>
  <w:num w:numId="40" w16cid:durableId="700013703">
    <w:abstractNumId w:val="6"/>
  </w:num>
  <w:num w:numId="41" w16cid:durableId="1008952">
    <w:abstractNumId w:val="4"/>
  </w:num>
  <w:num w:numId="42" w16cid:durableId="83383681">
    <w:abstractNumId w:val="48"/>
  </w:num>
  <w:num w:numId="43" w16cid:durableId="1559047170">
    <w:abstractNumId w:val="9"/>
  </w:num>
  <w:num w:numId="44" w16cid:durableId="1613631851">
    <w:abstractNumId w:val="7"/>
  </w:num>
  <w:num w:numId="45" w16cid:durableId="1732847927">
    <w:abstractNumId w:val="43"/>
  </w:num>
  <w:num w:numId="46" w16cid:durableId="1850363800">
    <w:abstractNumId w:val="34"/>
  </w:num>
  <w:num w:numId="47" w16cid:durableId="925917306">
    <w:abstractNumId w:val="3"/>
  </w:num>
  <w:num w:numId="48" w16cid:durableId="1386369048">
    <w:abstractNumId w:val="36"/>
  </w:num>
  <w:num w:numId="49" w16cid:durableId="993795971">
    <w:abstractNumId w:val="16"/>
  </w:num>
  <w:num w:numId="50" w16cid:durableId="683673184">
    <w:abstractNumId w:val="4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EF0"/>
    <w:rsid w:val="00000FE6"/>
    <w:rsid w:val="0000112C"/>
    <w:rsid w:val="0000189A"/>
    <w:rsid w:val="00001D44"/>
    <w:rsid w:val="0000215C"/>
    <w:rsid w:val="0000238C"/>
    <w:rsid w:val="00002738"/>
    <w:rsid w:val="00002A13"/>
    <w:rsid w:val="000030F0"/>
    <w:rsid w:val="00003398"/>
    <w:rsid w:val="00003E02"/>
    <w:rsid w:val="00004515"/>
    <w:rsid w:val="00004B6C"/>
    <w:rsid w:val="00004CBD"/>
    <w:rsid w:val="00004E04"/>
    <w:rsid w:val="000059CC"/>
    <w:rsid w:val="00005F76"/>
    <w:rsid w:val="000072A4"/>
    <w:rsid w:val="000074CC"/>
    <w:rsid w:val="000076ED"/>
    <w:rsid w:val="00007BEB"/>
    <w:rsid w:val="00007C7A"/>
    <w:rsid w:val="00010168"/>
    <w:rsid w:val="000101DE"/>
    <w:rsid w:val="00010413"/>
    <w:rsid w:val="000107E3"/>
    <w:rsid w:val="00010DD2"/>
    <w:rsid w:val="00010F20"/>
    <w:rsid w:val="00011102"/>
    <w:rsid w:val="000111DB"/>
    <w:rsid w:val="0001145C"/>
    <w:rsid w:val="00012100"/>
    <w:rsid w:val="000121DD"/>
    <w:rsid w:val="00012956"/>
    <w:rsid w:val="00012CDB"/>
    <w:rsid w:val="0001326A"/>
    <w:rsid w:val="0001348A"/>
    <w:rsid w:val="0001397E"/>
    <w:rsid w:val="00013AAB"/>
    <w:rsid w:val="00013B96"/>
    <w:rsid w:val="00014482"/>
    <w:rsid w:val="000145B6"/>
    <w:rsid w:val="00014861"/>
    <w:rsid w:val="000150F0"/>
    <w:rsid w:val="000156FD"/>
    <w:rsid w:val="00015A27"/>
    <w:rsid w:val="00015BAE"/>
    <w:rsid w:val="00015DEF"/>
    <w:rsid w:val="000164FD"/>
    <w:rsid w:val="00016629"/>
    <w:rsid w:val="00016D1C"/>
    <w:rsid w:val="00017058"/>
    <w:rsid w:val="00017800"/>
    <w:rsid w:val="00017E28"/>
    <w:rsid w:val="000200DD"/>
    <w:rsid w:val="000203AB"/>
    <w:rsid w:val="00020570"/>
    <w:rsid w:val="000208A6"/>
    <w:rsid w:val="00020937"/>
    <w:rsid w:val="00020A71"/>
    <w:rsid w:val="00021114"/>
    <w:rsid w:val="00021345"/>
    <w:rsid w:val="0002157B"/>
    <w:rsid w:val="000217CF"/>
    <w:rsid w:val="00021C62"/>
    <w:rsid w:val="00021D32"/>
    <w:rsid w:val="00021DC8"/>
    <w:rsid w:val="000222DD"/>
    <w:rsid w:val="00022594"/>
    <w:rsid w:val="0002289D"/>
    <w:rsid w:val="00022ECC"/>
    <w:rsid w:val="000231EE"/>
    <w:rsid w:val="000233CB"/>
    <w:rsid w:val="0002345E"/>
    <w:rsid w:val="0002364D"/>
    <w:rsid w:val="00023D15"/>
    <w:rsid w:val="00023E5D"/>
    <w:rsid w:val="000240AA"/>
    <w:rsid w:val="00025188"/>
    <w:rsid w:val="000252B9"/>
    <w:rsid w:val="00025629"/>
    <w:rsid w:val="00025D8D"/>
    <w:rsid w:val="00026025"/>
    <w:rsid w:val="00026155"/>
    <w:rsid w:val="000261B9"/>
    <w:rsid w:val="00026410"/>
    <w:rsid w:val="00026792"/>
    <w:rsid w:val="000269FA"/>
    <w:rsid w:val="00027270"/>
    <w:rsid w:val="000273C4"/>
    <w:rsid w:val="000277AF"/>
    <w:rsid w:val="000278C2"/>
    <w:rsid w:val="00027946"/>
    <w:rsid w:val="00027CC4"/>
    <w:rsid w:val="00027F25"/>
    <w:rsid w:val="000307BD"/>
    <w:rsid w:val="0003082F"/>
    <w:rsid w:val="00030BAE"/>
    <w:rsid w:val="00030E8F"/>
    <w:rsid w:val="000310DF"/>
    <w:rsid w:val="00031402"/>
    <w:rsid w:val="000315B6"/>
    <w:rsid w:val="00031747"/>
    <w:rsid w:val="000318C0"/>
    <w:rsid w:val="00031A50"/>
    <w:rsid w:val="00031AA8"/>
    <w:rsid w:val="00031C53"/>
    <w:rsid w:val="0003219F"/>
    <w:rsid w:val="000323F5"/>
    <w:rsid w:val="00032698"/>
    <w:rsid w:val="000327E1"/>
    <w:rsid w:val="00032ECE"/>
    <w:rsid w:val="00033D44"/>
    <w:rsid w:val="00033F05"/>
    <w:rsid w:val="000340F1"/>
    <w:rsid w:val="00034A1D"/>
    <w:rsid w:val="00034BE8"/>
    <w:rsid w:val="00034E22"/>
    <w:rsid w:val="000351EB"/>
    <w:rsid w:val="00035643"/>
    <w:rsid w:val="00035972"/>
    <w:rsid w:val="00035D10"/>
    <w:rsid w:val="00035EEC"/>
    <w:rsid w:val="00036558"/>
    <w:rsid w:val="000365B8"/>
    <w:rsid w:val="00036899"/>
    <w:rsid w:val="00036B54"/>
    <w:rsid w:val="0003742F"/>
    <w:rsid w:val="00037AEC"/>
    <w:rsid w:val="00037D9C"/>
    <w:rsid w:val="00037FCE"/>
    <w:rsid w:val="00040124"/>
    <w:rsid w:val="00040631"/>
    <w:rsid w:val="0004077C"/>
    <w:rsid w:val="00040A4F"/>
    <w:rsid w:val="00040DF5"/>
    <w:rsid w:val="00040F89"/>
    <w:rsid w:val="000418F7"/>
    <w:rsid w:val="00041CD6"/>
    <w:rsid w:val="000421AB"/>
    <w:rsid w:val="000425EB"/>
    <w:rsid w:val="00042CDC"/>
    <w:rsid w:val="00042E01"/>
    <w:rsid w:val="00043002"/>
    <w:rsid w:val="00043969"/>
    <w:rsid w:val="00043E37"/>
    <w:rsid w:val="000442FF"/>
    <w:rsid w:val="000443D8"/>
    <w:rsid w:val="00044729"/>
    <w:rsid w:val="000447BD"/>
    <w:rsid w:val="000449AF"/>
    <w:rsid w:val="0004501C"/>
    <w:rsid w:val="00045108"/>
    <w:rsid w:val="0004522F"/>
    <w:rsid w:val="00045326"/>
    <w:rsid w:val="00045ABE"/>
    <w:rsid w:val="00045BA2"/>
    <w:rsid w:val="00046B11"/>
    <w:rsid w:val="0004779F"/>
    <w:rsid w:val="00047956"/>
    <w:rsid w:val="00047A1F"/>
    <w:rsid w:val="00047FE1"/>
    <w:rsid w:val="000504A7"/>
    <w:rsid w:val="00050EF4"/>
    <w:rsid w:val="00050F21"/>
    <w:rsid w:val="000512A1"/>
    <w:rsid w:val="00051F9F"/>
    <w:rsid w:val="00052560"/>
    <w:rsid w:val="00052BB0"/>
    <w:rsid w:val="00053AFB"/>
    <w:rsid w:val="00053B60"/>
    <w:rsid w:val="000541CD"/>
    <w:rsid w:val="00054BC1"/>
    <w:rsid w:val="000556EE"/>
    <w:rsid w:val="00055931"/>
    <w:rsid w:val="00055C49"/>
    <w:rsid w:val="00055DB0"/>
    <w:rsid w:val="000561E3"/>
    <w:rsid w:val="00056200"/>
    <w:rsid w:val="00056924"/>
    <w:rsid w:val="00056F34"/>
    <w:rsid w:val="00057D14"/>
    <w:rsid w:val="00060D56"/>
    <w:rsid w:val="00061689"/>
    <w:rsid w:val="00061942"/>
    <w:rsid w:val="00061D0E"/>
    <w:rsid w:val="00061E43"/>
    <w:rsid w:val="00061EF6"/>
    <w:rsid w:val="00061F9D"/>
    <w:rsid w:val="0006241F"/>
    <w:rsid w:val="000625FD"/>
    <w:rsid w:val="0006295E"/>
    <w:rsid w:val="00062B1B"/>
    <w:rsid w:val="000630C0"/>
    <w:rsid w:val="00063412"/>
    <w:rsid w:val="0006385E"/>
    <w:rsid w:val="00063A94"/>
    <w:rsid w:val="00063AC8"/>
    <w:rsid w:val="00063CBC"/>
    <w:rsid w:val="00064069"/>
    <w:rsid w:val="00064A60"/>
    <w:rsid w:val="00064AEB"/>
    <w:rsid w:val="0006556E"/>
    <w:rsid w:val="0006612D"/>
    <w:rsid w:val="0006629D"/>
    <w:rsid w:val="000662F2"/>
    <w:rsid w:val="0006637C"/>
    <w:rsid w:val="0006686F"/>
    <w:rsid w:val="00066E23"/>
    <w:rsid w:val="00067061"/>
    <w:rsid w:val="0006711D"/>
    <w:rsid w:val="000671DE"/>
    <w:rsid w:val="000674F9"/>
    <w:rsid w:val="0006796D"/>
    <w:rsid w:val="00067BB4"/>
    <w:rsid w:val="0007028B"/>
    <w:rsid w:val="00070445"/>
    <w:rsid w:val="000708FB"/>
    <w:rsid w:val="00070AD8"/>
    <w:rsid w:val="00070C51"/>
    <w:rsid w:val="00071640"/>
    <w:rsid w:val="00071A30"/>
    <w:rsid w:val="00071C53"/>
    <w:rsid w:val="00071DF8"/>
    <w:rsid w:val="00071FE1"/>
    <w:rsid w:val="000720C2"/>
    <w:rsid w:val="000724BE"/>
    <w:rsid w:val="000725E0"/>
    <w:rsid w:val="00072723"/>
    <w:rsid w:val="00072751"/>
    <w:rsid w:val="00072DBA"/>
    <w:rsid w:val="00073276"/>
    <w:rsid w:val="00074222"/>
    <w:rsid w:val="000742FD"/>
    <w:rsid w:val="00074382"/>
    <w:rsid w:val="0007485D"/>
    <w:rsid w:val="0007497B"/>
    <w:rsid w:val="00075575"/>
    <w:rsid w:val="00075AC1"/>
    <w:rsid w:val="00075B50"/>
    <w:rsid w:val="00075F7C"/>
    <w:rsid w:val="00076485"/>
    <w:rsid w:val="0007650E"/>
    <w:rsid w:val="00076FD0"/>
    <w:rsid w:val="000771F2"/>
    <w:rsid w:val="00077722"/>
    <w:rsid w:val="00077B56"/>
    <w:rsid w:val="00080077"/>
    <w:rsid w:val="00080399"/>
    <w:rsid w:val="000803DF"/>
    <w:rsid w:val="00080C85"/>
    <w:rsid w:val="00080EEA"/>
    <w:rsid w:val="0008125F"/>
    <w:rsid w:val="0008158A"/>
    <w:rsid w:val="0008189F"/>
    <w:rsid w:val="00081B92"/>
    <w:rsid w:val="00081DED"/>
    <w:rsid w:val="00081E66"/>
    <w:rsid w:val="000822D8"/>
    <w:rsid w:val="0008260E"/>
    <w:rsid w:val="0008262D"/>
    <w:rsid w:val="00082662"/>
    <w:rsid w:val="00082674"/>
    <w:rsid w:val="00082E63"/>
    <w:rsid w:val="00082EA5"/>
    <w:rsid w:val="0008305C"/>
    <w:rsid w:val="00083122"/>
    <w:rsid w:val="00083964"/>
    <w:rsid w:val="00083E43"/>
    <w:rsid w:val="000840A4"/>
    <w:rsid w:val="00084B35"/>
    <w:rsid w:val="00085C4C"/>
    <w:rsid w:val="00086040"/>
    <w:rsid w:val="000862FC"/>
    <w:rsid w:val="00086695"/>
    <w:rsid w:val="0008690A"/>
    <w:rsid w:val="00086B77"/>
    <w:rsid w:val="00086E32"/>
    <w:rsid w:val="00087159"/>
    <w:rsid w:val="000878B4"/>
    <w:rsid w:val="00087D12"/>
    <w:rsid w:val="00087E06"/>
    <w:rsid w:val="00087F74"/>
    <w:rsid w:val="00090217"/>
    <w:rsid w:val="00090C62"/>
    <w:rsid w:val="00090C8F"/>
    <w:rsid w:val="00090D19"/>
    <w:rsid w:val="00090D8E"/>
    <w:rsid w:val="00091BBF"/>
    <w:rsid w:val="0009202C"/>
    <w:rsid w:val="00092737"/>
    <w:rsid w:val="00092B31"/>
    <w:rsid w:val="00092E2A"/>
    <w:rsid w:val="0009348A"/>
    <w:rsid w:val="00093BCE"/>
    <w:rsid w:val="00093DE6"/>
    <w:rsid w:val="000944BB"/>
    <w:rsid w:val="000949D9"/>
    <w:rsid w:val="00095299"/>
    <w:rsid w:val="000952FF"/>
    <w:rsid w:val="000959BB"/>
    <w:rsid w:val="00095D89"/>
    <w:rsid w:val="00095E78"/>
    <w:rsid w:val="00095EE0"/>
    <w:rsid w:val="0009649D"/>
    <w:rsid w:val="00096630"/>
    <w:rsid w:val="000967F8"/>
    <w:rsid w:val="0009698E"/>
    <w:rsid w:val="00096EA3"/>
    <w:rsid w:val="000970B9"/>
    <w:rsid w:val="00097648"/>
    <w:rsid w:val="00097725"/>
    <w:rsid w:val="00097D56"/>
    <w:rsid w:val="00097E61"/>
    <w:rsid w:val="000A08E4"/>
    <w:rsid w:val="000A0938"/>
    <w:rsid w:val="000A0A91"/>
    <w:rsid w:val="000A1213"/>
    <w:rsid w:val="000A13D4"/>
    <w:rsid w:val="000A1BCB"/>
    <w:rsid w:val="000A21AA"/>
    <w:rsid w:val="000A2515"/>
    <w:rsid w:val="000A2582"/>
    <w:rsid w:val="000A2AD4"/>
    <w:rsid w:val="000A2D5E"/>
    <w:rsid w:val="000A2D66"/>
    <w:rsid w:val="000A2FC2"/>
    <w:rsid w:val="000A320D"/>
    <w:rsid w:val="000A3227"/>
    <w:rsid w:val="000A4120"/>
    <w:rsid w:val="000A4281"/>
    <w:rsid w:val="000A44D1"/>
    <w:rsid w:val="000A46A3"/>
    <w:rsid w:val="000A47F0"/>
    <w:rsid w:val="000A4885"/>
    <w:rsid w:val="000A489A"/>
    <w:rsid w:val="000A4B95"/>
    <w:rsid w:val="000A54F3"/>
    <w:rsid w:val="000A552F"/>
    <w:rsid w:val="000A576F"/>
    <w:rsid w:val="000A59C1"/>
    <w:rsid w:val="000A5AB2"/>
    <w:rsid w:val="000A5D80"/>
    <w:rsid w:val="000A5F23"/>
    <w:rsid w:val="000A600B"/>
    <w:rsid w:val="000A6A2E"/>
    <w:rsid w:val="000A6CFA"/>
    <w:rsid w:val="000A6D49"/>
    <w:rsid w:val="000A70DB"/>
    <w:rsid w:val="000A72CA"/>
    <w:rsid w:val="000A7820"/>
    <w:rsid w:val="000A7831"/>
    <w:rsid w:val="000A7C2B"/>
    <w:rsid w:val="000A7DE7"/>
    <w:rsid w:val="000B0773"/>
    <w:rsid w:val="000B07E4"/>
    <w:rsid w:val="000B07F3"/>
    <w:rsid w:val="000B0CAB"/>
    <w:rsid w:val="000B1A23"/>
    <w:rsid w:val="000B1BBE"/>
    <w:rsid w:val="000B1DEA"/>
    <w:rsid w:val="000B1EFE"/>
    <w:rsid w:val="000B21AE"/>
    <w:rsid w:val="000B21EE"/>
    <w:rsid w:val="000B300D"/>
    <w:rsid w:val="000B30A1"/>
    <w:rsid w:val="000B385F"/>
    <w:rsid w:val="000B3A16"/>
    <w:rsid w:val="000B3A70"/>
    <w:rsid w:val="000B3B3A"/>
    <w:rsid w:val="000B3BA3"/>
    <w:rsid w:val="000B420B"/>
    <w:rsid w:val="000B439C"/>
    <w:rsid w:val="000B4474"/>
    <w:rsid w:val="000B4586"/>
    <w:rsid w:val="000B4746"/>
    <w:rsid w:val="000B4798"/>
    <w:rsid w:val="000B48D1"/>
    <w:rsid w:val="000B4995"/>
    <w:rsid w:val="000B50DD"/>
    <w:rsid w:val="000B54AB"/>
    <w:rsid w:val="000B54BB"/>
    <w:rsid w:val="000B554B"/>
    <w:rsid w:val="000B5A29"/>
    <w:rsid w:val="000B5C08"/>
    <w:rsid w:val="000B677B"/>
    <w:rsid w:val="000B67C6"/>
    <w:rsid w:val="000B68C9"/>
    <w:rsid w:val="000B6A16"/>
    <w:rsid w:val="000B6ABF"/>
    <w:rsid w:val="000B6C21"/>
    <w:rsid w:val="000B7B77"/>
    <w:rsid w:val="000B7BFD"/>
    <w:rsid w:val="000C005B"/>
    <w:rsid w:val="000C0163"/>
    <w:rsid w:val="000C08A9"/>
    <w:rsid w:val="000C09FB"/>
    <w:rsid w:val="000C0A51"/>
    <w:rsid w:val="000C0AA6"/>
    <w:rsid w:val="000C0DE9"/>
    <w:rsid w:val="000C103F"/>
    <w:rsid w:val="000C1601"/>
    <w:rsid w:val="000C1A8E"/>
    <w:rsid w:val="000C233D"/>
    <w:rsid w:val="000C23EC"/>
    <w:rsid w:val="000C2622"/>
    <w:rsid w:val="000C2765"/>
    <w:rsid w:val="000C2AED"/>
    <w:rsid w:val="000C2D1B"/>
    <w:rsid w:val="000C3175"/>
    <w:rsid w:val="000C3908"/>
    <w:rsid w:val="000C3AF2"/>
    <w:rsid w:val="000C3E55"/>
    <w:rsid w:val="000C4E62"/>
    <w:rsid w:val="000C5971"/>
    <w:rsid w:val="000C5A21"/>
    <w:rsid w:val="000C5FDC"/>
    <w:rsid w:val="000C6742"/>
    <w:rsid w:val="000C6D21"/>
    <w:rsid w:val="000C6E8F"/>
    <w:rsid w:val="000C786A"/>
    <w:rsid w:val="000D0595"/>
    <w:rsid w:val="000D067D"/>
    <w:rsid w:val="000D0DEE"/>
    <w:rsid w:val="000D0E3A"/>
    <w:rsid w:val="000D1045"/>
    <w:rsid w:val="000D14B2"/>
    <w:rsid w:val="000D1766"/>
    <w:rsid w:val="000D1953"/>
    <w:rsid w:val="000D2EF6"/>
    <w:rsid w:val="000D37E9"/>
    <w:rsid w:val="000D3ACC"/>
    <w:rsid w:val="000D3C2B"/>
    <w:rsid w:val="000D3FC4"/>
    <w:rsid w:val="000D4134"/>
    <w:rsid w:val="000D4135"/>
    <w:rsid w:val="000D4172"/>
    <w:rsid w:val="000D53EA"/>
    <w:rsid w:val="000D547C"/>
    <w:rsid w:val="000D57F1"/>
    <w:rsid w:val="000D58A2"/>
    <w:rsid w:val="000D5F20"/>
    <w:rsid w:val="000D6246"/>
    <w:rsid w:val="000D6C70"/>
    <w:rsid w:val="000D74D0"/>
    <w:rsid w:val="000D7556"/>
    <w:rsid w:val="000D7925"/>
    <w:rsid w:val="000E0247"/>
    <w:rsid w:val="000E05F7"/>
    <w:rsid w:val="000E0C6E"/>
    <w:rsid w:val="000E1829"/>
    <w:rsid w:val="000E18CF"/>
    <w:rsid w:val="000E1903"/>
    <w:rsid w:val="000E1A2E"/>
    <w:rsid w:val="000E1E22"/>
    <w:rsid w:val="000E2062"/>
    <w:rsid w:val="000E29AC"/>
    <w:rsid w:val="000E2A9B"/>
    <w:rsid w:val="000E2B23"/>
    <w:rsid w:val="000E30CA"/>
    <w:rsid w:val="000E4462"/>
    <w:rsid w:val="000E452B"/>
    <w:rsid w:val="000E4DD8"/>
    <w:rsid w:val="000E511D"/>
    <w:rsid w:val="000E5811"/>
    <w:rsid w:val="000E5B1D"/>
    <w:rsid w:val="000E5D03"/>
    <w:rsid w:val="000E5D22"/>
    <w:rsid w:val="000E5F70"/>
    <w:rsid w:val="000E6869"/>
    <w:rsid w:val="000E6D50"/>
    <w:rsid w:val="000E768A"/>
    <w:rsid w:val="000E79A8"/>
    <w:rsid w:val="000F0501"/>
    <w:rsid w:val="000F1426"/>
    <w:rsid w:val="000F1715"/>
    <w:rsid w:val="000F1FBE"/>
    <w:rsid w:val="000F23CD"/>
    <w:rsid w:val="000F2911"/>
    <w:rsid w:val="000F2F06"/>
    <w:rsid w:val="000F2F11"/>
    <w:rsid w:val="000F3A61"/>
    <w:rsid w:val="000F3B73"/>
    <w:rsid w:val="000F4347"/>
    <w:rsid w:val="000F4535"/>
    <w:rsid w:val="000F470D"/>
    <w:rsid w:val="000F476B"/>
    <w:rsid w:val="000F61FF"/>
    <w:rsid w:val="000F653C"/>
    <w:rsid w:val="000F654A"/>
    <w:rsid w:val="000F6C8A"/>
    <w:rsid w:val="000F6D42"/>
    <w:rsid w:val="000F7967"/>
    <w:rsid w:val="001002FF"/>
    <w:rsid w:val="00100986"/>
    <w:rsid w:val="00100C27"/>
    <w:rsid w:val="00100D54"/>
    <w:rsid w:val="00100F14"/>
    <w:rsid w:val="001014FF"/>
    <w:rsid w:val="0010161B"/>
    <w:rsid w:val="00101676"/>
    <w:rsid w:val="00101EE3"/>
    <w:rsid w:val="0010214E"/>
    <w:rsid w:val="001023E3"/>
    <w:rsid w:val="00102468"/>
    <w:rsid w:val="001024BF"/>
    <w:rsid w:val="00102BB6"/>
    <w:rsid w:val="00102CAA"/>
    <w:rsid w:val="00102CE1"/>
    <w:rsid w:val="0010427B"/>
    <w:rsid w:val="0010431B"/>
    <w:rsid w:val="001045B5"/>
    <w:rsid w:val="00104E88"/>
    <w:rsid w:val="00104E9D"/>
    <w:rsid w:val="00105538"/>
    <w:rsid w:val="001058A4"/>
    <w:rsid w:val="00105D6F"/>
    <w:rsid w:val="001066B5"/>
    <w:rsid w:val="00106707"/>
    <w:rsid w:val="001074F8"/>
    <w:rsid w:val="0010755F"/>
    <w:rsid w:val="001079BF"/>
    <w:rsid w:val="00107F5D"/>
    <w:rsid w:val="00110058"/>
    <w:rsid w:val="00110603"/>
    <w:rsid w:val="00110C2A"/>
    <w:rsid w:val="001114C2"/>
    <w:rsid w:val="00111681"/>
    <w:rsid w:val="001119FF"/>
    <w:rsid w:val="00111D69"/>
    <w:rsid w:val="00111EEC"/>
    <w:rsid w:val="0011247C"/>
    <w:rsid w:val="00112C14"/>
    <w:rsid w:val="00112E33"/>
    <w:rsid w:val="00113865"/>
    <w:rsid w:val="001139C3"/>
    <w:rsid w:val="00113ABF"/>
    <w:rsid w:val="00113E9A"/>
    <w:rsid w:val="001142FD"/>
    <w:rsid w:val="001146F0"/>
    <w:rsid w:val="001149BC"/>
    <w:rsid w:val="00114A33"/>
    <w:rsid w:val="00114AF3"/>
    <w:rsid w:val="00114DD5"/>
    <w:rsid w:val="00114F4D"/>
    <w:rsid w:val="00115416"/>
    <w:rsid w:val="001155F5"/>
    <w:rsid w:val="00116066"/>
    <w:rsid w:val="001166EF"/>
    <w:rsid w:val="00116D0F"/>
    <w:rsid w:val="0011722F"/>
    <w:rsid w:val="00117BD4"/>
    <w:rsid w:val="001203BB"/>
    <w:rsid w:val="001205D1"/>
    <w:rsid w:val="00120AC0"/>
    <w:rsid w:val="00120BCE"/>
    <w:rsid w:val="00120C22"/>
    <w:rsid w:val="0012134A"/>
    <w:rsid w:val="001219E2"/>
    <w:rsid w:val="00121AFD"/>
    <w:rsid w:val="0012214C"/>
    <w:rsid w:val="00122C9A"/>
    <w:rsid w:val="00122CE8"/>
    <w:rsid w:val="00122DF6"/>
    <w:rsid w:val="0012358C"/>
    <w:rsid w:val="0012381F"/>
    <w:rsid w:val="00123B56"/>
    <w:rsid w:val="00124010"/>
    <w:rsid w:val="001241E2"/>
    <w:rsid w:val="00124247"/>
    <w:rsid w:val="001242D9"/>
    <w:rsid w:val="00124E7D"/>
    <w:rsid w:val="0012513F"/>
    <w:rsid w:val="00125628"/>
    <w:rsid w:val="00125739"/>
    <w:rsid w:val="001257A4"/>
    <w:rsid w:val="00125931"/>
    <w:rsid w:val="00125DAA"/>
    <w:rsid w:val="0012623C"/>
    <w:rsid w:val="00126AFF"/>
    <w:rsid w:val="00126E4A"/>
    <w:rsid w:val="0012742A"/>
    <w:rsid w:val="00127A0E"/>
    <w:rsid w:val="0013005D"/>
    <w:rsid w:val="00130371"/>
    <w:rsid w:val="00130648"/>
    <w:rsid w:val="00130E2D"/>
    <w:rsid w:val="00130F04"/>
    <w:rsid w:val="00130FE2"/>
    <w:rsid w:val="00131122"/>
    <w:rsid w:val="00131CBD"/>
    <w:rsid w:val="00132014"/>
    <w:rsid w:val="0013220F"/>
    <w:rsid w:val="001322DA"/>
    <w:rsid w:val="00132771"/>
    <w:rsid w:val="00132F6E"/>
    <w:rsid w:val="001330CE"/>
    <w:rsid w:val="001331FC"/>
    <w:rsid w:val="00133268"/>
    <w:rsid w:val="001333E9"/>
    <w:rsid w:val="00133487"/>
    <w:rsid w:val="001334B1"/>
    <w:rsid w:val="001335D8"/>
    <w:rsid w:val="001336A2"/>
    <w:rsid w:val="0013385D"/>
    <w:rsid w:val="00133942"/>
    <w:rsid w:val="00134208"/>
    <w:rsid w:val="00134A87"/>
    <w:rsid w:val="00134C86"/>
    <w:rsid w:val="0013503F"/>
    <w:rsid w:val="0013538F"/>
    <w:rsid w:val="001356EA"/>
    <w:rsid w:val="0013600B"/>
    <w:rsid w:val="001362D3"/>
    <w:rsid w:val="001368A4"/>
    <w:rsid w:val="00136D29"/>
    <w:rsid w:val="00136DCF"/>
    <w:rsid w:val="00136E4A"/>
    <w:rsid w:val="00137025"/>
    <w:rsid w:val="00137258"/>
    <w:rsid w:val="0013756D"/>
    <w:rsid w:val="00137880"/>
    <w:rsid w:val="00137A2C"/>
    <w:rsid w:val="00137F57"/>
    <w:rsid w:val="00140539"/>
    <w:rsid w:val="0014104F"/>
    <w:rsid w:val="001410AF"/>
    <w:rsid w:val="001416FF"/>
    <w:rsid w:val="0014199C"/>
    <w:rsid w:val="00141B20"/>
    <w:rsid w:val="00141D54"/>
    <w:rsid w:val="001422C6"/>
    <w:rsid w:val="00142A3E"/>
    <w:rsid w:val="00142C79"/>
    <w:rsid w:val="00142E4A"/>
    <w:rsid w:val="00142EE3"/>
    <w:rsid w:val="00143099"/>
    <w:rsid w:val="001433C9"/>
    <w:rsid w:val="001443FC"/>
    <w:rsid w:val="00144766"/>
    <w:rsid w:val="001448B9"/>
    <w:rsid w:val="00144CBB"/>
    <w:rsid w:val="00144DBE"/>
    <w:rsid w:val="00145347"/>
    <w:rsid w:val="00145406"/>
    <w:rsid w:val="00145640"/>
    <w:rsid w:val="00145745"/>
    <w:rsid w:val="00146258"/>
    <w:rsid w:val="00146C64"/>
    <w:rsid w:val="001474BE"/>
    <w:rsid w:val="00147982"/>
    <w:rsid w:val="00147A62"/>
    <w:rsid w:val="00147B39"/>
    <w:rsid w:val="001500C5"/>
    <w:rsid w:val="00150463"/>
    <w:rsid w:val="001504A1"/>
    <w:rsid w:val="00150753"/>
    <w:rsid w:val="00151180"/>
    <w:rsid w:val="001521CB"/>
    <w:rsid w:val="00152714"/>
    <w:rsid w:val="0015309B"/>
    <w:rsid w:val="00153117"/>
    <w:rsid w:val="00153172"/>
    <w:rsid w:val="001533EB"/>
    <w:rsid w:val="001534BF"/>
    <w:rsid w:val="001536D6"/>
    <w:rsid w:val="00153854"/>
    <w:rsid w:val="00153926"/>
    <w:rsid w:val="00154066"/>
    <w:rsid w:val="00154C01"/>
    <w:rsid w:val="00154C14"/>
    <w:rsid w:val="001551CC"/>
    <w:rsid w:val="001553A0"/>
    <w:rsid w:val="001553BD"/>
    <w:rsid w:val="00155DE9"/>
    <w:rsid w:val="00155FF9"/>
    <w:rsid w:val="001565B0"/>
    <w:rsid w:val="00156609"/>
    <w:rsid w:val="00157103"/>
    <w:rsid w:val="00157C44"/>
    <w:rsid w:val="0015D8BE"/>
    <w:rsid w:val="0015FC87"/>
    <w:rsid w:val="001601CD"/>
    <w:rsid w:val="00160339"/>
    <w:rsid w:val="0016045C"/>
    <w:rsid w:val="001604D9"/>
    <w:rsid w:val="00160678"/>
    <w:rsid w:val="0016070C"/>
    <w:rsid w:val="00160811"/>
    <w:rsid w:val="00160936"/>
    <w:rsid w:val="00160B69"/>
    <w:rsid w:val="00160BB3"/>
    <w:rsid w:val="00160C7D"/>
    <w:rsid w:val="00160D24"/>
    <w:rsid w:val="0016149B"/>
    <w:rsid w:val="001617DB"/>
    <w:rsid w:val="0016225C"/>
    <w:rsid w:val="00162AF3"/>
    <w:rsid w:val="00162B8D"/>
    <w:rsid w:val="00163381"/>
    <w:rsid w:val="00163AB7"/>
    <w:rsid w:val="00164467"/>
    <w:rsid w:val="00164AD3"/>
    <w:rsid w:val="00164DDC"/>
    <w:rsid w:val="00164F91"/>
    <w:rsid w:val="001653B7"/>
    <w:rsid w:val="00165713"/>
    <w:rsid w:val="00165A85"/>
    <w:rsid w:val="00165BDC"/>
    <w:rsid w:val="00165F0C"/>
    <w:rsid w:val="001661E8"/>
    <w:rsid w:val="001661F3"/>
    <w:rsid w:val="0016670D"/>
    <w:rsid w:val="001667C1"/>
    <w:rsid w:val="00166895"/>
    <w:rsid w:val="00167139"/>
    <w:rsid w:val="001678E9"/>
    <w:rsid w:val="00167BFE"/>
    <w:rsid w:val="00170359"/>
    <w:rsid w:val="00170847"/>
    <w:rsid w:val="0017171B"/>
    <w:rsid w:val="00171924"/>
    <w:rsid w:val="00171C32"/>
    <w:rsid w:val="00172055"/>
    <w:rsid w:val="0017215A"/>
    <w:rsid w:val="00172735"/>
    <w:rsid w:val="00172753"/>
    <w:rsid w:val="00172C96"/>
    <w:rsid w:val="001730F1"/>
    <w:rsid w:val="001739FD"/>
    <w:rsid w:val="00173B35"/>
    <w:rsid w:val="00173C3C"/>
    <w:rsid w:val="001743B5"/>
    <w:rsid w:val="00174526"/>
    <w:rsid w:val="0017475C"/>
    <w:rsid w:val="00175608"/>
    <w:rsid w:val="00175D38"/>
    <w:rsid w:val="00175D81"/>
    <w:rsid w:val="00175E2B"/>
    <w:rsid w:val="00176BB3"/>
    <w:rsid w:val="00176E30"/>
    <w:rsid w:val="00176FBC"/>
    <w:rsid w:val="00176FE9"/>
    <w:rsid w:val="001776A0"/>
    <w:rsid w:val="0017798B"/>
    <w:rsid w:val="0018010D"/>
    <w:rsid w:val="00180126"/>
    <w:rsid w:val="001801B5"/>
    <w:rsid w:val="0018029A"/>
    <w:rsid w:val="001803DB"/>
    <w:rsid w:val="001809C4"/>
    <w:rsid w:val="00180E32"/>
    <w:rsid w:val="00180E9A"/>
    <w:rsid w:val="00180F29"/>
    <w:rsid w:val="00181AB6"/>
    <w:rsid w:val="00181FB6"/>
    <w:rsid w:val="00182663"/>
    <w:rsid w:val="001828CF"/>
    <w:rsid w:val="00182BD0"/>
    <w:rsid w:val="00183439"/>
    <w:rsid w:val="00183B18"/>
    <w:rsid w:val="00184278"/>
    <w:rsid w:val="0018458A"/>
    <w:rsid w:val="0018471E"/>
    <w:rsid w:val="0018482E"/>
    <w:rsid w:val="00184D43"/>
    <w:rsid w:val="0018553C"/>
    <w:rsid w:val="0018555F"/>
    <w:rsid w:val="00185E19"/>
    <w:rsid w:val="001862D5"/>
    <w:rsid w:val="00186920"/>
    <w:rsid w:val="00187851"/>
    <w:rsid w:val="00187853"/>
    <w:rsid w:val="00187998"/>
    <w:rsid w:val="00187FA8"/>
    <w:rsid w:val="0019025A"/>
    <w:rsid w:val="001907A9"/>
    <w:rsid w:val="00190836"/>
    <w:rsid w:val="001913CD"/>
    <w:rsid w:val="00191BB5"/>
    <w:rsid w:val="00192444"/>
    <w:rsid w:val="001926AE"/>
    <w:rsid w:val="00192BAD"/>
    <w:rsid w:val="001933C3"/>
    <w:rsid w:val="00193BEB"/>
    <w:rsid w:val="001946A7"/>
    <w:rsid w:val="00194881"/>
    <w:rsid w:val="00194889"/>
    <w:rsid w:val="00194BE7"/>
    <w:rsid w:val="001953AC"/>
    <w:rsid w:val="0019588C"/>
    <w:rsid w:val="00195BC9"/>
    <w:rsid w:val="00196218"/>
    <w:rsid w:val="0019651E"/>
    <w:rsid w:val="00196BA2"/>
    <w:rsid w:val="00196C3C"/>
    <w:rsid w:val="00197195"/>
    <w:rsid w:val="001975FE"/>
    <w:rsid w:val="001A0210"/>
    <w:rsid w:val="001A064A"/>
    <w:rsid w:val="001A13EA"/>
    <w:rsid w:val="001A140F"/>
    <w:rsid w:val="001A14F9"/>
    <w:rsid w:val="001A1A5F"/>
    <w:rsid w:val="001A1E09"/>
    <w:rsid w:val="001A1E88"/>
    <w:rsid w:val="001A28DA"/>
    <w:rsid w:val="001A29FB"/>
    <w:rsid w:val="001A2B0A"/>
    <w:rsid w:val="001A2DE9"/>
    <w:rsid w:val="001A39EC"/>
    <w:rsid w:val="001A3BB2"/>
    <w:rsid w:val="001A4388"/>
    <w:rsid w:val="001A439B"/>
    <w:rsid w:val="001A453D"/>
    <w:rsid w:val="001A4AA4"/>
    <w:rsid w:val="001A4FAC"/>
    <w:rsid w:val="001A5051"/>
    <w:rsid w:val="001A52F9"/>
    <w:rsid w:val="001A5E06"/>
    <w:rsid w:val="001A5F25"/>
    <w:rsid w:val="001A64F0"/>
    <w:rsid w:val="001A6AEC"/>
    <w:rsid w:val="001A754B"/>
    <w:rsid w:val="001A7A25"/>
    <w:rsid w:val="001B00EC"/>
    <w:rsid w:val="001B0162"/>
    <w:rsid w:val="001B0934"/>
    <w:rsid w:val="001B0D1E"/>
    <w:rsid w:val="001B0F4D"/>
    <w:rsid w:val="001B12D9"/>
    <w:rsid w:val="001B14BA"/>
    <w:rsid w:val="001B16C5"/>
    <w:rsid w:val="001B176C"/>
    <w:rsid w:val="001B17FB"/>
    <w:rsid w:val="001B1F0B"/>
    <w:rsid w:val="001B20BE"/>
    <w:rsid w:val="001B23EF"/>
    <w:rsid w:val="001B24E9"/>
    <w:rsid w:val="001B2832"/>
    <w:rsid w:val="001B2A2A"/>
    <w:rsid w:val="001B2F19"/>
    <w:rsid w:val="001B30E5"/>
    <w:rsid w:val="001B322F"/>
    <w:rsid w:val="001B36FC"/>
    <w:rsid w:val="001B37C8"/>
    <w:rsid w:val="001B3DC3"/>
    <w:rsid w:val="001B43DA"/>
    <w:rsid w:val="001B4733"/>
    <w:rsid w:val="001B47E9"/>
    <w:rsid w:val="001B488C"/>
    <w:rsid w:val="001B4A00"/>
    <w:rsid w:val="001B4F33"/>
    <w:rsid w:val="001B521A"/>
    <w:rsid w:val="001B5237"/>
    <w:rsid w:val="001B5E04"/>
    <w:rsid w:val="001B5F6B"/>
    <w:rsid w:val="001B6130"/>
    <w:rsid w:val="001B623F"/>
    <w:rsid w:val="001B6347"/>
    <w:rsid w:val="001B636E"/>
    <w:rsid w:val="001B6D1A"/>
    <w:rsid w:val="001B724C"/>
    <w:rsid w:val="001B7328"/>
    <w:rsid w:val="001B76DF"/>
    <w:rsid w:val="001B7CDA"/>
    <w:rsid w:val="001B7D88"/>
    <w:rsid w:val="001C0563"/>
    <w:rsid w:val="001C0CD7"/>
    <w:rsid w:val="001C14EB"/>
    <w:rsid w:val="001C1F8A"/>
    <w:rsid w:val="001C21E7"/>
    <w:rsid w:val="001C269F"/>
    <w:rsid w:val="001C2B34"/>
    <w:rsid w:val="001C2B55"/>
    <w:rsid w:val="001C2CAE"/>
    <w:rsid w:val="001C2E98"/>
    <w:rsid w:val="001C304D"/>
    <w:rsid w:val="001C3838"/>
    <w:rsid w:val="001C445D"/>
    <w:rsid w:val="001C457B"/>
    <w:rsid w:val="001C4982"/>
    <w:rsid w:val="001C4CC7"/>
    <w:rsid w:val="001C5824"/>
    <w:rsid w:val="001C5F34"/>
    <w:rsid w:val="001C64ED"/>
    <w:rsid w:val="001C6A37"/>
    <w:rsid w:val="001C6DBF"/>
    <w:rsid w:val="001C7178"/>
    <w:rsid w:val="001C7810"/>
    <w:rsid w:val="001C7B32"/>
    <w:rsid w:val="001C7FA4"/>
    <w:rsid w:val="001C7FED"/>
    <w:rsid w:val="001D0479"/>
    <w:rsid w:val="001D0497"/>
    <w:rsid w:val="001D0AFD"/>
    <w:rsid w:val="001D186E"/>
    <w:rsid w:val="001D1C50"/>
    <w:rsid w:val="001D2530"/>
    <w:rsid w:val="001D2A75"/>
    <w:rsid w:val="001D2D4C"/>
    <w:rsid w:val="001D2F98"/>
    <w:rsid w:val="001D3D47"/>
    <w:rsid w:val="001D3FBC"/>
    <w:rsid w:val="001D41AB"/>
    <w:rsid w:val="001D45C5"/>
    <w:rsid w:val="001D4756"/>
    <w:rsid w:val="001D480F"/>
    <w:rsid w:val="001D4919"/>
    <w:rsid w:val="001D4DEF"/>
    <w:rsid w:val="001D53B9"/>
    <w:rsid w:val="001D5867"/>
    <w:rsid w:val="001D5890"/>
    <w:rsid w:val="001D58E2"/>
    <w:rsid w:val="001D5A8C"/>
    <w:rsid w:val="001D5CEF"/>
    <w:rsid w:val="001D60A5"/>
    <w:rsid w:val="001D615C"/>
    <w:rsid w:val="001D628F"/>
    <w:rsid w:val="001D686B"/>
    <w:rsid w:val="001D7264"/>
    <w:rsid w:val="001D732D"/>
    <w:rsid w:val="001D7423"/>
    <w:rsid w:val="001D78BC"/>
    <w:rsid w:val="001D7B96"/>
    <w:rsid w:val="001DFC2E"/>
    <w:rsid w:val="001E0173"/>
    <w:rsid w:val="001E039E"/>
    <w:rsid w:val="001E056C"/>
    <w:rsid w:val="001E0881"/>
    <w:rsid w:val="001E1826"/>
    <w:rsid w:val="001E186D"/>
    <w:rsid w:val="001E19C5"/>
    <w:rsid w:val="001E1D77"/>
    <w:rsid w:val="001E1E6C"/>
    <w:rsid w:val="001E1E6E"/>
    <w:rsid w:val="001E2651"/>
    <w:rsid w:val="001E2763"/>
    <w:rsid w:val="001E27FB"/>
    <w:rsid w:val="001E3560"/>
    <w:rsid w:val="001E37C8"/>
    <w:rsid w:val="001E3B7F"/>
    <w:rsid w:val="001E407A"/>
    <w:rsid w:val="001E4C3B"/>
    <w:rsid w:val="001E53AC"/>
    <w:rsid w:val="001E5B56"/>
    <w:rsid w:val="001E629F"/>
    <w:rsid w:val="001E6602"/>
    <w:rsid w:val="001E6686"/>
    <w:rsid w:val="001E6808"/>
    <w:rsid w:val="001E687B"/>
    <w:rsid w:val="001E690E"/>
    <w:rsid w:val="001E6CC7"/>
    <w:rsid w:val="001E6CD7"/>
    <w:rsid w:val="001E7041"/>
    <w:rsid w:val="001E71DA"/>
    <w:rsid w:val="001E7680"/>
    <w:rsid w:val="001E7F8F"/>
    <w:rsid w:val="001F0E7F"/>
    <w:rsid w:val="001F0F66"/>
    <w:rsid w:val="001F12F1"/>
    <w:rsid w:val="001F142D"/>
    <w:rsid w:val="001F184C"/>
    <w:rsid w:val="001F1947"/>
    <w:rsid w:val="001F1B5C"/>
    <w:rsid w:val="001F22F2"/>
    <w:rsid w:val="001F29FB"/>
    <w:rsid w:val="001F2E20"/>
    <w:rsid w:val="001F2F19"/>
    <w:rsid w:val="001F3725"/>
    <w:rsid w:val="001F3867"/>
    <w:rsid w:val="001F3873"/>
    <w:rsid w:val="001F388D"/>
    <w:rsid w:val="001F3B52"/>
    <w:rsid w:val="001F3E6A"/>
    <w:rsid w:val="001F4701"/>
    <w:rsid w:val="001F50A4"/>
    <w:rsid w:val="001F511B"/>
    <w:rsid w:val="001F6101"/>
    <w:rsid w:val="001F6389"/>
    <w:rsid w:val="001F653A"/>
    <w:rsid w:val="001F7D2E"/>
    <w:rsid w:val="0020068D"/>
    <w:rsid w:val="00200F0D"/>
    <w:rsid w:val="0020147D"/>
    <w:rsid w:val="00201B1C"/>
    <w:rsid w:val="00201D97"/>
    <w:rsid w:val="00201E78"/>
    <w:rsid w:val="002023A2"/>
    <w:rsid w:val="00202414"/>
    <w:rsid w:val="0020247D"/>
    <w:rsid w:val="0020287F"/>
    <w:rsid w:val="00202F1F"/>
    <w:rsid w:val="00203329"/>
    <w:rsid w:val="002037B8"/>
    <w:rsid w:val="00203EB1"/>
    <w:rsid w:val="0020405D"/>
    <w:rsid w:val="00204080"/>
    <w:rsid w:val="00204375"/>
    <w:rsid w:val="0020440A"/>
    <w:rsid w:val="00204523"/>
    <w:rsid w:val="0020491B"/>
    <w:rsid w:val="00204C2A"/>
    <w:rsid w:val="002052F0"/>
    <w:rsid w:val="0020743F"/>
    <w:rsid w:val="00210577"/>
    <w:rsid w:val="00210BAF"/>
    <w:rsid w:val="00210BC3"/>
    <w:rsid w:val="002126B1"/>
    <w:rsid w:val="00212D7F"/>
    <w:rsid w:val="0021312C"/>
    <w:rsid w:val="0021324A"/>
    <w:rsid w:val="002133D7"/>
    <w:rsid w:val="00214408"/>
    <w:rsid w:val="002144AD"/>
    <w:rsid w:val="00214595"/>
    <w:rsid w:val="002146DA"/>
    <w:rsid w:val="002147D6"/>
    <w:rsid w:val="00214A16"/>
    <w:rsid w:val="00214DC2"/>
    <w:rsid w:val="00214FD5"/>
    <w:rsid w:val="002154F1"/>
    <w:rsid w:val="002161F1"/>
    <w:rsid w:val="00216601"/>
    <w:rsid w:val="00217930"/>
    <w:rsid w:val="00217EE2"/>
    <w:rsid w:val="002200A5"/>
    <w:rsid w:val="002201AA"/>
    <w:rsid w:val="00220359"/>
    <w:rsid w:val="00220482"/>
    <w:rsid w:val="00220547"/>
    <w:rsid w:val="00220AC6"/>
    <w:rsid w:val="0022123C"/>
    <w:rsid w:val="00221A4B"/>
    <w:rsid w:val="002220CB"/>
    <w:rsid w:val="00222248"/>
    <w:rsid w:val="0022244A"/>
    <w:rsid w:val="002226A7"/>
    <w:rsid w:val="002227A5"/>
    <w:rsid w:val="00222F19"/>
    <w:rsid w:val="002234C7"/>
    <w:rsid w:val="00224049"/>
    <w:rsid w:val="002241C7"/>
    <w:rsid w:val="0022438B"/>
    <w:rsid w:val="00224CB3"/>
    <w:rsid w:val="0022508B"/>
    <w:rsid w:val="0022559C"/>
    <w:rsid w:val="00225D4D"/>
    <w:rsid w:val="002262CB"/>
    <w:rsid w:val="00226E2B"/>
    <w:rsid w:val="002273E5"/>
    <w:rsid w:val="0022794E"/>
    <w:rsid w:val="00227C3F"/>
    <w:rsid w:val="00227D18"/>
    <w:rsid w:val="00230A75"/>
    <w:rsid w:val="00230A86"/>
    <w:rsid w:val="00230B3B"/>
    <w:rsid w:val="00230F07"/>
    <w:rsid w:val="00230FD5"/>
    <w:rsid w:val="00231143"/>
    <w:rsid w:val="002315FF"/>
    <w:rsid w:val="00231F08"/>
    <w:rsid w:val="002321BF"/>
    <w:rsid w:val="00232694"/>
    <w:rsid w:val="00232AD2"/>
    <w:rsid w:val="002332A1"/>
    <w:rsid w:val="002332B5"/>
    <w:rsid w:val="00233C6D"/>
    <w:rsid w:val="0023454C"/>
    <w:rsid w:val="00234902"/>
    <w:rsid w:val="002349AC"/>
    <w:rsid w:val="00234AD8"/>
    <w:rsid w:val="00234AEA"/>
    <w:rsid w:val="00235349"/>
    <w:rsid w:val="00235630"/>
    <w:rsid w:val="002356AB"/>
    <w:rsid w:val="002357E1"/>
    <w:rsid w:val="00235998"/>
    <w:rsid w:val="00235D52"/>
    <w:rsid w:val="002362C0"/>
    <w:rsid w:val="002366CD"/>
    <w:rsid w:val="002367D7"/>
    <w:rsid w:val="00236B4B"/>
    <w:rsid w:val="00237166"/>
    <w:rsid w:val="00237537"/>
    <w:rsid w:val="00237B78"/>
    <w:rsid w:val="002408B0"/>
    <w:rsid w:val="00241362"/>
    <w:rsid w:val="00241726"/>
    <w:rsid w:val="00241BA6"/>
    <w:rsid w:val="00241F90"/>
    <w:rsid w:val="002422D4"/>
    <w:rsid w:val="00242A97"/>
    <w:rsid w:val="00242DD6"/>
    <w:rsid w:val="00242F93"/>
    <w:rsid w:val="002432D9"/>
    <w:rsid w:val="0024349D"/>
    <w:rsid w:val="002439BF"/>
    <w:rsid w:val="00243BBF"/>
    <w:rsid w:val="002440B3"/>
    <w:rsid w:val="00244545"/>
    <w:rsid w:val="002445A4"/>
    <w:rsid w:val="0024471F"/>
    <w:rsid w:val="00244888"/>
    <w:rsid w:val="002448BA"/>
    <w:rsid w:val="00244ABB"/>
    <w:rsid w:val="00244B4F"/>
    <w:rsid w:val="00244C3F"/>
    <w:rsid w:val="00244D95"/>
    <w:rsid w:val="00244EBD"/>
    <w:rsid w:val="0024501E"/>
    <w:rsid w:val="00245779"/>
    <w:rsid w:val="00245E55"/>
    <w:rsid w:val="002460E1"/>
    <w:rsid w:val="0024610A"/>
    <w:rsid w:val="00246747"/>
    <w:rsid w:val="00246BF7"/>
    <w:rsid w:val="00246EB1"/>
    <w:rsid w:val="002473D8"/>
    <w:rsid w:val="00247B1A"/>
    <w:rsid w:val="002503D7"/>
    <w:rsid w:val="00250612"/>
    <w:rsid w:val="002509C5"/>
    <w:rsid w:val="00250A6E"/>
    <w:rsid w:val="00250BF7"/>
    <w:rsid w:val="00251016"/>
    <w:rsid w:val="002523C9"/>
    <w:rsid w:val="0025262D"/>
    <w:rsid w:val="00252D49"/>
    <w:rsid w:val="00252DE6"/>
    <w:rsid w:val="00253421"/>
    <w:rsid w:val="0025360D"/>
    <w:rsid w:val="00253AF1"/>
    <w:rsid w:val="00254880"/>
    <w:rsid w:val="00254CD4"/>
    <w:rsid w:val="00254F81"/>
    <w:rsid w:val="0025525F"/>
    <w:rsid w:val="0025569F"/>
    <w:rsid w:val="0025594B"/>
    <w:rsid w:val="00255BB3"/>
    <w:rsid w:val="00255F31"/>
    <w:rsid w:val="0025629E"/>
    <w:rsid w:val="00256506"/>
    <w:rsid w:val="0025664B"/>
    <w:rsid w:val="0025690C"/>
    <w:rsid w:val="0025725B"/>
    <w:rsid w:val="00257575"/>
    <w:rsid w:val="00257A09"/>
    <w:rsid w:val="002600BB"/>
    <w:rsid w:val="0026012C"/>
    <w:rsid w:val="00260AB3"/>
    <w:rsid w:val="00260E27"/>
    <w:rsid w:val="00261C38"/>
    <w:rsid w:val="00261F75"/>
    <w:rsid w:val="00262184"/>
    <w:rsid w:val="002624F9"/>
    <w:rsid w:val="002627CE"/>
    <w:rsid w:val="002627F2"/>
    <w:rsid w:val="00262B3C"/>
    <w:rsid w:val="0026301A"/>
    <w:rsid w:val="002633E8"/>
    <w:rsid w:val="00263A5F"/>
    <w:rsid w:val="00263F89"/>
    <w:rsid w:val="002650C6"/>
    <w:rsid w:val="00265192"/>
    <w:rsid w:val="00265456"/>
    <w:rsid w:val="002659D1"/>
    <w:rsid w:val="00265BA2"/>
    <w:rsid w:val="00265EF9"/>
    <w:rsid w:val="00266475"/>
    <w:rsid w:val="00266E65"/>
    <w:rsid w:val="0026724D"/>
    <w:rsid w:val="00267419"/>
    <w:rsid w:val="002678BF"/>
    <w:rsid w:val="00267AEF"/>
    <w:rsid w:val="00267D6E"/>
    <w:rsid w:val="002713B7"/>
    <w:rsid w:val="0027142D"/>
    <w:rsid w:val="0027165C"/>
    <w:rsid w:val="002720F0"/>
    <w:rsid w:val="0027228C"/>
    <w:rsid w:val="0027273E"/>
    <w:rsid w:val="00272740"/>
    <w:rsid w:val="00272C75"/>
    <w:rsid w:val="00272DF1"/>
    <w:rsid w:val="00273FF7"/>
    <w:rsid w:val="002742FF"/>
    <w:rsid w:val="002743C9"/>
    <w:rsid w:val="00274D0C"/>
    <w:rsid w:val="00276197"/>
    <w:rsid w:val="002763E6"/>
    <w:rsid w:val="00276517"/>
    <w:rsid w:val="002765E9"/>
    <w:rsid w:val="00276D0C"/>
    <w:rsid w:val="00277B9F"/>
    <w:rsid w:val="00277DDE"/>
    <w:rsid w:val="0028001C"/>
    <w:rsid w:val="00280950"/>
    <w:rsid w:val="0028099C"/>
    <w:rsid w:val="002813E0"/>
    <w:rsid w:val="00281879"/>
    <w:rsid w:val="00281BAF"/>
    <w:rsid w:val="00281D4D"/>
    <w:rsid w:val="00281F91"/>
    <w:rsid w:val="0028234C"/>
    <w:rsid w:val="00282674"/>
    <w:rsid w:val="00282752"/>
    <w:rsid w:val="002828C3"/>
    <w:rsid w:val="00283107"/>
    <w:rsid w:val="00283380"/>
    <w:rsid w:val="002836A3"/>
    <w:rsid w:val="00283787"/>
    <w:rsid w:val="00283902"/>
    <w:rsid w:val="00283DA5"/>
    <w:rsid w:val="002851F1"/>
    <w:rsid w:val="00285528"/>
    <w:rsid w:val="00285814"/>
    <w:rsid w:val="00285826"/>
    <w:rsid w:val="00285E7E"/>
    <w:rsid w:val="0028705D"/>
    <w:rsid w:val="00287517"/>
    <w:rsid w:val="00287956"/>
    <w:rsid w:val="00287A18"/>
    <w:rsid w:val="00290147"/>
    <w:rsid w:val="00290369"/>
    <w:rsid w:val="0029050A"/>
    <w:rsid w:val="0029058E"/>
    <w:rsid w:val="00290B67"/>
    <w:rsid w:val="00290C02"/>
    <w:rsid w:val="00291373"/>
    <w:rsid w:val="0029147E"/>
    <w:rsid w:val="00292068"/>
    <w:rsid w:val="00292441"/>
    <w:rsid w:val="00292560"/>
    <w:rsid w:val="002927CB"/>
    <w:rsid w:val="00292BCA"/>
    <w:rsid w:val="00292E89"/>
    <w:rsid w:val="0029300C"/>
    <w:rsid w:val="00293D5C"/>
    <w:rsid w:val="00293DBC"/>
    <w:rsid w:val="002943E2"/>
    <w:rsid w:val="002944AD"/>
    <w:rsid w:val="0029494A"/>
    <w:rsid w:val="00294F38"/>
    <w:rsid w:val="0029526C"/>
    <w:rsid w:val="00295959"/>
    <w:rsid w:val="00296039"/>
    <w:rsid w:val="002964C2"/>
    <w:rsid w:val="00296E52"/>
    <w:rsid w:val="00297CC2"/>
    <w:rsid w:val="00297F3B"/>
    <w:rsid w:val="00297FBB"/>
    <w:rsid w:val="002A067E"/>
    <w:rsid w:val="002A0F82"/>
    <w:rsid w:val="002A0F9A"/>
    <w:rsid w:val="002A143D"/>
    <w:rsid w:val="002A17E0"/>
    <w:rsid w:val="002A1A0F"/>
    <w:rsid w:val="002A1CA5"/>
    <w:rsid w:val="002A1F77"/>
    <w:rsid w:val="002A2DF2"/>
    <w:rsid w:val="002A3805"/>
    <w:rsid w:val="002A3EF2"/>
    <w:rsid w:val="002A407E"/>
    <w:rsid w:val="002A44F2"/>
    <w:rsid w:val="002A469B"/>
    <w:rsid w:val="002A46A0"/>
    <w:rsid w:val="002A4F31"/>
    <w:rsid w:val="002A5925"/>
    <w:rsid w:val="002A5A23"/>
    <w:rsid w:val="002A5AA9"/>
    <w:rsid w:val="002A5BE3"/>
    <w:rsid w:val="002A5D58"/>
    <w:rsid w:val="002A6161"/>
    <w:rsid w:val="002A616E"/>
    <w:rsid w:val="002A644D"/>
    <w:rsid w:val="002A6760"/>
    <w:rsid w:val="002A685A"/>
    <w:rsid w:val="002A6A2E"/>
    <w:rsid w:val="002A6CCF"/>
    <w:rsid w:val="002A7412"/>
    <w:rsid w:val="002A7590"/>
    <w:rsid w:val="002A77EB"/>
    <w:rsid w:val="002A7847"/>
    <w:rsid w:val="002A7F97"/>
    <w:rsid w:val="002A7FC7"/>
    <w:rsid w:val="002B0439"/>
    <w:rsid w:val="002B0C65"/>
    <w:rsid w:val="002B182F"/>
    <w:rsid w:val="002B1E5B"/>
    <w:rsid w:val="002B2210"/>
    <w:rsid w:val="002B26BC"/>
    <w:rsid w:val="002B2C78"/>
    <w:rsid w:val="002B2ECF"/>
    <w:rsid w:val="002B2F3F"/>
    <w:rsid w:val="002B399F"/>
    <w:rsid w:val="002B3B2E"/>
    <w:rsid w:val="002B4103"/>
    <w:rsid w:val="002B4324"/>
    <w:rsid w:val="002B4701"/>
    <w:rsid w:val="002B4AF3"/>
    <w:rsid w:val="002B5604"/>
    <w:rsid w:val="002B5730"/>
    <w:rsid w:val="002B5839"/>
    <w:rsid w:val="002B5859"/>
    <w:rsid w:val="002B6355"/>
    <w:rsid w:val="002B6B66"/>
    <w:rsid w:val="002B6DFD"/>
    <w:rsid w:val="002B7153"/>
    <w:rsid w:val="002B7EBE"/>
    <w:rsid w:val="002C0523"/>
    <w:rsid w:val="002C0580"/>
    <w:rsid w:val="002C0599"/>
    <w:rsid w:val="002C0D50"/>
    <w:rsid w:val="002C0E6C"/>
    <w:rsid w:val="002C0EF5"/>
    <w:rsid w:val="002C1220"/>
    <w:rsid w:val="002C1B33"/>
    <w:rsid w:val="002C1FAE"/>
    <w:rsid w:val="002C2302"/>
    <w:rsid w:val="002C240B"/>
    <w:rsid w:val="002C2892"/>
    <w:rsid w:val="002C29C7"/>
    <w:rsid w:val="002C2A7B"/>
    <w:rsid w:val="002C2C1F"/>
    <w:rsid w:val="002C2F9B"/>
    <w:rsid w:val="002C31F8"/>
    <w:rsid w:val="002C39D2"/>
    <w:rsid w:val="002C3E4E"/>
    <w:rsid w:val="002C3E57"/>
    <w:rsid w:val="002C3EE6"/>
    <w:rsid w:val="002C3F04"/>
    <w:rsid w:val="002C48FF"/>
    <w:rsid w:val="002C4BBB"/>
    <w:rsid w:val="002C4D2B"/>
    <w:rsid w:val="002C5600"/>
    <w:rsid w:val="002C59B7"/>
    <w:rsid w:val="002C5A86"/>
    <w:rsid w:val="002C5FAF"/>
    <w:rsid w:val="002C6021"/>
    <w:rsid w:val="002C612D"/>
    <w:rsid w:val="002C68E5"/>
    <w:rsid w:val="002C6CCC"/>
    <w:rsid w:val="002C6F14"/>
    <w:rsid w:val="002C7238"/>
    <w:rsid w:val="002C75BA"/>
    <w:rsid w:val="002C7C92"/>
    <w:rsid w:val="002C7EDA"/>
    <w:rsid w:val="002D00D4"/>
    <w:rsid w:val="002D0718"/>
    <w:rsid w:val="002D0811"/>
    <w:rsid w:val="002D09A5"/>
    <w:rsid w:val="002D0BDE"/>
    <w:rsid w:val="002D1B68"/>
    <w:rsid w:val="002D1F6F"/>
    <w:rsid w:val="002D21FA"/>
    <w:rsid w:val="002D24ED"/>
    <w:rsid w:val="002D3332"/>
    <w:rsid w:val="002D3973"/>
    <w:rsid w:val="002D3EED"/>
    <w:rsid w:val="002D45DF"/>
    <w:rsid w:val="002D473C"/>
    <w:rsid w:val="002D4E3B"/>
    <w:rsid w:val="002D57A3"/>
    <w:rsid w:val="002D61E6"/>
    <w:rsid w:val="002D756A"/>
    <w:rsid w:val="002D782D"/>
    <w:rsid w:val="002D78EE"/>
    <w:rsid w:val="002D7E0B"/>
    <w:rsid w:val="002E01E1"/>
    <w:rsid w:val="002E0454"/>
    <w:rsid w:val="002E0A7A"/>
    <w:rsid w:val="002E1FCF"/>
    <w:rsid w:val="002E224D"/>
    <w:rsid w:val="002E2482"/>
    <w:rsid w:val="002E2D07"/>
    <w:rsid w:val="002E3062"/>
    <w:rsid w:val="002E3105"/>
    <w:rsid w:val="002E34F8"/>
    <w:rsid w:val="002E47F9"/>
    <w:rsid w:val="002E4DEF"/>
    <w:rsid w:val="002E4F46"/>
    <w:rsid w:val="002E546A"/>
    <w:rsid w:val="002E54A4"/>
    <w:rsid w:val="002E5826"/>
    <w:rsid w:val="002E593E"/>
    <w:rsid w:val="002E59A5"/>
    <w:rsid w:val="002E696B"/>
    <w:rsid w:val="002E6A3C"/>
    <w:rsid w:val="002E6A93"/>
    <w:rsid w:val="002E6EBE"/>
    <w:rsid w:val="002E7B0F"/>
    <w:rsid w:val="002F0A66"/>
    <w:rsid w:val="002F0AA0"/>
    <w:rsid w:val="002F0FA8"/>
    <w:rsid w:val="002F13CB"/>
    <w:rsid w:val="002F1445"/>
    <w:rsid w:val="002F1861"/>
    <w:rsid w:val="002F1BB4"/>
    <w:rsid w:val="002F1BF1"/>
    <w:rsid w:val="002F1C81"/>
    <w:rsid w:val="002F1EF8"/>
    <w:rsid w:val="002F1FE5"/>
    <w:rsid w:val="002F2127"/>
    <w:rsid w:val="002F2F9B"/>
    <w:rsid w:val="002F41CA"/>
    <w:rsid w:val="002F421F"/>
    <w:rsid w:val="002F4723"/>
    <w:rsid w:val="002F48A2"/>
    <w:rsid w:val="002F4966"/>
    <w:rsid w:val="002F4E86"/>
    <w:rsid w:val="002F5037"/>
    <w:rsid w:val="002F591A"/>
    <w:rsid w:val="002F5BD1"/>
    <w:rsid w:val="002F5E76"/>
    <w:rsid w:val="002F608F"/>
    <w:rsid w:val="002F69F1"/>
    <w:rsid w:val="002F6E00"/>
    <w:rsid w:val="002F6E89"/>
    <w:rsid w:val="002F6FFF"/>
    <w:rsid w:val="002F721C"/>
    <w:rsid w:val="002F7486"/>
    <w:rsid w:val="002F7768"/>
    <w:rsid w:val="0030018E"/>
    <w:rsid w:val="003003E7"/>
    <w:rsid w:val="00300905"/>
    <w:rsid w:val="00300B0A"/>
    <w:rsid w:val="003015D5"/>
    <w:rsid w:val="003016CE"/>
    <w:rsid w:val="0030176F"/>
    <w:rsid w:val="00301C6A"/>
    <w:rsid w:val="00301C70"/>
    <w:rsid w:val="00302440"/>
    <w:rsid w:val="00302467"/>
    <w:rsid w:val="003026DD"/>
    <w:rsid w:val="00302AD9"/>
    <w:rsid w:val="00303454"/>
    <w:rsid w:val="00303948"/>
    <w:rsid w:val="003051C6"/>
    <w:rsid w:val="00305324"/>
    <w:rsid w:val="0030546E"/>
    <w:rsid w:val="003056AC"/>
    <w:rsid w:val="00305F6A"/>
    <w:rsid w:val="00305FB6"/>
    <w:rsid w:val="003061D3"/>
    <w:rsid w:val="00306419"/>
    <w:rsid w:val="00306C38"/>
    <w:rsid w:val="0030717F"/>
    <w:rsid w:val="003075BD"/>
    <w:rsid w:val="0030798E"/>
    <w:rsid w:val="00307B50"/>
    <w:rsid w:val="00307CA2"/>
    <w:rsid w:val="00307DAC"/>
    <w:rsid w:val="00307E70"/>
    <w:rsid w:val="00307FCA"/>
    <w:rsid w:val="00310302"/>
    <w:rsid w:val="00310360"/>
    <w:rsid w:val="00310B2D"/>
    <w:rsid w:val="00310CBE"/>
    <w:rsid w:val="00310CD2"/>
    <w:rsid w:val="00310FBA"/>
    <w:rsid w:val="00311357"/>
    <w:rsid w:val="003115AA"/>
    <w:rsid w:val="00312968"/>
    <w:rsid w:val="00312D33"/>
    <w:rsid w:val="00312DB3"/>
    <w:rsid w:val="00312FA9"/>
    <w:rsid w:val="003133DF"/>
    <w:rsid w:val="003138FE"/>
    <w:rsid w:val="003154A0"/>
    <w:rsid w:val="00315797"/>
    <w:rsid w:val="0031586D"/>
    <w:rsid w:val="0031592A"/>
    <w:rsid w:val="003160F9"/>
    <w:rsid w:val="00316190"/>
    <w:rsid w:val="003165C7"/>
    <w:rsid w:val="003166B6"/>
    <w:rsid w:val="0031690F"/>
    <w:rsid w:val="00317176"/>
    <w:rsid w:val="00317CE8"/>
    <w:rsid w:val="003200BC"/>
    <w:rsid w:val="003202A1"/>
    <w:rsid w:val="0032053B"/>
    <w:rsid w:val="00320CBA"/>
    <w:rsid w:val="00321330"/>
    <w:rsid w:val="00321816"/>
    <w:rsid w:val="00321949"/>
    <w:rsid w:val="00321D2D"/>
    <w:rsid w:val="00321EB1"/>
    <w:rsid w:val="003220EB"/>
    <w:rsid w:val="003229BE"/>
    <w:rsid w:val="00322B73"/>
    <w:rsid w:val="0032340F"/>
    <w:rsid w:val="00323E77"/>
    <w:rsid w:val="003240D8"/>
    <w:rsid w:val="0032446D"/>
    <w:rsid w:val="00324BDF"/>
    <w:rsid w:val="00324C86"/>
    <w:rsid w:val="00325621"/>
    <w:rsid w:val="003256BE"/>
    <w:rsid w:val="003257DF"/>
    <w:rsid w:val="00325AEA"/>
    <w:rsid w:val="00325B40"/>
    <w:rsid w:val="00325B88"/>
    <w:rsid w:val="00325C97"/>
    <w:rsid w:val="0032603E"/>
    <w:rsid w:val="00326306"/>
    <w:rsid w:val="003265CF"/>
    <w:rsid w:val="00326682"/>
    <w:rsid w:val="00326934"/>
    <w:rsid w:val="00326AE4"/>
    <w:rsid w:val="00326BE5"/>
    <w:rsid w:val="00326E68"/>
    <w:rsid w:val="00326E74"/>
    <w:rsid w:val="00327A1B"/>
    <w:rsid w:val="00330080"/>
    <w:rsid w:val="003303B6"/>
    <w:rsid w:val="003305FB"/>
    <w:rsid w:val="00330A24"/>
    <w:rsid w:val="00330DA9"/>
    <w:rsid w:val="00331967"/>
    <w:rsid w:val="003322E4"/>
    <w:rsid w:val="0033252E"/>
    <w:rsid w:val="003325A9"/>
    <w:rsid w:val="003325E9"/>
    <w:rsid w:val="0033262F"/>
    <w:rsid w:val="003326E6"/>
    <w:rsid w:val="00332819"/>
    <w:rsid w:val="00332B42"/>
    <w:rsid w:val="00332D96"/>
    <w:rsid w:val="003335C7"/>
    <w:rsid w:val="003338FE"/>
    <w:rsid w:val="003339C3"/>
    <w:rsid w:val="00333DC1"/>
    <w:rsid w:val="003344EC"/>
    <w:rsid w:val="003345A7"/>
    <w:rsid w:val="00334632"/>
    <w:rsid w:val="00335656"/>
    <w:rsid w:val="003358C3"/>
    <w:rsid w:val="00335C51"/>
    <w:rsid w:val="003360D9"/>
    <w:rsid w:val="0033618A"/>
    <w:rsid w:val="00336C59"/>
    <w:rsid w:val="00337387"/>
    <w:rsid w:val="0033760C"/>
    <w:rsid w:val="00337617"/>
    <w:rsid w:val="0033762C"/>
    <w:rsid w:val="00337B08"/>
    <w:rsid w:val="003404D8"/>
    <w:rsid w:val="00340535"/>
    <w:rsid w:val="00340AE4"/>
    <w:rsid w:val="003410E1"/>
    <w:rsid w:val="003416D7"/>
    <w:rsid w:val="00341C14"/>
    <w:rsid w:val="00342057"/>
    <w:rsid w:val="00342283"/>
    <w:rsid w:val="0034239F"/>
    <w:rsid w:val="0034267D"/>
    <w:rsid w:val="0034285A"/>
    <w:rsid w:val="00342A43"/>
    <w:rsid w:val="00343812"/>
    <w:rsid w:val="00343F43"/>
    <w:rsid w:val="0034400E"/>
    <w:rsid w:val="00344049"/>
    <w:rsid w:val="0034405F"/>
    <w:rsid w:val="0034433D"/>
    <w:rsid w:val="00345098"/>
    <w:rsid w:val="00345855"/>
    <w:rsid w:val="00345BDF"/>
    <w:rsid w:val="00345E64"/>
    <w:rsid w:val="003460B5"/>
    <w:rsid w:val="00346424"/>
    <w:rsid w:val="00346782"/>
    <w:rsid w:val="00346ABA"/>
    <w:rsid w:val="00346CDC"/>
    <w:rsid w:val="00347005"/>
    <w:rsid w:val="0034768F"/>
    <w:rsid w:val="003476EE"/>
    <w:rsid w:val="00347C2F"/>
    <w:rsid w:val="00350659"/>
    <w:rsid w:val="003509C5"/>
    <w:rsid w:val="00350CDF"/>
    <w:rsid w:val="00350D68"/>
    <w:rsid w:val="003511C7"/>
    <w:rsid w:val="00351462"/>
    <w:rsid w:val="00351486"/>
    <w:rsid w:val="00351576"/>
    <w:rsid w:val="0035194A"/>
    <w:rsid w:val="00351CEF"/>
    <w:rsid w:val="00352003"/>
    <w:rsid w:val="003527E9"/>
    <w:rsid w:val="00352935"/>
    <w:rsid w:val="00353490"/>
    <w:rsid w:val="00353778"/>
    <w:rsid w:val="003537B5"/>
    <w:rsid w:val="00353FCB"/>
    <w:rsid w:val="0035482B"/>
    <w:rsid w:val="003548CD"/>
    <w:rsid w:val="00354D85"/>
    <w:rsid w:val="00354DB8"/>
    <w:rsid w:val="003551A2"/>
    <w:rsid w:val="003554A2"/>
    <w:rsid w:val="003555F6"/>
    <w:rsid w:val="00355D45"/>
    <w:rsid w:val="00356269"/>
    <w:rsid w:val="0035784A"/>
    <w:rsid w:val="00357A03"/>
    <w:rsid w:val="00357DC9"/>
    <w:rsid w:val="00360210"/>
    <w:rsid w:val="00360AD0"/>
    <w:rsid w:val="00360F2D"/>
    <w:rsid w:val="00360F90"/>
    <w:rsid w:val="0036147E"/>
    <w:rsid w:val="003615A6"/>
    <w:rsid w:val="00361BD7"/>
    <w:rsid w:val="00361D6F"/>
    <w:rsid w:val="003620F7"/>
    <w:rsid w:val="00362BE9"/>
    <w:rsid w:val="003635A5"/>
    <w:rsid w:val="00363D0E"/>
    <w:rsid w:val="00363D6B"/>
    <w:rsid w:val="00363D83"/>
    <w:rsid w:val="00364254"/>
    <w:rsid w:val="003644A1"/>
    <w:rsid w:val="0036453E"/>
    <w:rsid w:val="00364780"/>
    <w:rsid w:val="00364A3D"/>
    <w:rsid w:val="0036504A"/>
    <w:rsid w:val="003658DE"/>
    <w:rsid w:val="0036597D"/>
    <w:rsid w:val="003659A4"/>
    <w:rsid w:val="00366164"/>
    <w:rsid w:val="003664D7"/>
    <w:rsid w:val="003667D7"/>
    <w:rsid w:val="0036694B"/>
    <w:rsid w:val="00366ADE"/>
    <w:rsid w:val="00366B52"/>
    <w:rsid w:val="00366D71"/>
    <w:rsid w:val="003674B1"/>
    <w:rsid w:val="00367564"/>
    <w:rsid w:val="00367838"/>
    <w:rsid w:val="003678E6"/>
    <w:rsid w:val="00367D75"/>
    <w:rsid w:val="003703C9"/>
    <w:rsid w:val="003705C1"/>
    <w:rsid w:val="003708B9"/>
    <w:rsid w:val="00370BEA"/>
    <w:rsid w:val="00371277"/>
    <w:rsid w:val="003712BF"/>
    <w:rsid w:val="0037137D"/>
    <w:rsid w:val="003714C7"/>
    <w:rsid w:val="003717EC"/>
    <w:rsid w:val="003719F9"/>
    <w:rsid w:val="00372157"/>
    <w:rsid w:val="0037258F"/>
    <w:rsid w:val="00372E35"/>
    <w:rsid w:val="00372F77"/>
    <w:rsid w:val="003754B1"/>
    <w:rsid w:val="00375F11"/>
    <w:rsid w:val="00375F62"/>
    <w:rsid w:val="003763DB"/>
    <w:rsid w:val="00376648"/>
    <w:rsid w:val="00376877"/>
    <w:rsid w:val="003768FF"/>
    <w:rsid w:val="0037691D"/>
    <w:rsid w:val="00376994"/>
    <w:rsid w:val="003769B9"/>
    <w:rsid w:val="00377159"/>
    <w:rsid w:val="0037765B"/>
    <w:rsid w:val="003800B1"/>
    <w:rsid w:val="003806AC"/>
    <w:rsid w:val="00380AB6"/>
    <w:rsid w:val="0038158E"/>
    <w:rsid w:val="00381C71"/>
    <w:rsid w:val="00382B65"/>
    <w:rsid w:val="00383257"/>
    <w:rsid w:val="00383258"/>
    <w:rsid w:val="00384DC6"/>
    <w:rsid w:val="003852DA"/>
    <w:rsid w:val="0038548F"/>
    <w:rsid w:val="00385972"/>
    <w:rsid w:val="00385C1F"/>
    <w:rsid w:val="00386454"/>
    <w:rsid w:val="0038669B"/>
    <w:rsid w:val="00386A05"/>
    <w:rsid w:val="00386DFC"/>
    <w:rsid w:val="00387E82"/>
    <w:rsid w:val="003912AD"/>
    <w:rsid w:val="00391C77"/>
    <w:rsid w:val="00391DCC"/>
    <w:rsid w:val="003922CC"/>
    <w:rsid w:val="0039266E"/>
    <w:rsid w:val="0039281C"/>
    <w:rsid w:val="00393A35"/>
    <w:rsid w:val="00393C1B"/>
    <w:rsid w:val="00393FDB"/>
    <w:rsid w:val="00394046"/>
    <w:rsid w:val="00394056"/>
    <w:rsid w:val="00394442"/>
    <w:rsid w:val="0039463D"/>
    <w:rsid w:val="00394733"/>
    <w:rsid w:val="003947E2"/>
    <w:rsid w:val="00395052"/>
    <w:rsid w:val="003951CD"/>
    <w:rsid w:val="0039540C"/>
    <w:rsid w:val="003954D7"/>
    <w:rsid w:val="00395A49"/>
    <w:rsid w:val="00396539"/>
    <w:rsid w:val="00396AFC"/>
    <w:rsid w:val="003978AD"/>
    <w:rsid w:val="00397D4D"/>
    <w:rsid w:val="003A0D8D"/>
    <w:rsid w:val="003A1301"/>
    <w:rsid w:val="003A1454"/>
    <w:rsid w:val="003A149F"/>
    <w:rsid w:val="003A15AA"/>
    <w:rsid w:val="003A2186"/>
    <w:rsid w:val="003A21CB"/>
    <w:rsid w:val="003A2434"/>
    <w:rsid w:val="003A2440"/>
    <w:rsid w:val="003A27AB"/>
    <w:rsid w:val="003A2DD0"/>
    <w:rsid w:val="003A33C3"/>
    <w:rsid w:val="003A3446"/>
    <w:rsid w:val="003A4121"/>
    <w:rsid w:val="003A4191"/>
    <w:rsid w:val="003A428C"/>
    <w:rsid w:val="003A43AB"/>
    <w:rsid w:val="003A59AC"/>
    <w:rsid w:val="003A5C0C"/>
    <w:rsid w:val="003A5E65"/>
    <w:rsid w:val="003A5E69"/>
    <w:rsid w:val="003A620A"/>
    <w:rsid w:val="003A6EC8"/>
    <w:rsid w:val="003A71A6"/>
    <w:rsid w:val="003A7EAE"/>
    <w:rsid w:val="003AB5F1"/>
    <w:rsid w:val="003B049A"/>
    <w:rsid w:val="003B05B1"/>
    <w:rsid w:val="003B065D"/>
    <w:rsid w:val="003B0BCD"/>
    <w:rsid w:val="003B0CD3"/>
    <w:rsid w:val="003B0E1B"/>
    <w:rsid w:val="003B12E9"/>
    <w:rsid w:val="003B1502"/>
    <w:rsid w:val="003B1AA8"/>
    <w:rsid w:val="003B21B0"/>
    <w:rsid w:val="003B220E"/>
    <w:rsid w:val="003B265C"/>
    <w:rsid w:val="003B27E4"/>
    <w:rsid w:val="003B28C1"/>
    <w:rsid w:val="003B2B2C"/>
    <w:rsid w:val="003B2B81"/>
    <w:rsid w:val="003B2BE7"/>
    <w:rsid w:val="003B321C"/>
    <w:rsid w:val="003B33AC"/>
    <w:rsid w:val="003B3515"/>
    <w:rsid w:val="003B3A89"/>
    <w:rsid w:val="003B3DDF"/>
    <w:rsid w:val="003B4ACA"/>
    <w:rsid w:val="003B52D8"/>
    <w:rsid w:val="003B58AA"/>
    <w:rsid w:val="003B645F"/>
    <w:rsid w:val="003B6AAF"/>
    <w:rsid w:val="003B7096"/>
    <w:rsid w:val="003B7BF4"/>
    <w:rsid w:val="003B7D81"/>
    <w:rsid w:val="003B7E2C"/>
    <w:rsid w:val="003B7E7C"/>
    <w:rsid w:val="003C0032"/>
    <w:rsid w:val="003C0569"/>
    <w:rsid w:val="003C071B"/>
    <w:rsid w:val="003C0C1F"/>
    <w:rsid w:val="003C0C3A"/>
    <w:rsid w:val="003C0DBA"/>
    <w:rsid w:val="003C1077"/>
    <w:rsid w:val="003C189C"/>
    <w:rsid w:val="003C1FF1"/>
    <w:rsid w:val="003C250E"/>
    <w:rsid w:val="003C3503"/>
    <w:rsid w:val="003C51A6"/>
    <w:rsid w:val="003C5278"/>
    <w:rsid w:val="003C5E1D"/>
    <w:rsid w:val="003C615C"/>
    <w:rsid w:val="003C6298"/>
    <w:rsid w:val="003C6EF6"/>
    <w:rsid w:val="003C72A4"/>
    <w:rsid w:val="003C7A9A"/>
    <w:rsid w:val="003C7CA7"/>
    <w:rsid w:val="003D009E"/>
    <w:rsid w:val="003D012B"/>
    <w:rsid w:val="003D07A1"/>
    <w:rsid w:val="003D1703"/>
    <w:rsid w:val="003D1A53"/>
    <w:rsid w:val="003D222C"/>
    <w:rsid w:val="003D252E"/>
    <w:rsid w:val="003D2530"/>
    <w:rsid w:val="003D296B"/>
    <w:rsid w:val="003D2B11"/>
    <w:rsid w:val="003D2E18"/>
    <w:rsid w:val="003D326A"/>
    <w:rsid w:val="003D3545"/>
    <w:rsid w:val="003D40A2"/>
    <w:rsid w:val="003D4289"/>
    <w:rsid w:val="003D43F1"/>
    <w:rsid w:val="003D46BF"/>
    <w:rsid w:val="003D47B6"/>
    <w:rsid w:val="003D4867"/>
    <w:rsid w:val="003D5847"/>
    <w:rsid w:val="003D5DBD"/>
    <w:rsid w:val="003D685F"/>
    <w:rsid w:val="003D69B8"/>
    <w:rsid w:val="003D7401"/>
    <w:rsid w:val="003D7409"/>
    <w:rsid w:val="003D77C6"/>
    <w:rsid w:val="003D7A52"/>
    <w:rsid w:val="003D7B77"/>
    <w:rsid w:val="003D7F79"/>
    <w:rsid w:val="003E020B"/>
    <w:rsid w:val="003E0C27"/>
    <w:rsid w:val="003E1708"/>
    <w:rsid w:val="003E1B5E"/>
    <w:rsid w:val="003E1D7D"/>
    <w:rsid w:val="003E1D99"/>
    <w:rsid w:val="003E27B0"/>
    <w:rsid w:val="003E32D7"/>
    <w:rsid w:val="003E37BB"/>
    <w:rsid w:val="003E3B94"/>
    <w:rsid w:val="003E3BF2"/>
    <w:rsid w:val="003E4000"/>
    <w:rsid w:val="003E432C"/>
    <w:rsid w:val="003E45EC"/>
    <w:rsid w:val="003E4628"/>
    <w:rsid w:val="003E4B29"/>
    <w:rsid w:val="003E4F6E"/>
    <w:rsid w:val="003E5EEE"/>
    <w:rsid w:val="003E6256"/>
    <w:rsid w:val="003E64E2"/>
    <w:rsid w:val="003E7150"/>
    <w:rsid w:val="003E7456"/>
    <w:rsid w:val="003E74AF"/>
    <w:rsid w:val="003E7C8F"/>
    <w:rsid w:val="003E7F40"/>
    <w:rsid w:val="003F005F"/>
    <w:rsid w:val="003F0F2F"/>
    <w:rsid w:val="003F11B1"/>
    <w:rsid w:val="003F122C"/>
    <w:rsid w:val="003F1B65"/>
    <w:rsid w:val="003F1D4E"/>
    <w:rsid w:val="003F2B17"/>
    <w:rsid w:val="003F32D9"/>
    <w:rsid w:val="003F3586"/>
    <w:rsid w:val="003F36BF"/>
    <w:rsid w:val="003F419B"/>
    <w:rsid w:val="003F4695"/>
    <w:rsid w:val="003F4A9C"/>
    <w:rsid w:val="003F5311"/>
    <w:rsid w:val="003F6471"/>
    <w:rsid w:val="003F659C"/>
    <w:rsid w:val="003F6641"/>
    <w:rsid w:val="003F677F"/>
    <w:rsid w:val="003F6838"/>
    <w:rsid w:val="003F6CCD"/>
    <w:rsid w:val="003F6D35"/>
    <w:rsid w:val="003F7CFB"/>
    <w:rsid w:val="003F7D24"/>
    <w:rsid w:val="00400288"/>
    <w:rsid w:val="0040041F"/>
    <w:rsid w:val="0040049B"/>
    <w:rsid w:val="00400DE7"/>
    <w:rsid w:val="00401217"/>
    <w:rsid w:val="0040136B"/>
    <w:rsid w:val="004015A0"/>
    <w:rsid w:val="004017E6"/>
    <w:rsid w:val="00401846"/>
    <w:rsid w:val="00401A86"/>
    <w:rsid w:val="00401C5D"/>
    <w:rsid w:val="004021FD"/>
    <w:rsid w:val="00402699"/>
    <w:rsid w:val="00402840"/>
    <w:rsid w:val="00402879"/>
    <w:rsid w:val="00402AD0"/>
    <w:rsid w:val="00403036"/>
    <w:rsid w:val="00403322"/>
    <w:rsid w:val="00403D99"/>
    <w:rsid w:val="004043CC"/>
    <w:rsid w:val="00404E7F"/>
    <w:rsid w:val="00405330"/>
    <w:rsid w:val="004056E1"/>
    <w:rsid w:val="00405724"/>
    <w:rsid w:val="004058B1"/>
    <w:rsid w:val="004058E3"/>
    <w:rsid w:val="00405DE0"/>
    <w:rsid w:val="00405DF7"/>
    <w:rsid w:val="0040636D"/>
    <w:rsid w:val="004067CF"/>
    <w:rsid w:val="00406BD8"/>
    <w:rsid w:val="00406C8F"/>
    <w:rsid w:val="004071CF"/>
    <w:rsid w:val="00407424"/>
    <w:rsid w:val="00407540"/>
    <w:rsid w:val="004078FC"/>
    <w:rsid w:val="00407FB2"/>
    <w:rsid w:val="004109CF"/>
    <w:rsid w:val="00411226"/>
    <w:rsid w:val="00411852"/>
    <w:rsid w:val="00411C87"/>
    <w:rsid w:val="00412274"/>
    <w:rsid w:val="004122A8"/>
    <w:rsid w:val="004124C6"/>
    <w:rsid w:val="00412D2A"/>
    <w:rsid w:val="004134AE"/>
    <w:rsid w:val="004137C6"/>
    <w:rsid w:val="00413C71"/>
    <w:rsid w:val="00413F29"/>
    <w:rsid w:val="00414737"/>
    <w:rsid w:val="00414D32"/>
    <w:rsid w:val="00414F52"/>
    <w:rsid w:val="00415186"/>
    <w:rsid w:val="00415555"/>
    <w:rsid w:val="00415770"/>
    <w:rsid w:val="0041690B"/>
    <w:rsid w:val="00417ADC"/>
    <w:rsid w:val="00417CFD"/>
    <w:rsid w:val="0042082E"/>
    <w:rsid w:val="00420C4D"/>
    <w:rsid w:val="00420FAE"/>
    <w:rsid w:val="0042113D"/>
    <w:rsid w:val="0042119E"/>
    <w:rsid w:val="00421540"/>
    <w:rsid w:val="00421723"/>
    <w:rsid w:val="004220E2"/>
    <w:rsid w:val="00422581"/>
    <w:rsid w:val="004233AD"/>
    <w:rsid w:val="00423878"/>
    <w:rsid w:val="0042388A"/>
    <w:rsid w:val="004239B9"/>
    <w:rsid w:val="00423CD1"/>
    <w:rsid w:val="00423CD7"/>
    <w:rsid w:val="00423CEF"/>
    <w:rsid w:val="00424846"/>
    <w:rsid w:val="0042486F"/>
    <w:rsid w:val="004248AE"/>
    <w:rsid w:val="00424AB9"/>
    <w:rsid w:val="00425468"/>
    <w:rsid w:val="004257DE"/>
    <w:rsid w:val="004264B5"/>
    <w:rsid w:val="00426668"/>
    <w:rsid w:val="00426B07"/>
    <w:rsid w:val="00426E93"/>
    <w:rsid w:val="00426EC9"/>
    <w:rsid w:val="00427142"/>
    <w:rsid w:val="004273F2"/>
    <w:rsid w:val="00427465"/>
    <w:rsid w:val="0042754E"/>
    <w:rsid w:val="0042761F"/>
    <w:rsid w:val="0042789A"/>
    <w:rsid w:val="00427978"/>
    <w:rsid w:val="00427A21"/>
    <w:rsid w:val="00430143"/>
    <w:rsid w:val="0043061C"/>
    <w:rsid w:val="004316E9"/>
    <w:rsid w:val="0043174F"/>
    <w:rsid w:val="00431FA3"/>
    <w:rsid w:val="00432207"/>
    <w:rsid w:val="00432D39"/>
    <w:rsid w:val="00432DAA"/>
    <w:rsid w:val="004331C6"/>
    <w:rsid w:val="0043548C"/>
    <w:rsid w:val="00435650"/>
    <w:rsid w:val="004357E3"/>
    <w:rsid w:val="00435A97"/>
    <w:rsid w:val="00435E29"/>
    <w:rsid w:val="00436534"/>
    <w:rsid w:val="004369B7"/>
    <w:rsid w:val="00436A2D"/>
    <w:rsid w:val="004371BF"/>
    <w:rsid w:val="00437948"/>
    <w:rsid w:val="00437D09"/>
    <w:rsid w:val="00437FC2"/>
    <w:rsid w:val="00440A6F"/>
    <w:rsid w:val="00440B6C"/>
    <w:rsid w:val="0044116F"/>
    <w:rsid w:val="0044126F"/>
    <w:rsid w:val="0044145A"/>
    <w:rsid w:val="00441580"/>
    <w:rsid w:val="004415E3"/>
    <w:rsid w:val="00441663"/>
    <w:rsid w:val="00441ACE"/>
    <w:rsid w:val="00441E9A"/>
    <w:rsid w:val="00441F98"/>
    <w:rsid w:val="004420A3"/>
    <w:rsid w:val="00442BE5"/>
    <w:rsid w:val="00442D13"/>
    <w:rsid w:val="00442FE7"/>
    <w:rsid w:val="004432C1"/>
    <w:rsid w:val="00443691"/>
    <w:rsid w:val="00443DB2"/>
    <w:rsid w:val="00444653"/>
    <w:rsid w:val="00444989"/>
    <w:rsid w:val="00444A9C"/>
    <w:rsid w:val="00444B1A"/>
    <w:rsid w:val="004453C7"/>
    <w:rsid w:val="004453F1"/>
    <w:rsid w:val="004456E3"/>
    <w:rsid w:val="004467DE"/>
    <w:rsid w:val="00446F1A"/>
    <w:rsid w:val="00446FFF"/>
    <w:rsid w:val="004475BE"/>
    <w:rsid w:val="004475DD"/>
    <w:rsid w:val="00447E42"/>
    <w:rsid w:val="0045026F"/>
    <w:rsid w:val="00450B03"/>
    <w:rsid w:val="00450BF5"/>
    <w:rsid w:val="00450D4A"/>
    <w:rsid w:val="00451095"/>
    <w:rsid w:val="00451116"/>
    <w:rsid w:val="0045163B"/>
    <w:rsid w:val="00452195"/>
    <w:rsid w:val="004523E7"/>
    <w:rsid w:val="004524E6"/>
    <w:rsid w:val="00452CFA"/>
    <w:rsid w:val="00453171"/>
    <w:rsid w:val="0045386C"/>
    <w:rsid w:val="00453DE0"/>
    <w:rsid w:val="004541A6"/>
    <w:rsid w:val="004541A7"/>
    <w:rsid w:val="004541BB"/>
    <w:rsid w:val="004548AC"/>
    <w:rsid w:val="00455740"/>
    <w:rsid w:val="004557D6"/>
    <w:rsid w:val="00455B0F"/>
    <w:rsid w:val="0045625E"/>
    <w:rsid w:val="00456589"/>
    <w:rsid w:val="00456C3B"/>
    <w:rsid w:val="00457ABA"/>
    <w:rsid w:val="00457EF3"/>
    <w:rsid w:val="00457FFD"/>
    <w:rsid w:val="00460B22"/>
    <w:rsid w:val="00461204"/>
    <w:rsid w:val="00461ADF"/>
    <w:rsid w:val="00461B89"/>
    <w:rsid w:val="00461D5F"/>
    <w:rsid w:val="004626FA"/>
    <w:rsid w:val="00463B74"/>
    <w:rsid w:val="00463BCD"/>
    <w:rsid w:val="0046407D"/>
    <w:rsid w:val="00464439"/>
    <w:rsid w:val="004647F9"/>
    <w:rsid w:val="00464A60"/>
    <w:rsid w:val="00464F2C"/>
    <w:rsid w:val="0046504D"/>
    <w:rsid w:val="004653F7"/>
    <w:rsid w:val="0046578F"/>
    <w:rsid w:val="00465DCD"/>
    <w:rsid w:val="00466370"/>
    <w:rsid w:val="00466DF7"/>
    <w:rsid w:val="00466FDE"/>
    <w:rsid w:val="00467323"/>
    <w:rsid w:val="004674E7"/>
    <w:rsid w:val="004700E7"/>
    <w:rsid w:val="00470149"/>
    <w:rsid w:val="0047029D"/>
    <w:rsid w:val="00470D25"/>
    <w:rsid w:val="0047116C"/>
    <w:rsid w:val="004718E9"/>
    <w:rsid w:val="00471CDE"/>
    <w:rsid w:val="00471E78"/>
    <w:rsid w:val="0047230B"/>
    <w:rsid w:val="00472486"/>
    <w:rsid w:val="004728D7"/>
    <w:rsid w:val="0047293B"/>
    <w:rsid w:val="00472C3C"/>
    <w:rsid w:val="00472F7E"/>
    <w:rsid w:val="00473386"/>
    <w:rsid w:val="004739B3"/>
    <w:rsid w:val="00473B3A"/>
    <w:rsid w:val="004740D5"/>
    <w:rsid w:val="00474124"/>
    <w:rsid w:val="004743FC"/>
    <w:rsid w:val="00475B8E"/>
    <w:rsid w:val="00475C08"/>
    <w:rsid w:val="00475D06"/>
    <w:rsid w:val="004762D7"/>
    <w:rsid w:val="00477A7A"/>
    <w:rsid w:val="00477E55"/>
    <w:rsid w:val="00477E89"/>
    <w:rsid w:val="004800B3"/>
    <w:rsid w:val="004811CE"/>
    <w:rsid w:val="0048187C"/>
    <w:rsid w:val="00481E2F"/>
    <w:rsid w:val="00482408"/>
    <w:rsid w:val="00482B47"/>
    <w:rsid w:val="00482EA6"/>
    <w:rsid w:val="00482F96"/>
    <w:rsid w:val="00483471"/>
    <w:rsid w:val="004834AD"/>
    <w:rsid w:val="00483587"/>
    <w:rsid w:val="00483747"/>
    <w:rsid w:val="00483AD9"/>
    <w:rsid w:val="00483E4E"/>
    <w:rsid w:val="00485080"/>
    <w:rsid w:val="00485DC1"/>
    <w:rsid w:val="00485DE1"/>
    <w:rsid w:val="00486166"/>
    <w:rsid w:val="004865D4"/>
    <w:rsid w:val="00486A32"/>
    <w:rsid w:val="00487221"/>
    <w:rsid w:val="004876A0"/>
    <w:rsid w:val="00487701"/>
    <w:rsid w:val="00487A2E"/>
    <w:rsid w:val="0049003F"/>
    <w:rsid w:val="004900BA"/>
    <w:rsid w:val="004900BB"/>
    <w:rsid w:val="0049019D"/>
    <w:rsid w:val="00490208"/>
    <w:rsid w:val="0049055F"/>
    <w:rsid w:val="004907C9"/>
    <w:rsid w:val="0049083E"/>
    <w:rsid w:val="004908C1"/>
    <w:rsid w:val="00490DDA"/>
    <w:rsid w:val="00490E79"/>
    <w:rsid w:val="0049105D"/>
    <w:rsid w:val="004911EE"/>
    <w:rsid w:val="004916C4"/>
    <w:rsid w:val="0049251D"/>
    <w:rsid w:val="00492812"/>
    <w:rsid w:val="0049290F"/>
    <w:rsid w:val="004929F2"/>
    <w:rsid w:val="00493171"/>
    <w:rsid w:val="0049318E"/>
    <w:rsid w:val="00493CB9"/>
    <w:rsid w:val="00494286"/>
    <w:rsid w:val="00494D65"/>
    <w:rsid w:val="00494E59"/>
    <w:rsid w:val="00495286"/>
    <w:rsid w:val="00495A7A"/>
    <w:rsid w:val="00495CC4"/>
    <w:rsid w:val="00495CF3"/>
    <w:rsid w:val="0049642B"/>
    <w:rsid w:val="004965B0"/>
    <w:rsid w:val="00496890"/>
    <w:rsid w:val="00496D60"/>
    <w:rsid w:val="00496E70"/>
    <w:rsid w:val="004970A5"/>
    <w:rsid w:val="004971E7"/>
    <w:rsid w:val="004979E1"/>
    <w:rsid w:val="004A037B"/>
    <w:rsid w:val="004A06B9"/>
    <w:rsid w:val="004A08FE"/>
    <w:rsid w:val="004A1020"/>
    <w:rsid w:val="004A10F5"/>
    <w:rsid w:val="004A1EFB"/>
    <w:rsid w:val="004A2098"/>
    <w:rsid w:val="004A2ACD"/>
    <w:rsid w:val="004A2C1F"/>
    <w:rsid w:val="004A3009"/>
    <w:rsid w:val="004A35F8"/>
    <w:rsid w:val="004A367B"/>
    <w:rsid w:val="004A3B13"/>
    <w:rsid w:val="004A3BB8"/>
    <w:rsid w:val="004A3D42"/>
    <w:rsid w:val="004A40C5"/>
    <w:rsid w:val="004A4B23"/>
    <w:rsid w:val="004A4D71"/>
    <w:rsid w:val="004A50B4"/>
    <w:rsid w:val="004A5A96"/>
    <w:rsid w:val="004A5B19"/>
    <w:rsid w:val="004A60D8"/>
    <w:rsid w:val="004A64BF"/>
    <w:rsid w:val="004A6AFA"/>
    <w:rsid w:val="004A6C2C"/>
    <w:rsid w:val="004A7090"/>
    <w:rsid w:val="004A70CD"/>
    <w:rsid w:val="004A727E"/>
    <w:rsid w:val="004A7B7A"/>
    <w:rsid w:val="004A7EB0"/>
    <w:rsid w:val="004B0789"/>
    <w:rsid w:val="004B16A7"/>
    <w:rsid w:val="004B1CE4"/>
    <w:rsid w:val="004B1D86"/>
    <w:rsid w:val="004B2129"/>
    <w:rsid w:val="004B2643"/>
    <w:rsid w:val="004B2AAE"/>
    <w:rsid w:val="004B2DF3"/>
    <w:rsid w:val="004B2FB4"/>
    <w:rsid w:val="004B365E"/>
    <w:rsid w:val="004B3C5D"/>
    <w:rsid w:val="004B449C"/>
    <w:rsid w:val="004B48EC"/>
    <w:rsid w:val="004B4E79"/>
    <w:rsid w:val="004B4EDE"/>
    <w:rsid w:val="004B5346"/>
    <w:rsid w:val="004B5635"/>
    <w:rsid w:val="004B5882"/>
    <w:rsid w:val="004B5A44"/>
    <w:rsid w:val="004B5ADD"/>
    <w:rsid w:val="004B6084"/>
    <w:rsid w:val="004B619A"/>
    <w:rsid w:val="004B64A8"/>
    <w:rsid w:val="004B6513"/>
    <w:rsid w:val="004B74ED"/>
    <w:rsid w:val="004B7883"/>
    <w:rsid w:val="004B78DE"/>
    <w:rsid w:val="004B7A5F"/>
    <w:rsid w:val="004B7A73"/>
    <w:rsid w:val="004B7BD7"/>
    <w:rsid w:val="004C02E4"/>
    <w:rsid w:val="004C04D5"/>
    <w:rsid w:val="004C0792"/>
    <w:rsid w:val="004C0B73"/>
    <w:rsid w:val="004C0C8A"/>
    <w:rsid w:val="004C0F05"/>
    <w:rsid w:val="004C196C"/>
    <w:rsid w:val="004C2623"/>
    <w:rsid w:val="004C3B6C"/>
    <w:rsid w:val="004C47F3"/>
    <w:rsid w:val="004C484F"/>
    <w:rsid w:val="004C4A86"/>
    <w:rsid w:val="004C4AE3"/>
    <w:rsid w:val="004C5294"/>
    <w:rsid w:val="004C6455"/>
    <w:rsid w:val="004C6558"/>
    <w:rsid w:val="004C7115"/>
    <w:rsid w:val="004C75A6"/>
    <w:rsid w:val="004C75C9"/>
    <w:rsid w:val="004C7791"/>
    <w:rsid w:val="004C7C69"/>
    <w:rsid w:val="004C7E73"/>
    <w:rsid w:val="004C7F4A"/>
    <w:rsid w:val="004D00B0"/>
    <w:rsid w:val="004D1099"/>
    <w:rsid w:val="004D1BE6"/>
    <w:rsid w:val="004D2202"/>
    <w:rsid w:val="004D25CC"/>
    <w:rsid w:val="004D269A"/>
    <w:rsid w:val="004D27C5"/>
    <w:rsid w:val="004D283B"/>
    <w:rsid w:val="004D2FC0"/>
    <w:rsid w:val="004D334C"/>
    <w:rsid w:val="004D3B15"/>
    <w:rsid w:val="004D40E5"/>
    <w:rsid w:val="004D427B"/>
    <w:rsid w:val="004D483B"/>
    <w:rsid w:val="004D4EAB"/>
    <w:rsid w:val="004D531C"/>
    <w:rsid w:val="004D542A"/>
    <w:rsid w:val="004D5BEB"/>
    <w:rsid w:val="004D5C62"/>
    <w:rsid w:val="004D5FD5"/>
    <w:rsid w:val="004D639F"/>
    <w:rsid w:val="004D6B74"/>
    <w:rsid w:val="004D78DF"/>
    <w:rsid w:val="004D78FA"/>
    <w:rsid w:val="004D796A"/>
    <w:rsid w:val="004E0826"/>
    <w:rsid w:val="004E106C"/>
    <w:rsid w:val="004E179A"/>
    <w:rsid w:val="004E1814"/>
    <w:rsid w:val="004E19A9"/>
    <w:rsid w:val="004E1A0C"/>
    <w:rsid w:val="004E1F6D"/>
    <w:rsid w:val="004E23CF"/>
    <w:rsid w:val="004E29BB"/>
    <w:rsid w:val="004E2B2D"/>
    <w:rsid w:val="004E2B89"/>
    <w:rsid w:val="004E33C8"/>
    <w:rsid w:val="004E358E"/>
    <w:rsid w:val="004E35D8"/>
    <w:rsid w:val="004E3705"/>
    <w:rsid w:val="004E395A"/>
    <w:rsid w:val="004E4D1F"/>
    <w:rsid w:val="004E4E1F"/>
    <w:rsid w:val="004E5068"/>
    <w:rsid w:val="004E5461"/>
    <w:rsid w:val="004E564B"/>
    <w:rsid w:val="004E58C7"/>
    <w:rsid w:val="004E5AEE"/>
    <w:rsid w:val="004E5D8A"/>
    <w:rsid w:val="004E5D8E"/>
    <w:rsid w:val="004E6994"/>
    <w:rsid w:val="004E742D"/>
    <w:rsid w:val="004E7527"/>
    <w:rsid w:val="004F0348"/>
    <w:rsid w:val="004F0DE4"/>
    <w:rsid w:val="004F11BE"/>
    <w:rsid w:val="004F11FF"/>
    <w:rsid w:val="004F1E73"/>
    <w:rsid w:val="004F24FA"/>
    <w:rsid w:val="004F2D8E"/>
    <w:rsid w:val="004F3558"/>
    <w:rsid w:val="004F3922"/>
    <w:rsid w:val="004F3A10"/>
    <w:rsid w:val="004F3BB9"/>
    <w:rsid w:val="004F4864"/>
    <w:rsid w:val="004F48EF"/>
    <w:rsid w:val="004F4AAE"/>
    <w:rsid w:val="004F53E4"/>
    <w:rsid w:val="004F566F"/>
    <w:rsid w:val="004F5A05"/>
    <w:rsid w:val="004F5F63"/>
    <w:rsid w:val="004F66B7"/>
    <w:rsid w:val="004F6C03"/>
    <w:rsid w:val="004F6CBE"/>
    <w:rsid w:val="004F7017"/>
    <w:rsid w:val="004F7036"/>
    <w:rsid w:val="00500B50"/>
    <w:rsid w:val="00500FDD"/>
    <w:rsid w:val="005011C4"/>
    <w:rsid w:val="0050127B"/>
    <w:rsid w:val="005017F8"/>
    <w:rsid w:val="00501A36"/>
    <w:rsid w:val="0050235B"/>
    <w:rsid w:val="0050277A"/>
    <w:rsid w:val="005030E3"/>
    <w:rsid w:val="005031C6"/>
    <w:rsid w:val="00503306"/>
    <w:rsid w:val="00503960"/>
    <w:rsid w:val="0050421C"/>
    <w:rsid w:val="0050485C"/>
    <w:rsid w:val="0050493A"/>
    <w:rsid w:val="00504998"/>
    <w:rsid w:val="00504B9A"/>
    <w:rsid w:val="00504CFE"/>
    <w:rsid w:val="00504E77"/>
    <w:rsid w:val="00505213"/>
    <w:rsid w:val="00505829"/>
    <w:rsid w:val="00506BA7"/>
    <w:rsid w:val="00507438"/>
    <w:rsid w:val="0050771B"/>
    <w:rsid w:val="00507CE7"/>
    <w:rsid w:val="0051021F"/>
    <w:rsid w:val="005104AB"/>
    <w:rsid w:val="00510770"/>
    <w:rsid w:val="00510ACF"/>
    <w:rsid w:val="00511364"/>
    <w:rsid w:val="00511562"/>
    <w:rsid w:val="00511887"/>
    <w:rsid w:val="0051194E"/>
    <w:rsid w:val="00511D88"/>
    <w:rsid w:val="005122EB"/>
    <w:rsid w:val="0051233F"/>
    <w:rsid w:val="00512C6F"/>
    <w:rsid w:val="00513080"/>
    <w:rsid w:val="00513260"/>
    <w:rsid w:val="005133B3"/>
    <w:rsid w:val="00513A31"/>
    <w:rsid w:val="00513DE6"/>
    <w:rsid w:val="00514346"/>
    <w:rsid w:val="005143BF"/>
    <w:rsid w:val="00514924"/>
    <w:rsid w:val="00514C26"/>
    <w:rsid w:val="00514F9F"/>
    <w:rsid w:val="005150E9"/>
    <w:rsid w:val="00515134"/>
    <w:rsid w:val="00515932"/>
    <w:rsid w:val="00515F9B"/>
    <w:rsid w:val="00516937"/>
    <w:rsid w:val="00516F3B"/>
    <w:rsid w:val="005177D2"/>
    <w:rsid w:val="00517EAB"/>
    <w:rsid w:val="0052029A"/>
    <w:rsid w:val="00520F02"/>
    <w:rsid w:val="00521040"/>
    <w:rsid w:val="00521C27"/>
    <w:rsid w:val="00521C2E"/>
    <w:rsid w:val="00521CAF"/>
    <w:rsid w:val="00521F3C"/>
    <w:rsid w:val="00521F97"/>
    <w:rsid w:val="005222DC"/>
    <w:rsid w:val="005232CD"/>
    <w:rsid w:val="00523368"/>
    <w:rsid w:val="005233AE"/>
    <w:rsid w:val="00523527"/>
    <w:rsid w:val="00524039"/>
    <w:rsid w:val="00524261"/>
    <w:rsid w:val="0052475D"/>
    <w:rsid w:val="00524AD5"/>
    <w:rsid w:val="00524C94"/>
    <w:rsid w:val="005255E2"/>
    <w:rsid w:val="005260B9"/>
    <w:rsid w:val="00526B25"/>
    <w:rsid w:val="00526E64"/>
    <w:rsid w:val="00527326"/>
    <w:rsid w:val="0052798C"/>
    <w:rsid w:val="005279C6"/>
    <w:rsid w:val="00527BC5"/>
    <w:rsid w:val="00527CEC"/>
    <w:rsid w:val="005300A7"/>
    <w:rsid w:val="00530644"/>
    <w:rsid w:val="00530C9C"/>
    <w:rsid w:val="00530E3D"/>
    <w:rsid w:val="00530F3D"/>
    <w:rsid w:val="00532034"/>
    <w:rsid w:val="005320C7"/>
    <w:rsid w:val="005324D3"/>
    <w:rsid w:val="005326B3"/>
    <w:rsid w:val="00532D7B"/>
    <w:rsid w:val="00532FA8"/>
    <w:rsid w:val="005339A5"/>
    <w:rsid w:val="0053401D"/>
    <w:rsid w:val="005347C6"/>
    <w:rsid w:val="0053495A"/>
    <w:rsid w:val="00534DB4"/>
    <w:rsid w:val="0053518B"/>
    <w:rsid w:val="0053565A"/>
    <w:rsid w:val="005362AD"/>
    <w:rsid w:val="00537564"/>
    <w:rsid w:val="00537843"/>
    <w:rsid w:val="005378BC"/>
    <w:rsid w:val="00537D07"/>
    <w:rsid w:val="00541F39"/>
    <w:rsid w:val="00542927"/>
    <w:rsid w:val="0054299B"/>
    <w:rsid w:val="005436D9"/>
    <w:rsid w:val="00543C0A"/>
    <w:rsid w:val="00543C0D"/>
    <w:rsid w:val="00543E01"/>
    <w:rsid w:val="0054402B"/>
    <w:rsid w:val="005445E7"/>
    <w:rsid w:val="005449ED"/>
    <w:rsid w:val="00544C2C"/>
    <w:rsid w:val="00544F3C"/>
    <w:rsid w:val="00544F8D"/>
    <w:rsid w:val="0054502F"/>
    <w:rsid w:val="0054533A"/>
    <w:rsid w:val="005455AB"/>
    <w:rsid w:val="0054596E"/>
    <w:rsid w:val="00545F95"/>
    <w:rsid w:val="00546413"/>
    <w:rsid w:val="00546684"/>
    <w:rsid w:val="005472B5"/>
    <w:rsid w:val="005502F3"/>
    <w:rsid w:val="00550577"/>
    <w:rsid w:val="005505AD"/>
    <w:rsid w:val="005505BB"/>
    <w:rsid w:val="0055060C"/>
    <w:rsid w:val="005506F0"/>
    <w:rsid w:val="00550950"/>
    <w:rsid w:val="005510DB"/>
    <w:rsid w:val="005511F1"/>
    <w:rsid w:val="005513CD"/>
    <w:rsid w:val="00551B4D"/>
    <w:rsid w:val="00552086"/>
    <w:rsid w:val="00552185"/>
    <w:rsid w:val="00552368"/>
    <w:rsid w:val="005525DE"/>
    <w:rsid w:val="00552BDA"/>
    <w:rsid w:val="0055310A"/>
    <w:rsid w:val="0055324E"/>
    <w:rsid w:val="0055334E"/>
    <w:rsid w:val="00553637"/>
    <w:rsid w:val="00553975"/>
    <w:rsid w:val="00553A8E"/>
    <w:rsid w:val="00555DB7"/>
    <w:rsid w:val="00556A7D"/>
    <w:rsid w:val="00556E63"/>
    <w:rsid w:val="00556F8E"/>
    <w:rsid w:val="005575F7"/>
    <w:rsid w:val="00557A27"/>
    <w:rsid w:val="00557AE8"/>
    <w:rsid w:val="00557E01"/>
    <w:rsid w:val="00557F46"/>
    <w:rsid w:val="00560328"/>
    <w:rsid w:val="00560980"/>
    <w:rsid w:val="00560D97"/>
    <w:rsid w:val="005611B8"/>
    <w:rsid w:val="005617D1"/>
    <w:rsid w:val="00561E0E"/>
    <w:rsid w:val="0056290A"/>
    <w:rsid w:val="00562CAC"/>
    <w:rsid w:val="0056301D"/>
    <w:rsid w:val="0056305C"/>
    <w:rsid w:val="0056331F"/>
    <w:rsid w:val="00563723"/>
    <w:rsid w:val="00563B3A"/>
    <w:rsid w:val="00563CDF"/>
    <w:rsid w:val="00563DC2"/>
    <w:rsid w:val="00564238"/>
    <w:rsid w:val="0056474B"/>
    <w:rsid w:val="005647C4"/>
    <w:rsid w:val="0056497A"/>
    <w:rsid w:val="00564D43"/>
    <w:rsid w:val="00565E80"/>
    <w:rsid w:val="005660A7"/>
    <w:rsid w:val="0056648B"/>
    <w:rsid w:val="00566842"/>
    <w:rsid w:val="00566E68"/>
    <w:rsid w:val="005672DE"/>
    <w:rsid w:val="00567305"/>
    <w:rsid w:val="00567AAE"/>
    <w:rsid w:val="00567F70"/>
    <w:rsid w:val="005708A4"/>
    <w:rsid w:val="00570CCE"/>
    <w:rsid w:val="00570DDA"/>
    <w:rsid w:val="00570EAD"/>
    <w:rsid w:val="00571096"/>
    <w:rsid w:val="00571127"/>
    <w:rsid w:val="00571441"/>
    <w:rsid w:val="0057190E"/>
    <w:rsid w:val="00572232"/>
    <w:rsid w:val="005729E5"/>
    <w:rsid w:val="005729FF"/>
    <w:rsid w:val="00572C85"/>
    <w:rsid w:val="00572CDE"/>
    <w:rsid w:val="005747F3"/>
    <w:rsid w:val="00574961"/>
    <w:rsid w:val="00574A2C"/>
    <w:rsid w:val="00575092"/>
    <w:rsid w:val="0057533F"/>
    <w:rsid w:val="00575480"/>
    <w:rsid w:val="005754D8"/>
    <w:rsid w:val="005756C0"/>
    <w:rsid w:val="00575A1C"/>
    <w:rsid w:val="00575D4A"/>
    <w:rsid w:val="005766D1"/>
    <w:rsid w:val="0057688C"/>
    <w:rsid w:val="00577814"/>
    <w:rsid w:val="0057785E"/>
    <w:rsid w:val="00577941"/>
    <w:rsid w:val="00577E1E"/>
    <w:rsid w:val="00580C4A"/>
    <w:rsid w:val="00580E5B"/>
    <w:rsid w:val="00580FE4"/>
    <w:rsid w:val="0058102C"/>
    <w:rsid w:val="005816D2"/>
    <w:rsid w:val="005819E6"/>
    <w:rsid w:val="005820C6"/>
    <w:rsid w:val="00582388"/>
    <w:rsid w:val="005825C5"/>
    <w:rsid w:val="00582CB7"/>
    <w:rsid w:val="00583307"/>
    <w:rsid w:val="0058340B"/>
    <w:rsid w:val="00584458"/>
    <w:rsid w:val="005848B1"/>
    <w:rsid w:val="00584C67"/>
    <w:rsid w:val="00584D12"/>
    <w:rsid w:val="00584F34"/>
    <w:rsid w:val="00585447"/>
    <w:rsid w:val="00585690"/>
    <w:rsid w:val="0058592C"/>
    <w:rsid w:val="00585959"/>
    <w:rsid w:val="005862E0"/>
    <w:rsid w:val="0058633D"/>
    <w:rsid w:val="00586529"/>
    <w:rsid w:val="00586916"/>
    <w:rsid w:val="00587614"/>
    <w:rsid w:val="00587689"/>
    <w:rsid w:val="00590345"/>
    <w:rsid w:val="005906AB"/>
    <w:rsid w:val="00590811"/>
    <w:rsid w:val="00590C56"/>
    <w:rsid w:val="00590EBE"/>
    <w:rsid w:val="00591181"/>
    <w:rsid w:val="00591CC0"/>
    <w:rsid w:val="00591E27"/>
    <w:rsid w:val="00591FE2"/>
    <w:rsid w:val="005921F2"/>
    <w:rsid w:val="00592F17"/>
    <w:rsid w:val="00593076"/>
    <w:rsid w:val="005932F6"/>
    <w:rsid w:val="005938E0"/>
    <w:rsid w:val="005938E9"/>
    <w:rsid w:val="00593B81"/>
    <w:rsid w:val="00593ECE"/>
    <w:rsid w:val="0059455B"/>
    <w:rsid w:val="00594D84"/>
    <w:rsid w:val="005956F6"/>
    <w:rsid w:val="0059576C"/>
    <w:rsid w:val="0059586B"/>
    <w:rsid w:val="00595B03"/>
    <w:rsid w:val="00595C28"/>
    <w:rsid w:val="005963C2"/>
    <w:rsid w:val="005968DD"/>
    <w:rsid w:val="00596F21"/>
    <w:rsid w:val="00596F69"/>
    <w:rsid w:val="00597BA3"/>
    <w:rsid w:val="00597DF0"/>
    <w:rsid w:val="005A0458"/>
    <w:rsid w:val="005A0613"/>
    <w:rsid w:val="005A07B7"/>
    <w:rsid w:val="005A1C2D"/>
    <w:rsid w:val="005A1D07"/>
    <w:rsid w:val="005A1E5B"/>
    <w:rsid w:val="005A1FDF"/>
    <w:rsid w:val="005A226C"/>
    <w:rsid w:val="005A4020"/>
    <w:rsid w:val="005A40EC"/>
    <w:rsid w:val="005A5759"/>
    <w:rsid w:val="005A5C90"/>
    <w:rsid w:val="005A5D3E"/>
    <w:rsid w:val="005A644A"/>
    <w:rsid w:val="005A72B9"/>
    <w:rsid w:val="005A7577"/>
    <w:rsid w:val="005A7957"/>
    <w:rsid w:val="005A7E49"/>
    <w:rsid w:val="005A7EDF"/>
    <w:rsid w:val="005B054C"/>
    <w:rsid w:val="005B0586"/>
    <w:rsid w:val="005B0696"/>
    <w:rsid w:val="005B0D26"/>
    <w:rsid w:val="005B0D6E"/>
    <w:rsid w:val="005B136B"/>
    <w:rsid w:val="005B17D9"/>
    <w:rsid w:val="005B17FC"/>
    <w:rsid w:val="005B191D"/>
    <w:rsid w:val="005B2365"/>
    <w:rsid w:val="005B2400"/>
    <w:rsid w:val="005B2B77"/>
    <w:rsid w:val="005B2E1F"/>
    <w:rsid w:val="005B337E"/>
    <w:rsid w:val="005B34D7"/>
    <w:rsid w:val="005B35F8"/>
    <w:rsid w:val="005B37F8"/>
    <w:rsid w:val="005B3C36"/>
    <w:rsid w:val="005B3EBF"/>
    <w:rsid w:val="005B4121"/>
    <w:rsid w:val="005B43D8"/>
    <w:rsid w:val="005B4427"/>
    <w:rsid w:val="005B458D"/>
    <w:rsid w:val="005B46D3"/>
    <w:rsid w:val="005B4923"/>
    <w:rsid w:val="005B4F14"/>
    <w:rsid w:val="005B5592"/>
    <w:rsid w:val="005B5E49"/>
    <w:rsid w:val="005B614F"/>
    <w:rsid w:val="005B6332"/>
    <w:rsid w:val="005B6346"/>
    <w:rsid w:val="005B6775"/>
    <w:rsid w:val="005B7061"/>
    <w:rsid w:val="005B788F"/>
    <w:rsid w:val="005B7A15"/>
    <w:rsid w:val="005B7FE3"/>
    <w:rsid w:val="005BA740"/>
    <w:rsid w:val="005BCB3F"/>
    <w:rsid w:val="005C01D3"/>
    <w:rsid w:val="005C063B"/>
    <w:rsid w:val="005C0941"/>
    <w:rsid w:val="005C0A27"/>
    <w:rsid w:val="005C0C6A"/>
    <w:rsid w:val="005C0F2C"/>
    <w:rsid w:val="005C0F59"/>
    <w:rsid w:val="005C0F5D"/>
    <w:rsid w:val="005C1100"/>
    <w:rsid w:val="005C154B"/>
    <w:rsid w:val="005C1BE5"/>
    <w:rsid w:val="005C2370"/>
    <w:rsid w:val="005C2571"/>
    <w:rsid w:val="005C25A2"/>
    <w:rsid w:val="005C275D"/>
    <w:rsid w:val="005C27C4"/>
    <w:rsid w:val="005C2CD1"/>
    <w:rsid w:val="005C2FAA"/>
    <w:rsid w:val="005C33CD"/>
    <w:rsid w:val="005C47CD"/>
    <w:rsid w:val="005C52FD"/>
    <w:rsid w:val="005C54A8"/>
    <w:rsid w:val="005C56DA"/>
    <w:rsid w:val="005C59E8"/>
    <w:rsid w:val="005C5F7F"/>
    <w:rsid w:val="005C6298"/>
    <w:rsid w:val="005C6DAF"/>
    <w:rsid w:val="005C6E64"/>
    <w:rsid w:val="005C75C3"/>
    <w:rsid w:val="005C7A2C"/>
    <w:rsid w:val="005C7AA0"/>
    <w:rsid w:val="005D0295"/>
    <w:rsid w:val="005D0342"/>
    <w:rsid w:val="005D06B0"/>
    <w:rsid w:val="005D09CD"/>
    <w:rsid w:val="005D1FEC"/>
    <w:rsid w:val="005D224C"/>
    <w:rsid w:val="005D23E0"/>
    <w:rsid w:val="005D34A2"/>
    <w:rsid w:val="005D38A5"/>
    <w:rsid w:val="005D3A85"/>
    <w:rsid w:val="005D3E9E"/>
    <w:rsid w:val="005D41C4"/>
    <w:rsid w:val="005D43D3"/>
    <w:rsid w:val="005D4CFB"/>
    <w:rsid w:val="005D5A8B"/>
    <w:rsid w:val="005D648D"/>
    <w:rsid w:val="005D696C"/>
    <w:rsid w:val="005D6E1F"/>
    <w:rsid w:val="005D74EF"/>
    <w:rsid w:val="005D7D18"/>
    <w:rsid w:val="005E02BD"/>
    <w:rsid w:val="005E041B"/>
    <w:rsid w:val="005E06B1"/>
    <w:rsid w:val="005E0785"/>
    <w:rsid w:val="005E0BCC"/>
    <w:rsid w:val="005E0CF1"/>
    <w:rsid w:val="005E0F8F"/>
    <w:rsid w:val="005E1197"/>
    <w:rsid w:val="005E1364"/>
    <w:rsid w:val="005E1574"/>
    <w:rsid w:val="005E1B57"/>
    <w:rsid w:val="005E1B65"/>
    <w:rsid w:val="005E2485"/>
    <w:rsid w:val="005E2716"/>
    <w:rsid w:val="005E2AE6"/>
    <w:rsid w:val="005E2F31"/>
    <w:rsid w:val="005E35C2"/>
    <w:rsid w:val="005E3987"/>
    <w:rsid w:val="005E3D80"/>
    <w:rsid w:val="005E401D"/>
    <w:rsid w:val="005E4452"/>
    <w:rsid w:val="005E46F7"/>
    <w:rsid w:val="005E47C3"/>
    <w:rsid w:val="005E4BF8"/>
    <w:rsid w:val="005E4CFD"/>
    <w:rsid w:val="005E4DDB"/>
    <w:rsid w:val="005E5A81"/>
    <w:rsid w:val="005E60CD"/>
    <w:rsid w:val="005E6B6B"/>
    <w:rsid w:val="005E7805"/>
    <w:rsid w:val="005E7969"/>
    <w:rsid w:val="005F02BC"/>
    <w:rsid w:val="005F0F15"/>
    <w:rsid w:val="005F1362"/>
    <w:rsid w:val="005F17DE"/>
    <w:rsid w:val="005F1E26"/>
    <w:rsid w:val="005F250D"/>
    <w:rsid w:val="005F25AE"/>
    <w:rsid w:val="005F27EC"/>
    <w:rsid w:val="005F2861"/>
    <w:rsid w:val="005F29CE"/>
    <w:rsid w:val="005F2AFC"/>
    <w:rsid w:val="005F2E8B"/>
    <w:rsid w:val="005F2FB9"/>
    <w:rsid w:val="005F39E1"/>
    <w:rsid w:val="005F409C"/>
    <w:rsid w:val="005F46CD"/>
    <w:rsid w:val="005F4720"/>
    <w:rsid w:val="005F478B"/>
    <w:rsid w:val="005F4C38"/>
    <w:rsid w:val="005F4FC9"/>
    <w:rsid w:val="005F57C2"/>
    <w:rsid w:val="005F5ACF"/>
    <w:rsid w:val="005F5CF5"/>
    <w:rsid w:val="005F6EBE"/>
    <w:rsid w:val="005F6FF2"/>
    <w:rsid w:val="005F71B5"/>
    <w:rsid w:val="005F7524"/>
    <w:rsid w:val="005F7CC0"/>
    <w:rsid w:val="00600646"/>
    <w:rsid w:val="00601852"/>
    <w:rsid w:val="00602069"/>
    <w:rsid w:val="00602263"/>
    <w:rsid w:val="00602756"/>
    <w:rsid w:val="00602A6D"/>
    <w:rsid w:val="00602BA5"/>
    <w:rsid w:val="00602DBB"/>
    <w:rsid w:val="00602F9A"/>
    <w:rsid w:val="00603106"/>
    <w:rsid w:val="00603911"/>
    <w:rsid w:val="00604466"/>
    <w:rsid w:val="006047B1"/>
    <w:rsid w:val="00604D24"/>
    <w:rsid w:val="00604F58"/>
    <w:rsid w:val="00605612"/>
    <w:rsid w:val="00605A15"/>
    <w:rsid w:val="0060635A"/>
    <w:rsid w:val="00606A5C"/>
    <w:rsid w:val="00606A7C"/>
    <w:rsid w:val="00606AE5"/>
    <w:rsid w:val="006071A6"/>
    <w:rsid w:val="00607A12"/>
    <w:rsid w:val="00607AF1"/>
    <w:rsid w:val="0060E6D8"/>
    <w:rsid w:val="00610BCB"/>
    <w:rsid w:val="00610FDF"/>
    <w:rsid w:val="00611197"/>
    <w:rsid w:val="00611AE6"/>
    <w:rsid w:val="006128C0"/>
    <w:rsid w:val="006128E0"/>
    <w:rsid w:val="00612BCE"/>
    <w:rsid w:val="00613582"/>
    <w:rsid w:val="00613631"/>
    <w:rsid w:val="00613DE3"/>
    <w:rsid w:val="006140BF"/>
    <w:rsid w:val="0061415F"/>
    <w:rsid w:val="00614353"/>
    <w:rsid w:val="00614442"/>
    <w:rsid w:val="00614558"/>
    <w:rsid w:val="00614870"/>
    <w:rsid w:val="00614AC1"/>
    <w:rsid w:val="00614B49"/>
    <w:rsid w:val="00614D4C"/>
    <w:rsid w:val="00614D6C"/>
    <w:rsid w:val="0061527E"/>
    <w:rsid w:val="0061578D"/>
    <w:rsid w:val="00615A4A"/>
    <w:rsid w:val="0061665F"/>
    <w:rsid w:val="00616795"/>
    <w:rsid w:val="00617687"/>
    <w:rsid w:val="006178AE"/>
    <w:rsid w:val="0062019B"/>
    <w:rsid w:val="006207BE"/>
    <w:rsid w:val="00620934"/>
    <w:rsid w:val="00621019"/>
    <w:rsid w:val="00621165"/>
    <w:rsid w:val="00621530"/>
    <w:rsid w:val="006216CC"/>
    <w:rsid w:val="00621840"/>
    <w:rsid w:val="006218DB"/>
    <w:rsid w:val="0062194A"/>
    <w:rsid w:val="00621991"/>
    <w:rsid w:val="006219AF"/>
    <w:rsid w:val="00621CE1"/>
    <w:rsid w:val="0062209F"/>
    <w:rsid w:val="00622336"/>
    <w:rsid w:val="006223A9"/>
    <w:rsid w:val="00622561"/>
    <w:rsid w:val="00622EE2"/>
    <w:rsid w:val="00623A77"/>
    <w:rsid w:val="00623C5D"/>
    <w:rsid w:val="00623F50"/>
    <w:rsid w:val="006249DA"/>
    <w:rsid w:val="00624A30"/>
    <w:rsid w:val="00624CE4"/>
    <w:rsid w:val="0062535F"/>
    <w:rsid w:val="0062612E"/>
    <w:rsid w:val="00626138"/>
    <w:rsid w:val="00626437"/>
    <w:rsid w:val="00626A53"/>
    <w:rsid w:val="00626E2A"/>
    <w:rsid w:val="0062723D"/>
    <w:rsid w:val="006272CF"/>
    <w:rsid w:val="00627455"/>
    <w:rsid w:val="0062798F"/>
    <w:rsid w:val="00627B48"/>
    <w:rsid w:val="00627E3D"/>
    <w:rsid w:val="00630193"/>
    <w:rsid w:val="006304DD"/>
    <w:rsid w:val="00630F69"/>
    <w:rsid w:val="006312F8"/>
    <w:rsid w:val="00631560"/>
    <w:rsid w:val="00631A2F"/>
    <w:rsid w:val="00631BB6"/>
    <w:rsid w:val="0063243B"/>
    <w:rsid w:val="006324C3"/>
    <w:rsid w:val="00633121"/>
    <w:rsid w:val="00633289"/>
    <w:rsid w:val="00633482"/>
    <w:rsid w:val="00633718"/>
    <w:rsid w:val="00633F73"/>
    <w:rsid w:val="00634677"/>
    <w:rsid w:val="00634CEE"/>
    <w:rsid w:val="00634D55"/>
    <w:rsid w:val="0063503D"/>
    <w:rsid w:val="0063574D"/>
    <w:rsid w:val="00635AD4"/>
    <w:rsid w:val="00635FC7"/>
    <w:rsid w:val="0063799D"/>
    <w:rsid w:val="00637D92"/>
    <w:rsid w:val="00637FAF"/>
    <w:rsid w:val="00640225"/>
    <w:rsid w:val="006407BE"/>
    <w:rsid w:val="006408FC"/>
    <w:rsid w:val="00640D55"/>
    <w:rsid w:val="00641469"/>
    <w:rsid w:val="00642210"/>
    <w:rsid w:val="0064238D"/>
    <w:rsid w:val="00642CC3"/>
    <w:rsid w:val="00642E94"/>
    <w:rsid w:val="006439A5"/>
    <w:rsid w:val="00644855"/>
    <w:rsid w:val="006449D7"/>
    <w:rsid w:val="00645709"/>
    <w:rsid w:val="00645811"/>
    <w:rsid w:val="00645BB0"/>
    <w:rsid w:val="0064634E"/>
    <w:rsid w:val="00646562"/>
    <w:rsid w:val="006469C7"/>
    <w:rsid w:val="00646EDA"/>
    <w:rsid w:val="006471FC"/>
    <w:rsid w:val="006472BF"/>
    <w:rsid w:val="006473D5"/>
    <w:rsid w:val="00647F37"/>
    <w:rsid w:val="0065042C"/>
    <w:rsid w:val="0065075E"/>
    <w:rsid w:val="0065084F"/>
    <w:rsid w:val="00651367"/>
    <w:rsid w:val="006515C4"/>
    <w:rsid w:val="0065169A"/>
    <w:rsid w:val="00651FA3"/>
    <w:rsid w:val="006520D3"/>
    <w:rsid w:val="00652446"/>
    <w:rsid w:val="00652553"/>
    <w:rsid w:val="00652874"/>
    <w:rsid w:val="006535C2"/>
    <w:rsid w:val="0065367E"/>
    <w:rsid w:val="00653E65"/>
    <w:rsid w:val="00653F82"/>
    <w:rsid w:val="00654533"/>
    <w:rsid w:val="006546B7"/>
    <w:rsid w:val="0065489C"/>
    <w:rsid w:val="00654CA1"/>
    <w:rsid w:val="00654CBF"/>
    <w:rsid w:val="00654D4C"/>
    <w:rsid w:val="006558E8"/>
    <w:rsid w:val="0065598B"/>
    <w:rsid w:val="00655A23"/>
    <w:rsid w:val="00655BCA"/>
    <w:rsid w:val="00655E92"/>
    <w:rsid w:val="006561B5"/>
    <w:rsid w:val="00656293"/>
    <w:rsid w:val="0066048B"/>
    <w:rsid w:val="00660B2C"/>
    <w:rsid w:val="006612EA"/>
    <w:rsid w:val="00662237"/>
    <w:rsid w:val="006623B8"/>
    <w:rsid w:val="00662A25"/>
    <w:rsid w:val="00662C84"/>
    <w:rsid w:val="00662D56"/>
    <w:rsid w:val="00663D0B"/>
    <w:rsid w:val="006646DF"/>
    <w:rsid w:val="006647EA"/>
    <w:rsid w:val="0066484C"/>
    <w:rsid w:val="00664E14"/>
    <w:rsid w:val="00664EE2"/>
    <w:rsid w:val="006651C2"/>
    <w:rsid w:val="00665D18"/>
    <w:rsid w:val="00665F3C"/>
    <w:rsid w:val="00665F6A"/>
    <w:rsid w:val="0066662C"/>
    <w:rsid w:val="0066726E"/>
    <w:rsid w:val="00667B3D"/>
    <w:rsid w:val="006701A9"/>
    <w:rsid w:val="00670317"/>
    <w:rsid w:val="00670550"/>
    <w:rsid w:val="00670944"/>
    <w:rsid w:val="00670978"/>
    <w:rsid w:val="0067104F"/>
    <w:rsid w:val="00671169"/>
    <w:rsid w:val="00671762"/>
    <w:rsid w:val="00671CEE"/>
    <w:rsid w:val="00671ED1"/>
    <w:rsid w:val="006720AA"/>
    <w:rsid w:val="00673939"/>
    <w:rsid w:val="00673B4D"/>
    <w:rsid w:val="00673D63"/>
    <w:rsid w:val="006743BE"/>
    <w:rsid w:val="006744EF"/>
    <w:rsid w:val="006748F6"/>
    <w:rsid w:val="0067492A"/>
    <w:rsid w:val="006751A8"/>
    <w:rsid w:val="00675823"/>
    <w:rsid w:val="006759C1"/>
    <w:rsid w:val="00675C61"/>
    <w:rsid w:val="00675CF8"/>
    <w:rsid w:val="00676E1E"/>
    <w:rsid w:val="00676EE7"/>
    <w:rsid w:val="00677106"/>
    <w:rsid w:val="0067787A"/>
    <w:rsid w:val="00677C9F"/>
    <w:rsid w:val="006800A3"/>
    <w:rsid w:val="0068051D"/>
    <w:rsid w:val="0068094D"/>
    <w:rsid w:val="00681E53"/>
    <w:rsid w:val="00681F69"/>
    <w:rsid w:val="00682382"/>
    <w:rsid w:val="00682529"/>
    <w:rsid w:val="006829D0"/>
    <w:rsid w:val="0068358F"/>
    <w:rsid w:val="006836EF"/>
    <w:rsid w:val="00683A06"/>
    <w:rsid w:val="00683B98"/>
    <w:rsid w:val="00683C38"/>
    <w:rsid w:val="00683D21"/>
    <w:rsid w:val="00684787"/>
    <w:rsid w:val="006848E9"/>
    <w:rsid w:val="00684A07"/>
    <w:rsid w:val="00684AB5"/>
    <w:rsid w:val="00684AD1"/>
    <w:rsid w:val="00684CB7"/>
    <w:rsid w:val="00684CBB"/>
    <w:rsid w:val="00684D59"/>
    <w:rsid w:val="006859C0"/>
    <w:rsid w:val="00685D61"/>
    <w:rsid w:val="006861ED"/>
    <w:rsid w:val="006866C9"/>
    <w:rsid w:val="00686768"/>
    <w:rsid w:val="00686BBA"/>
    <w:rsid w:val="00686C0B"/>
    <w:rsid w:val="006875F9"/>
    <w:rsid w:val="006878FE"/>
    <w:rsid w:val="00687B4E"/>
    <w:rsid w:val="00690170"/>
    <w:rsid w:val="006902A6"/>
    <w:rsid w:val="00691269"/>
    <w:rsid w:val="0069159C"/>
    <w:rsid w:val="00691794"/>
    <w:rsid w:val="00691842"/>
    <w:rsid w:val="00692B39"/>
    <w:rsid w:val="00693916"/>
    <w:rsid w:val="00693A28"/>
    <w:rsid w:val="00693E3E"/>
    <w:rsid w:val="00693ED1"/>
    <w:rsid w:val="006943A9"/>
    <w:rsid w:val="00694701"/>
    <w:rsid w:val="006949D9"/>
    <w:rsid w:val="00695729"/>
    <w:rsid w:val="0069598C"/>
    <w:rsid w:val="00695F70"/>
    <w:rsid w:val="006965E9"/>
    <w:rsid w:val="00696617"/>
    <w:rsid w:val="0069776B"/>
    <w:rsid w:val="00697820"/>
    <w:rsid w:val="006979A0"/>
    <w:rsid w:val="00697A68"/>
    <w:rsid w:val="00697C7D"/>
    <w:rsid w:val="00697C87"/>
    <w:rsid w:val="006A0451"/>
    <w:rsid w:val="006A0865"/>
    <w:rsid w:val="006A096C"/>
    <w:rsid w:val="006A0973"/>
    <w:rsid w:val="006A0A1F"/>
    <w:rsid w:val="006A0A94"/>
    <w:rsid w:val="006A0F8A"/>
    <w:rsid w:val="006A1E12"/>
    <w:rsid w:val="006A31CD"/>
    <w:rsid w:val="006A320B"/>
    <w:rsid w:val="006A3796"/>
    <w:rsid w:val="006A3B75"/>
    <w:rsid w:val="006A56A1"/>
    <w:rsid w:val="006A5762"/>
    <w:rsid w:val="006A67E1"/>
    <w:rsid w:val="006A69B0"/>
    <w:rsid w:val="006A6A4F"/>
    <w:rsid w:val="006A6ED5"/>
    <w:rsid w:val="006A79E4"/>
    <w:rsid w:val="006A7A1D"/>
    <w:rsid w:val="006B0222"/>
    <w:rsid w:val="006B0441"/>
    <w:rsid w:val="006B0547"/>
    <w:rsid w:val="006B0C8A"/>
    <w:rsid w:val="006B1045"/>
    <w:rsid w:val="006B11BB"/>
    <w:rsid w:val="006B1503"/>
    <w:rsid w:val="006B1948"/>
    <w:rsid w:val="006B24F3"/>
    <w:rsid w:val="006B2679"/>
    <w:rsid w:val="006B2F39"/>
    <w:rsid w:val="006B34A1"/>
    <w:rsid w:val="006B39E2"/>
    <w:rsid w:val="006B409A"/>
    <w:rsid w:val="006B40E1"/>
    <w:rsid w:val="006B42CC"/>
    <w:rsid w:val="006B440E"/>
    <w:rsid w:val="006B45DE"/>
    <w:rsid w:val="006B4A5D"/>
    <w:rsid w:val="006B6512"/>
    <w:rsid w:val="006B68F4"/>
    <w:rsid w:val="006B72E9"/>
    <w:rsid w:val="006B7BA2"/>
    <w:rsid w:val="006B7FE4"/>
    <w:rsid w:val="006C03A5"/>
    <w:rsid w:val="006C0562"/>
    <w:rsid w:val="006C0597"/>
    <w:rsid w:val="006C08C4"/>
    <w:rsid w:val="006C0982"/>
    <w:rsid w:val="006C09D5"/>
    <w:rsid w:val="006C114F"/>
    <w:rsid w:val="006C17A0"/>
    <w:rsid w:val="006C195A"/>
    <w:rsid w:val="006C1A9B"/>
    <w:rsid w:val="006C1C5B"/>
    <w:rsid w:val="006C247F"/>
    <w:rsid w:val="006C2545"/>
    <w:rsid w:val="006C2846"/>
    <w:rsid w:val="006C2A2E"/>
    <w:rsid w:val="006C2AF3"/>
    <w:rsid w:val="006C2C69"/>
    <w:rsid w:val="006C4108"/>
    <w:rsid w:val="006C4743"/>
    <w:rsid w:val="006C4CB6"/>
    <w:rsid w:val="006C516E"/>
    <w:rsid w:val="006C5397"/>
    <w:rsid w:val="006C57D9"/>
    <w:rsid w:val="006C57EB"/>
    <w:rsid w:val="006C5A3B"/>
    <w:rsid w:val="006C6640"/>
    <w:rsid w:val="006C71ED"/>
    <w:rsid w:val="006C7387"/>
    <w:rsid w:val="006C7477"/>
    <w:rsid w:val="006C74FC"/>
    <w:rsid w:val="006C7B73"/>
    <w:rsid w:val="006D02C8"/>
    <w:rsid w:val="006D073C"/>
    <w:rsid w:val="006D0959"/>
    <w:rsid w:val="006D0AEB"/>
    <w:rsid w:val="006D159E"/>
    <w:rsid w:val="006D17E8"/>
    <w:rsid w:val="006D2CB7"/>
    <w:rsid w:val="006D2E8A"/>
    <w:rsid w:val="006D30EB"/>
    <w:rsid w:val="006D343A"/>
    <w:rsid w:val="006D3E6F"/>
    <w:rsid w:val="006D3FA4"/>
    <w:rsid w:val="006D447A"/>
    <w:rsid w:val="006D49F4"/>
    <w:rsid w:val="006D4A65"/>
    <w:rsid w:val="006D50C1"/>
    <w:rsid w:val="006D512C"/>
    <w:rsid w:val="006D5936"/>
    <w:rsid w:val="006D59A8"/>
    <w:rsid w:val="006D6050"/>
    <w:rsid w:val="006D6FFA"/>
    <w:rsid w:val="006D7774"/>
    <w:rsid w:val="006D77B7"/>
    <w:rsid w:val="006D7884"/>
    <w:rsid w:val="006D790D"/>
    <w:rsid w:val="006D7EDF"/>
    <w:rsid w:val="006E0BA6"/>
    <w:rsid w:val="006E1035"/>
    <w:rsid w:val="006E14A8"/>
    <w:rsid w:val="006E17BF"/>
    <w:rsid w:val="006E1A38"/>
    <w:rsid w:val="006E1B72"/>
    <w:rsid w:val="006E2440"/>
    <w:rsid w:val="006E2778"/>
    <w:rsid w:val="006E2CAA"/>
    <w:rsid w:val="006E2ECA"/>
    <w:rsid w:val="006E3214"/>
    <w:rsid w:val="006E3A30"/>
    <w:rsid w:val="006E51A1"/>
    <w:rsid w:val="006E5A7B"/>
    <w:rsid w:val="006E6115"/>
    <w:rsid w:val="006E61FE"/>
    <w:rsid w:val="006E635B"/>
    <w:rsid w:val="006E6600"/>
    <w:rsid w:val="006E6622"/>
    <w:rsid w:val="006E6DB5"/>
    <w:rsid w:val="006E7008"/>
    <w:rsid w:val="006E7036"/>
    <w:rsid w:val="006E72CE"/>
    <w:rsid w:val="006E784B"/>
    <w:rsid w:val="006F02E7"/>
    <w:rsid w:val="006F06EF"/>
    <w:rsid w:val="006F0B9F"/>
    <w:rsid w:val="006F17E8"/>
    <w:rsid w:val="006F24F9"/>
    <w:rsid w:val="006F2B76"/>
    <w:rsid w:val="006F3046"/>
    <w:rsid w:val="006F3218"/>
    <w:rsid w:val="006F3302"/>
    <w:rsid w:val="006F36D9"/>
    <w:rsid w:val="006F3DB6"/>
    <w:rsid w:val="006F43C5"/>
    <w:rsid w:val="006F4CF1"/>
    <w:rsid w:val="006F50CD"/>
    <w:rsid w:val="006F5160"/>
    <w:rsid w:val="006F523E"/>
    <w:rsid w:val="006F5D7E"/>
    <w:rsid w:val="006F5E35"/>
    <w:rsid w:val="006F629C"/>
    <w:rsid w:val="006F62EC"/>
    <w:rsid w:val="006F6B56"/>
    <w:rsid w:val="006F6FCC"/>
    <w:rsid w:val="006F770E"/>
    <w:rsid w:val="006F7921"/>
    <w:rsid w:val="006F7949"/>
    <w:rsid w:val="006F7A51"/>
    <w:rsid w:val="006F7C20"/>
    <w:rsid w:val="006F7DB0"/>
    <w:rsid w:val="007006D9"/>
    <w:rsid w:val="00700BD6"/>
    <w:rsid w:val="007015CF"/>
    <w:rsid w:val="00701943"/>
    <w:rsid w:val="00701AC5"/>
    <w:rsid w:val="00701BBB"/>
    <w:rsid w:val="00702A11"/>
    <w:rsid w:val="00702B1B"/>
    <w:rsid w:val="00702E19"/>
    <w:rsid w:val="007031F8"/>
    <w:rsid w:val="0070397E"/>
    <w:rsid w:val="00703E97"/>
    <w:rsid w:val="00703F88"/>
    <w:rsid w:val="00703FB9"/>
    <w:rsid w:val="007044CA"/>
    <w:rsid w:val="007049F4"/>
    <w:rsid w:val="00704B8F"/>
    <w:rsid w:val="00704CA9"/>
    <w:rsid w:val="00705B01"/>
    <w:rsid w:val="00705B50"/>
    <w:rsid w:val="0070604C"/>
    <w:rsid w:val="0070637E"/>
    <w:rsid w:val="00706499"/>
    <w:rsid w:val="007067D7"/>
    <w:rsid w:val="00706F97"/>
    <w:rsid w:val="00707764"/>
    <w:rsid w:val="007105E8"/>
    <w:rsid w:val="007107CE"/>
    <w:rsid w:val="00710927"/>
    <w:rsid w:val="00710AC4"/>
    <w:rsid w:val="00711087"/>
    <w:rsid w:val="00711221"/>
    <w:rsid w:val="00711CB1"/>
    <w:rsid w:val="00711CE2"/>
    <w:rsid w:val="0071251F"/>
    <w:rsid w:val="007133AF"/>
    <w:rsid w:val="007133DA"/>
    <w:rsid w:val="00713481"/>
    <w:rsid w:val="00713594"/>
    <w:rsid w:val="007143FA"/>
    <w:rsid w:val="0071464B"/>
    <w:rsid w:val="00714A82"/>
    <w:rsid w:val="00714BA4"/>
    <w:rsid w:val="00715006"/>
    <w:rsid w:val="0071528C"/>
    <w:rsid w:val="00715528"/>
    <w:rsid w:val="00715DFB"/>
    <w:rsid w:val="00715EBD"/>
    <w:rsid w:val="007162EF"/>
    <w:rsid w:val="00716524"/>
    <w:rsid w:val="00716AB8"/>
    <w:rsid w:val="00716B35"/>
    <w:rsid w:val="00716EBF"/>
    <w:rsid w:val="007172B2"/>
    <w:rsid w:val="0071777A"/>
    <w:rsid w:val="0071778C"/>
    <w:rsid w:val="007177E4"/>
    <w:rsid w:val="0071E453"/>
    <w:rsid w:val="007201AA"/>
    <w:rsid w:val="00720EF7"/>
    <w:rsid w:val="00721091"/>
    <w:rsid w:val="007211EE"/>
    <w:rsid w:val="00722BD0"/>
    <w:rsid w:val="00722C63"/>
    <w:rsid w:val="0072326E"/>
    <w:rsid w:val="0072335B"/>
    <w:rsid w:val="007235DD"/>
    <w:rsid w:val="00723BC4"/>
    <w:rsid w:val="007244F2"/>
    <w:rsid w:val="00724834"/>
    <w:rsid w:val="00724B5C"/>
    <w:rsid w:val="00724D7E"/>
    <w:rsid w:val="00724FC2"/>
    <w:rsid w:val="00725354"/>
    <w:rsid w:val="00725A56"/>
    <w:rsid w:val="00725D17"/>
    <w:rsid w:val="00726121"/>
    <w:rsid w:val="0072620A"/>
    <w:rsid w:val="0072647F"/>
    <w:rsid w:val="0072688F"/>
    <w:rsid w:val="00727561"/>
    <w:rsid w:val="00727CC7"/>
    <w:rsid w:val="00727D1B"/>
    <w:rsid w:val="0073042F"/>
    <w:rsid w:val="00730982"/>
    <w:rsid w:val="0073104A"/>
    <w:rsid w:val="00731270"/>
    <w:rsid w:val="007313AA"/>
    <w:rsid w:val="00731FF1"/>
    <w:rsid w:val="00732027"/>
    <w:rsid w:val="00732737"/>
    <w:rsid w:val="00732946"/>
    <w:rsid w:val="00732D68"/>
    <w:rsid w:val="00732F4F"/>
    <w:rsid w:val="00732FC4"/>
    <w:rsid w:val="00734428"/>
    <w:rsid w:val="00734B0D"/>
    <w:rsid w:val="00734C8F"/>
    <w:rsid w:val="00734FE1"/>
    <w:rsid w:val="007352D2"/>
    <w:rsid w:val="007357C6"/>
    <w:rsid w:val="007358C3"/>
    <w:rsid w:val="00735CA0"/>
    <w:rsid w:val="00735CBA"/>
    <w:rsid w:val="00736213"/>
    <w:rsid w:val="0073634F"/>
    <w:rsid w:val="007367AA"/>
    <w:rsid w:val="00736816"/>
    <w:rsid w:val="00737566"/>
    <w:rsid w:val="0073761E"/>
    <w:rsid w:val="00737A10"/>
    <w:rsid w:val="00737CB1"/>
    <w:rsid w:val="007402C7"/>
    <w:rsid w:val="00740382"/>
    <w:rsid w:val="00740805"/>
    <w:rsid w:val="00740B22"/>
    <w:rsid w:val="00741163"/>
    <w:rsid w:val="00741395"/>
    <w:rsid w:val="00741748"/>
    <w:rsid w:val="00742366"/>
    <w:rsid w:val="00742480"/>
    <w:rsid w:val="00744BA6"/>
    <w:rsid w:val="00744DE3"/>
    <w:rsid w:val="007453C9"/>
    <w:rsid w:val="007457A0"/>
    <w:rsid w:val="007459CC"/>
    <w:rsid w:val="00745A53"/>
    <w:rsid w:val="00745F69"/>
    <w:rsid w:val="007462B5"/>
    <w:rsid w:val="0074659B"/>
    <w:rsid w:val="007468B3"/>
    <w:rsid w:val="00747257"/>
    <w:rsid w:val="00747804"/>
    <w:rsid w:val="0074DB14"/>
    <w:rsid w:val="00750AB5"/>
    <w:rsid w:val="00750BC4"/>
    <w:rsid w:val="00751023"/>
    <w:rsid w:val="00751237"/>
    <w:rsid w:val="0075143B"/>
    <w:rsid w:val="00751522"/>
    <w:rsid w:val="0075179A"/>
    <w:rsid w:val="00751CAA"/>
    <w:rsid w:val="00751E30"/>
    <w:rsid w:val="00751EED"/>
    <w:rsid w:val="00752016"/>
    <w:rsid w:val="0075215A"/>
    <w:rsid w:val="007522B7"/>
    <w:rsid w:val="00752551"/>
    <w:rsid w:val="00752699"/>
    <w:rsid w:val="00752A9D"/>
    <w:rsid w:val="00752F39"/>
    <w:rsid w:val="0075391C"/>
    <w:rsid w:val="00754064"/>
    <w:rsid w:val="00754F26"/>
    <w:rsid w:val="007557B9"/>
    <w:rsid w:val="00755B95"/>
    <w:rsid w:val="00755F19"/>
    <w:rsid w:val="0075625C"/>
    <w:rsid w:val="007562A3"/>
    <w:rsid w:val="00756670"/>
    <w:rsid w:val="00756833"/>
    <w:rsid w:val="00756B65"/>
    <w:rsid w:val="00756E75"/>
    <w:rsid w:val="00756EC4"/>
    <w:rsid w:val="00757175"/>
    <w:rsid w:val="00757B0F"/>
    <w:rsid w:val="00760102"/>
    <w:rsid w:val="00760168"/>
    <w:rsid w:val="0076032A"/>
    <w:rsid w:val="007614F0"/>
    <w:rsid w:val="00761D16"/>
    <w:rsid w:val="00761EC0"/>
    <w:rsid w:val="00762425"/>
    <w:rsid w:val="00762765"/>
    <w:rsid w:val="00762865"/>
    <w:rsid w:val="00762D16"/>
    <w:rsid w:val="00763150"/>
    <w:rsid w:val="00763186"/>
    <w:rsid w:val="007632E2"/>
    <w:rsid w:val="007635B4"/>
    <w:rsid w:val="00763E4F"/>
    <w:rsid w:val="0076439E"/>
    <w:rsid w:val="0076463A"/>
    <w:rsid w:val="0076470F"/>
    <w:rsid w:val="00764DB1"/>
    <w:rsid w:val="0076528B"/>
    <w:rsid w:val="00765353"/>
    <w:rsid w:val="00765A11"/>
    <w:rsid w:val="00765D26"/>
    <w:rsid w:val="0076671A"/>
    <w:rsid w:val="00766D3F"/>
    <w:rsid w:val="007670B7"/>
    <w:rsid w:val="00767266"/>
    <w:rsid w:val="00767A57"/>
    <w:rsid w:val="00770A92"/>
    <w:rsid w:val="0077150E"/>
    <w:rsid w:val="007728C4"/>
    <w:rsid w:val="007728F3"/>
    <w:rsid w:val="007730E2"/>
    <w:rsid w:val="00773151"/>
    <w:rsid w:val="0077346C"/>
    <w:rsid w:val="00773824"/>
    <w:rsid w:val="00773FA2"/>
    <w:rsid w:val="00774282"/>
    <w:rsid w:val="00774285"/>
    <w:rsid w:val="00774374"/>
    <w:rsid w:val="00774FE6"/>
    <w:rsid w:val="00775B00"/>
    <w:rsid w:val="00775C5F"/>
    <w:rsid w:val="00775FC0"/>
    <w:rsid w:val="00776010"/>
    <w:rsid w:val="00776125"/>
    <w:rsid w:val="007765F3"/>
    <w:rsid w:val="007772E2"/>
    <w:rsid w:val="00777461"/>
    <w:rsid w:val="0077756C"/>
    <w:rsid w:val="007776EE"/>
    <w:rsid w:val="00777D2D"/>
    <w:rsid w:val="007800B0"/>
    <w:rsid w:val="00781B4E"/>
    <w:rsid w:val="00781BF6"/>
    <w:rsid w:val="00782129"/>
    <w:rsid w:val="00782553"/>
    <w:rsid w:val="00782E42"/>
    <w:rsid w:val="00783448"/>
    <w:rsid w:val="0078450D"/>
    <w:rsid w:val="00785885"/>
    <w:rsid w:val="00785E5B"/>
    <w:rsid w:val="007867B0"/>
    <w:rsid w:val="007869D5"/>
    <w:rsid w:val="00787148"/>
    <w:rsid w:val="00787150"/>
    <w:rsid w:val="00787B5A"/>
    <w:rsid w:val="00787D43"/>
    <w:rsid w:val="007906E6"/>
    <w:rsid w:val="0079093A"/>
    <w:rsid w:val="00790FD9"/>
    <w:rsid w:val="00791083"/>
    <w:rsid w:val="00791215"/>
    <w:rsid w:val="00791340"/>
    <w:rsid w:val="007913A0"/>
    <w:rsid w:val="00791CEA"/>
    <w:rsid w:val="0079219C"/>
    <w:rsid w:val="0079248E"/>
    <w:rsid w:val="007926D7"/>
    <w:rsid w:val="00792940"/>
    <w:rsid w:val="00792B52"/>
    <w:rsid w:val="00792DAB"/>
    <w:rsid w:val="007935DB"/>
    <w:rsid w:val="00793672"/>
    <w:rsid w:val="00793DC1"/>
    <w:rsid w:val="00793DE9"/>
    <w:rsid w:val="00794E55"/>
    <w:rsid w:val="00795437"/>
    <w:rsid w:val="00795547"/>
    <w:rsid w:val="00795606"/>
    <w:rsid w:val="007958AE"/>
    <w:rsid w:val="007959BD"/>
    <w:rsid w:val="007969CD"/>
    <w:rsid w:val="00796C05"/>
    <w:rsid w:val="00796C44"/>
    <w:rsid w:val="00796CFA"/>
    <w:rsid w:val="007974AB"/>
    <w:rsid w:val="007976B4"/>
    <w:rsid w:val="00797952"/>
    <w:rsid w:val="00797AC6"/>
    <w:rsid w:val="00797BFC"/>
    <w:rsid w:val="00797F9D"/>
    <w:rsid w:val="007A03D8"/>
    <w:rsid w:val="007A03F3"/>
    <w:rsid w:val="007A0801"/>
    <w:rsid w:val="007A125A"/>
    <w:rsid w:val="007A1D3D"/>
    <w:rsid w:val="007A226A"/>
    <w:rsid w:val="007A230E"/>
    <w:rsid w:val="007A2426"/>
    <w:rsid w:val="007A31E5"/>
    <w:rsid w:val="007A3325"/>
    <w:rsid w:val="007A4689"/>
    <w:rsid w:val="007A47AA"/>
    <w:rsid w:val="007A4D18"/>
    <w:rsid w:val="007A515F"/>
    <w:rsid w:val="007A51D1"/>
    <w:rsid w:val="007A542C"/>
    <w:rsid w:val="007A54F4"/>
    <w:rsid w:val="007A55B7"/>
    <w:rsid w:val="007A5A22"/>
    <w:rsid w:val="007A5D60"/>
    <w:rsid w:val="007A68D3"/>
    <w:rsid w:val="007A6A28"/>
    <w:rsid w:val="007A7F92"/>
    <w:rsid w:val="007B01F3"/>
    <w:rsid w:val="007B04CE"/>
    <w:rsid w:val="007B05B2"/>
    <w:rsid w:val="007B0ACF"/>
    <w:rsid w:val="007B1420"/>
    <w:rsid w:val="007B185E"/>
    <w:rsid w:val="007B1CDC"/>
    <w:rsid w:val="007B21EE"/>
    <w:rsid w:val="007B233C"/>
    <w:rsid w:val="007B23B5"/>
    <w:rsid w:val="007B24CB"/>
    <w:rsid w:val="007B286F"/>
    <w:rsid w:val="007B2B96"/>
    <w:rsid w:val="007B31A8"/>
    <w:rsid w:val="007B3457"/>
    <w:rsid w:val="007B479D"/>
    <w:rsid w:val="007B47A6"/>
    <w:rsid w:val="007B4930"/>
    <w:rsid w:val="007B4EC4"/>
    <w:rsid w:val="007B4EFF"/>
    <w:rsid w:val="007B5C76"/>
    <w:rsid w:val="007B5CB0"/>
    <w:rsid w:val="007B5E44"/>
    <w:rsid w:val="007B5F0D"/>
    <w:rsid w:val="007B5FFB"/>
    <w:rsid w:val="007B6195"/>
    <w:rsid w:val="007B7627"/>
    <w:rsid w:val="007B7654"/>
    <w:rsid w:val="007B7942"/>
    <w:rsid w:val="007B7B04"/>
    <w:rsid w:val="007B7B81"/>
    <w:rsid w:val="007C029F"/>
    <w:rsid w:val="007C032B"/>
    <w:rsid w:val="007C0656"/>
    <w:rsid w:val="007C1011"/>
    <w:rsid w:val="007C16AC"/>
    <w:rsid w:val="007C1877"/>
    <w:rsid w:val="007C25EC"/>
    <w:rsid w:val="007C2767"/>
    <w:rsid w:val="007C283B"/>
    <w:rsid w:val="007C2A76"/>
    <w:rsid w:val="007C3C70"/>
    <w:rsid w:val="007C3D51"/>
    <w:rsid w:val="007C4A6A"/>
    <w:rsid w:val="007C4B7F"/>
    <w:rsid w:val="007C5327"/>
    <w:rsid w:val="007C5467"/>
    <w:rsid w:val="007C5D11"/>
    <w:rsid w:val="007C6674"/>
    <w:rsid w:val="007C6CE4"/>
    <w:rsid w:val="007C7DB4"/>
    <w:rsid w:val="007C7DBC"/>
    <w:rsid w:val="007D03B8"/>
    <w:rsid w:val="007D140F"/>
    <w:rsid w:val="007D19EF"/>
    <w:rsid w:val="007D1D64"/>
    <w:rsid w:val="007D1FA0"/>
    <w:rsid w:val="007D2733"/>
    <w:rsid w:val="007D27F0"/>
    <w:rsid w:val="007D2A21"/>
    <w:rsid w:val="007D3606"/>
    <w:rsid w:val="007D394B"/>
    <w:rsid w:val="007D3CC5"/>
    <w:rsid w:val="007D4471"/>
    <w:rsid w:val="007D49C3"/>
    <w:rsid w:val="007D4AA9"/>
    <w:rsid w:val="007D4E2A"/>
    <w:rsid w:val="007D4EE0"/>
    <w:rsid w:val="007D530A"/>
    <w:rsid w:val="007D5CB7"/>
    <w:rsid w:val="007D6095"/>
    <w:rsid w:val="007D6B86"/>
    <w:rsid w:val="007D74AC"/>
    <w:rsid w:val="007E00B6"/>
    <w:rsid w:val="007E0188"/>
    <w:rsid w:val="007E0AFE"/>
    <w:rsid w:val="007E16FC"/>
    <w:rsid w:val="007E1879"/>
    <w:rsid w:val="007E191E"/>
    <w:rsid w:val="007E2144"/>
    <w:rsid w:val="007E26A3"/>
    <w:rsid w:val="007E2A6B"/>
    <w:rsid w:val="007E326A"/>
    <w:rsid w:val="007E3612"/>
    <w:rsid w:val="007E3701"/>
    <w:rsid w:val="007E3737"/>
    <w:rsid w:val="007E37E2"/>
    <w:rsid w:val="007E3F3C"/>
    <w:rsid w:val="007E3FF1"/>
    <w:rsid w:val="007E42CE"/>
    <w:rsid w:val="007E50F8"/>
    <w:rsid w:val="007E5146"/>
    <w:rsid w:val="007E52EE"/>
    <w:rsid w:val="007E53AE"/>
    <w:rsid w:val="007E5D40"/>
    <w:rsid w:val="007E60A3"/>
    <w:rsid w:val="007E6563"/>
    <w:rsid w:val="007E65AB"/>
    <w:rsid w:val="007E677F"/>
    <w:rsid w:val="007E67F4"/>
    <w:rsid w:val="007E6D61"/>
    <w:rsid w:val="007E70C5"/>
    <w:rsid w:val="007E7BC6"/>
    <w:rsid w:val="007F0143"/>
    <w:rsid w:val="007F01F7"/>
    <w:rsid w:val="007F033B"/>
    <w:rsid w:val="007F0404"/>
    <w:rsid w:val="007F043B"/>
    <w:rsid w:val="007F04AF"/>
    <w:rsid w:val="007F0FBA"/>
    <w:rsid w:val="007F1C48"/>
    <w:rsid w:val="007F2738"/>
    <w:rsid w:val="007F2811"/>
    <w:rsid w:val="007F2AC8"/>
    <w:rsid w:val="007F36A4"/>
    <w:rsid w:val="007F3C6F"/>
    <w:rsid w:val="007F3D7C"/>
    <w:rsid w:val="007F4594"/>
    <w:rsid w:val="007F507B"/>
    <w:rsid w:val="007F52C6"/>
    <w:rsid w:val="007F543A"/>
    <w:rsid w:val="007F5612"/>
    <w:rsid w:val="007F5A2D"/>
    <w:rsid w:val="007F5E4A"/>
    <w:rsid w:val="007F635B"/>
    <w:rsid w:val="007F6401"/>
    <w:rsid w:val="007F6DC0"/>
    <w:rsid w:val="007F7903"/>
    <w:rsid w:val="007F7A88"/>
    <w:rsid w:val="008001D1"/>
    <w:rsid w:val="008002DF"/>
    <w:rsid w:val="0080111B"/>
    <w:rsid w:val="00801273"/>
    <w:rsid w:val="00801467"/>
    <w:rsid w:val="00801590"/>
    <w:rsid w:val="00801D66"/>
    <w:rsid w:val="008023A8"/>
    <w:rsid w:val="00802769"/>
    <w:rsid w:val="00802782"/>
    <w:rsid w:val="0080279F"/>
    <w:rsid w:val="00802865"/>
    <w:rsid w:val="00802B24"/>
    <w:rsid w:val="008030BE"/>
    <w:rsid w:val="00803380"/>
    <w:rsid w:val="008034E3"/>
    <w:rsid w:val="0080364D"/>
    <w:rsid w:val="00803F4A"/>
    <w:rsid w:val="008040E3"/>
    <w:rsid w:val="00804211"/>
    <w:rsid w:val="008042B9"/>
    <w:rsid w:val="008046D0"/>
    <w:rsid w:val="00804809"/>
    <w:rsid w:val="0080560D"/>
    <w:rsid w:val="00805F0F"/>
    <w:rsid w:val="008060B1"/>
    <w:rsid w:val="008061FA"/>
    <w:rsid w:val="0080664C"/>
    <w:rsid w:val="00806680"/>
    <w:rsid w:val="00806E39"/>
    <w:rsid w:val="00807000"/>
    <w:rsid w:val="008077A6"/>
    <w:rsid w:val="00807830"/>
    <w:rsid w:val="008078FA"/>
    <w:rsid w:val="00807A14"/>
    <w:rsid w:val="00807F3E"/>
    <w:rsid w:val="00807FCD"/>
    <w:rsid w:val="008101F2"/>
    <w:rsid w:val="00810357"/>
    <w:rsid w:val="00810E23"/>
    <w:rsid w:val="00811116"/>
    <w:rsid w:val="00811149"/>
    <w:rsid w:val="0081163E"/>
    <w:rsid w:val="00811D15"/>
    <w:rsid w:val="00811D6F"/>
    <w:rsid w:val="00812639"/>
    <w:rsid w:val="00812AF6"/>
    <w:rsid w:val="008136FE"/>
    <w:rsid w:val="00813EAD"/>
    <w:rsid w:val="008144E9"/>
    <w:rsid w:val="008144F3"/>
    <w:rsid w:val="0081458B"/>
    <w:rsid w:val="00814B09"/>
    <w:rsid w:val="00814DA7"/>
    <w:rsid w:val="008160BD"/>
    <w:rsid w:val="0081663B"/>
    <w:rsid w:val="008166C2"/>
    <w:rsid w:val="00816717"/>
    <w:rsid w:val="008168F4"/>
    <w:rsid w:val="00816E58"/>
    <w:rsid w:val="00816E6E"/>
    <w:rsid w:val="008177E9"/>
    <w:rsid w:val="00820225"/>
    <w:rsid w:val="0082030A"/>
    <w:rsid w:val="00820712"/>
    <w:rsid w:val="00820EFF"/>
    <w:rsid w:val="00821239"/>
    <w:rsid w:val="00821306"/>
    <w:rsid w:val="008214A7"/>
    <w:rsid w:val="008218C0"/>
    <w:rsid w:val="00822090"/>
    <w:rsid w:val="008220D1"/>
    <w:rsid w:val="008226A3"/>
    <w:rsid w:val="008227A8"/>
    <w:rsid w:val="008227E2"/>
    <w:rsid w:val="0082293B"/>
    <w:rsid w:val="008232E7"/>
    <w:rsid w:val="00823324"/>
    <w:rsid w:val="00823657"/>
    <w:rsid w:val="00823911"/>
    <w:rsid w:val="00823DB7"/>
    <w:rsid w:val="008243BD"/>
    <w:rsid w:val="008245BD"/>
    <w:rsid w:val="00824964"/>
    <w:rsid w:val="00824CD9"/>
    <w:rsid w:val="00824CFD"/>
    <w:rsid w:val="00824D3D"/>
    <w:rsid w:val="008253A6"/>
    <w:rsid w:val="008258AB"/>
    <w:rsid w:val="00825B0C"/>
    <w:rsid w:val="00825C9C"/>
    <w:rsid w:val="00825E27"/>
    <w:rsid w:val="008268D1"/>
    <w:rsid w:val="00827281"/>
    <w:rsid w:val="00827F2E"/>
    <w:rsid w:val="008301BA"/>
    <w:rsid w:val="00830D08"/>
    <w:rsid w:val="00831BF4"/>
    <w:rsid w:val="00831DE2"/>
    <w:rsid w:val="00832647"/>
    <w:rsid w:val="00832F7A"/>
    <w:rsid w:val="008332FC"/>
    <w:rsid w:val="008333B5"/>
    <w:rsid w:val="008335D6"/>
    <w:rsid w:val="00833C68"/>
    <w:rsid w:val="00834637"/>
    <w:rsid w:val="008346BD"/>
    <w:rsid w:val="008348FC"/>
    <w:rsid w:val="008351D0"/>
    <w:rsid w:val="0083558F"/>
    <w:rsid w:val="0083560D"/>
    <w:rsid w:val="008357D1"/>
    <w:rsid w:val="0083630B"/>
    <w:rsid w:val="008364A1"/>
    <w:rsid w:val="00836725"/>
    <w:rsid w:val="00836E94"/>
    <w:rsid w:val="00837747"/>
    <w:rsid w:val="008378AC"/>
    <w:rsid w:val="00837DD3"/>
    <w:rsid w:val="00840044"/>
    <w:rsid w:val="00840255"/>
    <w:rsid w:val="008405DA"/>
    <w:rsid w:val="00840694"/>
    <w:rsid w:val="008413B3"/>
    <w:rsid w:val="00842894"/>
    <w:rsid w:val="00842BF1"/>
    <w:rsid w:val="00842C58"/>
    <w:rsid w:val="00842EC3"/>
    <w:rsid w:val="0084367A"/>
    <w:rsid w:val="008447FF"/>
    <w:rsid w:val="00844D04"/>
    <w:rsid w:val="00844DBA"/>
    <w:rsid w:val="00844E1E"/>
    <w:rsid w:val="00845F96"/>
    <w:rsid w:val="00846850"/>
    <w:rsid w:val="008469DF"/>
    <w:rsid w:val="00846B09"/>
    <w:rsid w:val="00847807"/>
    <w:rsid w:val="008479E7"/>
    <w:rsid w:val="00847BB9"/>
    <w:rsid w:val="00847CDB"/>
    <w:rsid w:val="0085003D"/>
    <w:rsid w:val="00850290"/>
    <w:rsid w:val="0085043C"/>
    <w:rsid w:val="008512F1"/>
    <w:rsid w:val="00851AA6"/>
    <w:rsid w:val="00851C3B"/>
    <w:rsid w:val="00852014"/>
    <w:rsid w:val="008520C4"/>
    <w:rsid w:val="00852B67"/>
    <w:rsid w:val="00853755"/>
    <w:rsid w:val="00854283"/>
    <w:rsid w:val="0085443F"/>
    <w:rsid w:val="008545EA"/>
    <w:rsid w:val="008546A4"/>
    <w:rsid w:val="00854B3C"/>
    <w:rsid w:val="00855305"/>
    <w:rsid w:val="00855511"/>
    <w:rsid w:val="008557B3"/>
    <w:rsid w:val="0085588D"/>
    <w:rsid w:val="00857149"/>
    <w:rsid w:val="00857640"/>
    <w:rsid w:val="008578D5"/>
    <w:rsid w:val="0086016E"/>
    <w:rsid w:val="00860171"/>
    <w:rsid w:val="00860FE8"/>
    <w:rsid w:val="008613BF"/>
    <w:rsid w:val="00861575"/>
    <w:rsid w:val="00861804"/>
    <w:rsid w:val="00862272"/>
    <w:rsid w:val="00862329"/>
    <w:rsid w:val="00862339"/>
    <w:rsid w:val="008626D2"/>
    <w:rsid w:val="00862A44"/>
    <w:rsid w:val="00862B26"/>
    <w:rsid w:val="00862B55"/>
    <w:rsid w:val="00862F26"/>
    <w:rsid w:val="00863499"/>
    <w:rsid w:val="00863C10"/>
    <w:rsid w:val="0086437D"/>
    <w:rsid w:val="008645D8"/>
    <w:rsid w:val="0086483F"/>
    <w:rsid w:val="00864842"/>
    <w:rsid w:val="00864B4E"/>
    <w:rsid w:val="0086505C"/>
    <w:rsid w:val="0086548D"/>
    <w:rsid w:val="0086548F"/>
    <w:rsid w:val="008657DE"/>
    <w:rsid w:val="00865908"/>
    <w:rsid w:val="00865A9B"/>
    <w:rsid w:val="00865B2F"/>
    <w:rsid w:val="00865B4F"/>
    <w:rsid w:val="008669AC"/>
    <w:rsid w:val="0086720B"/>
    <w:rsid w:val="0086745A"/>
    <w:rsid w:val="0086748C"/>
    <w:rsid w:val="0086758C"/>
    <w:rsid w:val="00867676"/>
    <w:rsid w:val="00867F48"/>
    <w:rsid w:val="0087062B"/>
    <w:rsid w:val="00870772"/>
    <w:rsid w:val="00872B51"/>
    <w:rsid w:val="00872F0F"/>
    <w:rsid w:val="00873232"/>
    <w:rsid w:val="00873E87"/>
    <w:rsid w:val="00874106"/>
    <w:rsid w:val="00874797"/>
    <w:rsid w:val="00874B2E"/>
    <w:rsid w:val="00874D0A"/>
    <w:rsid w:val="00874D25"/>
    <w:rsid w:val="008755D9"/>
    <w:rsid w:val="00875C2D"/>
    <w:rsid w:val="00875D1A"/>
    <w:rsid w:val="00875DBD"/>
    <w:rsid w:val="008763AF"/>
    <w:rsid w:val="008766C1"/>
    <w:rsid w:val="008766FD"/>
    <w:rsid w:val="00876BEE"/>
    <w:rsid w:val="008774E5"/>
    <w:rsid w:val="00877801"/>
    <w:rsid w:val="00877903"/>
    <w:rsid w:val="0088027E"/>
    <w:rsid w:val="008807B9"/>
    <w:rsid w:val="00880905"/>
    <w:rsid w:val="00881213"/>
    <w:rsid w:val="008813F1"/>
    <w:rsid w:val="00881456"/>
    <w:rsid w:val="008814FB"/>
    <w:rsid w:val="008815FC"/>
    <w:rsid w:val="00881C2F"/>
    <w:rsid w:val="00881DE5"/>
    <w:rsid w:val="00882E2E"/>
    <w:rsid w:val="008834ED"/>
    <w:rsid w:val="008837B0"/>
    <w:rsid w:val="008849CF"/>
    <w:rsid w:val="00885201"/>
    <w:rsid w:val="0088531E"/>
    <w:rsid w:val="0088553B"/>
    <w:rsid w:val="00885BB9"/>
    <w:rsid w:val="00885FAE"/>
    <w:rsid w:val="00885FFC"/>
    <w:rsid w:val="0088625E"/>
    <w:rsid w:val="0088729E"/>
    <w:rsid w:val="008874FE"/>
    <w:rsid w:val="0088791E"/>
    <w:rsid w:val="00887983"/>
    <w:rsid w:val="008879F3"/>
    <w:rsid w:val="00887C49"/>
    <w:rsid w:val="008900EB"/>
    <w:rsid w:val="0089016D"/>
    <w:rsid w:val="008904C3"/>
    <w:rsid w:val="00890993"/>
    <w:rsid w:val="00890B59"/>
    <w:rsid w:val="00890E9F"/>
    <w:rsid w:val="00891A20"/>
    <w:rsid w:val="00891E28"/>
    <w:rsid w:val="00892C2C"/>
    <w:rsid w:val="00892CBA"/>
    <w:rsid w:val="00892DF3"/>
    <w:rsid w:val="0089329E"/>
    <w:rsid w:val="00893502"/>
    <w:rsid w:val="00893CC3"/>
    <w:rsid w:val="00893D11"/>
    <w:rsid w:val="00893FCB"/>
    <w:rsid w:val="00894340"/>
    <w:rsid w:val="008945A5"/>
    <w:rsid w:val="00894646"/>
    <w:rsid w:val="00894DAE"/>
    <w:rsid w:val="00894E8E"/>
    <w:rsid w:val="00895B46"/>
    <w:rsid w:val="00895CD7"/>
    <w:rsid w:val="00895DF5"/>
    <w:rsid w:val="0089618B"/>
    <w:rsid w:val="0089676A"/>
    <w:rsid w:val="008967BA"/>
    <w:rsid w:val="00896A36"/>
    <w:rsid w:val="00896D26"/>
    <w:rsid w:val="00896E72"/>
    <w:rsid w:val="008973B8"/>
    <w:rsid w:val="008973F6"/>
    <w:rsid w:val="008A040F"/>
    <w:rsid w:val="008A05F4"/>
    <w:rsid w:val="008A071E"/>
    <w:rsid w:val="008A0837"/>
    <w:rsid w:val="008A0D1B"/>
    <w:rsid w:val="008A0DAD"/>
    <w:rsid w:val="008A0E42"/>
    <w:rsid w:val="008A13F4"/>
    <w:rsid w:val="008A17AA"/>
    <w:rsid w:val="008A2260"/>
    <w:rsid w:val="008A2994"/>
    <w:rsid w:val="008A2A44"/>
    <w:rsid w:val="008A2B26"/>
    <w:rsid w:val="008A3528"/>
    <w:rsid w:val="008A37D4"/>
    <w:rsid w:val="008A381E"/>
    <w:rsid w:val="008A3E10"/>
    <w:rsid w:val="008A41AC"/>
    <w:rsid w:val="008A4302"/>
    <w:rsid w:val="008A4F5A"/>
    <w:rsid w:val="008A58A6"/>
    <w:rsid w:val="008A6251"/>
    <w:rsid w:val="008A64C2"/>
    <w:rsid w:val="008A6EC8"/>
    <w:rsid w:val="008B047F"/>
    <w:rsid w:val="008B0CE7"/>
    <w:rsid w:val="008B0FF1"/>
    <w:rsid w:val="008B13A8"/>
    <w:rsid w:val="008B1655"/>
    <w:rsid w:val="008B181E"/>
    <w:rsid w:val="008B1AD9"/>
    <w:rsid w:val="008B1D94"/>
    <w:rsid w:val="008B2D67"/>
    <w:rsid w:val="008B3969"/>
    <w:rsid w:val="008B3CA5"/>
    <w:rsid w:val="008B41EC"/>
    <w:rsid w:val="008B42BE"/>
    <w:rsid w:val="008B4386"/>
    <w:rsid w:val="008B4557"/>
    <w:rsid w:val="008B4936"/>
    <w:rsid w:val="008B4A75"/>
    <w:rsid w:val="008B4C36"/>
    <w:rsid w:val="008B4D36"/>
    <w:rsid w:val="008B4EAD"/>
    <w:rsid w:val="008B4FB8"/>
    <w:rsid w:val="008B537A"/>
    <w:rsid w:val="008B557F"/>
    <w:rsid w:val="008B5E29"/>
    <w:rsid w:val="008B6099"/>
    <w:rsid w:val="008B6DAA"/>
    <w:rsid w:val="008B712E"/>
    <w:rsid w:val="008B7B1B"/>
    <w:rsid w:val="008B7D71"/>
    <w:rsid w:val="008C0117"/>
    <w:rsid w:val="008C0120"/>
    <w:rsid w:val="008C1058"/>
    <w:rsid w:val="008C17A5"/>
    <w:rsid w:val="008C1833"/>
    <w:rsid w:val="008C23D4"/>
    <w:rsid w:val="008C28A9"/>
    <w:rsid w:val="008C2AED"/>
    <w:rsid w:val="008C2B6C"/>
    <w:rsid w:val="008C32B5"/>
    <w:rsid w:val="008C3355"/>
    <w:rsid w:val="008C350F"/>
    <w:rsid w:val="008C3ADE"/>
    <w:rsid w:val="008C3E98"/>
    <w:rsid w:val="008C40B2"/>
    <w:rsid w:val="008C40DC"/>
    <w:rsid w:val="008C47AA"/>
    <w:rsid w:val="008C4923"/>
    <w:rsid w:val="008C4BC1"/>
    <w:rsid w:val="008C501D"/>
    <w:rsid w:val="008C5118"/>
    <w:rsid w:val="008C5E41"/>
    <w:rsid w:val="008C621E"/>
    <w:rsid w:val="008C6437"/>
    <w:rsid w:val="008C739D"/>
    <w:rsid w:val="008C7514"/>
    <w:rsid w:val="008C789C"/>
    <w:rsid w:val="008C7C0C"/>
    <w:rsid w:val="008C7E10"/>
    <w:rsid w:val="008C7F85"/>
    <w:rsid w:val="008D0127"/>
    <w:rsid w:val="008D1458"/>
    <w:rsid w:val="008D14F4"/>
    <w:rsid w:val="008D1962"/>
    <w:rsid w:val="008D2095"/>
    <w:rsid w:val="008D226A"/>
    <w:rsid w:val="008D248D"/>
    <w:rsid w:val="008D24DF"/>
    <w:rsid w:val="008D2902"/>
    <w:rsid w:val="008D2A1C"/>
    <w:rsid w:val="008D2C38"/>
    <w:rsid w:val="008D2E07"/>
    <w:rsid w:val="008D3049"/>
    <w:rsid w:val="008D32A3"/>
    <w:rsid w:val="008D3683"/>
    <w:rsid w:val="008D36B4"/>
    <w:rsid w:val="008D3FA6"/>
    <w:rsid w:val="008D4EBD"/>
    <w:rsid w:val="008D5254"/>
    <w:rsid w:val="008D5A74"/>
    <w:rsid w:val="008D6F60"/>
    <w:rsid w:val="008D75EE"/>
    <w:rsid w:val="008D7A92"/>
    <w:rsid w:val="008E05CE"/>
    <w:rsid w:val="008E0605"/>
    <w:rsid w:val="008E0A9A"/>
    <w:rsid w:val="008E123A"/>
    <w:rsid w:val="008E1783"/>
    <w:rsid w:val="008E1CD3"/>
    <w:rsid w:val="008E2270"/>
    <w:rsid w:val="008E2937"/>
    <w:rsid w:val="008E2CF7"/>
    <w:rsid w:val="008E2F9B"/>
    <w:rsid w:val="008E30A3"/>
    <w:rsid w:val="008E321A"/>
    <w:rsid w:val="008E3B30"/>
    <w:rsid w:val="008E3D3A"/>
    <w:rsid w:val="008E3E01"/>
    <w:rsid w:val="008E44C4"/>
    <w:rsid w:val="008E4740"/>
    <w:rsid w:val="008E47DD"/>
    <w:rsid w:val="008E4E35"/>
    <w:rsid w:val="008E5344"/>
    <w:rsid w:val="008E5753"/>
    <w:rsid w:val="008E5861"/>
    <w:rsid w:val="008E5891"/>
    <w:rsid w:val="008E5DB9"/>
    <w:rsid w:val="008E70AC"/>
    <w:rsid w:val="008E72EF"/>
    <w:rsid w:val="008E7384"/>
    <w:rsid w:val="008E7628"/>
    <w:rsid w:val="008E7A91"/>
    <w:rsid w:val="008E7DAD"/>
    <w:rsid w:val="008F0A68"/>
    <w:rsid w:val="008F0CA0"/>
    <w:rsid w:val="008F0F4A"/>
    <w:rsid w:val="008F11C2"/>
    <w:rsid w:val="008F15D8"/>
    <w:rsid w:val="008F24AA"/>
    <w:rsid w:val="008F251E"/>
    <w:rsid w:val="008F288F"/>
    <w:rsid w:val="008F2C78"/>
    <w:rsid w:val="008F2D03"/>
    <w:rsid w:val="008F2F75"/>
    <w:rsid w:val="008F3434"/>
    <w:rsid w:val="008F3611"/>
    <w:rsid w:val="008F36B2"/>
    <w:rsid w:val="008F39DF"/>
    <w:rsid w:val="008F3F1E"/>
    <w:rsid w:val="008F42AB"/>
    <w:rsid w:val="008F5072"/>
    <w:rsid w:val="008F5091"/>
    <w:rsid w:val="008F56A7"/>
    <w:rsid w:val="008F57B0"/>
    <w:rsid w:val="008F610E"/>
    <w:rsid w:val="008F6417"/>
    <w:rsid w:val="008F6727"/>
    <w:rsid w:val="008F7B8C"/>
    <w:rsid w:val="008F7CF4"/>
    <w:rsid w:val="00900700"/>
    <w:rsid w:val="009008A6"/>
    <w:rsid w:val="00901336"/>
    <w:rsid w:val="00901E13"/>
    <w:rsid w:val="00901E88"/>
    <w:rsid w:val="0090245A"/>
    <w:rsid w:val="00902D69"/>
    <w:rsid w:val="00903427"/>
    <w:rsid w:val="009035CA"/>
    <w:rsid w:val="009037B2"/>
    <w:rsid w:val="00903EC6"/>
    <w:rsid w:val="00904413"/>
    <w:rsid w:val="0090451A"/>
    <w:rsid w:val="0090451C"/>
    <w:rsid w:val="00904D03"/>
    <w:rsid w:val="00904D6D"/>
    <w:rsid w:val="00904E92"/>
    <w:rsid w:val="009052FA"/>
    <w:rsid w:val="0090568B"/>
    <w:rsid w:val="009056C1"/>
    <w:rsid w:val="0090599F"/>
    <w:rsid w:val="00906019"/>
    <w:rsid w:val="00906048"/>
    <w:rsid w:val="00906235"/>
    <w:rsid w:val="0090642E"/>
    <w:rsid w:val="009065FC"/>
    <w:rsid w:val="0090680E"/>
    <w:rsid w:val="00906B73"/>
    <w:rsid w:val="00906C14"/>
    <w:rsid w:val="00906EC8"/>
    <w:rsid w:val="009078CC"/>
    <w:rsid w:val="0090793E"/>
    <w:rsid w:val="00907AB6"/>
    <w:rsid w:val="00910035"/>
    <w:rsid w:val="00910DB0"/>
    <w:rsid w:val="00910E4C"/>
    <w:rsid w:val="00910E67"/>
    <w:rsid w:val="0091114D"/>
    <w:rsid w:val="00911987"/>
    <w:rsid w:val="00911F5B"/>
    <w:rsid w:val="00911FF5"/>
    <w:rsid w:val="00912597"/>
    <w:rsid w:val="00912BCA"/>
    <w:rsid w:val="00912C0A"/>
    <w:rsid w:val="00912FCC"/>
    <w:rsid w:val="009136A4"/>
    <w:rsid w:val="00913B26"/>
    <w:rsid w:val="00913F0C"/>
    <w:rsid w:val="0091416F"/>
    <w:rsid w:val="0091466D"/>
    <w:rsid w:val="009151BF"/>
    <w:rsid w:val="009154AC"/>
    <w:rsid w:val="0091576F"/>
    <w:rsid w:val="0091587B"/>
    <w:rsid w:val="00915BAB"/>
    <w:rsid w:val="00915D73"/>
    <w:rsid w:val="00916320"/>
    <w:rsid w:val="00916FAF"/>
    <w:rsid w:val="00917EB7"/>
    <w:rsid w:val="00920094"/>
    <w:rsid w:val="009202E5"/>
    <w:rsid w:val="009205EC"/>
    <w:rsid w:val="0092060E"/>
    <w:rsid w:val="0092062C"/>
    <w:rsid w:val="00920B7D"/>
    <w:rsid w:val="00920C3D"/>
    <w:rsid w:val="00920D19"/>
    <w:rsid w:val="00920D2E"/>
    <w:rsid w:val="009218DF"/>
    <w:rsid w:val="00921C1C"/>
    <w:rsid w:val="00921F99"/>
    <w:rsid w:val="009223D8"/>
    <w:rsid w:val="00922562"/>
    <w:rsid w:val="009228F5"/>
    <w:rsid w:val="00923152"/>
    <w:rsid w:val="009232C3"/>
    <w:rsid w:val="00923335"/>
    <w:rsid w:val="009235C3"/>
    <w:rsid w:val="009238D7"/>
    <w:rsid w:val="00923A38"/>
    <w:rsid w:val="00923C84"/>
    <w:rsid w:val="00923F50"/>
    <w:rsid w:val="00924836"/>
    <w:rsid w:val="009248FE"/>
    <w:rsid w:val="00925B44"/>
    <w:rsid w:val="00925BC2"/>
    <w:rsid w:val="0092600D"/>
    <w:rsid w:val="009276B7"/>
    <w:rsid w:val="00927A9C"/>
    <w:rsid w:val="00927B3E"/>
    <w:rsid w:val="00927F61"/>
    <w:rsid w:val="00927FC6"/>
    <w:rsid w:val="00930485"/>
    <w:rsid w:val="009304C1"/>
    <w:rsid w:val="00930767"/>
    <w:rsid w:val="00930BF2"/>
    <w:rsid w:val="00931056"/>
    <w:rsid w:val="00931769"/>
    <w:rsid w:val="00931AA5"/>
    <w:rsid w:val="00931D28"/>
    <w:rsid w:val="00931ED8"/>
    <w:rsid w:val="00931F9D"/>
    <w:rsid w:val="009321A9"/>
    <w:rsid w:val="00932703"/>
    <w:rsid w:val="00933184"/>
    <w:rsid w:val="00933578"/>
    <w:rsid w:val="00933C1F"/>
    <w:rsid w:val="00933F70"/>
    <w:rsid w:val="00933F94"/>
    <w:rsid w:val="00934B65"/>
    <w:rsid w:val="009351E1"/>
    <w:rsid w:val="009358B7"/>
    <w:rsid w:val="00935A11"/>
    <w:rsid w:val="00935E73"/>
    <w:rsid w:val="009362CA"/>
    <w:rsid w:val="009362F6"/>
    <w:rsid w:val="009363D4"/>
    <w:rsid w:val="009366BC"/>
    <w:rsid w:val="00936A74"/>
    <w:rsid w:val="00936DBD"/>
    <w:rsid w:val="00936F1F"/>
    <w:rsid w:val="00937157"/>
    <w:rsid w:val="00937A46"/>
    <w:rsid w:val="00937AC2"/>
    <w:rsid w:val="00940485"/>
    <w:rsid w:val="00940677"/>
    <w:rsid w:val="00940B16"/>
    <w:rsid w:val="009418B4"/>
    <w:rsid w:val="009428D5"/>
    <w:rsid w:val="0094421F"/>
    <w:rsid w:val="00945233"/>
    <w:rsid w:val="0094543C"/>
    <w:rsid w:val="00945C97"/>
    <w:rsid w:val="00946BED"/>
    <w:rsid w:val="00946F01"/>
    <w:rsid w:val="00947405"/>
    <w:rsid w:val="009504CD"/>
    <w:rsid w:val="009505D6"/>
    <w:rsid w:val="00950635"/>
    <w:rsid w:val="00951396"/>
    <w:rsid w:val="009519DF"/>
    <w:rsid w:val="00951B27"/>
    <w:rsid w:val="009522A8"/>
    <w:rsid w:val="00952761"/>
    <w:rsid w:val="00952821"/>
    <w:rsid w:val="00952A60"/>
    <w:rsid w:val="00952C35"/>
    <w:rsid w:val="0095376B"/>
    <w:rsid w:val="00953846"/>
    <w:rsid w:val="009539CD"/>
    <w:rsid w:val="00953BCF"/>
    <w:rsid w:val="00954075"/>
    <w:rsid w:val="009547AC"/>
    <w:rsid w:val="00954C16"/>
    <w:rsid w:val="00954FCD"/>
    <w:rsid w:val="0095508C"/>
    <w:rsid w:val="00955D2E"/>
    <w:rsid w:val="00955EB8"/>
    <w:rsid w:val="009568FC"/>
    <w:rsid w:val="00956C1D"/>
    <w:rsid w:val="00956D89"/>
    <w:rsid w:val="00957939"/>
    <w:rsid w:val="009606B1"/>
    <w:rsid w:val="00961922"/>
    <w:rsid w:val="009629EF"/>
    <w:rsid w:val="00962E3A"/>
    <w:rsid w:val="00962FD0"/>
    <w:rsid w:val="00963141"/>
    <w:rsid w:val="00963226"/>
    <w:rsid w:val="00963EAE"/>
    <w:rsid w:val="00963FF3"/>
    <w:rsid w:val="009644CB"/>
    <w:rsid w:val="00964968"/>
    <w:rsid w:val="00964EA7"/>
    <w:rsid w:val="00964EE1"/>
    <w:rsid w:val="00965148"/>
    <w:rsid w:val="00965C92"/>
    <w:rsid w:val="00965DCA"/>
    <w:rsid w:val="00966025"/>
    <w:rsid w:val="009661A9"/>
    <w:rsid w:val="00966935"/>
    <w:rsid w:val="00966BD1"/>
    <w:rsid w:val="00966F95"/>
    <w:rsid w:val="009670C9"/>
    <w:rsid w:val="009678B9"/>
    <w:rsid w:val="00967A7C"/>
    <w:rsid w:val="0097054B"/>
    <w:rsid w:val="00970660"/>
    <w:rsid w:val="00970F5A"/>
    <w:rsid w:val="00971120"/>
    <w:rsid w:val="00971403"/>
    <w:rsid w:val="0097158B"/>
    <w:rsid w:val="009728E1"/>
    <w:rsid w:val="00972EEB"/>
    <w:rsid w:val="00973056"/>
    <w:rsid w:val="009730C9"/>
    <w:rsid w:val="0097341F"/>
    <w:rsid w:val="00973571"/>
    <w:rsid w:val="00973653"/>
    <w:rsid w:val="00973B28"/>
    <w:rsid w:val="0097449B"/>
    <w:rsid w:val="00974D2B"/>
    <w:rsid w:val="009752AF"/>
    <w:rsid w:val="009757BD"/>
    <w:rsid w:val="00975DCB"/>
    <w:rsid w:val="00975F91"/>
    <w:rsid w:val="009760C6"/>
    <w:rsid w:val="009766DC"/>
    <w:rsid w:val="00976B8E"/>
    <w:rsid w:val="00977020"/>
    <w:rsid w:val="0097705F"/>
    <w:rsid w:val="0098004D"/>
    <w:rsid w:val="009806E8"/>
    <w:rsid w:val="00980883"/>
    <w:rsid w:val="00980931"/>
    <w:rsid w:val="00980A91"/>
    <w:rsid w:val="00980B43"/>
    <w:rsid w:val="00980B4F"/>
    <w:rsid w:val="00980FCF"/>
    <w:rsid w:val="00981157"/>
    <w:rsid w:val="009811E1"/>
    <w:rsid w:val="0098153F"/>
    <w:rsid w:val="0098156A"/>
    <w:rsid w:val="00981899"/>
    <w:rsid w:val="00981AD0"/>
    <w:rsid w:val="00981EF1"/>
    <w:rsid w:val="00982635"/>
    <w:rsid w:val="009826B3"/>
    <w:rsid w:val="00982EC0"/>
    <w:rsid w:val="009837D0"/>
    <w:rsid w:val="00983BB8"/>
    <w:rsid w:val="0098408C"/>
    <w:rsid w:val="00984441"/>
    <w:rsid w:val="00984A03"/>
    <w:rsid w:val="0098513D"/>
    <w:rsid w:val="009861BB"/>
    <w:rsid w:val="009864D3"/>
    <w:rsid w:val="00986649"/>
    <w:rsid w:val="00986E65"/>
    <w:rsid w:val="0098710E"/>
    <w:rsid w:val="009871E3"/>
    <w:rsid w:val="009873C5"/>
    <w:rsid w:val="00987A8C"/>
    <w:rsid w:val="00987B0A"/>
    <w:rsid w:val="00987B3A"/>
    <w:rsid w:val="00987C0C"/>
    <w:rsid w:val="00987D5C"/>
    <w:rsid w:val="00990405"/>
    <w:rsid w:val="00990B96"/>
    <w:rsid w:val="00991800"/>
    <w:rsid w:val="00991843"/>
    <w:rsid w:val="009918AD"/>
    <w:rsid w:val="00991C5E"/>
    <w:rsid w:val="00992F5D"/>
    <w:rsid w:val="00993088"/>
    <w:rsid w:val="009932C6"/>
    <w:rsid w:val="009932EB"/>
    <w:rsid w:val="0099360A"/>
    <w:rsid w:val="00993831"/>
    <w:rsid w:val="009939B4"/>
    <w:rsid w:val="00993CFC"/>
    <w:rsid w:val="0099449D"/>
    <w:rsid w:val="00994554"/>
    <w:rsid w:val="0099485D"/>
    <w:rsid w:val="009951C9"/>
    <w:rsid w:val="00995901"/>
    <w:rsid w:val="00995ADA"/>
    <w:rsid w:val="00995EE5"/>
    <w:rsid w:val="00995F8D"/>
    <w:rsid w:val="00995FB3"/>
    <w:rsid w:val="009963F6"/>
    <w:rsid w:val="00996537"/>
    <w:rsid w:val="0099761D"/>
    <w:rsid w:val="009A0924"/>
    <w:rsid w:val="009A1017"/>
    <w:rsid w:val="009A1112"/>
    <w:rsid w:val="009A129E"/>
    <w:rsid w:val="009A15ED"/>
    <w:rsid w:val="009A15EF"/>
    <w:rsid w:val="009A16E9"/>
    <w:rsid w:val="009A192B"/>
    <w:rsid w:val="009A1B50"/>
    <w:rsid w:val="009A1BA1"/>
    <w:rsid w:val="009A1CA6"/>
    <w:rsid w:val="009A1DC2"/>
    <w:rsid w:val="009A2822"/>
    <w:rsid w:val="009A28E3"/>
    <w:rsid w:val="009A2B5B"/>
    <w:rsid w:val="009A2BCD"/>
    <w:rsid w:val="009A2CA2"/>
    <w:rsid w:val="009A37D0"/>
    <w:rsid w:val="009A3C49"/>
    <w:rsid w:val="009A3D25"/>
    <w:rsid w:val="009A48EA"/>
    <w:rsid w:val="009A4EFF"/>
    <w:rsid w:val="009A5214"/>
    <w:rsid w:val="009A5223"/>
    <w:rsid w:val="009A5574"/>
    <w:rsid w:val="009A58C3"/>
    <w:rsid w:val="009A5B7B"/>
    <w:rsid w:val="009A5DC8"/>
    <w:rsid w:val="009A60CC"/>
    <w:rsid w:val="009A6374"/>
    <w:rsid w:val="009A6B68"/>
    <w:rsid w:val="009A6EC0"/>
    <w:rsid w:val="009A6F03"/>
    <w:rsid w:val="009A7262"/>
    <w:rsid w:val="009A79BC"/>
    <w:rsid w:val="009A7D7F"/>
    <w:rsid w:val="009B01FB"/>
    <w:rsid w:val="009B083A"/>
    <w:rsid w:val="009B1315"/>
    <w:rsid w:val="009B1318"/>
    <w:rsid w:val="009B14FA"/>
    <w:rsid w:val="009B1E59"/>
    <w:rsid w:val="009B272B"/>
    <w:rsid w:val="009B2744"/>
    <w:rsid w:val="009B2DC8"/>
    <w:rsid w:val="009B3540"/>
    <w:rsid w:val="009B3709"/>
    <w:rsid w:val="009B3764"/>
    <w:rsid w:val="009B3B29"/>
    <w:rsid w:val="009B4A13"/>
    <w:rsid w:val="009B4FFA"/>
    <w:rsid w:val="009B4FFE"/>
    <w:rsid w:val="009B5057"/>
    <w:rsid w:val="009B598A"/>
    <w:rsid w:val="009B5CAD"/>
    <w:rsid w:val="009B6249"/>
    <w:rsid w:val="009B65AC"/>
    <w:rsid w:val="009B65E8"/>
    <w:rsid w:val="009B6798"/>
    <w:rsid w:val="009B6B55"/>
    <w:rsid w:val="009B6CE7"/>
    <w:rsid w:val="009B6E71"/>
    <w:rsid w:val="009B7C7E"/>
    <w:rsid w:val="009B7CB1"/>
    <w:rsid w:val="009C0341"/>
    <w:rsid w:val="009C037B"/>
    <w:rsid w:val="009C05DA"/>
    <w:rsid w:val="009C0BEB"/>
    <w:rsid w:val="009C0D04"/>
    <w:rsid w:val="009C1143"/>
    <w:rsid w:val="009C148E"/>
    <w:rsid w:val="009C14A2"/>
    <w:rsid w:val="009C38B5"/>
    <w:rsid w:val="009C3B83"/>
    <w:rsid w:val="009C4451"/>
    <w:rsid w:val="009C44DA"/>
    <w:rsid w:val="009C464C"/>
    <w:rsid w:val="009C4954"/>
    <w:rsid w:val="009C4966"/>
    <w:rsid w:val="009C4BDF"/>
    <w:rsid w:val="009C4FC8"/>
    <w:rsid w:val="009C50CD"/>
    <w:rsid w:val="009C555E"/>
    <w:rsid w:val="009C55C3"/>
    <w:rsid w:val="009C5DA3"/>
    <w:rsid w:val="009C5EFC"/>
    <w:rsid w:val="009C5F6E"/>
    <w:rsid w:val="009C6363"/>
    <w:rsid w:val="009C737E"/>
    <w:rsid w:val="009C753A"/>
    <w:rsid w:val="009C776C"/>
    <w:rsid w:val="009C7C47"/>
    <w:rsid w:val="009D04EC"/>
    <w:rsid w:val="009D058D"/>
    <w:rsid w:val="009D0C25"/>
    <w:rsid w:val="009D17CD"/>
    <w:rsid w:val="009D22A9"/>
    <w:rsid w:val="009D23A1"/>
    <w:rsid w:val="009D2660"/>
    <w:rsid w:val="009D26C3"/>
    <w:rsid w:val="009D28E4"/>
    <w:rsid w:val="009D2A23"/>
    <w:rsid w:val="009D2B1A"/>
    <w:rsid w:val="009D2F12"/>
    <w:rsid w:val="009D2FAE"/>
    <w:rsid w:val="009D3201"/>
    <w:rsid w:val="009D3297"/>
    <w:rsid w:val="009D354E"/>
    <w:rsid w:val="009D3D62"/>
    <w:rsid w:val="009D3EF5"/>
    <w:rsid w:val="009D46B5"/>
    <w:rsid w:val="009D4E82"/>
    <w:rsid w:val="009D4F1E"/>
    <w:rsid w:val="009D53C3"/>
    <w:rsid w:val="009D5972"/>
    <w:rsid w:val="009D6F64"/>
    <w:rsid w:val="009D77ED"/>
    <w:rsid w:val="009D7950"/>
    <w:rsid w:val="009D7B1A"/>
    <w:rsid w:val="009D7F2C"/>
    <w:rsid w:val="009E00B3"/>
    <w:rsid w:val="009E0125"/>
    <w:rsid w:val="009E0664"/>
    <w:rsid w:val="009E0F72"/>
    <w:rsid w:val="009E10DD"/>
    <w:rsid w:val="009E179A"/>
    <w:rsid w:val="009E1865"/>
    <w:rsid w:val="009E1CDF"/>
    <w:rsid w:val="009E1EAF"/>
    <w:rsid w:val="009E24BF"/>
    <w:rsid w:val="009E254F"/>
    <w:rsid w:val="009E2785"/>
    <w:rsid w:val="009E308E"/>
    <w:rsid w:val="009E31BF"/>
    <w:rsid w:val="009E3252"/>
    <w:rsid w:val="009E32B2"/>
    <w:rsid w:val="009E34D3"/>
    <w:rsid w:val="009E394F"/>
    <w:rsid w:val="009E3A46"/>
    <w:rsid w:val="009E3B57"/>
    <w:rsid w:val="009E3BC6"/>
    <w:rsid w:val="009E3F6E"/>
    <w:rsid w:val="009E4111"/>
    <w:rsid w:val="009E45A8"/>
    <w:rsid w:val="009E4936"/>
    <w:rsid w:val="009E4C1D"/>
    <w:rsid w:val="009E4EDF"/>
    <w:rsid w:val="009E520E"/>
    <w:rsid w:val="009E5428"/>
    <w:rsid w:val="009E5BA6"/>
    <w:rsid w:val="009E6336"/>
    <w:rsid w:val="009E6471"/>
    <w:rsid w:val="009E6548"/>
    <w:rsid w:val="009E713F"/>
    <w:rsid w:val="009E7334"/>
    <w:rsid w:val="009E73AA"/>
    <w:rsid w:val="009F0245"/>
    <w:rsid w:val="009F0782"/>
    <w:rsid w:val="009F0A55"/>
    <w:rsid w:val="009F0E6A"/>
    <w:rsid w:val="009F0E83"/>
    <w:rsid w:val="009F1359"/>
    <w:rsid w:val="009F14F9"/>
    <w:rsid w:val="009F1D1A"/>
    <w:rsid w:val="009F1F69"/>
    <w:rsid w:val="009F2C00"/>
    <w:rsid w:val="009F3A65"/>
    <w:rsid w:val="009F3C24"/>
    <w:rsid w:val="009F3C86"/>
    <w:rsid w:val="009F428E"/>
    <w:rsid w:val="009F42B1"/>
    <w:rsid w:val="009F44C9"/>
    <w:rsid w:val="009F451E"/>
    <w:rsid w:val="009F4C03"/>
    <w:rsid w:val="009F4FFF"/>
    <w:rsid w:val="009F55A8"/>
    <w:rsid w:val="009F562F"/>
    <w:rsid w:val="009F5D89"/>
    <w:rsid w:val="009F6294"/>
    <w:rsid w:val="009F63D1"/>
    <w:rsid w:val="009F66F9"/>
    <w:rsid w:val="009F6C13"/>
    <w:rsid w:val="009F748B"/>
    <w:rsid w:val="009F7893"/>
    <w:rsid w:val="00A007FD"/>
    <w:rsid w:val="00A00F6B"/>
    <w:rsid w:val="00A016C1"/>
    <w:rsid w:val="00A01C79"/>
    <w:rsid w:val="00A01E05"/>
    <w:rsid w:val="00A02095"/>
    <w:rsid w:val="00A0210C"/>
    <w:rsid w:val="00A021D6"/>
    <w:rsid w:val="00A029B7"/>
    <w:rsid w:val="00A03408"/>
    <w:rsid w:val="00A037E3"/>
    <w:rsid w:val="00A03A46"/>
    <w:rsid w:val="00A03BCD"/>
    <w:rsid w:val="00A04016"/>
    <w:rsid w:val="00A04027"/>
    <w:rsid w:val="00A04138"/>
    <w:rsid w:val="00A0437D"/>
    <w:rsid w:val="00A04911"/>
    <w:rsid w:val="00A0551F"/>
    <w:rsid w:val="00A0582D"/>
    <w:rsid w:val="00A05E0B"/>
    <w:rsid w:val="00A065F6"/>
    <w:rsid w:val="00A06FA5"/>
    <w:rsid w:val="00A0704C"/>
    <w:rsid w:val="00A078B7"/>
    <w:rsid w:val="00A0792D"/>
    <w:rsid w:val="00A07A27"/>
    <w:rsid w:val="00A10268"/>
    <w:rsid w:val="00A1064C"/>
    <w:rsid w:val="00A10AE3"/>
    <w:rsid w:val="00A10BDB"/>
    <w:rsid w:val="00A11536"/>
    <w:rsid w:val="00A11725"/>
    <w:rsid w:val="00A1252E"/>
    <w:rsid w:val="00A13162"/>
    <w:rsid w:val="00A131F0"/>
    <w:rsid w:val="00A13970"/>
    <w:rsid w:val="00A14592"/>
    <w:rsid w:val="00A14C5C"/>
    <w:rsid w:val="00A14F5E"/>
    <w:rsid w:val="00A152A6"/>
    <w:rsid w:val="00A154BD"/>
    <w:rsid w:val="00A15CC7"/>
    <w:rsid w:val="00A162AC"/>
    <w:rsid w:val="00A168E8"/>
    <w:rsid w:val="00A16DD8"/>
    <w:rsid w:val="00A16E67"/>
    <w:rsid w:val="00A16FEA"/>
    <w:rsid w:val="00A17ABE"/>
    <w:rsid w:val="00A17D25"/>
    <w:rsid w:val="00A204E1"/>
    <w:rsid w:val="00A2060E"/>
    <w:rsid w:val="00A2076D"/>
    <w:rsid w:val="00A20D4F"/>
    <w:rsid w:val="00A21162"/>
    <w:rsid w:val="00A225E4"/>
    <w:rsid w:val="00A22807"/>
    <w:rsid w:val="00A2294E"/>
    <w:rsid w:val="00A22A91"/>
    <w:rsid w:val="00A231A6"/>
    <w:rsid w:val="00A23517"/>
    <w:rsid w:val="00A23EA7"/>
    <w:rsid w:val="00A24900"/>
    <w:rsid w:val="00A24D69"/>
    <w:rsid w:val="00A24DEB"/>
    <w:rsid w:val="00A2504F"/>
    <w:rsid w:val="00A253EF"/>
    <w:rsid w:val="00A2587C"/>
    <w:rsid w:val="00A25EA3"/>
    <w:rsid w:val="00A261D5"/>
    <w:rsid w:val="00A263FC"/>
    <w:rsid w:val="00A266E3"/>
    <w:rsid w:val="00A2693D"/>
    <w:rsid w:val="00A27664"/>
    <w:rsid w:val="00A2770F"/>
    <w:rsid w:val="00A27725"/>
    <w:rsid w:val="00A27CD1"/>
    <w:rsid w:val="00A3019C"/>
    <w:rsid w:val="00A30759"/>
    <w:rsid w:val="00A30C2A"/>
    <w:rsid w:val="00A30FD8"/>
    <w:rsid w:val="00A31CFE"/>
    <w:rsid w:val="00A32024"/>
    <w:rsid w:val="00A32908"/>
    <w:rsid w:val="00A33287"/>
    <w:rsid w:val="00A33418"/>
    <w:rsid w:val="00A33871"/>
    <w:rsid w:val="00A338E4"/>
    <w:rsid w:val="00A33F2A"/>
    <w:rsid w:val="00A3459F"/>
    <w:rsid w:val="00A3566A"/>
    <w:rsid w:val="00A35F65"/>
    <w:rsid w:val="00A36F23"/>
    <w:rsid w:val="00A37159"/>
    <w:rsid w:val="00A379F8"/>
    <w:rsid w:val="00A37DE3"/>
    <w:rsid w:val="00A4020F"/>
    <w:rsid w:val="00A40270"/>
    <w:rsid w:val="00A40A81"/>
    <w:rsid w:val="00A40C89"/>
    <w:rsid w:val="00A411F5"/>
    <w:rsid w:val="00A41941"/>
    <w:rsid w:val="00A41DB6"/>
    <w:rsid w:val="00A41EFB"/>
    <w:rsid w:val="00A41FA8"/>
    <w:rsid w:val="00A429C2"/>
    <w:rsid w:val="00A4315D"/>
    <w:rsid w:val="00A434FB"/>
    <w:rsid w:val="00A437F6"/>
    <w:rsid w:val="00A43D0D"/>
    <w:rsid w:val="00A43DAA"/>
    <w:rsid w:val="00A43F55"/>
    <w:rsid w:val="00A44196"/>
    <w:rsid w:val="00A449C0"/>
    <w:rsid w:val="00A44BF3"/>
    <w:rsid w:val="00A44C89"/>
    <w:rsid w:val="00A457DD"/>
    <w:rsid w:val="00A45EA1"/>
    <w:rsid w:val="00A45FF5"/>
    <w:rsid w:val="00A46434"/>
    <w:rsid w:val="00A4678F"/>
    <w:rsid w:val="00A4684E"/>
    <w:rsid w:val="00A472B1"/>
    <w:rsid w:val="00A4735D"/>
    <w:rsid w:val="00A4748C"/>
    <w:rsid w:val="00A47B95"/>
    <w:rsid w:val="00A47DC1"/>
    <w:rsid w:val="00A47EAD"/>
    <w:rsid w:val="00A511A1"/>
    <w:rsid w:val="00A51289"/>
    <w:rsid w:val="00A512E1"/>
    <w:rsid w:val="00A5180E"/>
    <w:rsid w:val="00A518B6"/>
    <w:rsid w:val="00A523B0"/>
    <w:rsid w:val="00A528FD"/>
    <w:rsid w:val="00A52ED0"/>
    <w:rsid w:val="00A52FB3"/>
    <w:rsid w:val="00A5365A"/>
    <w:rsid w:val="00A537E9"/>
    <w:rsid w:val="00A53CC6"/>
    <w:rsid w:val="00A54629"/>
    <w:rsid w:val="00A54759"/>
    <w:rsid w:val="00A54C86"/>
    <w:rsid w:val="00A5558A"/>
    <w:rsid w:val="00A55A48"/>
    <w:rsid w:val="00A5646B"/>
    <w:rsid w:val="00A566A6"/>
    <w:rsid w:val="00A5705B"/>
    <w:rsid w:val="00A5732C"/>
    <w:rsid w:val="00A575E1"/>
    <w:rsid w:val="00A57664"/>
    <w:rsid w:val="00A60439"/>
    <w:rsid w:val="00A606AC"/>
    <w:rsid w:val="00A6083F"/>
    <w:rsid w:val="00A61591"/>
    <w:rsid w:val="00A615FD"/>
    <w:rsid w:val="00A61A00"/>
    <w:rsid w:val="00A61ACF"/>
    <w:rsid w:val="00A625CC"/>
    <w:rsid w:val="00A627A4"/>
    <w:rsid w:val="00A62D44"/>
    <w:rsid w:val="00A635EA"/>
    <w:rsid w:val="00A63DE2"/>
    <w:rsid w:val="00A64181"/>
    <w:rsid w:val="00A646C0"/>
    <w:rsid w:val="00A649DC"/>
    <w:rsid w:val="00A64BAE"/>
    <w:rsid w:val="00A64CF5"/>
    <w:rsid w:val="00A6560E"/>
    <w:rsid w:val="00A65BF5"/>
    <w:rsid w:val="00A65E38"/>
    <w:rsid w:val="00A66618"/>
    <w:rsid w:val="00A6670A"/>
    <w:rsid w:val="00A669A0"/>
    <w:rsid w:val="00A669D4"/>
    <w:rsid w:val="00A66CA5"/>
    <w:rsid w:val="00A66CC3"/>
    <w:rsid w:val="00A67112"/>
    <w:rsid w:val="00A6715F"/>
    <w:rsid w:val="00A67250"/>
    <w:rsid w:val="00A67642"/>
    <w:rsid w:val="00A67DCC"/>
    <w:rsid w:val="00A704A9"/>
    <w:rsid w:val="00A708E5"/>
    <w:rsid w:val="00A709A3"/>
    <w:rsid w:val="00A70C9B"/>
    <w:rsid w:val="00A711FC"/>
    <w:rsid w:val="00A7122A"/>
    <w:rsid w:val="00A71279"/>
    <w:rsid w:val="00A712B0"/>
    <w:rsid w:val="00A71784"/>
    <w:rsid w:val="00A7179E"/>
    <w:rsid w:val="00A71C70"/>
    <w:rsid w:val="00A7206F"/>
    <w:rsid w:val="00A72A95"/>
    <w:rsid w:val="00A72B95"/>
    <w:rsid w:val="00A72D01"/>
    <w:rsid w:val="00A72E49"/>
    <w:rsid w:val="00A737F4"/>
    <w:rsid w:val="00A73C87"/>
    <w:rsid w:val="00A73DE8"/>
    <w:rsid w:val="00A74241"/>
    <w:rsid w:val="00A743FF"/>
    <w:rsid w:val="00A744B2"/>
    <w:rsid w:val="00A74632"/>
    <w:rsid w:val="00A749F8"/>
    <w:rsid w:val="00A74A3B"/>
    <w:rsid w:val="00A75358"/>
    <w:rsid w:val="00A75558"/>
    <w:rsid w:val="00A75853"/>
    <w:rsid w:val="00A75A02"/>
    <w:rsid w:val="00A7636E"/>
    <w:rsid w:val="00A769E9"/>
    <w:rsid w:val="00A76B19"/>
    <w:rsid w:val="00A771E4"/>
    <w:rsid w:val="00A7747F"/>
    <w:rsid w:val="00A775D8"/>
    <w:rsid w:val="00A77681"/>
    <w:rsid w:val="00A77794"/>
    <w:rsid w:val="00A77953"/>
    <w:rsid w:val="00A77CA3"/>
    <w:rsid w:val="00A80042"/>
    <w:rsid w:val="00A80202"/>
    <w:rsid w:val="00A804BD"/>
    <w:rsid w:val="00A808ED"/>
    <w:rsid w:val="00A80BE1"/>
    <w:rsid w:val="00A80CEA"/>
    <w:rsid w:val="00A81F6D"/>
    <w:rsid w:val="00A82791"/>
    <w:rsid w:val="00A8297C"/>
    <w:rsid w:val="00A82C2D"/>
    <w:rsid w:val="00A82CB2"/>
    <w:rsid w:val="00A83049"/>
    <w:rsid w:val="00A843B0"/>
    <w:rsid w:val="00A846D0"/>
    <w:rsid w:val="00A85267"/>
    <w:rsid w:val="00A85522"/>
    <w:rsid w:val="00A85FFC"/>
    <w:rsid w:val="00A8640B"/>
    <w:rsid w:val="00A8655C"/>
    <w:rsid w:val="00A86616"/>
    <w:rsid w:val="00A869F8"/>
    <w:rsid w:val="00A86A0A"/>
    <w:rsid w:val="00A86A0F"/>
    <w:rsid w:val="00A86CED"/>
    <w:rsid w:val="00A86F2D"/>
    <w:rsid w:val="00A8717D"/>
    <w:rsid w:val="00A8775E"/>
    <w:rsid w:val="00A879FE"/>
    <w:rsid w:val="00A87E8F"/>
    <w:rsid w:val="00A901C5"/>
    <w:rsid w:val="00A9029B"/>
    <w:rsid w:val="00A905D3"/>
    <w:rsid w:val="00A90612"/>
    <w:rsid w:val="00A90F3F"/>
    <w:rsid w:val="00A91160"/>
    <w:rsid w:val="00A9125C"/>
    <w:rsid w:val="00A922DB"/>
    <w:rsid w:val="00A9259C"/>
    <w:rsid w:val="00A92967"/>
    <w:rsid w:val="00A93186"/>
    <w:rsid w:val="00A93668"/>
    <w:rsid w:val="00A93B60"/>
    <w:rsid w:val="00A93BC3"/>
    <w:rsid w:val="00A93C4E"/>
    <w:rsid w:val="00A93EEF"/>
    <w:rsid w:val="00A94323"/>
    <w:rsid w:val="00A9434A"/>
    <w:rsid w:val="00A948BC"/>
    <w:rsid w:val="00A94982"/>
    <w:rsid w:val="00A94DBD"/>
    <w:rsid w:val="00A94F3C"/>
    <w:rsid w:val="00A94FB5"/>
    <w:rsid w:val="00A950B5"/>
    <w:rsid w:val="00A953D9"/>
    <w:rsid w:val="00A955E3"/>
    <w:rsid w:val="00A95D0D"/>
    <w:rsid w:val="00A963FE"/>
    <w:rsid w:val="00A9648C"/>
    <w:rsid w:val="00A96A00"/>
    <w:rsid w:val="00A972BF"/>
    <w:rsid w:val="00A973BA"/>
    <w:rsid w:val="00A978C7"/>
    <w:rsid w:val="00A97CF8"/>
    <w:rsid w:val="00AA022F"/>
    <w:rsid w:val="00AA1562"/>
    <w:rsid w:val="00AA1E2E"/>
    <w:rsid w:val="00AA1F6D"/>
    <w:rsid w:val="00AA22B0"/>
    <w:rsid w:val="00AA22FD"/>
    <w:rsid w:val="00AA2548"/>
    <w:rsid w:val="00AA25B8"/>
    <w:rsid w:val="00AA37A7"/>
    <w:rsid w:val="00AA38CC"/>
    <w:rsid w:val="00AA3DAA"/>
    <w:rsid w:val="00AA3DC0"/>
    <w:rsid w:val="00AA42C7"/>
    <w:rsid w:val="00AA4C67"/>
    <w:rsid w:val="00AA4CF1"/>
    <w:rsid w:val="00AA4FEE"/>
    <w:rsid w:val="00AA51F5"/>
    <w:rsid w:val="00AA55AE"/>
    <w:rsid w:val="00AA55DD"/>
    <w:rsid w:val="00AA5A07"/>
    <w:rsid w:val="00AA6447"/>
    <w:rsid w:val="00AA663A"/>
    <w:rsid w:val="00AA6B58"/>
    <w:rsid w:val="00AA6E43"/>
    <w:rsid w:val="00AA6E85"/>
    <w:rsid w:val="00AA70E4"/>
    <w:rsid w:val="00AA718D"/>
    <w:rsid w:val="00AA7533"/>
    <w:rsid w:val="00AA79A0"/>
    <w:rsid w:val="00AB05CF"/>
    <w:rsid w:val="00AB07C6"/>
    <w:rsid w:val="00AB0CD3"/>
    <w:rsid w:val="00AB0CD4"/>
    <w:rsid w:val="00AB2055"/>
    <w:rsid w:val="00AB2181"/>
    <w:rsid w:val="00AB3258"/>
    <w:rsid w:val="00AB35BE"/>
    <w:rsid w:val="00AB411F"/>
    <w:rsid w:val="00AB486B"/>
    <w:rsid w:val="00AB5B78"/>
    <w:rsid w:val="00AB5C3D"/>
    <w:rsid w:val="00AB62D4"/>
    <w:rsid w:val="00AB657B"/>
    <w:rsid w:val="00AB666B"/>
    <w:rsid w:val="00AB671B"/>
    <w:rsid w:val="00AB6742"/>
    <w:rsid w:val="00AB6E14"/>
    <w:rsid w:val="00AB6E49"/>
    <w:rsid w:val="00AB7013"/>
    <w:rsid w:val="00AB7118"/>
    <w:rsid w:val="00AB7763"/>
    <w:rsid w:val="00AB77A0"/>
    <w:rsid w:val="00AB782E"/>
    <w:rsid w:val="00AB7A53"/>
    <w:rsid w:val="00AB7D1A"/>
    <w:rsid w:val="00AC0099"/>
    <w:rsid w:val="00AC01D9"/>
    <w:rsid w:val="00AC025A"/>
    <w:rsid w:val="00AC11A5"/>
    <w:rsid w:val="00AC16F2"/>
    <w:rsid w:val="00AC16F3"/>
    <w:rsid w:val="00AC1AC4"/>
    <w:rsid w:val="00AC2017"/>
    <w:rsid w:val="00AC22B8"/>
    <w:rsid w:val="00AC22F4"/>
    <w:rsid w:val="00AC2763"/>
    <w:rsid w:val="00AC2927"/>
    <w:rsid w:val="00AC2BB0"/>
    <w:rsid w:val="00AC306A"/>
    <w:rsid w:val="00AC32FB"/>
    <w:rsid w:val="00AC41A2"/>
    <w:rsid w:val="00AC44B0"/>
    <w:rsid w:val="00AC4708"/>
    <w:rsid w:val="00AC5066"/>
    <w:rsid w:val="00AC552A"/>
    <w:rsid w:val="00AC5DC7"/>
    <w:rsid w:val="00AC5E56"/>
    <w:rsid w:val="00AC64A7"/>
    <w:rsid w:val="00AC6A0E"/>
    <w:rsid w:val="00AC6F14"/>
    <w:rsid w:val="00AC6F7D"/>
    <w:rsid w:val="00AC6F83"/>
    <w:rsid w:val="00AC7261"/>
    <w:rsid w:val="00AC79CE"/>
    <w:rsid w:val="00AC7AE2"/>
    <w:rsid w:val="00AD017E"/>
    <w:rsid w:val="00AD04AC"/>
    <w:rsid w:val="00AD0E0A"/>
    <w:rsid w:val="00AD0E82"/>
    <w:rsid w:val="00AD0FAF"/>
    <w:rsid w:val="00AD1448"/>
    <w:rsid w:val="00AD14FC"/>
    <w:rsid w:val="00AD169C"/>
    <w:rsid w:val="00AD1873"/>
    <w:rsid w:val="00AD1C3E"/>
    <w:rsid w:val="00AD1F37"/>
    <w:rsid w:val="00AD206C"/>
    <w:rsid w:val="00AD2332"/>
    <w:rsid w:val="00AD2335"/>
    <w:rsid w:val="00AD30EC"/>
    <w:rsid w:val="00AD31D6"/>
    <w:rsid w:val="00AD32A2"/>
    <w:rsid w:val="00AD370E"/>
    <w:rsid w:val="00AD3EDE"/>
    <w:rsid w:val="00AD4683"/>
    <w:rsid w:val="00AD484B"/>
    <w:rsid w:val="00AD4AAE"/>
    <w:rsid w:val="00AD4C4D"/>
    <w:rsid w:val="00AD4CE2"/>
    <w:rsid w:val="00AD50F1"/>
    <w:rsid w:val="00AD5498"/>
    <w:rsid w:val="00AD56A9"/>
    <w:rsid w:val="00AD6113"/>
    <w:rsid w:val="00AD61AB"/>
    <w:rsid w:val="00AD6732"/>
    <w:rsid w:val="00AD6C9B"/>
    <w:rsid w:val="00AD7899"/>
    <w:rsid w:val="00AD799F"/>
    <w:rsid w:val="00AE01E3"/>
    <w:rsid w:val="00AE02DE"/>
    <w:rsid w:val="00AE0301"/>
    <w:rsid w:val="00AE0778"/>
    <w:rsid w:val="00AE0851"/>
    <w:rsid w:val="00AE0ED3"/>
    <w:rsid w:val="00AE155C"/>
    <w:rsid w:val="00AE1957"/>
    <w:rsid w:val="00AE24A4"/>
    <w:rsid w:val="00AE25FB"/>
    <w:rsid w:val="00AE2703"/>
    <w:rsid w:val="00AE270E"/>
    <w:rsid w:val="00AE2ABA"/>
    <w:rsid w:val="00AE2DE5"/>
    <w:rsid w:val="00AE3048"/>
    <w:rsid w:val="00AE333D"/>
    <w:rsid w:val="00AE33E3"/>
    <w:rsid w:val="00AE3E04"/>
    <w:rsid w:val="00AE4FF6"/>
    <w:rsid w:val="00AE500E"/>
    <w:rsid w:val="00AE5929"/>
    <w:rsid w:val="00AE5A00"/>
    <w:rsid w:val="00AE5C9A"/>
    <w:rsid w:val="00AE5D37"/>
    <w:rsid w:val="00AE6597"/>
    <w:rsid w:val="00AE68BC"/>
    <w:rsid w:val="00AE6992"/>
    <w:rsid w:val="00AE6E51"/>
    <w:rsid w:val="00AE6F20"/>
    <w:rsid w:val="00AE70BF"/>
    <w:rsid w:val="00AE7189"/>
    <w:rsid w:val="00AE7412"/>
    <w:rsid w:val="00AE7701"/>
    <w:rsid w:val="00AE7D42"/>
    <w:rsid w:val="00AE7E7A"/>
    <w:rsid w:val="00AF062D"/>
    <w:rsid w:val="00AF0695"/>
    <w:rsid w:val="00AF069E"/>
    <w:rsid w:val="00AF0793"/>
    <w:rsid w:val="00AF0797"/>
    <w:rsid w:val="00AF0A94"/>
    <w:rsid w:val="00AF0BC9"/>
    <w:rsid w:val="00AF0C3F"/>
    <w:rsid w:val="00AF0F9D"/>
    <w:rsid w:val="00AF1C15"/>
    <w:rsid w:val="00AF1FFA"/>
    <w:rsid w:val="00AF2009"/>
    <w:rsid w:val="00AF2216"/>
    <w:rsid w:val="00AF23C4"/>
    <w:rsid w:val="00AF28E2"/>
    <w:rsid w:val="00AF34EC"/>
    <w:rsid w:val="00AF3B66"/>
    <w:rsid w:val="00AF3CF6"/>
    <w:rsid w:val="00AF420A"/>
    <w:rsid w:val="00AF44D7"/>
    <w:rsid w:val="00AF4A0E"/>
    <w:rsid w:val="00AF4A51"/>
    <w:rsid w:val="00AF4B45"/>
    <w:rsid w:val="00AF5528"/>
    <w:rsid w:val="00AF5959"/>
    <w:rsid w:val="00AF5EAE"/>
    <w:rsid w:val="00AF6814"/>
    <w:rsid w:val="00AF6C38"/>
    <w:rsid w:val="00AF760D"/>
    <w:rsid w:val="00AF7718"/>
    <w:rsid w:val="00AF7EA5"/>
    <w:rsid w:val="00B00697"/>
    <w:rsid w:val="00B0120F"/>
    <w:rsid w:val="00B02517"/>
    <w:rsid w:val="00B025F4"/>
    <w:rsid w:val="00B02803"/>
    <w:rsid w:val="00B0291A"/>
    <w:rsid w:val="00B02E18"/>
    <w:rsid w:val="00B03EB6"/>
    <w:rsid w:val="00B0408C"/>
    <w:rsid w:val="00B0420F"/>
    <w:rsid w:val="00B04235"/>
    <w:rsid w:val="00B042E5"/>
    <w:rsid w:val="00B04BFB"/>
    <w:rsid w:val="00B051CB"/>
    <w:rsid w:val="00B0549F"/>
    <w:rsid w:val="00B05DED"/>
    <w:rsid w:val="00B05E90"/>
    <w:rsid w:val="00B05F1A"/>
    <w:rsid w:val="00B063C1"/>
    <w:rsid w:val="00B06671"/>
    <w:rsid w:val="00B067C0"/>
    <w:rsid w:val="00B067DF"/>
    <w:rsid w:val="00B069CC"/>
    <w:rsid w:val="00B077D0"/>
    <w:rsid w:val="00B07C6E"/>
    <w:rsid w:val="00B07F0E"/>
    <w:rsid w:val="00B10A74"/>
    <w:rsid w:val="00B10B22"/>
    <w:rsid w:val="00B10E78"/>
    <w:rsid w:val="00B11415"/>
    <w:rsid w:val="00B1141A"/>
    <w:rsid w:val="00B11497"/>
    <w:rsid w:val="00B11541"/>
    <w:rsid w:val="00B11CC4"/>
    <w:rsid w:val="00B11DF0"/>
    <w:rsid w:val="00B12179"/>
    <w:rsid w:val="00B1251F"/>
    <w:rsid w:val="00B126C2"/>
    <w:rsid w:val="00B12B38"/>
    <w:rsid w:val="00B12F29"/>
    <w:rsid w:val="00B132F2"/>
    <w:rsid w:val="00B13428"/>
    <w:rsid w:val="00B14388"/>
    <w:rsid w:val="00B143FC"/>
    <w:rsid w:val="00B14BBD"/>
    <w:rsid w:val="00B14BFB"/>
    <w:rsid w:val="00B14C8C"/>
    <w:rsid w:val="00B15046"/>
    <w:rsid w:val="00B151B0"/>
    <w:rsid w:val="00B15873"/>
    <w:rsid w:val="00B15A2E"/>
    <w:rsid w:val="00B15AFF"/>
    <w:rsid w:val="00B15BE3"/>
    <w:rsid w:val="00B15C77"/>
    <w:rsid w:val="00B161EF"/>
    <w:rsid w:val="00B16507"/>
    <w:rsid w:val="00B168E9"/>
    <w:rsid w:val="00B16CF4"/>
    <w:rsid w:val="00B17803"/>
    <w:rsid w:val="00B2011A"/>
    <w:rsid w:val="00B20629"/>
    <w:rsid w:val="00B20CD2"/>
    <w:rsid w:val="00B21585"/>
    <w:rsid w:val="00B22073"/>
    <w:rsid w:val="00B2215E"/>
    <w:rsid w:val="00B222FF"/>
    <w:rsid w:val="00B22380"/>
    <w:rsid w:val="00B227E9"/>
    <w:rsid w:val="00B22ECA"/>
    <w:rsid w:val="00B23324"/>
    <w:rsid w:val="00B23466"/>
    <w:rsid w:val="00B234DF"/>
    <w:rsid w:val="00B23823"/>
    <w:rsid w:val="00B239EF"/>
    <w:rsid w:val="00B23B5D"/>
    <w:rsid w:val="00B24697"/>
    <w:rsid w:val="00B24A81"/>
    <w:rsid w:val="00B2574B"/>
    <w:rsid w:val="00B25B68"/>
    <w:rsid w:val="00B25C28"/>
    <w:rsid w:val="00B26147"/>
    <w:rsid w:val="00B26569"/>
    <w:rsid w:val="00B265DC"/>
    <w:rsid w:val="00B265F8"/>
    <w:rsid w:val="00B2665A"/>
    <w:rsid w:val="00B26850"/>
    <w:rsid w:val="00B2697B"/>
    <w:rsid w:val="00B26CDD"/>
    <w:rsid w:val="00B26E62"/>
    <w:rsid w:val="00B26F50"/>
    <w:rsid w:val="00B2708A"/>
    <w:rsid w:val="00B272AD"/>
    <w:rsid w:val="00B27778"/>
    <w:rsid w:val="00B27886"/>
    <w:rsid w:val="00B307C2"/>
    <w:rsid w:val="00B30F9F"/>
    <w:rsid w:val="00B315F0"/>
    <w:rsid w:val="00B31A88"/>
    <w:rsid w:val="00B31B87"/>
    <w:rsid w:val="00B3257C"/>
    <w:rsid w:val="00B3261F"/>
    <w:rsid w:val="00B32D79"/>
    <w:rsid w:val="00B330D8"/>
    <w:rsid w:val="00B3368C"/>
    <w:rsid w:val="00B34EB5"/>
    <w:rsid w:val="00B35005"/>
    <w:rsid w:val="00B35283"/>
    <w:rsid w:val="00B3532C"/>
    <w:rsid w:val="00B35463"/>
    <w:rsid w:val="00B35913"/>
    <w:rsid w:val="00B35B5A"/>
    <w:rsid w:val="00B35D19"/>
    <w:rsid w:val="00B3671A"/>
    <w:rsid w:val="00B369A2"/>
    <w:rsid w:val="00B36BC7"/>
    <w:rsid w:val="00B36D62"/>
    <w:rsid w:val="00B37031"/>
    <w:rsid w:val="00B37247"/>
    <w:rsid w:val="00B374B8"/>
    <w:rsid w:val="00B37780"/>
    <w:rsid w:val="00B40681"/>
    <w:rsid w:val="00B40A21"/>
    <w:rsid w:val="00B40A57"/>
    <w:rsid w:val="00B41033"/>
    <w:rsid w:val="00B418A0"/>
    <w:rsid w:val="00B422DC"/>
    <w:rsid w:val="00B423CF"/>
    <w:rsid w:val="00B423E3"/>
    <w:rsid w:val="00B43337"/>
    <w:rsid w:val="00B43655"/>
    <w:rsid w:val="00B44190"/>
    <w:rsid w:val="00B44383"/>
    <w:rsid w:val="00B448EA"/>
    <w:rsid w:val="00B44B0F"/>
    <w:rsid w:val="00B44B43"/>
    <w:rsid w:val="00B44F6D"/>
    <w:rsid w:val="00B457BB"/>
    <w:rsid w:val="00B45CCA"/>
    <w:rsid w:val="00B46093"/>
    <w:rsid w:val="00B4625F"/>
    <w:rsid w:val="00B470B7"/>
    <w:rsid w:val="00B470C2"/>
    <w:rsid w:val="00B4710A"/>
    <w:rsid w:val="00B478BC"/>
    <w:rsid w:val="00B50457"/>
    <w:rsid w:val="00B50C17"/>
    <w:rsid w:val="00B51CAD"/>
    <w:rsid w:val="00B52844"/>
    <w:rsid w:val="00B52F46"/>
    <w:rsid w:val="00B532FF"/>
    <w:rsid w:val="00B53614"/>
    <w:rsid w:val="00B537BD"/>
    <w:rsid w:val="00B53CD8"/>
    <w:rsid w:val="00B5474F"/>
    <w:rsid w:val="00B54AEE"/>
    <w:rsid w:val="00B55574"/>
    <w:rsid w:val="00B55830"/>
    <w:rsid w:val="00B56094"/>
    <w:rsid w:val="00B5615C"/>
    <w:rsid w:val="00B5657C"/>
    <w:rsid w:val="00B56837"/>
    <w:rsid w:val="00B571B9"/>
    <w:rsid w:val="00B575E8"/>
    <w:rsid w:val="00B57A29"/>
    <w:rsid w:val="00B60006"/>
    <w:rsid w:val="00B600D0"/>
    <w:rsid w:val="00B606DE"/>
    <w:rsid w:val="00B60C14"/>
    <w:rsid w:val="00B60E71"/>
    <w:rsid w:val="00B6139D"/>
    <w:rsid w:val="00B61708"/>
    <w:rsid w:val="00B617EE"/>
    <w:rsid w:val="00B617F4"/>
    <w:rsid w:val="00B61D62"/>
    <w:rsid w:val="00B6268D"/>
    <w:rsid w:val="00B62AB0"/>
    <w:rsid w:val="00B63176"/>
    <w:rsid w:val="00B631E7"/>
    <w:rsid w:val="00B63846"/>
    <w:rsid w:val="00B63ADB"/>
    <w:rsid w:val="00B63E5C"/>
    <w:rsid w:val="00B641F2"/>
    <w:rsid w:val="00B6429D"/>
    <w:rsid w:val="00B642F6"/>
    <w:rsid w:val="00B64383"/>
    <w:rsid w:val="00B64F2F"/>
    <w:rsid w:val="00B65406"/>
    <w:rsid w:val="00B6540E"/>
    <w:rsid w:val="00B6573A"/>
    <w:rsid w:val="00B6578B"/>
    <w:rsid w:val="00B66165"/>
    <w:rsid w:val="00B66D61"/>
    <w:rsid w:val="00B67D4F"/>
    <w:rsid w:val="00B67F3A"/>
    <w:rsid w:val="00B70C33"/>
    <w:rsid w:val="00B71176"/>
    <w:rsid w:val="00B71657"/>
    <w:rsid w:val="00B71A7E"/>
    <w:rsid w:val="00B71D33"/>
    <w:rsid w:val="00B72263"/>
    <w:rsid w:val="00B724ED"/>
    <w:rsid w:val="00B72545"/>
    <w:rsid w:val="00B72D55"/>
    <w:rsid w:val="00B731E9"/>
    <w:rsid w:val="00B73418"/>
    <w:rsid w:val="00B735A0"/>
    <w:rsid w:val="00B73963"/>
    <w:rsid w:val="00B73FF5"/>
    <w:rsid w:val="00B74143"/>
    <w:rsid w:val="00B7425B"/>
    <w:rsid w:val="00B746C7"/>
    <w:rsid w:val="00B75097"/>
    <w:rsid w:val="00B759F0"/>
    <w:rsid w:val="00B75C61"/>
    <w:rsid w:val="00B75C6A"/>
    <w:rsid w:val="00B75E58"/>
    <w:rsid w:val="00B75F8D"/>
    <w:rsid w:val="00B75FD7"/>
    <w:rsid w:val="00B763C1"/>
    <w:rsid w:val="00B76FBA"/>
    <w:rsid w:val="00B77387"/>
    <w:rsid w:val="00B77C41"/>
    <w:rsid w:val="00B78734"/>
    <w:rsid w:val="00B8041B"/>
    <w:rsid w:val="00B80548"/>
    <w:rsid w:val="00B8079A"/>
    <w:rsid w:val="00B80DF6"/>
    <w:rsid w:val="00B810E2"/>
    <w:rsid w:val="00B8133D"/>
    <w:rsid w:val="00B825AD"/>
    <w:rsid w:val="00B839DF"/>
    <w:rsid w:val="00B83D3B"/>
    <w:rsid w:val="00B84313"/>
    <w:rsid w:val="00B8481C"/>
    <w:rsid w:val="00B84B57"/>
    <w:rsid w:val="00B8554C"/>
    <w:rsid w:val="00B85AA0"/>
    <w:rsid w:val="00B85E36"/>
    <w:rsid w:val="00B85F25"/>
    <w:rsid w:val="00B86E0F"/>
    <w:rsid w:val="00B86E67"/>
    <w:rsid w:val="00B872D7"/>
    <w:rsid w:val="00B8785B"/>
    <w:rsid w:val="00B87EC9"/>
    <w:rsid w:val="00B9037F"/>
    <w:rsid w:val="00B9047C"/>
    <w:rsid w:val="00B90632"/>
    <w:rsid w:val="00B907CF"/>
    <w:rsid w:val="00B90C9A"/>
    <w:rsid w:val="00B911FF"/>
    <w:rsid w:val="00B91343"/>
    <w:rsid w:val="00B91B4A"/>
    <w:rsid w:val="00B92F07"/>
    <w:rsid w:val="00B93326"/>
    <w:rsid w:val="00B93825"/>
    <w:rsid w:val="00B93A5F"/>
    <w:rsid w:val="00B93B89"/>
    <w:rsid w:val="00B94678"/>
    <w:rsid w:val="00B94C7D"/>
    <w:rsid w:val="00B94F7C"/>
    <w:rsid w:val="00B95C5F"/>
    <w:rsid w:val="00B9679E"/>
    <w:rsid w:val="00B96B12"/>
    <w:rsid w:val="00B97527"/>
    <w:rsid w:val="00B97C73"/>
    <w:rsid w:val="00B97DB6"/>
    <w:rsid w:val="00BA03FA"/>
    <w:rsid w:val="00BA0866"/>
    <w:rsid w:val="00BA09A0"/>
    <w:rsid w:val="00BA1069"/>
    <w:rsid w:val="00BA17CB"/>
    <w:rsid w:val="00BA2C13"/>
    <w:rsid w:val="00BA2E48"/>
    <w:rsid w:val="00BA3058"/>
    <w:rsid w:val="00BA3299"/>
    <w:rsid w:val="00BA3318"/>
    <w:rsid w:val="00BA41C2"/>
    <w:rsid w:val="00BA46A4"/>
    <w:rsid w:val="00BA4FF8"/>
    <w:rsid w:val="00BA5CCE"/>
    <w:rsid w:val="00BA66BC"/>
    <w:rsid w:val="00BA6A62"/>
    <w:rsid w:val="00BA6B64"/>
    <w:rsid w:val="00BA6C5B"/>
    <w:rsid w:val="00BA719A"/>
    <w:rsid w:val="00BA7EBC"/>
    <w:rsid w:val="00BA7FB5"/>
    <w:rsid w:val="00BB008B"/>
    <w:rsid w:val="00BB00BD"/>
    <w:rsid w:val="00BB011D"/>
    <w:rsid w:val="00BB059A"/>
    <w:rsid w:val="00BB08BB"/>
    <w:rsid w:val="00BB09D7"/>
    <w:rsid w:val="00BB09E4"/>
    <w:rsid w:val="00BB09F8"/>
    <w:rsid w:val="00BB0BDD"/>
    <w:rsid w:val="00BB0C56"/>
    <w:rsid w:val="00BB147C"/>
    <w:rsid w:val="00BB1765"/>
    <w:rsid w:val="00BB2235"/>
    <w:rsid w:val="00BB27A9"/>
    <w:rsid w:val="00BB326E"/>
    <w:rsid w:val="00BB3686"/>
    <w:rsid w:val="00BB3B23"/>
    <w:rsid w:val="00BB41EC"/>
    <w:rsid w:val="00BB43EB"/>
    <w:rsid w:val="00BB486F"/>
    <w:rsid w:val="00BB48C1"/>
    <w:rsid w:val="00BB4FF2"/>
    <w:rsid w:val="00BB56DE"/>
    <w:rsid w:val="00BB579C"/>
    <w:rsid w:val="00BB597D"/>
    <w:rsid w:val="00BB6077"/>
    <w:rsid w:val="00BB69F5"/>
    <w:rsid w:val="00BB709F"/>
    <w:rsid w:val="00BB70AD"/>
    <w:rsid w:val="00BB71B2"/>
    <w:rsid w:val="00BB7257"/>
    <w:rsid w:val="00BB7D1B"/>
    <w:rsid w:val="00BB7E97"/>
    <w:rsid w:val="00BC039A"/>
    <w:rsid w:val="00BC146B"/>
    <w:rsid w:val="00BC210D"/>
    <w:rsid w:val="00BC285C"/>
    <w:rsid w:val="00BC2A34"/>
    <w:rsid w:val="00BC3325"/>
    <w:rsid w:val="00BC360A"/>
    <w:rsid w:val="00BC44A5"/>
    <w:rsid w:val="00BC484C"/>
    <w:rsid w:val="00BC49AD"/>
    <w:rsid w:val="00BC4BD9"/>
    <w:rsid w:val="00BC500C"/>
    <w:rsid w:val="00BC5866"/>
    <w:rsid w:val="00BC5958"/>
    <w:rsid w:val="00BC60D7"/>
    <w:rsid w:val="00BC6151"/>
    <w:rsid w:val="00BC6DD1"/>
    <w:rsid w:val="00BC6FC7"/>
    <w:rsid w:val="00BC7231"/>
    <w:rsid w:val="00BC730C"/>
    <w:rsid w:val="00BC7830"/>
    <w:rsid w:val="00BC7D8E"/>
    <w:rsid w:val="00BD0AA5"/>
    <w:rsid w:val="00BD230B"/>
    <w:rsid w:val="00BD2626"/>
    <w:rsid w:val="00BD28DA"/>
    <w:rsid w:val="00BD3085"/>
    <w:rsid w:val="00BD3119"/>
    <w:rsid w:val="00BD38EA"/>
    <w:rsid w:val="00BD3921"/>
    <w:rsid w:val="00BD3965"/>
    <w:rsid w:val="00BD463E"/>
    <w:rsid w:val="00BD4862"/>
    <w:rsid w:val="00BD48E9"/>
    <w:rsid w:val="00BD4F03"/>
    <w:rsid w:val="00BD5580"/>
    <w:rsid w:val="00BD572E"/>
    <w:rsid w:val="00BD5797"/>
    <w:rsid w:val="00BD589F"/>
    <w:rsid w:val="00BD5DA8"/>
    <w:rsid w:val="00BD5DE7"/>
    <w:rsid w:val="00BD63F6"/>
    <w:rsid w:val="00BD6539"/>
    <w:rsid w:val="00BD65FF"/>
    <w:rsid w:val="00BD7524"/>
    <w:rsid w:val="00BD7F42"/>
    <w:rsid w:val="00BE0619"/>
    <w:rsid w:val="00BE0722"/>
    <w:rsid w:val="00BE09A8"/>
    <w:rsid w:val="00BE0B4E"/>
    <w:rsid w:val="00BE0C8A"/>
    <w:rsid w:val="00BE104A"/>
    <w:rsid w:val="00BE22C1"/>
    <w:rsid w:val="00BE276E"/>
    <w:rsid w:val="00BE2877"/>
    <w:rsid w:val="00BE3005"/>
    <w:rsid w:val="00BE3169"/>
    <w:rsid w:val="00BE4EF7"/>
    <w:rsid w:val="00BE5039"/>
    <w:rsid w:val="00BE5691"/>
    <w:rsid w:val="00BE5C67"/>
    <w:rsid w:val="00BE6889"/>
    <w:rsid w:val="00BE69C5"/>
    <w:rsid w:val="00BE6BC1"/>
    <w:rsid w:val="00BE720D"/>
    <w:rsid w:val="00BE7591"/>
    <w:rsid w:val="00BE773F"/>
    <w:rsid w:val="00BE77A2"/>
    <w:rsid w:val="00BE78FE"/>
    <w:rsid w:val="00BF17B7"/>
    <w:rsid w:val="00BF22AA"/>
    <w:rsid w:val="00BF28ED"/>
    <w:rsid w:val="00BF29CD"/>
    <w:rsid w:val="00BF2B61"/>
    <w:rsid w:val="00BF358A"/>
    <w:rsid w:val="00BF3A73"/>
    <w:rsid w:val="00BF3CF7"/>
    <w:rsid w:val="00BF4AA6"/>
    <w:rsid w:val="00BF5765"/>
    <w:rsid w:val="00BF5A99"/>
    <w:rsid w:val="00BF5AF8"/>
    <w:rsid w:val="00BF604A"/>
    <w:rsid w:val="00BF633B"/>
    <w:rsid w:val="00BF6AF2"/>
    <w:rsid w:val="00BF6F7F"/>
    <w:rsid w:val="00BF730F"/>
    <w:rsid w:val="00BF7631"/>
    <w:rsid w:val="00BF76D0"/>
    <w:rsid w:val="00BF7F06"/>
    <w:rsid w:val="00C00763"/>
    <w:rsid w:val="00C01A24"/>
    <w:rsid w:val="00C01D10"/>
    <w:rsid w:val="00C025A4"/>
    <w:rsid w:val="00C0263B"/>
    <w:rsid w:val="00C02754"/>
    <w:rsid w:val="00C02966"/>
    <w:rsid w:val="00C02E96"/>
    <w:rsid w:val="00C03A21"/>
    <w:rsid w:val="00C041E8"/>
    <w:rsid w:val="00C04671"/>
    <w:rsid w:val="00C04B6C"/>
    <w:rsid w:val="00C0500D"/>
    <w:rsid w:val="00C05161"/>
    <w:rsid w:val="00C05F25"/>
    <w:rsid w:val="00C05FE4"/>
    <w:rsid w:val="00C06087"/>
    <w:rsid w:val="00C06C68"/>
    <w:rsid w:val="00C06F45"/>
    <w:rsid w:val="00C076AD"/>
    <w:rsid w:val="00C07BEE"/>
    <w:rsid w:val="00C07CC5"/>
    <w:rsid w:val="00C10F26"/>
    <w:rsid w:val="00C111A0"/>
    <w:rsid w:val="00C114E8"/>
    <w:rsid w:val="00C118FC"/>
    <w:rsid w:val="00C11A45"/>
    <w:rsid w:val="00C11BE1"/>
    <w:rsid w:val="00C11C66"/>
    <w:rsid w:val="00C125DF"/>
    <w:rsid w:val="00C12687"/>
    <w:rsid w:val="00C13799"/>
    <w:rsid w:val="00C13FC9"/>
    <w:rsid w:val="00C14083"/>
    <w:rsid w:val="00C1498E"/>
    <w:rsid w:val="00C149E2"/>
    <w:rsid w:val="00C14B38"/>
    <w:rsid w:val="00C14D89"/>
    <w:rsid w:val="00C15005"/>
    <w:rsid w:val="00C15536"/>
    <w:rsid w:val="00C15BC3"/>
    <w:rsid w:val="00C15CEB"/>
    <w:rsid w:val="00C15EC3"/>
    <w:rsid w:val="00C1628F"/>
    <w:rsid w:val="00C16BD5"/>
    <w:rsid w:val="00C16EE5"/>
    <w:rsid w:val="00C16FB3"/>
    <w:rsid w:val="00C1745C"/>
    <w:rsid w:val="00C17686"/>
    <w:rsid w:val="00C176CC"/>
    <w:rsid w:val="00C17F93"/>
    <w:rsid w:val="00C20539"/>
    <w:rsid w:val="00C2059B"/>
    <w:rsid w:val="00C206CA"/>
    <w:rsid w:val="00C2096B"/>
    <w:rsid w:val="00C20991"/>
    <w:rsid w:val="00C20BA5"/>
    <w:rsid w:val="00C21042"/>
    <w:rsid w:val="00C210A9"/>
    <w:rsid w:val="00C214DC"/>
    <w:rsid w:val="00C21BB2"/>
    <w:rsid w:val="00C21E2B"/>
    <w:rsid w:val="00C21F41"/>
    <w:rsid w:val="00C221C7"/>
    <w:rsid w:val="00C22233"/>
    <w:rsid w:val="00C22C27"/>
    <w:rsid w:val="00C22D57"/>
    <w:rsid w:val="00C23865"/>
    <w:rsid w:val="00C23959"/>
    <w:rsid w:val="00C23BB3"/>
    <w:rsid w:val="00C23BDC"/>
    <w:rsid w:val="00C23E57"/>
    <w:rsid w:val="00C24A6C"/>
    <w:rsid w:val="00C25197"/>
    <w:rsid w:val="00C2563C"/>
    <w:rsid w:val="00C2585F"/>
    <w:rsid w:val="00C258F9"/>
    <w:rsid w:val="00C2679F"/>
    <w:rsid w:val="00C26BB1"/>
    <w:rsid w:val="00C26C02"/>
    <w:rsid w:val="00C26C34"/>
    <w:rsid w:val="00C26E0D"/>
    <w:rsid w:val="00C2708D"/>
    <w:rsid w:val="00C272FA"/>
    <w:rsid w:val="00C279F9"/>
    <w:rsid w:val="00C30131"/>
    <w:rsid w:val="00C3023A"/>
    <w:rsid w:val="00C3024C"/>
    <w:rsid w:val="00C30C60"/>
    <w:rsid w:val="00C30D51"/>
    <w:rsid w:val="00C30F16"/>
    <w:rsid w:val="00C30F8F"/>
    <w:rsid w:val="00C31153"/>
    <w:rsid w:val="00C31223"/>
    <w:rsid w:val="00C316F3"/>
    <w:rsid w:val="00C31D65"/>
    <w:rsid w:val="00C31F35"/>
    <w:rsid w:val="00C32355"/>
    <w:rsid w:val="00C32391"/>
    <w:rsid w:val="00C3257B"/>
    <w:rsid w:val="00C33607"/>
    <w:rsid w:val="00C3370E"/>
    <w:rsid w:val="00C3415A"/>
    <w:rsid w:val="00C342D3"/>
    <w:rsid w:val="00C34584"/>
    <w:rsid w:val="00C34913"/>
    <w:rsid w:val="00C35127"/>
    <w:rsid w:val="00C3545D"/>
    <w:rsid w:val="00C36945"/>
    <w:rsid w:val="00C37553"/>
    <w:rsid w:val="00C375B6"/>
    <w:rsid w:val="00C37833"/>
    <w:rsid w:val="00C378FE"/>
    <w:rsid w:val="00C37D9B"/>
    <w:rsid w:val="00C4002F"/>
    <w:rsid w:val="00C402CC"/>
    <w:rsid w:val="00C41B86"/>
    <w:rsid w:val="00C4343A"/>
    <w:rsid w:val="00C4359E"/>
    <w:rsid w:val="00C43736"/>
    <w:rsid w:val="00C43A7E"/>
    <w:rsid w:val="00C43BC7"/>
    <w:rsid w:val="00C43DEC"/>
    <w:rsid w:val="00C43FD0"/>
    <w:rsid w:val="00C44152"/>
    <w:rsid w:val="00C44234"/>
    <w:rsid w:val="00C443CB"/>
    <w:rsid w:val="00C4478F"/>
    <w:rsid w:val="00C45520"/>
    <w:rsid w:val="00C45A32"/>
    <w:rsid w:val="00C45B5E"/>
    <w:rsid w:val="00C45DCD"/>
    <w:rsid w:val="00C464C4"/>
    <w:rsid w:val="00C4659F"/>
    <w:rsid w:val="00C46F5F"/>
    <w:rsid w:val="00C47297"/>
    <w:rsid w:val="00C47557"/>
    <w:rsid w:val="00C47943"/>
    <w:rsid w:val="00C47A19"/>
    <w:rsid w:val="00C500BD"/>
    <w:rsid w:val="00C501F4"/>
    <w:rsid w:val="00C50213"/>
    <w:rsid w:val="00C50275"/>
    <w:rsid w:val="00C5035B"/>
    <w:rsid w:val="00C503E2"/>
    <w:rsid w:val="00C50429"/>
    <w:rsid w:val="00C50551"/>
    <w:rsid w:val="00C5057B"/>
    <w:rsid w:val="00C5080A"/>
    <w:rsid w:val="00C508B3"/>
    <w:rsid w:val="00C50DAB"/>
    <w:rsid w:val="00C5114D"/>
    <w:rsid w:val="00C51198"/>
    <w:rsid w:val="00C51295"/>
    <w:rsid w:val="00C515A5"/>
    <w:rsid w:val="00C515F6"/>
    <w:rsid w:val="00C51817"/>
    <w:rsid w:val="00C51FE8"/>
    <w:rsid w:val="00C52BCC"/>
    <w:rsid w:val="00C52C0F"/>
    <w:rsid w:val="00C535C7"/>
    <w:rsid w:val="00C53947"/>
    <w:rsid w:val="00C54643"/>
    <w:rsid w:val="00C54B9B"/>
    <w:rsid w:val="00C554C8"/>
    <w:rsid w:val="00C55633"/>
    <w:rsid w:val="00C557AD"/>
    <w:rsid w:val="00C55920"/>
    <w:rsid w:val="00C55C21"/>
    <w:rsid w:val="00C5610B"/>
    <w:rsid w:val="00C56725"/>
    <w:rsid w:val="00C56BE0"/>
    <w:rsid w:val="00C56E11"/>
    <w:rsid w:val="00C572BA"/>
    <w:rsid w:val="00C57C66"/>
    <w:rsid w:val="00C60223"/>
    <w:rsid w:val="00C603C6"/>
    <w:rsid w:val="00C605A5"/>
    <w:rsid w:val="00C6152C"/>
    <w:rsid w:val="00C61847"/>
    <w:rsid w:val="00C6190B"/>
    <w:rsid w:val="00C61B1E"/>
    <w:rsid w:val="00C622B2"/>
    <w:rsid w:val="00C62369"/>
    <w:rsid w:val="00C624A8"/>
    <w:rsid w:val="00C6360A"/>
    <w:rsid w:val="00C63A54"/>
    <w:rsid w:val="00C63CE5"/>
    <w:rsid w:val="00C63EAE"/>
    <w:rsid w:val="00C642F0"/>
    <w:rsid w:val="00C64435"/>
    <w:rsid w:val="00C64C02"/>
    <w:rsid w:val="00C65760"/>
    <w:rsid w:val="00C65943"/>
    <w:rsid w:val="00C65E0D"/>
    <w:rsid w:val="00C66A25"/>
    <w:rsid w:val="00C67085"/>
    <w:rsid w:val="00C670DA"/>
    <w:rsid w:val="00C675AA"/>
    <w:rsid w:val="00C679E0"/>
    <w:rsid w:val="00C67C69"/>
    <w:rsid w:val="00C67FEB"/>
    <w:rsid w:val="00C700BE"/>
    <w:rsid w:val="00C7084A"/>
    <w:rsid w:val="00C70D25"/>
    <w:rsid w:val="00C70DAB"/>
    <w:rsid w:val="00C7137E"/>
    <w:rsid w:val="00C71A3B"/>
    <w:rsid w:val="00C71A68"/>
    <w:rsid w:val="00C71C9E"/>
    <w:rsid w:val="00C7289E"/>
    <w:rsid w:val="00C72A25"/>
    <w:rsid w:val="00C72ED6"/>
    <w:rsid w:val="00C733D7"/>
    <w:rsid w:val="00C73483"/>
    <w:rsid w:val="00C734CF"/>
    <w:rsid w:val="00C73890"/>
    <w:rsid w:val="00C739A5"/>
    <w:rsid w:val="00C73B84"/>
    <w:rsid w:val="00C73D67"/>
    <w:rsid w:val="00C73D94"/>
    <w:rsid w:val="00C73EBD"/>
    <w:rsid w:val="00C73F94"/>
    <w:rsid w:val="00C742CD"/>
    <w:rsid w:val="00C74AA0"/>
    <w:rsid w:val="00C74F3C"/>
    <w:rsid w:val="00C750FE"/>
    <w:rsid w:val="00C75427"/>
    <w:rsid w:val="00C75BD0"/>
    <w:rsid w:val="00C763BB"/>
    <w:rsid w:val="00C7691F"/>
    <w:rsid w:val="00C76F3B"/>
    <w:rsid w:val="00C77DA5"/>
    <w:rsid w:val="00C80C7B"/>
    <w:rsid w:val="00C8187B"/>
    <w:rsid w:val="00C818DD"/>
    <w:rsid w:val="00C8327C"/>
    <w:rsid w:val="00C83A26"/>
    <w:rsid w:val="00C83B79"/>
    <w:rsid w:val="00C83DFF"/>
    <w:rsid w:val="00C84384"/>
    <w:rsid w:val="00C8499F"/>
    <w:rsid w:val="00C851A5"/>
    <w:rsid w:val="00C851C0"/>
    <w:rsid w:val="00C857BA"/>
    <w:rsid w:val="00C858E5"/>
    <w:rsid w:val="00C85993"/>
    <w:rsid w:val="00C85A11"/>
    <w:rsid w:val="00C865F6"/>
    <w:rsid w:val="00C86C9B"/>
    <w:rsid w:val="00C86FF3"/>
    <w:rsid w:val="00C87384"/>
    <w:rsid w:val="00C87646"/>
    <w:rsid w:val="00C8796B"/>
    <w:rsid w:val="00C87BF2"/>
    <w:rsid w:val="00C89704"/>
    <w:rsid w:val="00C90326"/>
    <w:rsid w:val="00C90685"/>
    <w:rsid w:val="00C908EB"/>
    <w:rsid w:val="00C90A14"/>
    <w:rsid w:val="00C90BDE"/>
    <w:rsid w:val="00C90F4B"/>
    <w:rsid w:val="00C912E2"/>
    <w:rsid w:val="00C9189E"/>
    <w:rsid w:val="00C92039"/>
    <w:rsid w:val="00C92886"/>
    <w:rsid w:val="00C92AE4"/>
    <w:rsid w:val="00C9320F"/>
    <w:rsid w:val="00C93B62"/>
    <w:rsid w:val="00C93C83"/>
    <w:rsid w:val="00C940BA"/>
    <w:rsid w:val="00C94F82"/>
    <w:rsid w:val="00C950BB"/>
    <w:rsid w:val="00C95215"/>
    <w:rsid w:val="00C95B0F"/>
    <w:rsid w:val="00C96B39"/>
    <w:rsid w:val="00C97477"/>
    <w:rsid w:val="00C97C2E"/>
    <w:rsid w:val="00C97F23"/>
    <w:rsid w:val="00CA05B1"/>
    <w:rsid w:val="00CA0B5C"/>
    <w:rsid w:val="00CA13A1"/>
    <w:rsid w:val="00CA1696"/>
    <w:rsid w:val="00CA1A65"/>
    <w:rsid w:val="00CA1D33"/>
    <w:rsid w:val="00CA2016"/>
    <w:rsid w:val="00CA26F1"/>
    <w:rsid w:val="00CA2D62"/>
    <w:rsid w:val="00CA33F2"/>
    <w:rsid w:val="00CA376B"/>
    <w:rsid w:val="00CA3B0D"/>
    <w:rsid w:val="00CA3FDC"/>
    <w:rsid w:val="00CA4591"/>
    <w:rsid w:val="00CA47E5"/>
    <w:rsid w:val="00CA5646"/>
    <w:rsid w:val="00CA5699"/>
    <w:rsid w:val="00CA5768"/>
    <w:rsid w:val="00CA5AEA"/>
    <w:rsid w:val="00CA5E6A"/>
    <w:rsid w:val="00CA5F09"/>
    <w:rsid w:val="00CA6544"/>
    <w:rsid w:val="00CA65EC"/>
    <w:rsid w:val="00CA66C6"/>
    <w:rsid w:val="00CA6C9E"/>
    <w:rsid w:val="00CA76FA"/>
    <w:rsid w:val="00CA7953"/>
    <w:rsid w:val="00CA7BE8"/>
    <w:rsid w:val="00CA7DD5"/>
    <w:rsid w:val="00CA7F0B"/>
    <w:rsid w:val="00CA7F37"/>
    <w:rsid w:val="00CB09BE"/>
    <w:rsid w:val="00CB0AA0"/>
    <w:rsid w:val="00CB1B3C"/>
    <w:rsid w:val="00CB2090"/>
    <w:rsid w:val="00CB22BC"/>
    <w:rsid w:val="00CB23A4"/>
    <w:rsid w:val="00CB23B3"/>
    <w:rsid w:val="00CB2873"/>
    <w:rsid w:val="00CB2D92"/>
    <w:rsid w:val="00CB36B6"/>
    <w:rsid w:val="00CB3809"/>
    <w:rsid w:val="00CB3D1D"/>
    <w:rsid w:val="00CB3D57"/>
    <w:rsid w:val="00CB4278"/>
    <w:rsid w:val="00CB4627"/>
    <w:rsid w:val="00CB46F4"/>
    <w:rsid w:val="00CB4AC2"/>
    <w:rsid w:val="00CB4ACE"/>
    <w:rsid w:val="00CB4E65"/>
    <w:rsid w:val="00CB5C9F"/>
    <w:rsid w:val="00CB5DFC"/>
    <w:rsid w:val="00CB619B"/>
    <w:rsid w:val="00CB6D1F"/>
    <w:rsid w:val="00CB7197"/>
    <w:rsid w:val="00CB719A"/>
    <w:rsid w:val="00CC07A1"/>
    <w:rsid w:val="00CC0927"/>
    <w:rsid w:val="00CC0AB3"/>
    <w:rsid w:val="00CC12FE"/>
    <w:rsid w:val="00CC18CE"/>
    <w:rsid w:val="00CC1969"/>
    <w:rsid w:val="00CC2087"/>
    <w:rsid w:val="00CC208A"/>
    <w:rsid w:val="00CC2B51"/>
    <w:rsid w:val="00CC2D78"/>
    <w:rsid w:val="00CC32AC"/>
    <w:rsid w:val="00CC3921"/>
    <w:rsid w:val="00CC3AA2"/>
    <w:rsid w:val="00CC3CF8"/>
    <w:rsid w:val="00CC4391"/>
    <w:rsid w:val="00CC4BF8"/>
    <w:rsid w:val="00CC4C04"/>
    <w:rsid w:val="00CC59D4"/>
    <w:rsid w:val="00CC5C17"/>
    <w:rsid w:val="00CC5C2B"/>
    <w:rsid w:val="00CC5E8C"/>
    <w:rsid w:val="00CC6657"/>
    <w:rsid w:val="00CC69E5"/>
    <w:rsid w:val="00CC746C"/>
    <w:rsid w:val="00CC7900"/>
    <w:rsid w:val="00CC7A22"/>
    <w:rsid w:val="00CD0112"/>
    <w:rsid w:val="00CD0E6D"/>
    <w:rsid w:val="00CD12B5"/>
    <w:rsid w:val="00CD153F"/>
    <w:rsid w:val="00CD19A1"/>
    <w:rsid w:val="00CD1CE9"/>
    <w:rsid w:val="00CD1DCE"/>
    <w:rsid w:val="00CD208F"/>
    <w:rsid w:val="00CD26CE"/>
    <w:rsid w:val="00CD2805"/>
    <w:rsid w:val="00CD2915"/>
    <w:rsid w:val="00CD2F16"/>
    <w:rsid w:val="00CD3107"/>
    <w:rsid w:val="00CD3158"/>
    <w:rsid w:val="00CD382B"/>
    <w:rsid w:val="00CD3909"/>
    <w:rsid w:val="00CD3B3F"/>
    <w:rsid w:val="00CD3BB0"/>
    <w:rsid w:val="00CD41B7"/>
    <w:rsid w:val="00CD4343"/>
    <w:rsid w:val="00CD4B68"/>
    <w:rsid w:val="00CD4DC3"/>
    <w:rsid w:val="00CD6583"/>
    <w:rsid w:val="00CD65CF"/>
    <w:rsid w:val="00CD6A37"/>
    <w:rsid w:val="00CD6B33"/>
    <w:rsid w:val="00CD6B56"/>
    <w:rsid w:val="00CD6BF5"/>
    <w:rsid w:val="00CD6C9F"/>
    <w:rsid w:val="00CD6DC6"/>
    <w:rsid w:val="00CD7CFF"/>
    <w:rsid w:val="00CD7E78"/>
    <w:rsid w:val="00CD7F00"/>
    <w:rsid w:val="00CE0052"/>
    <w:rsid w:val="00CE020E"/>
    <w:rsid w:val="00CE16B1"/>
    <w:rsid w:val="00CE16DC"/>
    <w:rsid w:val="00CE1A07"/>
    <w:rsid w:val="00CE1C67"/>
    <w:rsid w:val="00CE200E"/>
    <w:rsid w:val="00CE2306"/>
    <w:rsid w:val="00CE2C8F"/>
    <w:rsid w:val="00CE40DD"/>
    <w:rsid w:val="00CE4294"/>
    <w:rsid w:val="00CE54CF"/>
    <w:rsid w:val="00CE579F"/>
    <w:rsid w:val="00CE591E"/>
    <w:rsid w:val="00CE5B0D"/>
    <w:rsid w:val="00CE5C50"/>
    <w:rsid w:val="00CE5D4C"/>
    <w:rsid w:val="00CE6515"/>
    <w:rsid w:val="00CE65CF"/>
    <w:rsid w:val="00CE6773"/>
    <w:rsid w:val="00CE6B27"/>
    <w:rsid w:val="00CE6C9A"/>
    <w:rsid w:val="00CE6DF7"/>
    <w:rsid w:val="00CE6E99"/>
    <w:rsid w:val="00CE6ECD"/>
    <w:rsid w:val="00CE7013"/>
    <w:rsid w:val="00CE701F"/>
    <w:rsid w:val="00CE776F"/>
    <w:rsid w:val="00CE7B79"/>
    <w:rsid w:val="00CE7C71"/>
    <w:rsid w:val="00CE7CC3"/>
    <w:rsid w:val="00CE7DB1"/>
    <w:rsid w:val="00CF0C3A"/>
    <w:rsid w:val="00CF0DBD"/>
    <w:rsid w:val="00CF11DB"/>
    <w:rsid w:val="00CF134C"/>
    <w:rsid w:val="00CF159A"/>
    <w:rsid w:val="00CF1E16"/>
    <w:rsid w:val="00CF2784"/>
    <w:rsid w:val="00CF3187"/>
    <w:rsid w:val="00CF3FCA"/>
    <w:rsid w:val="00CF4595"/>
    <w:rsid w:val="00CF48EF"/>
    <w:rsid w:val="00CF4ABB"/>
    <w:rsid w:val="00CF5012"/>
    <w:rsid w:val="00CF562F"/>
    <w:rsid w:val="00CF5DAC"/>
    <w:rsid w:val="00CF602B"/>
    <w:rsid w:val="00CF6A49"/>
    <w:rsid w:val="00CF73B0"/>
    <w:rsid w:val="00CF7640"/>
    <w:rsid w:val="00CF77E4"/>
    <w:rsid w:val="00CF7DE9"/>
    <w:rsid w:val="00D001A6"/>
    <w:rsid w:val="00D00CB7"/>
    <w:rsid w:val="00D00E77"/>
    <w:rsid w:val="00D00E91"/>
    <w:rsid w:val="00D010C7"/>
    <w:rsid w:val="00D0183B"/>
    <w:rsid w:val="00D01D40"/>
    <w:rsid w:val="00D01D8A"/>
    <w:rsid w:val="00D021AC"/>
    <w:rsid w:val="00D021E5"/>
    <w:rsid w:val="00D02920"/>
    <w:rsid w:val="00D02CC1"/>
    <w:rsid w:val="00D02E37"/>
    <w:rsid w:val="00D02E5F"/>
    <w:rsid w:val="00D02EF2"/>
    <w:rsid w:val="00D0302B"/>
    <w:rsid w:val="00D04711"/>
    <w:rsid w:val="00D04885"/>
    <w:rsid w:val="00D05200"/>
    <w:rsid w:val="00D05709"/>
    <w:rsid w:val="00D05910"/>
    <w:rsid w:val="00D05C11"/>
    <w:rsid w:val="00D063F0"/>
    <w:rsid w:val="00D06F51"/>
    <w:rsid w:val="00D07605"/>
    <w:rsid w:val="00D078DB"/>
    <w:rsid w:val="00D10470"/>
    <w:rsid w:val="00D10A54"/>
    <w:rsid w:val="00D10D2E"/>
    <w:rsid w:val="00D10D9F"/>
    <w:rsid w:val="00D10F28"/>
    <w:rsid w:val="00D10FA7"/>
    <w:rsid w:val="00D11728"/>
    <w:rsid w:val="00D11DEC"/>
    <w:rsid w:val="00D12290"/>
    <w:rsid w:val="00D12780"/>
    <w:rsid w:val="00D127CF"/>
    <w:rsid w:val="00D133C9"/>
    <w:rsid w:val="00D1342C"/>
    <w:rsid w:val="00D135D2"/>
    <w:rsid w:val="00D137BF"/>
    <w:rsid w:val="00D13B55"/>
    <w:rsid w:val="00D13C3F"/>
    <w:rsid w:val="00D13C84"/>
    <w:rsid w:val="00D14FD2"/>
    <w:rsid w:val="00D15C78"/>
    <w:rsid w:val="00D15DEB"/>
    <w:rsid w:val="00D16708"/>
    <w:rsid w:val="00D16B49"/>
    <w:rsid w:val="00D171FA"/>
    <w:rsid w:val="00D17515"/>
    <w:rsid w:val="00D204ED"/>
    <w:rsid w:val="00D20616"/>
    <w:rsid w:val="00D206E4"/>
    <w:rsid w:val="00D20840"/>
    <w:rsid w:val="00D20BDB"/>
    <w:rsid w:val="00D20DA6"/>
    <w:rsid w:val="00D20F0E"/>
    <w:rsid w:val="00D21140"/>
    <w:rsid w:val="00D21C11"/>
    <w:rsid w:val="00D220A4"/>
    <w:rsid w:val="00D2284A"/>
    <w:rsid w:val="00D23BEE"/>
    <w:rsid w:val="00D241A1"/>
    <w:rsid w:val="00D24EFE"/>
    <w:rsid w:val="00D252DD"/>
    <w:rsid w:val="00D26833"/>
    <w:rsid w:val="00D26C5A"/>
    <w:rsid w:val="00D27886"/>
    <w:rsid w:val="00D27AEE"/>
    <w:rsid w:val="00D27E0E"/>
    <w:rsid w:val="00D305CA"/>
    <w:rsid w:val="00D3092D"/>
    <w:rsid w:val="00D30B6B"/>
    <w:rsid w:val="00D311FF"/>
    <w:rsid w:val="00D31AAD"/>
    <w:rsid w:val="00D322EB"/>
    <w:rsid w:val="00D33616"/>
    <w:rsid w:val="00D33D7D"/>
    <w:rsid w:val="00D341EE"/>
    <w:rsid w:val="00D343A5"/>
    <w:rsid w:val="00D34A95"/>
    <w:rsid w:val="00D34C96"/>
    <w:rsid w:val="00D3538D"/>
    <w:rsid w:val="00D353ED"/>
    <w:rsid w:val="00D354FA"/>
    <w:rsid w:val="00D35AA7"/>
    <w:rsid w:val="00D35C7A"/>
    <w:rsid w:val="00D35D1F"/>
    <w:rsid w:val="00D35E5D"/>
    <w:rsid w:val="00D36479"/>
    <w:rsid w:val="00D3672C"/>
    <w:rsid w:val="00D36D83"/>
    <w:rsid w:val="00D37791"/>
    <w:rsid w:val="00D400D4"/>
    <w:rsid w:val="00D404AC"/>
    <w:rsid w:val="00D40ACC"/>
    <w:rsid w:val="00D41A70"/>
    <w:rsid w:val="00D41BE6"/>
    <w:rsid w:val="00D41DA6"/>
    <w:rsid w:val="00D422E2"/>
    <w:rsid w:val="00D42568"/>
    <w:rsid w:val="00D42AC3"/>
    <w:rsid w:val="00D42ADB"/>
    <w:rsid w:val="00D42C6B"/>
    <w:rsid w:val="00D42CB5"/>
    <w:rsid w:val="00D431C5"/>
    <w:rsid w:val="00D43572"/>
    <w:rsid w:val="00D43C60"/>
    <w:rsid w:val="00D4420E"/>
    <w:rsid w:val="00D44A71"/>
    <w:rsid w:val="00D44A75"/>
    <w:rsid w:val="00D4544B"/>
    <w:rsid w:val="00D45497"/>
    <w:rsid w:val="00D45BEF"/>
    <w:rsid w:val="00D46365"/>
    <w:rsid w:val="00D46B5F"/>
    <w:rsid w:val="00D46C4A"/>
    <w:rsid w:val="00D47212"/>
    <w:rsid w:val="00D47A78"/>
    <w:rsid w:val="00D508ED"/>
    <w:rsid w:val="00D50955"/>
    <w:rsid w:val="00D50E8E"/>
    <w:rsid w:val="00D510AE"/>
    <w:rsid w:val="00D51806"/>
    <w:rsid w:val="00D527E6"/>
    <w:rsid w:val="00D532B8"/>
    <w:rsid w:val="00D533E1"/>
    <w:rsid w:val="00D53424"/>
    <w:rsid w:val="00D53FAE"/>
    <w:rsid w:val="00D53FF8"/>
    <w:rsid w:val="00D544FB"/>
    <w:rsid w:val="00D54584"/>
    <w:rsid w:val="00D54C36"/>
    <w:rsid w:val="00D54FA8"/>
    <w:rsid w:val="00D54FB5"/>
    <w:rsid w:val="00D55D21"/>
    <w:rsid w:val="00D5689C"/>
    <w:rsid w:val="00D56978"/>
    <w:rsid w:val="00D56D43"/>
    <w:rsid w:val="00D56ED4"/>
    <w:rsid w:val="00D56F31"/>
    <w:rsid w:val="00D57BF0"/>
    <w:rsid w:val="00D601EF"/>
    <w:rsid w:val="00D60618"/>
    <w:rsid w:val="00D609F0"/>
    <w:rsid w:val="00D6124B"/>
    <w:rsid w:val="00D61372"/>
    <w:rsid w:val="00D61830"/>
    <w:rsid w:val="00D61B65"/>
    <w:rsid w:val="00D61DBF"/>
    <w:rsid w:val="00D620B7"/>
    <w:rsid w:val="00D6235A"/>
    <w:rsid w:val="00D62C9B"/>
    <w:rsid w:val="00D63761"/>
    <w:rsid w:val="00D639B8"/>
    <w:rsid w:val="00D645B5"/>
    <w:rsid w:val="00D64812"/>
    <w:rsid w:val="00D6487C"/>
    <w:rsid w:val="00D649ED"/>
    <w:rsid w:val="00D65229"/>
    <w:rsid w:val="00D66311"/>
    <w:rsid w:val="00D664E4"/>
    <w:rsid w:val="00D66528"/>
    <w:rsid w:val="00D6655E"/>
    <w:rsid w:val="00D665E9"/>
    <w:rsid w:val="00D67B34"/>
    <w:rsid w:val="00D70A42"/>
    <w:rsid w:val="00D711BC"/>
    <w:rsid w:val="00D714C5"/>
    <w:rsid w:val="00D71F25"/>
    <w:rsid w:val="00D72679"/>
    <w:rsid w:val="00D72A50"/>
    <w:rsid w:val="00D73516"/>
    <w:rsid w:val="00D7363D"/>
    <w:rsid w:val="00D738DC"/>
    <w:rsid w:val="00D73A41"/>
    <w:rsid w:val="00D73C04"/>
    <w:rsid w:val="00D73C16"/>
    <w:rsid w:val="00D73C2E"/>
    <w:rsid w:val="00D73C4B"/>
    <w:rsid w:val="00D7442D"/>
    <w:rsid w:val="00D74693"/>
    <w:rsid w:val="00D746B2"/>
    <w:rsid w:val="00D74EC9"/>
    <w:rsid w:val="00D74F18"/>
    <w:rsid w:val="00D75452"/>
    <w:rsid w:val="00D75631"/>
    <w:rsid w:val="00D756C2"/>
    <w:rsid w:val="00D75792"/>
    <w:rsid w:val="00D762BF"/>
    <w:rsid w:val="00D76C8F"/>
    <w:rsid w:val="00D77769"/>
    <w:rsid w:val="00D80304"/>
    <w:rsid w:val="00D803BF"/>
    <w:rsid w:val="00D80651"/>
    <w:rsid w:val="00D80C6C"/>
    <w:rsid w:val="00D817B4"/>
    <w:rsid w:val="00D81800"/>
    <w:rsid w:val="00D81A6F"/>
    <w:rsid w:val="00D81D38"/>
    <w:rsid w:val="00D82777"/>
    <w:rsid w:val="00D82806"/>
    <w:rsid w:val="00D83184"/>
    <w:rsid w:val="00D831E3"/>
    <w:rsid w:val="00D83368"/>
    <w:rsid w:val="00D83982"/>
    <w:rsid w:val="00D83B75"/>
    <w:rsid w:val="00D83C8F"/>
    <w:rsid w:val="00D840FB"/>
    <w:rsid w:val="00D84B5B"/>
    <w:rsid w:val="00D851E2"/>
    <w:rsid w:val="00D85801"/>
    <w:rsid w:val="00D86547"/>
    <w:rsid w:val="00D866F3"/>
    <w:rsid w:val="00D86803"/>
    <w:rsid w:val="00D86EA4"/>
    <w:rsid w:val="00D86F50"/>
    <w:rsid w:val="00D86FCA"/>
    <w:rsid w:val="00D8701B"/>
    <w:rsid w:val="00D87140"/>
    <w:rsid w:val="00D879D0"/>
    <w:rsid w:val="00D87AA2"/>
    <w:rsid w:val="00D87C88"/>
    <w:rsid w:val="00D9042E"/>
    <w:rsid w:val="00D908DF"/>
    <w:rsid w:val="00D90FA8"/>
    <w:rsid w:val="00D915A4"/>
    <w:rsid w:val="00D91A1B"/>
    <w:rsid w:val="00D91A45"/>
    <w:rsid w:val="00D91BA6"/>
    <w:rsid w:val="00D91F93"/>
    <w:rsid w:val="00D9220E"/>
    <w:rsid w:val="00D92426"/>
    <w:rsid w:val="00D92B95"/>
    <w:rsid w:val="00D92E94"/>
    <w:rsid w:val="00D92EC4"/>
    <w:rsid w:val="00D933F5"/>
    <w:rsid w:val="00D93982"/>
    <w:rsid w:val="00D93B6C"/>
    <w:rsid w:val="00D93DE8"/>
    <w:rsid w:val="00D9438B"/>
    <w:rsid w:val="00D943FE"/>
    <w:rsid w:val="00D9496B"/>
    <w:rsid w:val="00D955CA"/>
    <w:rsid w:val="00D95EB4"/>
    <w:rsid w:val="00D96030"/>
    <w:rsid w:val="00D964C2"/>
    <w:rsid w:val="00D9698C"/>
    <w:rsid w:val="00D96A70"/>
    <w:rsid w:val="00D96AC7"/>
    <w:rsid w:val="00D975A6"/>
    <w:rsid w:val="00D975E5"/>
    <w:rsid w:val="00D97603"/>
    <w:rsid w:val="00D97933"/>
    <w:rsid w:val="00D97A13"/>
    <w:rsid w:val="00DA0701"/>
    <w:rsid w:val="00DA07DF"/>
    <w:rsid w:val="00DA0813"/>
    <w:rsid w:val="00DA0BF7"/>
    <w:rsid w:val="00DA0D27"/>
    <w:rsid w:val="00DA1B80"/>
    <w:rsid w:val="00DA1CDD"/>
    <w:rsid w:val="00DA1E96"/>
    <w:rsid w:val="00DA22B8"/>
    <w:rsid w:val="00DA22FA"/>
    <w:rsid w:val="00DA2ED7"/>
    <w:rsid w:val="00DA2F23"/>
    <w:rsid w:val="00DA34D6"/>
    <w:rsid w:val="00DA3CEE"/>
    <w:rsid w:val="00DA3EEA"/>
    <w:rsid w:val="00DA4632"/>
    <w:rsid w:val="00DA4918"/>
    <w:rsid w:val="00DA4C21"/>
    <w:rsid w:val="00DA53C2"/>
    <w:rsid w:val="00DA57E4"/>
    <w:rsid w:val="00DA5FEF"/>
    <w:rsid w:val="00DA633B"/>
    <w:rsid w:val="00DA6452"/>
    <w:rsid w:val="00DA6464"/>
    <w:rsid w:val="00DA66A6"/>
    <w:rsid w:val="00DA68B4"/>
    <w:rsid w:val="00DA6B40"/>
    <w:rsid w:val="00DA6BB9"/>
    <w:rsid w:val="00DA6F58"/>
    <w:rsid w:val="00DA6FF2"/>
    <w:rsid w:val="00DA74CB"/>
    <w:rsid w:val="00DB0896"/>
    <w:rsid w:val="00DB08FE"/>
    <w:rsid w:val="00DB0ACC"/>
    <w:rsid w:val="00DB0CD4"/>
    <w:rsid w:val="00DB0E25"/>
    <w:rsid w:val="00DB13D7"/>
    <w:rsid w:val="00DB13EB"/>
    <w:rsid w:val="00DB13F0"/>
    <w:rsid w:val="00DB1477"/>
    <w:rsid w:val="00DB2532"/>
    <w:rsid w:val="00DB256B"/>
    <w:rsid w:val="00DB2C1F"/>
    <w:rsid w:val="00DB2F71"/>
    <w:rsid w:val="00DB2F96"/>
    <w:rsid w:val="00DB356B"/>
    <w:rsid w:val="00DB3861"/>
    <w:rsid w:val="00DB3AAB"/>
    <w:rsid w:val="00DB3B57"/>
    <w:rsid w:val="00DB4435"/>
    <w:rsid w:val="00DB45F5"/>
    <w:rsid w:val="00DB4AAF"/>
    <w:rsid w:val="00DB4C49"/>
    <w:rsid w:val="00DB50E5"/>
    <w:rsid w:val="00DB5799"/>
    <w:rsid w:val="00DB6762"/>
    <w:rsid w:val="00DB6EB6"/>
    <w:rsid w:val="00DB782D"/>
    <w:rsid w:val="00DB79E1"/>
    <w:rsid w:val="00DC0131"/>
    <w:rsid w:val="00DC01A2"/>
    <w:rsid w:val="00DC0447"/>
    <w:rsid w:val="00DC070F"/>
    <w:rsid w:val="00DC1C7F"/>
    <w:rsid w:val="00DC2544"/>
    <w:rsid w:val="00DC301B"/>
    <w:rsid w:val="00DC331A"/>
    <w:rsid w:val="00DC3FC8"/>
    <w:rsid w:val="00DC41F8"/>
    <w:rsid w:val="00DC47EA"/>
    <w:rsid w:val="00DC4842"/>
    <w:rsid w:val="00DC4B95"/>
    <w:rsid w:val="00DC4BA7"/>
    <w:rsid w:val="00DC4CF1"/>
    <w:rsid w:val="00DC5183"/>
    <w:rsid w:val="00DC547D"/>
    <w:rsid w:val="00DC5BF1"/>
    <w:rsid w:val="00DC60F8"/>
    <w:rsid w:val="00DC63AA"/>
    <w:rsid w:val="00DC66C8"/>
    <w:rsid w:val="00DC6998"/>
    <w:rsid w:val="00DC7770"/>
    <w:rsid w:val="00DC7A91"/>
    <w:rsid w:val="00DD012A"/>
    <w:rsid w:val="00DD065A"/>
    <w:rsid w:val="00DD0C61"/>
    <w:rsid w:val="00DD0DFB"/>
    <w:rsid w:val="00DD1586"/>
    <w:rsid w:val="00DD1B39"/>
    <w:rsid w:val="00DD210A"/>
    <w:rsid w:val="00DD21C7"/>
    <w:rsid w:val="00DD23E6"/>
    <w:rsid w:val="00DD2A05"/>
    <w:rsid w:val="00DD2A1C"/>
    <w:rsid w:val="00DD3088"/>
    <w:rsid w:val="00DD3E8A"/>
    <w:rsid w:val="00DD40E6"/>
    <w:rsid w:val="00DD44BD"/>
    <w:rsid w:val="00DD4803"/>
    <w:rsid w:val="00DD54FE"/>
    <w:rsid w:val="00DD555E"/>
    <w:rsid w:val="00DD5C67"/>
    <w:rsid w:val="00DD5F3A"/>
    <w:rsid w:val="00DD6303"/>
    <w:rsid w:val="00DD6576"/>
    <w:rsid w:val="00DD6CEA"/>
    <w:rsid w:val="00DD751D"/>
    <w:rsid w:val="00DD7B6B"/>
    <w:rsid w:val="00DE03F8"/>
    <w:rsid w:val="00DE0AFA"/>
    <w:rsid w:val="00DE0D38"/>
    <w:rsid w:val="00DE1026"/>
    <w:rsid w:val="00DE1BA7"/>
    <w:rsid w:val="00DE1DA7"/>
    <w:rsid w:val="00DE1E62"/>
    <w:rsid w:val="00DE23AE"/>
    <w:rsid w:val="00DE2611"/>
    <w:rsid w:val="00DE275E"/>
    <w:rsid w:val="00DE280F"/>
    <w:rsid w:val="00DE2E78"/>
    <w:rsid w:val="00DE3147"/>
    <w:rsid w:val="00DE352C"/>
    <w:rsid w:val="00DE3C0F"/>
    <w:rsid w:val="00DE431E"/>
    <w:rsid w:val="00DE4400"/>
    <w:rsid w:val="00DE4592"/>
    <w:rsid w:val="00DE4638"/>
    <w:rsid w:val="00DE4A63"/>
    <w:rsid w:val="00DE4CE5"/>
    <w:rsid w:val="00DE53E7"/>
    <w:rsid w:val="00DE58C1"/>
    <w:rsid w:val="00DE5CCB"/>
    <w:rsid w:val="00DE68EF"/>
    <w:rsid w:val="00DE6CD1"/>
    <w:rsid w:val="00DE724C"/>
    <w:rsid w:val="00DE738C"/>
    <w:rsid w:val="00DE73B0"/>
    <w:rsid w:val="00DF0602"/>
    <w:rsid w:val="00DF089B"/>
    <w:rsid w:val="00DF096F"/>
    <w:rsid w:val="00DF1091"/>
    <w:rsid w:val="00DF1AA4"/>
    <w:rsid w:val="00DF2AF5"/>
    <w:rsid w:val="00DF2D90"/>
    <w:rsid w:val="00DF32BD"/>
    <w:rsid w:val="00DF3E47"/>
    <w:rsid w:val="00DF4BFA"/>
    <w:rsid w:val="00DF4CF8"/>
    <w:rsid w:val="00DF4FA7"/>
    <w:rsid w:val="00DF5368"/>
    <w:rsid w:val="00DF53AA"/>
    <w:rsid w:val="00DF5505"/>
    <w:rsid w:val="00DF59AE"/>
    <w:rsid w:val="00DF5BE5"/>
    <w:rsid w:val="00DF5C0E"/>
    <w:rsid w:val="00DF615D"/>
    <w:rsid w:val="00DF705A"/>
    <w:rsid w:val="00DF7330"/>
    <w:rsid w:val="00DF76D5"/>
    <w:rsid w:val="00DF7F8E"/>
    <w:rsid w:val="00E00986"/>
    <w:rsid w:val="00E00C92"/>
    <w:rsid w:val="00E00FE5"/>
    <w:rsid w:val="00E01059"/>
    <w:rsid w:val="00E01240"/>
    <w:rsid w:val="00E0158C"/>
    <w:rsid w:val="00E02281"/>
    <w:rsid w:val="00E02367"/>
    <w:rsid w:val="00E023D7"/>
    <w:rsid w:val="00E024B2"/>
    <w:rsid w:val="00E02F79"/>
    <w:rsid w:val="00E032A8"/>
    <w:rsid w:val="00E0333C"/>
    <w:rsid w:val="00E03404"/>
    <w:rsid w:val="00E036AB"/>
    <w:rsid w:val="00E03D05"/>
    <w:rsid w:val="00E03DE5"/>
    <w:rsid w:val="00E0438E"/>
    <w:rsid w:val="00E04502"/>
    <w:rsid w:val="00E04B1B"/>
    <w:rsid w:val="00E04F62"/>
    <w:rsid w:val="00E0517C"/>
    <w:rsid w:val="00E05EDB"/>
    <w:rsid w:val="00E06D14"/>
    <w:rsid w:val="00E06F80"/>
    <w:rsid w:val="00E07076"/>
    <w:rsid w:val="00E07911"/>
    <w:rsid w:val="00E10009"/>
    <w:rsid w:val="00E109D4"/>
    <w:rsid w:val="00E110F7"/>
    <w:rsid w:val="00E11BF1"/>
    <w:rsid w:val="00E11CD5"/>
    <w:rsid w:val="00E11F7A"/>
    <w:rsid w:val="00E120B8"/>
    <w:rsid w:val="00E127BA"/>
    <w:rsid w:val="00E12BE0"/>
    <w:rsid w:val="00E131C6"/>
    <w:rsid w:val="00E13364"/>
    <w:rsid w:val="00E13546"/>
    <w:rsid w:val="00E13CB8"/>
    <w:rsid w:val="00E146C7"/>
    <w:rsid w:val="00E14A4C"/>
    <w:rsid w:val="00E14DC0"/>
    <w:rsid w:val="00E1523F"/>
    <w:rsid w:val="00E15C15"/>
    <w:rsid w:val="00E15CD6"/>
    <w:rsid w:val="00E15E16"/>
    <w:rsid w:val="00E15FB5"/>
    <w:rsid w:val="00E1609E"/>
    <w:rsid w:val="00E16223"/>
    <w:rsid w:val="00E162C4"/>
    <w:rsid w:val="00E164E1"/>
    <w:rsid w:val="00E16D03"/>
    <w:rsid w:val="00E176C0"/>
    <w:rsid w:val="00E2072D"/>
    <w:rsid w:val="00E20899"/>
    <w:rsid w:val="00E20C68"/>
    <w:rsid w:val="00E20CBF"/>
    <w:rsid w:val="00E2112C"/>
    <w:rsid w:val="00E21A87"/>
    <w:rsid w:val="00E21E9F"/>
    <w:rsid w:val="00E22F13"/>
    <w:rsid w:val="00E23733"/>
    <w:rsid w:val="00E24373"/>
    <w:rsid w:val="00E25B70"/>
    <w:rsid w:val="00E26269"/>
    <w:rsid w:val="00E2656B"/>
    <w:rsid w:val="00E26664"/>
    <w:rsid w:val="00E2696D"/>
    <w:rsid w:val="00E2732C"/>
    <w:rsid w:val="00E27784"/>
    <w:rsid w:val="00E27EAE"/>
    <w:rsid w:val="00E30214"/>
    <w:rsid w:val="00E304CE"/>
    <w:rsid w:val="00E30538"/>
    <w:rsid w:val="00E30A74"/>
    <w:rsid w:val="00E30DA5"/>
    <w:rsid w:val="00E30E8A"/>
    <w:rsid w:val="00E30F14"/>
    <w:rsid w:val="00E30FA4"/>
    <w:rsid w:val="00E3142F"/>
    <w:rsid w:val="00E323AC"/>
    <w:rsid w:val="00E3277D"/>
    <w:rsid w:val="00E32EED"/>
    <w:rsid w:val="00E333ED"/>
    <w:rsid w:val="00E3398F"/>
    <w:rsid w:val="00E34057"/>
    <w:rsid w:val="00E346C4"/>
    <w:rsid w:val="00E34D9B"/>
    <w:rsid w:val="00E35052"/>
    <w:rsid w:val="00E35C9F"/>
    <w:rsid w:val="00E35F45"/>
    <w:rsid w:val="00E36226"/>
    <w:rsid w:val="00E3653E"/>
    <w:rsid w:val="00E368BE"/>
    <w:rsid w:val="00E36E40"/>
    <w:rsid w:val="00E416BF"/>
    <w:rsid w:val="00E41BB8"/>
    <w:rsid w:val="00E42374"/>
    <w:rsid w:val="00E42FB4"/>
    <w:rsid w:val="00E436F9"/>
    <w:rsid w:val="00E437AF"/>
    <w:rsid w:val="00E43C59"/>
    <w:rsid w:val="00E43E7F"/>
    <w:rsid w:val="00E43FEB"/>
    <w:rsid w:val="00E446DB"/>
    <w:rsid w:val="00E44B95"/>
    <w:rsid w:val="00E44BF9"/>
    <w:rsid w:val="00E44BFE"/>
    <w:rsid w:val="00E44C88"/>
    <w:rsid w:val="00E453DA"/>
    <w:rsid w:val="00E4555A"/>
    <w:rsid w:val="00E46375"/>
    <w:rsid w:val="00E464A8"/>
    <w:rsid w:val="00E464E0"/>
    <w:rsid w:val="00E47560"/>
    <w:rsid w:val="00E47A58"/>
    <w:rsid w:val="00E47F81"/>
    <w:rsid w:val="00E50272"/>
    <w:rsid w:val="00E5090B"/>
    <w:rsid w:val="00E509DE"/>
    <w:rsid w:val="00E5190A"/>
    <w:rsid w:val="00E51A53"/>
    <w:rsid w:val="00E51C10"/>
    <w:rsid w:val="00E51F86"/>
    <w:rsid w:val="00E5218D"/>
    <w:rsid w:val="00E5284C"/>
    <w:rsid w:val="00E52F06"/>
    <w:rsid w:val="00E5442F"/>
    <w:rsid w:val="00E54639"/>
    <w:rsid w:val="00E54795"/>
    <w:rsid w:val="00E54CC8"/>
    <w:rsid w:val="00E55416"/>
    <w:rsid w:val="00E555C4"/>
    <w:rsid w:val="00E55B18"/>
    <w:rsid w:val="00E55CE9"/>
    <w:rsid w:val="00E56143"/>
    <w:rsid w:val="00E5688A"/>
    <w:rsid w:val="00E56BA2"/>
    <w:rsid w:val="00E56DBA"/>
    <w:rsid w:val="00E578BB"/>
    <w:rsid w:val="00E57FA7"/>
    <w:rsid w:val="00E6044C"/>
    <w:rsid w:val="00E604ED"/>
    <w:rsid w:val="00E60887"/>
    <w:rsid w:val="00E611F0"/>
    <w:rsid w:val="00E61210"/>
    <w:rsid w:val="00E61A30"/>
    <w:rsid w:val="00E61C8B"/>
    <w:rsid w:val="00E61E20"/>
    <w:rsid w:val="00E61E9F"/>
    <w:rsid w:val="00E61F64"/>
    <w:rsid w:val="00E620C2"/>
    <w:rsid w:val="00E62502"/>
    <w:rsid w:val="00E629D4"/>
    <w:rsid w:val="00E62D0F"/>
    <w:rsid w:val="00E62EC5"/>
    <w:rsid w:val="00E63141"/>
    <w:rsid w:val="00E63269"/>
    <w:rsid w:val="00E63D95"/>
    <w:rsid w:val="00E63E9B"/>
    <w:rsid w:val="00E646C2"/>
    <w:rsid w:val="00E64702"/>
    <w:rsid w:val="00E64F2C"/>
    <w:rsid w:val="00E65EA1"/>
    <w:rsid w:val="00E65EDB"/>
    <w:rsid w:val="00E663A5"/>
    <w:rsid w:val="00E67239"/>
    <w:rsid w:val="00E67D65"/>
    <w:rsid w:val="00E67FE4"/>
    <w:rsid w:val="00E70725"/>
    <w:rsid w:val="00E70A78"/>
    <w:rsid w:val="00E70BF5"/>
    <w:rsid w:val="00E718BF"/>
    <w:rsid w:val="00E71A26"/>
    <w:rsid w:val="00E71AA3"/>
    <w:rsid w:val="00E723BA"/>
    <w:rsid w:val="00E73582"/>
    <w:rsid w:val="00E7381F"/>
    <w:rsid w:val="00E739D0"/>
    <w:rsid w:val="00E73CF3"/>
    <w:rsid w:val="00E73F67"/>
    <w:rsid w:val="00E74641"/>
    <w:rsid w:val="00E74696"/>
    <w:rsid w:val="00E74F2E"/>
    <w:rsid w:val="00E754AA"/>
    <w:rsid w:val="00E76382"/>
    <w:rsid w:val="00E7646E"/>
    <w:rsid w:val="00E7677A"/>
    <w:rsid w:val="00E76A22"/>
    <w:rsid w:val="00E76F8B"/>
    <w:rsid w:val="00E76FB7"/>
    <w:rsid w:val="00E77408"/>
    <w:rsid w:val="00E77822"/>
    <w:rsid w:val="00E7786D"/>
    <w:rsid w:val="00E77884"/>
    <w:rsid w:val="00E77FB0"/>
    <w:rsid w:val="00E800A7"/>
    <w:rsid w:val="00E800F8"/>
    <w:rsid w:val="00E80679"/>
    <w:rsid w:val="00E8092B"/>
    <w:rsid w:val="00E80D77"/>
    <w:rsid w:val="00E8157E"/>
    <w:rsid w:val="00E8174F"/>
    <w:rsid w:val="00E819B7"/>
    <w:rsid w:val="00E822FF"/>
    <w:rsid w:val="00E82842"/>
    <w:rsid w:val="00E82947"/>
    <w:rsid w:val="00E8296D"/>
    <w:rsid w:val="00E82FA9"/>
    <w:rsid w:val="00E8306C"/>
    <w:rsid w:val="00E83271"/>
    <w:rsid w:val="00E83656"/>
    <w:rsid w:val="00E83847"/>
    <w:rsid w:val="00E844F3"/>
    <w:rsid w:val="00E8467E"/>
    <w:rsid w:val="00E851D5"/>
    <w:rsid w:val="00E853A6"/>
    <w:rsid w:val="00E85454"/>
    <w:rsid w:val="00E86D23"/>
    <w:rsid w:val="00E8716A"/>
    <w:rsid w:val="00E873DF"/>
    <w:rsid w:val="00E87DBE"/>
    <w:rsid w:val="00E87EA0"/>
    <w:rsid w:val="00E90019"/>
    <w:rsid w:val="00E9018B"/>
    <w:rsid w:val="00E909C5"/>
    <w:rsid w:val="00E91538"/>
    <w:rsid w:val="00E917E9"/>
    <w:rsid w:val="00E926BB"/>
    <w:rsid w:val="00E92BC3"/>
    <w:rsid w:val="00E934CB"/>
    <w:rsid w:val="00E93527"/>
    <w:rsid w:val="00E936E1"/>
    <w:rsid w:val="00E93729"/>
    <w:rsid w:val="00E93934"/>
    <w:rsid w:val="00E93E3C"/>
    <w:rsid w:val="00E94113"/>
    <w:rsid w:val="00E94BA7"/>
    <w:rsid w:val="00E94C4B"/>
    <w:rsid w:val="00E94C7A"/>
    <w:rsid w:val="00E94F3A"/>
    <w:rsid w:val="00E954DE"/>
    <w:rsid w:val="00E958CA"/>
    <w:rsid w:val="00E9647B"/>
    <w:rsid w:val="00E96FB2"/>
    <w:rsid w:val="00E97E27"/>
    <w:rsid w:val="00EA0128"/>
    <w:rsid w:val="00EA01BC"/>
    <w:rsid w:val="00EA14A5"/>
    <w:rsid w:val="00EA15C0"/>
    <w:rsid w:val="00EA217B"/>
    <w:rsid w:val="00EA2AE6"/>
    <w:rsid w:val="00EA3208"/>
    <w:rsid w:val="00EA4048"/>
    <w:rsid w:val="00EA47D6"/>
    <w:rsid w:val="00EA4CC0"/>
    <w:rsid w:val="00EA4D79"/>
    <w:rsid w:val="00EA4F57"/>
    <w:rsid w:val="00EA61B2"/>
    <w:rsid w:val="00EA6824"/>
    <w:rsid w:val="00EA75FE"/>
    <w:rsid w:val="00EA7709"/>
    <w:rsid w:val="00EA79D5"/>
    <w:rsid w:val="00EA7C2C"/>
    <w:rsid w:val="00EA7D6D"/>
    <w:rsid w:val="00EB000C"/>
    <w:rsid w:val="00EB0190"/>
    <w:rsid w:val="00EB076B"/>
    <w:rsid w:val="00EB0EA4"/>
    <w:rsid w:val="00EB183A"/>
    <w:rsid w:val="00EB1895"/>
    <w:rsid w:val="00EB19FE"/>
    <w:rsid w:val="00EB1C1B"/>
    <w:rsid w:val="00EB1F7C"/>
    <w:rsid w:val="00EB20DE"/>
    <w:rsid w:val="00EB2588"/>
    <w:rsid w:val="00EB284C"/>
    <w:rsid w:val="00EB2A8C"/>
    <w:rsid w:val="00EB309E"/>
    <w:rsid w:val="00EB349B"/>
    <w:rsid w:val="00EB356F"/>
    <w:rsid w:val="00EB4810"/>
    <w:rsid w:val="00EB4AB5"/>
    <w:rsid w:val="00EB4C95"/>
    <w:rsid w:val="00EB4F9D"/>
    <w:rsid w:val="00EB56AA"/>
    <w:rsid w:val="00EB5C80"/>
    <w:rsid w:val="00EB6392"/>
    <w:rsid w:val="00EB6582"/>
    <w:rsid w:val="00EB6848"/>
    <w:rsid w:val="00EB6A76"/>
    <w:rsid w:val="00EB6E1A"/>
    <w:rsid w:val="00EB7127"/>
    <w:rsid w:val="00EB774A"/>
    <w:rsid w:val="00EB7DBF"/>
    <w:rsid w:val="00EB7F61"/>
    <w:rsid w:val="00EC0249"/>
    <w:rsid w:val="00EC044B"/>
    <w:rsid w:val="00EC05FE"/>
    <w:rsid w:val="00EC0D68"/>
    <w:rsid w:val="00EC1038"/>
    <w:rsid w:val="00EC10D6"/>
    <w:rsid w:val="00EC1787"/>
    <w:rsid w:val="00EC196E"/>
    <w:rsid w:val="00EC1A33"/>
    <w:rsid w:val="00EC1E4B"/>
    <w:rsid w:val="00EC1F02"/>
    <w:rsid w:val="00EC1F6C"/>
    <w:rsid w:val="00EC2A05"/>
    <w:rsid w:val="00EC32CC"/>
    <w:rsid w:val="00EC391F"/>
    <w:rsid w:val="00EC448E"/>
    <w:rsid w:val="00EC5664"/>
    <w:rsid w:val="00EC5CA2"/>
    <w:rsid w:val="00EC6187"/>
    <w:rsid w:val="00EC64C0"/>
    <w:rsid w:val="00EC66E1"/>
    <w:rsid w:val="00EC6D47"/>
    <w:rsid w:val="00EC7456"/>
    <w:rsid w:val="00EC74DF"/>
    <w:rsid w:val="00EC756E"/>
    <w:rsid w:val="00EC7818"/>
    <w:rsid w:val="00ED02A3"/>
    <w:rsid w:val="00ED04C1"/>
    <w:rsid w:val="00ED0B17"/>
    <w:rsid w:val="00ED1044"/>
    <w:rsid w:val="00ED18CF"/>
    <w:rsid w:val="00ED2BFA"/>
    <w:rsid w:val="00ED2F58"/>
    <w:rsid w:val="00ED2FC9"/>
    <w:rsid w:val="00ED313F"/>
    <w:rsid w:val="00ED3360"/>
    <w:rsid w:val="00ED3B12"/>
    <w:rsid w:val="00ED409F"/>
    <w:rsid w:val="00ED435B"/>
    <w:rsid w:val="00ED46F3"/>
    <w:rsid w:val="00ED4B0B"/>
    <w:rsid w:val="00ED4C5E"/>
    <w:rsid w:val="00ED4D2D"/>
    <w:rsid w:val="00ED5359"/>
    <w:rsid w:val="00ED5B0F"/>
    <w:rsid w:val="00ED5B81"/>
    <w:rsid w:val="00ED5FD4"/>
    <w:rsid w:val="00ED6730"/>
    <w:rsid w:val="00ED6A4A"/>
    <w:rsid w:val="00ED6CB0"/>
    <w:rsid w:val="00ED79B9"/>
    <w:rsid w:val="00ED7A14"/>
    <w:rsid w:val="00EE00E2"/>
    <w:rsid w:val="00EE0A59"/>
    <w:rsid w:val="00EE0CAA"/>
    <w:rsid w:val="00EE191D"/>
    <w:rsid w:val="00EE19EF"/>
    <w:rsid w:val="00EE2323"/>
    <w:rsid w:val="00EE245E"/>
    <w:rsid w:val="00EE32E4"/>
    <w:rsid w:val="00EE3581"/>
    <w:rsid w:val="00EE3BA0"/>
    <w:rsid w:val="00EE3F84"/>
    <w:rsid w:val="00EE4153"/>
    <w:rsid w:val="00EE4226"/>
    <w:rsid w:val="00EE4327"/>
    <w:rsid w:val="00EE4C46"/>
    <w:rsid w:val="00EE5DB5"/>
    <w:rsid w:val="00EE5E46"/>
    <w:rsid w:val="00EE60FA"/>
    <w:rsid w:val="00EE612E"/>
    <w:rsid w:val="00EE6525"/>
    <w:rsid w:val="00EE657A"/>
    <w:rsid w:val="00EE6BEC"/>
    <w:rsid w:val="00EE77FE"/>
    <w:rsid w:val="00EE79D8"/>
    <w:rsid w:val="00EF073D"/>
    <w:rsid w:val="00EF08B1"/>
    <w:rsid w:val="00EF090E"/>
    <w:rsid w:val="00EF09E1"/>
    <w:rsid w:val="00EF0BAD"/>
    <w:rsid w:val="00EF0D61"/>
    <w:rsid w:val="00EF0F9C"/>
    <w:rsid w:val="00EF13D1"/>
    <w:rsid w:val="00EF15DC"/>
    <w:rsid w:val="00EF1A0E"/>
    <w:rsid w:val="00EF1D33"/>
    <w:rsid w:val="00EF2259"/>
    <w:rsid w:val="00EF24A9"/>
    <w:rsid w:val="00EF25D1"/>
    <w:rsid w:val="00EF2D8B"/>
    <w:rsid w:val="00EF2F7D"/>
    <w:rsid w:val="00EF385B"/>
    <w:rsid w:val="00EF3BC8"/>
    <w:rsid w:val="00EF3BDA"/>
    <w:rsid w:val="00EF3D15"/>
    <w:rsid w:val="00EF4343"/>
    <w:rsid w:val="00EF4A50"/>
    <w:rsid w:val="00EF4AF9"/>
    <w:rsid w:val="00EF4B2B"/>
    <w:rsid w:val="00EF5E44"/>
    <w:rsid w:val="00EF6551"/>
    <w:rsid w:val="00EF7344"/>
    <w:rsid w:val="00EF73B7"/>
    <w:rsid w:val="00EF764C"/>
    <w:rsid w:val="00EF77EA"/>
    <w:rsid w:val="00EF7A9A"/>
    <w:rsid w:val="00EF7ACD"/>
    <w:rsid w:val="00EF7B78"/>
    <w:rsid w:val="00F00294"/>
    <w:rsid w:val="00F00A85"/>
    <w:rsid w:val="00F00F69"/>
    <w:rsid w:val="00F013F9"/>
    <w:rsid w:val="00F01484"/>
    <w:rsid w:val="00F01760"/>
    <w:rsid w:val="00F01D05"/>
    <w:rsid w:val="00F02048"/>
    <w:rsid w:val="00F020C6"/>
    <w:rsid w:val="00F0222A"/>
    <w:rsid w:val="00F0232D"/>
    <w:rsid w:val="00F02672"/>
    <w:rsid w:val="00F0327A"/>
    <w:rsid w:val="00F03406"/>
    <w:rsid w:val="00F03648"/>
    <w:rsid w:val="00F038A9"/>
    <w:rsid w:val="00F03C71"/>
    <w:rsid w:val="00F03F4D"/>
    <w:rsid w:val="00F040F4"/>
    <w:rsid w:val="00F0449A"/>
    <w:rsid w:val="00F04634"/>
    <w:rsid w:val="00F04B90"/>
    <w:rsid w:val="00F04E79"/>
    <w:rsid w:val="00F0570D"/>
    <w:rsid w:val="00F05729"/>
    <w:rsid w:val="00F05B87"/>
    <w:rsid w:val="00F0620E"/>
    <w:rsid w:val="00F06CE8"/>
    <w:rsid w:val="00F07080"/>
    <w:rsid w:val="00F07456"/>
    <w:rsid w:val="00F10734"/>
    <w:rsid w:val="00F107AF"/>
    <w:rsid w:val="00F10D65"/>
    <w:rsid w:val="00F1117D"/>
    <w:rsid w:val="00F11993"/>
    <w:rsid w:val="00F11C99"/>
    <w:rsid w:val="00F11FDF"/>
    <w:rsid w:val="00F12156"/>
    <w:rsid w:val="00F124B2"/>
    <w:rsid w:val="00F12697"/>
    <w:rsid w:val="00F12750"/>
    <w:rsid w:val="00F131F2"/>
    <w:rsid w:val="00F13696"/>
    <w:rsid w:val="00F13CF4"/>
    <w:rsid w:val="00F13D18"/>
    <w:rsid w:val="00F14027"/>
    <w:rsid w:val="00F144FD"/>
    <w:rsid w:val="00F14B2A"/>
    <w:rsid w:val="00F14E33"/>
    <w:rsid w:val="00F152DB"/>
    <w:rsid w:val="00F1542C"/>
    <w:rsid w:val="00F15463"/>
    <w:rsid w:val="00F155A3"/>
    <w:rsid w:val="00F15BB1"/>
    <w:rsid w:val="00F15E7F"/>
    <w:rsid w:val="00F165EB"/>
    <w:rsid w:val="00F16AB7"/>
    <w:rsid w:val="00F16C19"/>
    <w:rsid w:val="00F170EB"/>
    <w:rsid w:val="00F174A0"/>
    <w:rsid w:val="00F17C7B"/>
    <w:rsid w:val="00F17CD8"/>
    <w:rsid w:val="00F17E46"/>
    <w:rsid w:val="00F17EDD"/>
    <w:rsid w:val="00F17F0A"/>
    <w:rsid w:val="00F2127D"/>
    <w:rsid w:val="00F215A4"/>
    <w:rsid w:val="00F21986"/>
    <w:rsid w:val="00F21A10"/>
    <w:rsid w:val="00F2261C"/>
    <w:rsid w:val="00F228FD"/>
    <w:rsid w:val="00F22E24"/>
    <w:rsid w:val="00F22F2A"/>
    <w:rsid w:val="00F23CD0"/>
    <w:rsid w:val="00F23D38"/>
    <w:rsid w:val="00F250E7"/>
    <w:rsid w:val="00F256C6"/>
    <w:rsid w:val="00F2575B"/>
    <w:rsid w:val="00F259AD"/>
    <w:rsid w:val="00F25C29"/>
    <w:rsid w:val="00F25DD1"/>
    <w:rsid w:val="00F2613B"/>
    <w:rsid w:val="00F26313"/>
    <w:rsid w:val="00F268F0"/>
    <w:rsid w:val="00F300B8"/>
    <w:rsid w:val="00F307DB"/>
    <w:rsid w:val="00F30B70"/>
    <w:rsid w:val="00F3148D"/>
    <w:rsid w:val="00F314C9"/>
    <w:rsid w:val="00F32391"/>
    <w:rsid w:val="00F32619"/>
    <w:rsid w:val="00F32768"/>
    <w:rsid w:val="00F33584"/>
    <w:rsid w:val="00F33B97"/>
    <w:rsid w:val="00F33F1E"/>
    <w:rsid w:val="00F34B3D"/>
    <w:rsid w:val="00F34B98"/>
    <w:rsid w:val="00F3576A"/>
    <w:rsid w:val="00F35C0E"/>
    <w:rsid w:val="00F35C50"/>
    <w:rsid w:val="00F35F64"/>
    <w:rsid w:val="00F35FDF"/>
    <w:rsid w:val="00F3631B"/>
    <w:rsid w:val="00F366CC"/>
    <w:rsid w:val="00F36B0D"/>
    <w:rsid w:val="00F36C90"/>
    <w:rsid w:val="00F3779B"/>
    <w:rsid w:val="00F37831"/>
    <w:rsid w:val="00F40137"/>
    <w:rsid w:val="00F406C4"/>
    <w:rsid w:val="00F4088E"/>
    <w:rsid w:val="00F40D36"/>
    <w:rsid w:val="00F411D5"/>
    <w:rsid w:val="00F413DF"/>
    <w:rsid w:val="00F41777"/>
    <w:rsid w:val="00F417D5"/>
    <w:rsid w:val="00F41A75"/>
    <w:rsid w:val="00F41A99"/>
    <w:rsid w:val="00F41CD4"/>
    <w:rsid w:val="00F41DE4"/>
    <w:rsid w:val="00F42024"/>
    <w:rsid w:val="00F42927"/>
    <w:rsid w:val="00F4315C"/>
    <w:rsid w:val="00F447D1"/>
    <w:rsid w:val="00F448C2"/>
    <w:rsid w:val="00F4511B"/>
    <w:rsid w:val="00F45BEC"/>
    <w:rsid w:val="00F460F3"/>
    <w:rsid w:val="00F462DB"/>
    <w:rsid w:val="00F467FA"/>
    <w:rsid w:val="00F47321"/>
    <w:rsid w:val="00F477FF"/>
    <w:rsid w:val="00F479D3"/>
    <w:rsid w:val="00F51213"/>
    <w:rsid w:val="00F5138D"/>
    <w:rsid w:val="00F5141A"/>
    <w:rsid w:val="00F51452"/>
    <w:rsid w:val="00F51773"/>
    <w:rsid w:val="00F518D1"/>
    <w:rsid w:val="00F518FE"/>
    <w:rsid w:val="00F524CB"/>
    <w:rsid w:val="00F52CF5"/>
    <w:rsid w:val="00F5319F"/>
    <w:rsid w:val="00F533B3"/>
    <w:rsid w:val="00F54276"/>
    <w:rsid w:val="00F5475B"/>
    <w:rsid w:val="00F54C3D"/>
    <w:rsid w:val="00F553F5"/>
    <w:rsid w:val="00F5568E"/>
    <w:rsid w:val="00F55BA6"/>
    <w:rsid w:val="00F56739"/>
    <w:rsid w:val="00F56B2F"/>
    <w:rsid w:val="00F56BE4"/>
    <w:rsid w:val="00F57003"/>
    <w:rsid w:val="00F572E3"/>
    <w:rsid w:val="00F578E1"/>
    <w:rsid w:val="00F57914"/>
    <w:rsid w:val="00F57D99"/>
    <w:rsid w:val="00F60728"/>
    <w:rsid w:val="00F610BD"/>
    <w:rsid w:val="00F61716"/>
    <w:rsid w:val="00F61820"/>
    <w:rsid w:val="00F61D04"/>
    <w:rsid w:val="00F61D21"/>
    <w:rsid w:val="00F61DB6"/>
    <w:rsid w:val="00F621EC"/>
    <w:rsid w:val="00F622BB"/>
    <w:rsid w:val="00F626A0"/>
    <w:rsid w:val="00F62A5F"/>
    <w:rsid w:val="00F632E5"/>
    <w:rsid w:val="00F63463"/>
    <w:rsid w:val="00F6353D"/>
    <w:rsid w:val="00F63908"/>
    <w:rsid w:val="00F63D57"/>
    <w:rsid w:val="00F63FC7"/>
    <w:rsid w:val="00F64006"/>
    <w:rsid w:val="00F6440E"/>
    <w:rsid w:val="00F644EC"/>
    <w:rsid w:val="00F651F9"/>
    <w:rsid w:val="00F6524C"/>
    <w:rsid w:val="00F65938"/>
    <w:rsid w:val="00F65AFB"/>
    <w:rsid w:val="00F65B5D"/>
    <w:rsid w:val="00F65D8D"/>
    <w:rsid w:val="00F66AC7"/>
    <w:rsid w:val="00F679B6"/>
    <w:rsid w:val="00F67B80"/>
    <w:rsid w:val="00F67E30"/>
    <w:rsid w:val="00F701CF"/>
    <w:rsid w:val="00F705E7"/>
    <w:rsid w:val="00F70659"/>
    <w:rsid w:val="00F70D63"/>
    <w:rsid w:val="00F71311"/>
    <w:rsid w:val="00F71398"/>
    <w:rsid w:val="00F71E7F"/>
    <w:rsid w:val="00F71F88"/>
    <w:rsid w:val="00F72181"/>
    <w:rsid w:val="00F7219B"/>
    <w:rsid w:val="00F72475"/>
    <w:rsid w:val="00F72605"/>
    <w:rsid w:val="00F7373F"/>
    <w:rsid w:val="00F73B2A"/>
    <w:rsid w:val="00F743E4"/>
    <w:rsid w:val="00F74759"/>
    <w:rsid w:val="00F7475B"/>
    <w:rsid w:val="00F74B94"/>
    <w:rsid w:val="00F74E97"/>
    <w:rsid w:val="00F74EB9"/>
    <w:rsid w:val="00F754DD"/>
    <w:rsid w:val="00F75501"/>
    <w:rsid w:val="00F756D6"/>
    <w:rsid w:val="00F75ACC"/>
    <w:rsid w:val="00F75BCF"/>
    <w:rsid w:val="00F76281"/>
    <w:rsid w:val="00F7657D"/>
    <w:rsid w:val="00F76869"/>
    <w:rsid w:val="00F76C22"/>
    <w:rsid w:val="00F76E41"/>
    <w:rsid w:val="00F778D5"/>
    <w:rsid w:val="00F8071B"/>
    <w:rsid w:val="00F807FF"/>
    <w:rsid w:val="00F81509"/>
    <w:rsid w:val="00F818DA"/>
    <w:rsid w:val="00F81995"/>
    <w:rsid w:val="00F81FB0"/>
    <w:rsid w:val="00F820F5"/>
    <w:rsid w:val="00F8240F"/>
    <w:rsid w:val="00F827B3"/>
    <w:rsid w:val="00F82C4A"/>
    <w:rsid w:val="00F82F35"/>
    <w:rsid w:val="00F8337F"/>
    <w:rsid w:val="00F83892"/>
    <w:rsid w:val="00F84AFE"/>
    <w:rsid w:val="00F850A9"/>
    <w:rsid w:val="00F855F7"/>
    <w:rsid w:val="00F8564B"/>
    <w:rsid w:val="00F859C7"/>
    <w:rsid w:val="00F869C3"/>
    <w:rsid w:val="00F86DF9"/>
    <w:rsid w:val="00F87BF8"/>
    <w:rsid w:val="00F9039D"/>
    <w:rsid w:val="00F904C9"/>
    <w:rsid w:val="00F90892"/>
    <w:rsid w:val="00F9091F"/>
    <w:rsid w:val="00F90B98"/>
    <w:rsid w:val="00F90F3D"/>
    <w:rsid w:val="00F90FF9"/>
    <w:rsid w:val="00F920A3"/>
    <w:rsid w:val="00F922A9"/>
    <w:rsid w:val="00F92D01"/>
    <w:rsid w:val="00F92EC4"/>
    <w:rsid w:val="00F92F0F"/>
    <w:rsid w:val="00F93194"/>
    <w:rsid w:val="00F93F30"/>
    <w:rsid w:val="00F94719"/>
    <w:rsid w:val="00F94845"/>
    <w:rsid w:val="00F94EE6"/>
    <w:rsid w:val="00F94F37"/>
    <w:rsid w:val="00F95736"/>
    <w:rsid w:val="00F958DA"/>
    <w:rsid w:val="00F95C7B"/>
    <w:rsid w:val="00F95DFD"/>
    <w:rsid w:val="00F96651"/>
    <w:rsid w:val="00F96C67"/>
    <w:rsid w:val="00F97450"/>
    <w:rsid w:val="00F9757E"/>
    <w:rsid w:val="00F97785"/>
    <w:rsid w:val="00F977C2"/>
    <w:rsid w:val="00F97A46"/>
    <w:rsid w:val="00F97AB2"/>
    <w:rsid w:val="00F97AD1"/>
    <w:rsid w:val="00F97B9A"/>
    <w:rsid w:val="00F97C0F"/>
    <w:rsid w:val="00FA025F"/>
    <w:rsid w:val="00FA04CA"/>
    <w:rsid w:val="00FA0707"/>
    <w:rsid w:val="00FA114C"/>
    <w:rsid w:val="00FA142D"/>
    <w:rsid w:val="00FA174E"/>
    <w:rsid w:val="00FA1C18"/>
    <w:rsid w:val="00FA27E4"/>
    <w:rsid w:val="00FA2E41"/>
    <w:rsid w:val="00FA3269"/>
    <w:rsid w:val="00FA32C3"/>
    <w:rsid w:val="00FA36E7"/>
    <w:rsid w:val="00FA389F"/>
    <w:rsid w:val="00FA4D7E"/>
    <w:rsid w:val="00FA5113"/>
    <w:rsid w:val="00FA51CA"/>
    <w:rsid w:val="00FA555A"/>
    <w:rsid w:val="00FA5AEB"/>
    <w:rsid w:val="00FA634C"/>
    <w:rsid w:val="00FA6D09"/>
    <w:rsid w:val="00FA6E15"/>
    <w:rsid w:val="00FA6F04"/>
    <w:rsid w:val="00FA700D"/>
    <w:rsid w:val="00FA7865"/>
    <w:rsid w:val="00FA78C9"/>
    <w:rsid w:val="00FB066C"/>
    <w:rsid w:val="00FB0E48"/>
    <w:rsid w:val="00FB10C3"/>
    <w:rsid w:val="00FB15AD"/>
    <w:rsid w:val="00FB176E"/>
    <w:rsid w:val="00FB17C9"/>
    <w:rsid w:val="00FB1942"/>
    <w:rsid w:val="00FB1AB6"/>
    <w:rsid w:val="00FB1AF7"/>
    <w:rsid w:val="00FB2356"/>
    <w:rsid w:val="00FB2415"/>
    <w:rsid w:val="00FB3084"/>
    <w:rsid w:val="00FB35B5"/>
    <w:rsid w:val="00FB3E17"/>
    <w:rsid w:val="00FB3FDE"/>
    <w:rsid w:val="00FB46D9"/>
    <w:rsid w:val="00FB4794"/>
    <w:rsid w:val="00FB484F"/>
    <w:rsid w:val="00FB4888"/>
    <w:rsid w:val="00FB4F43"/>
    <w:rsid w:val="00FB60F8"/>
    <w:rsid w:val="00FB664D"/>
    <w:rsid w:val="00FB6817"/>
    <w:rsid w:val="00FB6B8F"/>
    <w:rsid w:val="00FB6C9C"/>
    <w:rsid w:val="00FB7454"/>
    <w:rsid w:val="00FB7ADD"/>
    <w:rsid w:val="00FB7CA1"/>
    <w:rsid w:val="00FB7D4A"/>
    <w:rsid w:val="00FC08C5"/>
    <w:rsid w:val="00FC0925"/>
    <w:rsid w:val="00FC0AD5"/>
    <w:rsid w:val="00FC0BEE"/>
    <w:rsid w:val="00FC1680"/>
    <w:rsid w:val="00FC16A6"/>
    <w:rsid w:val="00FC1904"/>
    <w:rsid w:val="00FC1B99"/>
    <w:rsid w:val="00FC1C79"/>
    <w:rsid w:val="00FC1FA9"/>
    <w:rsid w:val="00FC2727"/>
    <w:rsid w:val="00FC31E6"/>
    <w:rsid w:val="00FC4122"/>
    <w:rsid w:val="00FC4308"/>
    <w:rsid w:val="00FC430D"/>
    <w:rsid w:val="00FC56BB"/>
    <w:rsid w:val="00FC5F3C"/>
    <w:rsid w:val="00FC63B3"/>
    <w:rsid w:val="00FC6962"/>
    <w:rsid w:val="00FC6A8E"/>
    <w:rsid w:val="00FC6E3D"/>
    <w:rsid w:val="00FC719E"/>
    <w:rsid w:val="00FC762A"/>
    <w:rsid w:val="00FC7C4D"/>
    <w:rsid w:val="00FC7DBE"/>
    <w:rsid w:val="00FC7FE3"/>
    <w:rsid w:val="00FD077F"/>
    <w:rsid w:val="00FD0A9C"/>
    <w:rsid w:val="00FD0B59"/>
    <w:rsid w:val="00FD1480"/>
    <w:rsid w:val="00FD1766"/>
    <w:rsid w:val="00FD1B30"/>
    <w:rsid w:val="00FD1D8B"/>
    <w:rsid w:val="00FD1F96"/>
    <w:rsid w:val="00FD2026"/>
    <w:rsid w:val="00FD23ED"/>
    <w:rsid w:val="00FD264B"/>
    <w:rsid w:val="00FD320E"/>
    <w:rsid w:val="00FD36C9"/>
    <w:rsid w:val="00FD41A7"/>
    <w:rsid w:val="00FD498C"/>
    <w:rsid w:val="00FD4CDB"/>
    <w:rsid w:val="00FD50A5"/>
    <w:rsid w:val="00FD5408"/>
    <w:rsid w:val="00FD5435"/>
    <w:rsid w:val="00FD56D4"/>
    <w:rsid w:val="00FD57B7"/>
    <w:rsid w:val="00FD59F1"/>
    <w:rsid w:val="00FD5AE2"/>
    <w:rsid w:val="00FD6613"/>
    <w:rsid w:val="00FD67B3"/>
    <w:rsid w:val="00FD6EED"/>
    <w:rsid w:val="00FD718F"/>
    <w:rsid w:val="00FD7CAD"/>
    <w:rsid w:val="00FD7E49"/>
    <w:rsid w:val="00FE016E"/>
    <w:rsid w:val="00FE01C8"/>
    <w:rsid w:val="00FE0230"/>
    <w:rsid w:val="00FE0453"/>
    <w:rsid w:val="00FE0463"/>
    <w:rsid w:val="00FE0922"/>
    <w:rsid w:val="00FE0B59"/>
    <w:rsid w:val="00FE0C97"/>
    <w:rsid w:val="00FE1194"/>
    <w:rsid w:val="00FE1531"/>
    <w:rsid w:val="00FE1B43"/>
    <w:rsid w:val="00FE2105"/>
    <w:rsid w:val="00FE2390"/>
    <w:rsid w:val="00FE26D6"/>
    <w:rsid w:val="00FE2882"/>
    <w:rsid w:val="00FE35C3"/>
    <w:rsid w:val="00FE391E"/>
    <w:rsid w:val="00FE3C87"/>
    <w:rsid w:val="00FE42A2"/>
    <w:rsid w:val="00FE511F"/>
    <w:rsid w:val="00FE53B5"/>
    <w:rsid w:val="00FE5742"/>
    <w:rsid w:val="00FE5D91"/>
    <w:rsid w:val="00FE5FD6"/>
    <w:rsid w:val="00FE69E0"/>
    <w:rsid w:val="00FE6D33"/>
    <w:rsid w:val="00FE71B7"/>
    <w:rsid w:val="00FE7FC3"/>
    <w:rsid w:val="00FF00ED"/>
    <w:rsid w:val="00FF0CB3"/>
    <w:rsid w:val="00FF0DED"/>
    <w:rsid w:val="00FF1140"/>
    <w:rsid w:val="00FF1682"/>
    <w:rsid w:val="00FF1829"/>
    <w:rsid w:val="00FF3F2B"/>
    <w:rsid w:val="00FF413C"/>
    <w:rsid w:val="00FF4AFD"/>
    <w:rsid w:val="00FF4EA0"/>
    <w:rsid w:val="00FF57C8"/>
    <w:rsid w:val="00FF5B3E"/>
    <w:rsid w:val="00FF5DF3"/>
    <w:rsid w:val="00FF5E8F"/>
    <w:rsid w:val="00FF5F56"/>
    <w:rsid w:val="00FF6807"/>
    <w:rsid w:val="00FF6EEA"/>
    <w:rsid w:val="00FF717F"/>
    <w:rsid w:val="00FF7304"/>
    <w:rsid w:val="00FF76DD"/>
    <w:rsid w:val="00FF772D"/>
    <w:rsid w:val="00FF7F9A"/>
    <w:rsid w:val="012A24A4"/>
    <w:rsid w:val="016E7A31"/>
    <w:rsid w:val="0177DAE1"/>
    <w:rsid w:val="0189EB21"/>
    <w:rsid w:val="019019AE"/>
    <w:rsid w:val="019F2850"/>
    <w:rsid w:val="01B9A7EB"/>
    <w:rsid w:val="01BEC3A7"/>
    <w:rsid w:val="01C68B28"/>
    <w:rsid w:val="01CADCF8"/>
    <w:rsid w:val="01EE5A91"/>
    <w:rsid w:val="01F77F00"/>
    <w:rsid w:val="02025644"/>
    <w:rsid w:val="02087FA0"/>
    <w:rsid w:val="020A194B"/>
    <w:rsid w:val="022C4803"/>
    <w:rsid w:val="023DAA12"/>
    <w:rsid w:val="02553501"/>
    <w:rsid w:val="0256F75E"/>
    <w:rsid w:val="026A5BC1"/>
    <w:rsid w:val="027CA96A"/>
    <w:rsid w:val="02A058C1"/>
    <w:rsid w:val="02E4E1E2"/>
    <w:rsid w:val="02E5C297"/>
    <w:rsid w:val="02F0B392"/>
    <w:rsid w:val="031589D5"/>
    <w:rsid w:val="0336E698"/>
    <w:rsid w:val="0337C3C8"/>
    <w:rsid w:val="033874EC"/>
    <w:rsid w:val="033A0B97"/>
    <w:rsid w:val="0365F170"/>
    <w:rsid w:val="0372A564"/>
    <w:rsid w:val="038A223B"/>
    <w:rsid w:val="0390D39A"/>
    <w:rsid w:val="03911267"/>
    <w:rsid w:val="03A7DA40"/>
    <w:rsid w:val="03C7916E"/>
    <w:rsid w:val="03E380C0"/>
    <w:rsid w:val="03EF45D0"/>
    <w:rsid w:val="0403BFB8"/>
    <w:rsid w:val="0417DA3C"/>
    <w:rsid w:val="04220601"/>
    <w:rsid w:val="04295A63"/>
    <w:rsid w:val="043CC713"/>
    <w:rsid w:val="04429294"/>
    <w:rsid w:val="045945AA"/>
    <w:rsid w:val="045F6A11"/>
    <w:rsid w:val="047C0FC6"/>
    <w:rsid w:val="04CDC872"/>
    <w:rsid w:val="04E96DAA"/>
    <w:rsid w:val="04FC0761"/>
    <w:rsid w:val="04FC0A08"/>
    <w:rsid w:val="04FE2BEA"/>
    <w:rsid w:val="04FEEF9F"/>
    <w:rsid w:val="052A9293"/>
    <w:rsid w:val="054D4874"/>
    <w:rsid w:val="054E2F8B"/>
    <w:rsid w:val="05595E8A"/>
    <w:rsid w:val="055C1346"/>
    <w:rsid w:val="055CB9DC"/>
    <w:rsid w:val="05617EA4"/>
    <w:rsid w:val="058B1CC9"/>
    <w:rsid w:val="058D09F8"/>
    <w:rsid w:val="0591DA76"/>
    <w:rsid w:val="05A4A660"/>
    <w:rsid w:val="05B98A63"/>
    <w:rsid w:val="05C57C07"/>
    <w:rsid w:val="05D8EC6C"/>
    <w:rsid w:val="05E25C14"/>
    <w:rsid w:val="05E26147"/>
    <w:rsid w:val="061FE04A"/>
    <w:rsid w:val="0628DB01"/>
    <w:rsid w:val="06332020"/>
    <w:rsid w:val="063D4E20"/>
    <w:rsid w:val="0641E657"/>
    <w:rsid w:val="06796FD0"/>
    <w:rsid w:val="06853DEF"/>
    <w:rsid w:val="0685B969"/>
    <w:rsid w:val="068D9A09"/>
    <w:rsid w:val="068E9F29"/>
    <w:rsid w:val="06B8C164"/>
    <w:rsid w:val="06E0DB33"/>
    <w:rsid w:val="070F31B4"/>
    <w:rsid w:val="07220801"/>
    <w:rsid w:val="0747D67F"/>
    <w:rsid w:val="0748D08D"/>
    <w:rsid w:val="075E711A"/>
    <w:rsid w:val="07640AFF"/>
    <w:rsid w:val="0785DEE9"/>
    <w:rsid w:val="07BFBC12"/>
    <w:rsid w:val="07C0DC25"/>
    <w:rsid w:val="07C8CDB2"/>
    <w:rsid w:val="07E95DAC"/>
    <w:rsid w:val="07FB4DBA"/>
    <w:rsid w:val="08235109"/>
    <w:rsid w:val="082CF9E1"/>
    <w:rsid w:val="082D3D14"/>
    <w:rsid w:val="083067C4"/>
    <w:rsid w:val="0830E447"/>
    <w:rsid w:val="083B36F9"/>
    <w:rsid w:val="084EBB2A"/>
    <w:rsid w:val="0854E3CE"/>
    <w:rsid w:val="085A112D"/>
    <w:rsid w:val="08962648"/>
    <w:rsid w:val="08993C01"/>
    <w:rsid w:val="089A62E9"/>
    <w:rsid w:val="08AD30F6"/>
    <w:rsid w:val="08B306D9"/>
    <w:rsid w:val="08C241D2"/>
    <w:rsid w:val="08D99908"/>
    <w:rsid w:val="090D6E66"/>
    <w:rsid w:val="090ED19F"/>
    <w:rsid w:val="09122F0B"/>
    <w:rsid w:val="091DA54D"/>
    <w:rsid w:val="091EBCA9"/>
    <w:rsid w:val="0941DD45"/>
    <w:rsid w:val="096EB32D"/>
    <w:rsid w:val="096F0E56"/>
    <w:rsid w:val="0983F7D5"/>
    <w:rsid w:val="099104C9"/>
    <w:rsid w:val="099CA57B"/>
    <w:rsid w:val="09A37D54"/>
    <w:rsid w:val="09A71772"/>
    <w:rsid w:val="09BF11E8"/>
    <w:rsid w:val="09DF7AEB"/>
    <w:rsid w:val="09EE3272"/>
    <w:rsid w:val="09F058FE"/>
    <w:rsid w:val="09F072D7"/>
    <w:rsid w:val="0A08D6DB"/>
    <w:rsid w:val="0A191E0F"/>
    <w:rsid w:val="0A26AEF0"/>
    <w:rsid w:val="0A2F5365"/>
    <w:rsid w:val="0A34EFC7"/>
    <w:rsid w:val="0A61FF98"/>
    <w:rsid w:val="0A784483"/>
    <w:rsid w:val="0A78B9FF"/>
    <w:rsid w:val="0A8851A5"/>
    <w:rsid w:val="0AD0B52C"/>
    <w:rsid w:val="0AE2BB3D"/>
    <w:rsid w:val="0AFBC3BE"/>
    <w:rsid w:val="0B0358BC"/>
    <w:rsid w:val="0B246751"/>
    <w:rsid w:val="0B294E49"/>
    <w:rsid w:val="0B2C0A58"/>
    <w:rsid w:val="0B2EDEA0"/>
    <w:rsid w:val="0B9715A6"/>
    <w:rsid w:val="0B9CA273"/>
    <w:rsid w:val="0BBFF4E2"/>
    <w:rsid w:val="0BC60F2E"/>
    <w:rsid w:val="0BCD691E"/>
    <w:rsid w:val="0BD64857"/>
    <w:rsid w:val="0BE0293C"/>
    <w:rsid w:val="0BEAC065"/>
    <w:rsid w:val="0BEED6C3"/>
    <w:rsid w:val="0BF41B3A"/>
    <w:rsid w:val="0C078D38"/>
    <w:rsid w:val="0C15B623"/>
    <w:rsid w:val="0C1849AE"/>
    <w:rsid w:val="0C193A48"/>
    <w:rsid w:val="0C204D32"/>
    <w:rsid w:val="0C2229AA"/>
    <w:rsid w:val="0C2899B7"/>
    <w:rsid w:val="0C2BD09E"/>
    <w:rsid w:val="0C34DB51"/>
    <w:rsid w:val="0C3BE6B4"/>
    <w:rsid w:val="0C46B5FE"/>
    <w:rsid w:val="0C5CBAAD"/>
    <w:rsid w:val="0C6C88E0"/>
    <w:rsid w:val="0C7C676B"/>
    <w:rsid w:val="0C7D0472"/>
    <w:rsid w:val="0C7D9F9C"/>
    <w:rsid w:val="0C9DA252"/>
    <w:rsid w:val="0CB57D78"/>
    <w:rsid w:val="0CCFE83A"/>
    <w:rsid w:val="0CD11451"/>
    <w:rsid w:val="0CEB8961"/>
    <w:rsid w:val="0CF11755"/>
    <w:rsid w:val="0D2C4563"/>
    <w:rsid w:val="0D51F25D"/>
    <w:rsid w:val="0D5350D5"/>
    <w:rsid w:val="0D582263"/>
    <w:rsid w:val="0D5D2873"/>
    <w:rsid w:val="0D75F818"/>
    <w:rsid w:val="0D7C1B18"/>
    <w:rsid w:val="0D7D117D"/>
    <w:rsid w:val="0D7EB043"/>
    <w:rsid w:val="0D8A46E5"/>
    <w:rsid w:val="0D9AC2C3"/>
    <w:rsid w:val="0DA17A7E"/>
    <w:rsid w:val="0DD9140D"/>
    <w:rsid w:val="0E22BC83"/>
    <w:rsid w:val="0E3BB6E8"/>
    <w:rsid w:val="0E54A59B"/>
    <w:rsid w:val="0E67156E"/>
    <w:rsid w:val="0E7D4CFF"/>
    <w:rsid w:val="0EAE1CDF"/>
    <w:rsid w:val="0EAF7FF6"/>
    <w:rsid w:val="0EB5722E"/>
    <w:rsid w:val="0EC13433"/>
    <w:rsid w:val="0EE76F9E"/>
    <w:rsid w:val="0F094807"/>
    <w:rsid w:val="0F193F4C"/>
    <w:rsid w:val="0F1A20F8"/>
    <w:rsid w:val="0F22A987"/>
    <w:rsid w:val="0F246BF1"/>
    <w:rsid w:val="0F2F9F52"/>
    <w:rsid w:val="0F634817"/>
    <w:rsid w:val="0F6405BB"/>
    <w:rsid w:val="0F67E67F"/>
    <w:rsid w:val="0F6D64E6"/>
    <w:rsid w:val="0F6D7444"/>
    <w:rsid w:val="0F7CCAAF"/>
    <w:rsid w:val="0F93802D"/>
    <w:rsid w:val="0FB6A4B4"/>
    <w:rsid w:val="0FD0198F"/>
    <w:rsid w:val="0FD55329"/>
    <w:rsid w:val="0FD89CD7"/>
    <w:rsid w:val="10068CAB"/>
    <w:rsid w:val="101855B4"/>
    <w:rsid w:val="101B3BC4"/>
    <w:rsid w:val="1025D9E5"/>
    <w:rsid w:val="1063A6BC"/>
    <w:rsid w:val="10BF4AAF"/>
    <w:rsid w:val="10D3CCDA"/>
    <w:rsid w:val="10D60978"/>
    <w:rsid w:val="10DB0F76"/>
    <w:rsid w:val="10EC5940"/>
    <w:rsid w:val="10FF4CBB"/>
    <w:rsid w:val="11182CD8"/>
    <w:rsid w:val="115D08C5"/>
    <w:rsid w:val="11687927"/>
    <w:rsid w:val="1197B24C"/>
    <w:rsid w:val="11ACBE8D"/>
    <w:rsid w:val="11B21731"/>
    <w:rsid w:val="11C608C6"/>
    <w:rsid w:val="11CAA3D8"/>
    <w:rsid w:val="11D30484"/>
    <w:rsid w:val="11EFCE7D"/>
    <w:rsid w:val="11FB9D1A"/>
    <w:rsid w:val="12250C77"/>
    <w:rsid w:val="1229B907"/>
    <w:rsid w:val="122B25D5"/>
    <w:rsid w:val="1231D51A"/>
    <w:rsid w:val="123AEADF"/>
    <w:rsid w:val="12816ABB"/>
    <w:rsid w:val="1282DE27"/>
    <w:rsid w:val="128DD86D"/>
    <w:rsid w:val="129910B2"/>
    <w:rsid w:val="129E051B"/>
    <w:rsid w:val="12A3AE69"/>
    <w:rsid w:val="12AAA75F"/>
    <w:rsid w:val="12AC5725"/>
    <w:rsid w:val="12CF6898"/>
    <w:rsid w:val="12D9B1AB"/>
    <w:rsid w:val="130019AF"/>
    <w:rsid w:val="1305C4E8"/>
    <w:rsid w:val="131182EC"/>
    <w:rsid w:val="1318B13C"/>
    <w:rsid w:val="1335EA10"/>
    <w:rsid w:val="1340296B"/>
    <w:rsid w:val="134DE792"/>
    <w:rsid w:val="1358BC2D"/>
    <w:rsid w:val="136ED4E5"/>
    <w:rsid w:val="137FE36F"/>
    <w:rsid w:val="13846BCD"/>
    <w:rsid w:val="138B1E3F"/>
    <w:rsid w:val="1392DBC7"/>
    <w:rsid w:val="13C2A9B0"/>
    <w:rsid w:val="13E11C15"/>
    <w:rsid w:val="13F4C70B"/>
    <w:rsid w:val="141CF015"/>
    <w:rsid w:val="1422AFFC"/>
    <w:rsid w:val="14344A34"/>
    <w:rsid w:val="14397C2B"/>
    <w:rsid w:val="14469F03"/>
    <w:rsid w:val="14627720"/>
    <w:rsid w:val="14805F6F"/>
    <w:rsid w:val="14D0673F"/>
    <w:rsid w:val="14DDA45B"/>
    <w:rsid w:val="14E10A24"/>
    <w:rsid w:val="14E210A8"/>
    <w:rsid w:val="14E9B7F3"/>
    <w:rsid w:val="14F29D0B"/>
    <w:rsid w:val="14F7F5B8"/>
    <w:rsid w:val="15039F34"/>
    <w:rsid w:val="152EA8E1"/>
    <w:rsid w:val="154284FE"/>
    <w:rsid w:val="154D0694"/>
    <w:rsid w:val="1553F83E"/>
    <w:rsid w:val="15547A78"/>
    <w:rsid w:val="1562C509"/>
    <w:rsid w:val="1574004A"/>
    <w:rsid w:val="15821389"/>
    <w:rsid w:val="159F08A2"/>
    <w:rsid w:val="15D2B62C"/>
    <w:rsid w:val="15E338A2"/>
    <w:rsid w:val="15E5D719"/>
    <w:rsid w:val="15ED9FDB"/>
    <w:rsid w:val="160FD0B0"/>
    <w:rsid w:val="16123E98"/>
    <w:rsid w:val="16161984"/>
    <w:rsid w:val="16182511"/>
    <w:rsid w:val="16313C87"/>
    <w:rsid w:val="163CC6EA"/>
    <w:rsid w:val="16442682"/>
    <w:rsid w:val="164C3281"/>
    <w:rsid w:val="167BE882"/>
    <w:rsid w:val="167EE4CF"/>
    <w:rsid w:val="16B8DBD4"/>
    <w:rsid w:val="16BF4345"/>
    <w:rsid w:val="16BF7A15"/>
    <w:rsid w:val="16DE0406"/>
    <w:rsid w:val="1701FB25"/>
    <w:rsid w:val="17080771"/>
    <w:rsid w:val="172DB4A0"/>
    <w:rsid w:val="17306CDB"/>
    <w:rsid w:val="1730BDED"/>
    <w:rsid w:val="1734B60F"/>
    <w:rsid w:val="173C94AE"/>
    <w:rsid w:val="1751B76F"/>
    <w:rsid w:val="17620490"/>
    <w:rsid w:val="17725807"/>
    <w:rsid w:val="17766CF9"/>
    <w:rsid w:val="179675CF"/>
    <w:rsid w:val="179A9F38"/>
    <w:rsid w:val="17A9F4A5"/>
    <w:rsid w:val="17AA813D"/>
    <w:rsid w:val="17B002A1"/>
    <w:rsid w:val="17B247ED"/>
    <w:rsid w:val="17C5D9A3"/>
    <w:rsid w:val="17D03962"/>
    <w:rsid w:val="18071AA5"/>
    <w:rsid w:val="18088F4A"/>
    <w:rsid w:val="18110BEF"/>
    <w:rsid w:val="1829C81D"/>
    <w:rsid w:val="182B67D7"/>
    <w:rsid w:val="1835FFF4"/>
    <w:rsid w:val="183624A4"/>
    <w:rsid w:val="18390AA4"/>
    <w:rsid w:val="184CFD00"/>
    <w:rsid w:val="186F7707"/>
    <w:rsid w:val="1875EDBF"/>
    <w:rsid w:val="18856AB4"/>
    <w:rsid w:val="1892ACD3"/>
    <w:rsid w:val="18AD0C93"/>
    <w:rsid w:val="18C09D1F"/>
    <w:rsid w:val="18C68343"/>
    <w:rsid w:val="18CD3404"/>
    <w:rsid w:val="18CE16FE"/>
    <w:rsid w:val="18D9C8B0"/>
    <w:rsid w:val="18EDD769"/>
    <w:rsid w:val="18FF176C"/>
    <w:rsid w:val="1921A6B4"/>
    <w:rsid w:val="19265A5F"/>
    <w:rsid w:val="197D913D"/>
    <w:rsid w:val="19A30623"/>
    <w:rsid w:val="19BB20F3"/>
    <w:rsid w:val="19CD7718"/>
    <w:rsid w:val="19E8EF89"/>
    <w:rsid w:val="19EAD057"/>
    <w:rsid w:val="1A172CEA"/>
    <w:rsid w:val="1A172E52"/>
    <w:rsid w:val="1A22922C"/>
    <w:rsid w:val="1A239994"/>
    <w:rsid w:val="1A28F7C2"/>
    <w:rsid w:val="1A38134B"/>
    <w:rsid w:val="1A437AE3"/>
    <w:rsid w:val="1A4DA4EA"/>
    <w:rsid w:val="1A532F5A"/>
    <w:rsid w:val="1A58E056"/>
    <w:rsid w:val="1A5B1301"/>
    <w:rsid w:val="1A6AD0A9"/>
    <w:rsid w:val="1A7333CF"/>
    <w:rsid w:val="1A97C3AC"/>
    <w:rsid w:val="1AAE7830"/>
    <w:rsid w:val="1AB2F7E2"/>
    <w:rsid w:val="1ABB5174"/>
    <w:rsid w:val="1AD66A97"/>
    <w:rsid w:val="1AE1065D"/>
    <w:rsid w:val="1AEF4292"/>
    <w:rsid w:val="1B0C576F"/>
    <w:rsid w:val="1B14AD4B"/>
    <w:rsid w:val="1B14D488"/>
    <w:rsid w:val="1B1B7EF7"/>
    <w:rsid w:val="1B4A29A5"/>
    <w:rsid w:val="1B60BE6D"/>
    <w:rsid w:val="1B699DC0"/>
    <w:rsid w:val="1B79031B"/>
    <w:rsid w:val="1B7A307C"/>
    <w:rsid w:val="1B972E00"/>
    <w:rsid w:val="1B97D318"/>
    <w:rsid w:val="1BA04375"/>
    <w:rsid w:val="1BA6915A"/>
    <w:rsid w:val="1BB8DE30"/>
    <w:rsid w:val="1BDE9FC2"/>
    <w:rsid w:val="1BE18104"/>
    <w:rsid w:val="1BE2DEA6"/>
    <w:rsid w:val="1BEF03F0"/>
    <w:rsid w:val="1BF2B39A"/>
    <w:rsid w:val="1BF8DF81"/>
    <w:rsid w:val="1BFD49C0"/>
    <w:rsid w:val="1C17184F"/>
    <w:rsid w:val="1C51BAFC"/>
    <w:rsid w:val="1C7431ED"/>
    <w:rsid w:val="1C85931E"/>
    <w:rsid w:val="1C8BDB33"/>
    <w:rsid w:val="1C952C17"/>
    <w:rsid w:val="1C9E0809"/>
    <w:rsid w:val="1CAABCE6"/>
    <w:rsid w:val="1CD679D2"/>
    <w:rsid w:val="1CE422C6"/>
    <w:rsid w:val="1D039019"/>
    <w:rsid w:val="1D17A7B9"/>
    <w:rsid w:val="1D251149"/>
    <w:rsid w:val="1D2D2CF9"/>
    <w:rsid w:val="1D4E1F2D"/>
    <w:rsid w:val="1D5A238D"/>
    <w:rsid w:val="1D5E912B"/>
    <w:rsid w:val="1D760EEF"/>
    <w:rsid w:val="1D78F18B"/>
    <w:rsid w:val="1D91CA50"/>
    <w:rsid w:val="1D954BD7"/>
    <w:rsid w:val="1DA2B6AC"/>
    <w:rsid w:val="1DB468AF"/>
    <w:rsid w:val="1DC7B192"/>
    <w:rsid w:val="1DD1FE95"/>
    <w:rsid w:val="1DD76A95"/>
    <w:rsid w:val="1DDB30B2"/>
    <w:rsid w:val="1DEEC48F"/>
    <w:rsid w:val="1E25BBC6"/>
    <w:rsid w:val="1E28668B"/>
    <w:rsid w:val="1E2BABD5"/>
    <w:rsid w:val="1E36C0A8"/>
    <w:rsid w:val="1E47874C"/>
    <w:rsid w:val="1E5F6B79"/>
    <w:rsid w:val="1E85D470"/>
    <w:rsid w:val="1E8B13B1"/>
    <w:rsid w:val="1E9D6A45"/>
    <w:rsid w:val="1EDD3A5A"/>
    <w:rsid w:val="1EF4B02D"/>
    <w:rsid w:val="1EF70AB7"/>
    <w:rsid w:val="1F0FD6DB"/>
    <w:rsid w:val="1F1B47B0"/>
    <w:rsid w:val="1F39BCB8"/>
    <w:rsid w:val="1F4A0FB7"/>
    <w:rsid w:val="1F538CE5"/>
    <w:rsid w:val="1F64B58F"/>
    <w:rsid w:val="1F6DAFB2"/>
    <w:rsid w:val="1F7438F1"/>
    <w:rsid w:val="1F76AA7D"/>
    <w:rsid w:val="1F7F31CC"/>
    <w:rsid w:val="1F90A553"/>
    <w:rsid w:val="1FAC2153"/>
    <w:rsid w:val="1FB07046"/>
    <w:rsid w:val="1FBE967E"/>
    <w:rsid w:val="1FD6EB8B"/>
    <w:rsid w:val="1FDE5159"/>
    <w:rsid w:val="2006EC0F"/>
    <w:rsid w:val="20342F90"/>
    <w:rsid w:val="203DE22F"/>
    <w:rsid w:val="203EE82F"/>
    <w:rsid w:val="2040F9BA"/>
    <w:rsid w:val="20530A3A"/>
    <w:rsid w:val="205C652F"/>
    <w:rsid w:val="20655919"/>
    <w:rsid w:val="207545EB"/>
    <w:rsid w:val="2092DB18"/>
    <w:rsid w:val="209E8789"/>
    <w:rsid w:val="20A32299"/>
    <w:rsid w:val="20AEB297"/>
    <w:rsid w:val="20B0F5F2"/>
    <w:rsid w:val="20B656FA"/>
    <w:rsid w:val="20D2B863"/>
    <w:rsid w:val="20D4FE1A"/>
    <w:rsid w:val="20DE964B"/>
    <w:rsid w:val="20EE9324"/>
    <w:rsid w:val="20FD55F7"/>
    <w:rsid w:val="2109F455"/>
    <w:rsid w:val="21134619"/>
    <w:rsid w:val="21146321"/>
    <w:rsid w:val="21316361"/>
    <w:rsid w:val="21495B6C"/>
    <w:rsid w:val="21686C59"/>
    <w:rsid w:val="217C8767"/>
    <w:rsid w:val="217E3731"/>
    <w:rsid w:val="21AC66A4"/>
    <w:rsid w:val="21E821A9"/>
    <w:rsid w:val="21E9260C"/>
    <w:rsid w:val="21FEBBF5"/>
    <w:rsid w:val="220A6B86"/>
    <w:rsid w:val="220A71CE"/>
    <w:rsid w:val="223F2405"/>
    <w:rsid w:val="22618276"/>
    <w:rsid w:val="226EDCF2"/>
    <w:rsid w:val="22A89CAB"/>
    <w:rsid w:val="22BDBAFC"/>
    <w:rsid w:val="22BFEBB5"/>
    <w:rsid w:val="22D38C90"/>
    <w:rsid w:val="2313722D"/>
    <w:rsid w:val="234AC311"/>
    <w:rsid w:val="2361284B"/>
    <w:rsid w:val="23715ED0"/>
    <w:rsid w:val="2393FA53"/>
    <w:rsid w:val="23B04933"/>
    <w:rsid w:val="23BB4F15"/>
    <w:rsid w:val="23CDF614"/>
    <w:rsid w:val="23F8C168"/>
    <w:rsid w:val="23FF974B"/>
    <w:rsid w:val="2411DAE5"/>
    <w:rsid w:val="24189501"/>
    <w:rsid w:val="241C6B92"/>
    <w:rsid w:val="2443B4ED"/>
    <w:rsid w:val="2446C27B"/>
    <w:rsid w:val="244F48CD"/>
    <w:rsid w:val="24694235"/>
    <w:rsid w:val="2473DFF9"/>
    <w:rsid w:val="24764756"/>
    <w:rsid w:val="248B0BE9"/>
    <w:rsid w:val="24958D28"/>
    <w:rsid w:val="24D45BB0"/>
    <w:rsid w:val="24DDB3AF"/>
    <w:rsid w:val="2527FE33"/>
    <w:rsid w:val="25300237"/>
    <w:rsid w:val="253A088D"/>
    <w:rsid w:val="2551A756"/>
    <w:rsid w:val="25545E0D"/>
    <w:rsid w:val="2555DCBA"/>
    <w:rsid w:val="2556A233"/>
    <w:rsid w:val="255DCED3"/>
    <w:rsid w:val="2562D380"/>
    <w:rsid w:val="256C2E5B"/>
    <w:rsid w:val="256C669A"/>
    <w:rsid w:val="256DA866"/>
    <w:rsid w:val="2579FE8E"/>
    <w:rsid w:val="258C37A2"/>
    <w:rsid w:val="25A79BEC"/>
    <w:rsid w:val="25C3DD5B"/>
    <w:rsid w:val="25C91427"/>
    <w:rsid w:val="25CE1696"/>
    <w:rsid w:val="25D4FE68"/>
    <w:rsid w:val="26068C3E"/>
    <w:rsid w:val="2635D8D0"/>
    <w:rsid w:val="263723BF"/>
    <w:rsid w:val="2640796A"/>
    <w:rsid w:val="26423D82"/>
    <w:rsid w:val="265DFFB6"/>
    <w:rsid w:val="2661467B"/>
    <w:rsid w:val="2661CF21"/>
    <w:rsid w:val="26659D16"/>
    <w:rsid w:val="267A7EA0"/>
    <w:rsid w:val="267DE3D8"/>
    <w:rsid w:val="26A80248"/>
    <w:rsid w:val="26B50D9B"/>
    <w:rsid w:val="26B87288"/>
    <w:rsid w:val="26E2CFD8"/>
    <w:rsid w:val="2709F247"/>
    <w:rsid w:val="27363346"/>
    <w:rsid w:val="274BF09C"/>
    <w:rsid w:val="2769056E"/>
    <w:rsid w:val="2782BB9D"/>
    <w:rsid w:val="278431A0"/>
    <w:rsid w:val="2789E15F"/>
    <w:rsid w:val="2791D8F9"/>
    <w:rsid w:val="279FCAEB"/>
    <w:rsid w:val="27B7EE99"/>
    <w:rsid w:val="27C19098"/>
    <w:rsid w:val="27F64BC2"/>
    <w:rsid w:val="27F83DE4"/>
    <w:rsid w:val="27F8C4DC"/>
    <w:rsid w:val="2820A7D4"/>
    <w:rsid w:val="282993E0"/>
    <w:rsid w:val="2834A819"/>
    <w:rsid w:val="28430F59"/>
    <w:rsid w:val="284D3B1D"/>
    <w:rsid w:val="284F0896"/>
    <w:rsid w:val="2850AA9C"/>
    <w:rsid w:val="285254D4"/>
    <w:rsid w:val="286650C0"/>
    <w:rsid w:val="28854C6B"/>
    <w:rsid w:val="28882107"/>
    <w:rsid w:val="2895AA60"/>
    <w:rsid w:val="28D8891B"/>
    <w:rsid w:val="28F48636"/>
    <w:rsid w:val="2904E39D"/>
    <w:rsid w:val="2913AA84"/>
    <w:rsid w:val="29276E86"/>
    <w:rsid w:val="2947349A"/>
    <w:rsid w:val="29551F70"/>
    <w:rsid w:val="2956BE88"/>
    <w:rsid w:val="295A2157"/>
    <w:rsid w:val="2966FDD3"/>
    <w:rsid w:val="297BDEFF"/>
    <w:rsid w:val="2997A7A5"/>
    <w:rsid w:val="29A3A3A1"/>
    <w:rsid w:val="29A5DBC6"/>
    <w:rsid w:val="29BBE73B"/>
    <w:rsid w:val="29E5DFA8"/>
    <w:rsid w:val="29FAE8BD"/>
    <w:rsid w:val="2A0F3B83"/>
    <w:rsid w:val="2A13C088"/>
    <w:rsid w:val="2A58ACC7"/>
    <w:rsid w:val="2A5CC3C2"/>
    <w:rsid w:val="2A66EE96"/>
    <w:rsid w:val="2A7BF0F7"/>
    <w:rsid w:val="2A7CB35D"/>
    <w:rsid w:val="2A80B391"/>
    <w:rsid w:val="2AAA8136"/>
    <w:rsid w:val="2ABAFB95"/>
    <w:rsid w:val="2AF03571"/>
    <w:rsid w:val="2AF7B345"/>
    <w:rsid w:val="2AFF16F9"/>
    <w:rsid w:val="2B02A006"/>
    <w:rsid w:val="2B1BB40D"/>
    <w:rsid w:val="2B2A4F07"/>
    <w:rsid w:val="2B54D3FC"/>
    <w:rsid w:val="2B780F19"/>
    <w:rsid w:val="2B96B91E"/>
    <w:rsid w:val="2B9F22CC"/>
    <w:rsid w:val="2BA7A63C"/>
    <w:rsid w:val="2BACF15D"/>
    <w:rsid w:val="2BAEBFA1"/>
    <w:rsid w:val="2BC07C16"/>
    <w:rsid w:val="2BC2F0EA"/>
    <w:rsid w:val="2BCD255E"/>
    <w:rsid w:val="2BE722EE"/>
    <w:rsid w:val="2C0F3E24"/>
    <w:rsid w:val="2C17BB32"/>
    <w:rsid w:val="2C1B4072"/>
    <w:rsid w:val="2C33E4D0"/>
    <w:rsid w:val="2C36321F"/>
    <w:rsid w:val="2C372213"/>
    <w:rsid w:val="2C3B4143"/>
    <w:rsid w:val="2C4FF6D1"/>
    <w:rsid w:val="2C52B493"/>
    <w:rsid w:val="2C5415B6"/>
    <w:rsid w:val="2C849BC6"/>
    <w:rsid w:val="2C9B846A"/>
    <w:rsid w:val="2CAC70D3"/>
    <w:rsid w:val="2CB59BC5"/>
    <w:rsid w:val="2CB88943"/>
    <w:rsid w:val="2CBA5C28"/>
    <w:rsid w:val="2CC0F1CC"/>
    <w:rsid w:val="2CE5D3ED"/>
    <w:rsid w:val="2D0B7CCB"/>
    <w:rsid w:val="2D2824FF"/>
    <w:rsid w:val="2D2A4A73"/>
    <w:rsid w:val="2D2A7251"/>
    <w:rsid w:val="2D4E65A0"/>
    <w:rsid w:val="2D68E25B"/>
    <w:rsid w:val="2D8021E1"/>
    <w:rsid w:val="2D8518BD"/>
    <w:rsid w:val="2D855CE5"/>
    <w:rsid w:val="2DA57890"/>
    <w:rsid w:val="2DAB0E85"/>
    <w:rsid w:val="2DCE8096"/>
    <w:rsid w:val="2DF17A67"/>
    <w:rsid w:val="2DF1E4FF"/>
    <w:rsid w:val="2E5A544E"/>
    <w:rsid w:val="2E5AE836"/>
    <w:rsid w:val="2E6AB9E8"/>
    <w:rsid w:val="2E770C3D"/>
    <w:rsid w:val="2E86FDBB"/>
    <w:rsid w:val="2E91BA6C"/>
    <w:rsid w:val="2E9A2526"/>
    <w:rsid w:val="2EB38445"/>
    <w:rsid w:val="2EB49459"/>
    <w:rsid w:val="2EBCAF2C"/>
    <w:rsid w:val="2EBD2F67"/>
    <w:rsid w:val="2ED0F231"/>
    <w:rsid w:val="2EDA5BC5"/>
    <w:rsid w:val="2F06946A"/>
    <w:rsid w:val="2F07374F"/>
    <w:rsid w:val="2F0ADDFC"/>
    <w:rsid w:val="2F0C4BF4"/>
    <w:rsid w:val="2F1B6C4F"/>
    <w:rsid w:val="2F236DA7"/>
    <w:rsid w:val="2F2CAFD2"/>
    <w:rsid w:val="2F36A289"/>
    <w:rsid w:val="2F3A5AB4"/>
    <w:rsid w:val="2F46DEE6"/>
    <w:rsid w:val="2F4A1B95"/>
    <w:rsid w:val="2F4C1548"/>
    <w:rsid w:val="2F4CECDC"/>
    <w:rsid w:val="2F58490B"/>
    <w:rsid w:val="2F5974E4"/>
    <w:rsid w:val="2F6D350D"/>
    <w:rsid w:val="2F6DDFAE"/>
    <w:rsid w:val="2F815899"/>
    <w:rsid w:val="2F941329"/>
    <w:rsid w:val="2FA9F1B3"/>
    <w:rsid w:val="2FC14145"/>
    <w:rsid w:val="2FCBE070"/>
    <w:rsid w:val="2FCF613F"/>
    <w:rsid w:val="2FD3C6D4"/>
    <w:rsid w:val="300D85FE"/>
    <w:rsid w:val="30193D0A"/>
    <w:rsid w:val="301A27DD"/>
    <w:rsid w:val="30227D9F"/>
    <w:rsid w:val="30341DF7"/>
    <w:rsid w:val="303C2B01"/>
    <w:rsid w:val="304ADF17"/>
    <w:rsid w:val="3069D5E1"/>
    <w:rsid w:val="306FD368"/>
    <w:rsid w:val="3088775D"/>
    <w:rsid w:val="308C0147"/>
    <w:rsid w:val="30A2BEEA"/>
    <w:rsid w:val="30A565C6"/>
    <w:rsid w:val="30BE04FF"/>
    <w:rsid w:val="30CAF1BB"/>
    <w:rsid w:val="30D84A8B"/>
    <w:rsid w:val="30E5BF89"/>
    <w:rsid w:val="31073C32"/>
    <w:rsid w:val="31143A89"/>
    <w:rsid w:val="3147F200"/>
    <w:rsid w:val="3152636C"/>
    <w:rsid w:val="315582E5"/>
    <w:rsid w:val="318302AD"/>
    <w:rsid w:val="3184B825"/>
    <w:rsid w:val="318548AF"/>
    <w:rsid w:val="318AEBC0"/>
    <w:rsid w:val="318C9076"/>
    <w:rsid w:val="31ADA4CE"/>
    <w:rsid w:val="31B300FB"/>
    <w:rsid w:val="31BCA3C4"/>
    <w:rsid w:val="31CB6449"/>
    <w:rsid w:val="31D7877C"/>
    <w:rsid w:val="31D989D6"/>
    <w:rsid w:val="322DE6EE"/>
    <w:rsid w:val="32438A1B"/>
    <w:rsid w:val="32577673"/>
    <w:rsid w:val="325D320B"/>
    <w:rsid w:val="3266BB67"/>
    <w:rsid w:val="32932E60"/>
    <w:rsid w:val="32952652"/>
    <w:rsid w:val="32A20ACA"/>
    <w:rsid w:val="32AEC0ED"/>
    <w:rsid w:val="32B4198C"/>
    <w:rsid w:val="32B5BD6A"/>
    <w:rsid w:val="32D044FC"/>
    <w:rsid w:val="32D6FE11"/>
    <w:rsid w:val="32D8B33C"/>
    <w:rsid w:val="32D902FF"/>
    <w:rsid w:val="32E127AF"/>
    <w:rsid w:val="32F51C3C"/>
    <w:rsid w:val="33012926"/>
    <w:rsid w:val="332A93F7"/>
    <w:rsid w:val="332CD69E"/>
    <w:rsid w:val="332EAAC5"/>
    <w:rsid w:val="332F384C"/>
    <w:rsid w:val="3335E8C0"/>
    <w:rsid w:val="33376EDA"/>
    <w:rsid w:val="33425F73"/>
    <w:rsid w:val="33460452"/>
    <w:rsid w:val="33585E2B"/>
    <w:rsid w:val="3376BE7D"/>
    <w:rsid w:val="338762E3"/>
    <w:rsid w:val="3388D019"/>
    <w:rsid w:val="338C3DDC"/>
    <w:rsid w:val="33949860"/>
    <w:rsid w:val="33B48332"/>
    <w:rsid w:val="33C6F29B"/>
    <w:rsid w:val="33CA6ACA"/>
    <w:rsid w:val="33E5492D"/>
    <w:rsid w:val="33EF0E2A"/>
    <w:rsid w:val="340D9F3F"/>
    <w:rsid w:val="341A5009"/>
    <w:rsid w:val="3429F5E1"/>
    <w:rsid w:val="3430991A"/>
    <w:rsid w:val="34413E50"/>
    <w:rsid w:val="34480BC3"/>
    <w:rsid w:val="3459707F"/>
    <w:rsid w:val="34616A92"/>
    <w:rsid w:val="34688A34"/>
    <w:rsid w:val="346CB9D6"/>
    <w:rsid w:val="349A7416"/>
    <w:rsid w:val="34AC6463"/>
    <w:rsid w:val="34B2E065"/>
    <w:rsid w:val="34B7E40C"/>
    <w:rsid w:val="34BC9BFB"/>
    <w:rsid w:val="34CC914A"/>
    <w:rsid w:val="34D25389"/>
    <w:rsid w:val="34F8A633"/>
    <w:rsid w:val="3503FC40"/>
    <w:rsid w:val="351F4B8E"/>
    <w:rsid w:val="354588EA"/>
    <w:rsid w:val="354A7354"/>
    <w:rsid w:val="354E38C5"/>
    <w:rsid w:val="3566F48B"/>
    <w:rsid w:val="35714D38"/>
    <w:rsid w:val="3584F656"/>
    <w:rsid w:val="358D7821"/>
    <w:rsid w:val="35A31384"/>
    <w:rsid w:val="35A5BE33"/>
    <w:rsid w:val="35CCC1CB"/>
    <w:rsid w:val="35CF5DA3"/>
    <w:rsid w:val="35DDDA3A"/>
    <w:rsid w:val="35EEAED5"/>
    <w:rsid w:val="3606D526"/>
    <w:rsid w:val="360AACBB"/>
    <w:rsid w:val="361E67A6"/>
    <w:rsid w:val="362973ED"/>
    <w:rsid w:val="362E3340"/>
    <w:rsid w:val="36318AE8"/>
    <w:rsid w:val="366E1B91"/>
    <w:rsid w:val="36891403"/>
    <w:rsid w:val="36BF2C55"/>
    <w:rsid w:val="36C8BB19"/>
    <w:rsid w:val="36CBF8C8"/>
    <w:rsid w:val="36E68EA2"/>
    <w:rsid w:val="36F1B3E9"/>
    <w:rsid w:val="36FA86EE"/>
    <w:rsid w:val="3709E9B0"/>
    <w:rsid w:val="373BB9CD"/>
    <w:rsid w:val="3751F0CB"/>
    <w:rsid w:val="37754A07"/>
    <w:rsid w:val="37837054"/>
    <w:rsid w:val="37A5B205"/>
    <w:rsid w:val="37AC7422"/>
    <w:rsid w:val="37B1597A"/>
    <w:rsid w:val="37E0B11F"/>
    <w:rsid w:val="37EC4F37"/>
    <w:rsid w:val="37EDEBD5"/>
    <w:rsid w:val="37F4974F"/>
    <w:rsid w:val="3810C346"/>
    <w:rsid w:val="383D58C3"/>
    <w:rsid w:val="3852DB3F"/>
    <w:rsid w:val="38596026"/>
    <w:rsid w:val="3860C752"/>
    <w:rsid w:val="38792A89"/>
    <w:rsid w:val="3887DBF1"/>
    <w:rsid w:val="3892FBCB"/>
    <w:rsid w:val="389ADE55"/>
    <w:rsid w:val="389DF0F2"/>
    <w:rsid w:val="389E9BEC"/>
    <w:rsid w:val="38AB010B"/>
    <w:rsid w:val="38BBD3BA"/>
    <w:rsid w:val="38F1C63A"/>
    <w:rsid w:val="38F93A87"/>
    <w:rsid w:val="39170008"/>
    <w:rsid w:val="39195A1F"/>
    <w:rsid w:val="391BE4B1"/>
    <w:rsid w:val="3933D9EA"/>
    <w:rsid w:val="3937E5FF"/>
    <w:rsid w:val="39A6ECFD"/>
    <w:rsid w:val="39AD4565"/>
    <w:rsid w:val="39BA0E47"/>
    <w:rsid w:val="39D3C88E"/>
    <w:rsid w:val="3A01250F"/>
    <w:rsid w:val="3A01F25B"/>
    <w:rsid w:val="3A03A1EF"/>
    <w:rsid w:val="3A1D54D5"/>
    <w:rsid w:val="3A221014"/>
    <w:rsid w:val="3A2D88FF"/>
    <w:rsid w:val="3A3881EA"/>
    <w:rsid w:val="3A4E3C45"/>
    <w:rsid w:val="3A57E053"/>
    <w:rsid w:val="3A5864A2"/>
    <w:rsid w:val="3A6BC033"/>
    <w:rsid w:val="3A7A346D"/>
    <w:rsid w:val="3A7FB1DF"/>
    <w:rsid w:val="3A8ED9B5"/>
    <w:rsid w:val="3AB281AA"/>
    <w:rsid w:val="3AC26E1F"/>
    <w:rsid w:val="3AD57784"/>
    <w:rsid w:val="3ADB49AA"/>
    <w:rsid w:val="3AFB16A9"/>
    <w:rsid w:val="3B2A7BBE"/>
    <w:rsid w:val="3B2E209D"/>
    <w:rsid w:val="3B3670E6"/>
    <w:rsid w:val="3B56377E"/>
    <w:rsid w:val="3B6BB207"/>
    <w:rsid w:val="3B89BAFD"/>
    <w:rsid w:val="3B9B2A82"/>
    <w:rsid w:val="3B9F7250"/>
    <w:rsid w:val="3BAC10F2"/>
    <w:rsid w:val="3BB4CA6E"/>
    <w:rsid w:val="3BD1B614"/>
    <w:rsid w:val="3BE49B0B"/>
    <w:rsid w:val="3BF7926F"/>
    <w:rsid w:val="3C001981"/>
    <w:rsid w:val="3C0C376F"/>
    <w:rsid w:val="3C122F55"/>
    <w:rsid w:val="3C236CA4"/>
    <w:rsid w:val="3C3DA685"/>
    <w:rsid w:val="3C55AC76"/>
    <w:rsid w:val="3C579BF5"/>
    <w:rsid w:val="3C60C3FB"/>
    <w:rsid w:val="3C6DEDFE"/>
    <w:rsid w:val="3C75089A"/>
    <w:rsid w:val="3CAE8583"/>
    <w:rsid w:val="3CBF4EEA"/>
    <w:rsid w:val="3CDF0B43"/>
    <w:rsid w:val="3CF05775"/>
    <w:rsid w:val="3D006DDD"/>
    <w:rsid w:val="3D02D97F"/>
    <w:rsid w:val="3D1C5553"/>
    <w:rsid w:val="3D3B42B1"/>
    <w:rsid w:val="3D518CCE"/>
    <w:rsid w:val="3D6249DC"/>
    <w:rsid w:val="3D65EB04"/>
    <w:rsid w:val="3D7B3F52"/>
    <w:rsid w:val="3D852B85"/>
    <w:rsid w:val="3D92E6C1"/>
    <w:rsid w:val="3D99464A"/>
    <w:rsid w:val="3DA25031"/>
    <w:rsid w:val="3DA97375"/>
    <w:rsid w:val="3DB48515"/>
    <w:rsid w:val="3DB6162B"/>
    <w:rsid w:val="3DBB76DE"/>
    <w:rsid w:val="3DD30F85"/>
    <w:rsid w:val="3DD5A2DB"/>
    <w:rsid w:val="3DEC35C7"/>
    <w:rsid w:val="3DF58437"/>
    <w:rsid w:val="3E23782B"/>
    <w:rsid w:val="3E24D912"/>
    <w:rsid w:val="3E3254C3"/>
    <w:rsid w:val="3E3F212B"/>
    <w:rsid w:val="3E584972"/>
    <w:rsid w:val="3E5997B2"/>
    <w:rsid w:val="3E5B04D3"/>
    <w:rsid w:val="3E6770C7"/>
    <w:rsid w:val="3E6D08FB"/>
    <w:rsid w:val="3E709F8F"/>
    <w:rsid w:val="3E71661F"/>
    <w:rsid w:val="3E837E64"/>
    <w:rsid w:val="3EC04753"/>
    <w:rsid w:val="3ED7D0BD"/>
    <w:rsid w:val="3EED38D5"/>
    <w:rsid w:val="3F002DF1"/>
    <w:rsid w:val="3F09BDD8"/>
    <w:rsid w:val="3F0D9A82"/>
    <w:rsid w:val="3F25974B"/>
    <w:rsid w:val="3F25FF24"/>
    <w:rsid w:val="3F76CE01"/>
    <w:rsid w:val="3F84C436"/>
    <w:rsid w:val="3FA929EA"/>
    <w:rsid w:val="3FADDD69"/>
    <w:rsid w:val="3FB346C8"/>
    <w:rsid w:val="3FD6AD66"/>
    <w:rsid w:val="3FDF5FC4"/>
    <w:rsid w:val="3FED0C9C"/>
    <w:rsid w:val="3FF5EA3E"/>
    <w:rsid w:val="3FFF59C2"/>
    <w:rsid w:val="400D3E3B"/>
    <w:rsid w:val="400DE3E6"/>
    <w:rsid w:val="4016B253"/>
    <w:rsid w:val="4031D169"/>
    <w:rsid w:val="4033BEBF"/>
    <w:rsid w:val="403B877D"/>
    <w:rsid w:val="404C2EDF"/>
    <w:rsid w:val="4063C06E"/>
    <w:rsid w:val="408640E5"/>
    <w:rsid w:val="40A79DA8"/>
    <w:rsid w:val="40CD5A26"/>
    <w:rsid w:val="40D6AC0B"/>
    <w:rsid w:val="40E77132"/>
    <w:rsid w:val="40F61E16"/>
    <w:rsid w:val="40FEA636"/>
    <w:rsid w:val="4102E37B"/>
    <w:rsid w:val="4112F8C7"/>
    <w:rsid w:val="411D4B1A"/>
    <w:rsid w:val="41217D14"/>
    <w:rsid w:val="4133C2C8"/>
    <w:rsid w:val="413D0904"/>
    <w:rsid w:val="41470796"/>
    <w:rsid w:val="4149ADCA"/>
    <w:rsid w:val="41593F6C"/>
    <w:rsid w:val="416748E4"/>
    <w:rsid w:val="416F2B15"/>
    <w:rsid w:val="4170FC60"/>
    <w:rsid w:val="4176DC20"/>
    <w:rsid w:val="417F2D4E"/>
    <w:rsid w:val="4194D42A"/>
    <w:rsid w:val="41A0BE45"/>
    <w:rsid w:val="41A48F5F"/>
    <w:rsid w:val="41B126A1"/>
    <w:rsid w:val="41B1E504"/>
    <w:rsid w:val="41B64CA3"/>
    <w:rsid w:val="41C006DA"/>
    <w:rsid w:val="41EA0CC4"/>
    <w:rsid w:val="420A40FE"/>
    <w:rsid w:val="421298EC"/>
    <w:rsid w:val="4245F17E"/>
    <w:rsid w:val="425F4D98"/>
    <w:rsid w:val="42724C0A"/>
    <w:rsid w:val="42764DA7"/>
    <w:rsid w:val="42765F35"/>
    <w:rsid w:val="427793B2"/>
    <w:rsid w:val="4280B332"/>
    <w:rsid w:val="42856C0E"/>
    <w:rsid w:val="4296F13D"/>
    <w:rsid w:val="42AC6C12"/>
    <w:rsid w:val="42C2F790"/>
    <w:rsid w:val="42CAD2D3"/>
    <w:rsid w:val="42E8CEB2"/>
    <w:rsid w:val="42E8F840"/>
    <w:rsid w:val="42E9FB5D"/>
    <w:rsid w:val="431247FE"/>
    <w:rsid w:val="432E981C"/>
    <w:rsid w:val="4332C84E"/>
    <w:rsid w:val="433F9971"/>
    <w:rsid w:val="4354F183"/>
    <w:rsid w:val="43564E19"/>
    <w:rsid w:val="438A621A"/>
    <w:rsid w:val="439FAA71"/>
    <w:rsid w:val="43B1F5DC"/>
    <w:rsid w:val="43B9B48B"/>
    <w:rsid w:val="43DB6AA3"/>
    <w:rsid w:val="43ED54D8"/>
    <w:rsid w:val="43F86A1E"/>
    <w:rsid w:val="4408E695"/>
    <w:rsid w:val="443877F3"/>
    <w:rsid w:val="444361E4"/>
    <w:rsid w:val="4446950E"/>
    <w:rsid w:val="44611491"/>
    <w:rsid w:val="44692DE1"/>
    <w:rsid w:val="447205C1"/>
    <w:rsid w:val="44B6C953"/>
    <w:rsid w:val="44C18EEF"/>
    <w:rsid w:val="44D705B3"/>
    <w:rsid w:val="44DAA1D3"/>
    <w:rsid w:val="44DE6E8D"/>
    <w:rsid w:val="44DF09BE"/>
    <w:rsid w:val="44E7224D"/>
    <w:rsid w:val="44E77398"/>
    <w:rsid w:val="44F4E0DE"/>
    <w:rsid w:val="45083921"/>
    <w:rsid w:val="450AA9AD"/>
    <w:rsid w:val="45412E02"/>
    <w:rsid w:val="4554C2D7"/>
    <w:rsid w:val="455E6F01"/>
    <w:rsid w:val="4570E028"/>
    <w:rsid w:val="45919236"/>
    <w:rsid w:val="45A05BF6"/>
    <w:rsid w:val="45BFEDA5"/>
    <w:rsid w:val="45C2F952"/>
    <w:rsid w:val="45D78070"/>
    <w:rsid w:val="45EEC652"/>
    <w:rsid w:val="45F3D031"/>
    <w:rsid w:val="45FE75A7"/>
    <w:rsid w:val="460C70D9"/>
    <w:rsid w:val="460FBA68"/>
    <w:rsid w:val="460FEC71"/>
    <w:rsid w:val="46139AA6"/>
    <w:rsid w:val="461C183D"/>
    <w:rsid w:val="46352DCC"/>
    <w:rsid w:val="463DE464"/>
    <w:rsid w:val="46660B60"/>
    <w:rsid w:val="46791B36"/>
    <w:rsid w:val="46836D8B"/>
    <w:rsid w:val="46916135"/>
    <w:rsid w:val="46AC3A8B"/>
    <w:rsid w:val="46BA5A4B"/>
    <w:rsid w:val="46D19ED3"/>
    <w:rsid w:val="46DDAC8E"/>
    <w:rsid w:val="4701A682"/>
    <w:rsid w:val="47143681"/>
    <w:rsid w:val="47146BF1"/>
    <w:rsid w:val="4727BC97"/>
    <w:rsid w:val="473B0D64"/>
    <w:rsid w:val="473CA095"/>
    <w:rsid w:val="4748EDDB"/>
    <w:rsid w:val="475912C1"/>
    <w:rsid w:val="478606D0"/>
    <w:rsid w:val="47899BFD"/>
    <w:rsid w:val="47A7576F"/>
    <w:rsid w:val="47B240C4"/>
    <w:rsid w:val="47C2E0DA"/>
    <w:rsid w:val="47D139D4"/>
    <w:rsid w:val="48039663"/>
    <w:rsid w:val="480AAC69"/>
    <w:rsid w:val="48108750"/>
    <w:rsid w:val="4813E6C8"/>
    <w:rsid w:val="481ABF41"/>
    <w:rsid w:val="48266663"/>
    <w:rsid w:val="4847E951"/>
    <w:rsid w:val="484B65BB"/>
    <w:rsid w:val="4884999D"/>
    <w:rsid w:val="4899B157"/>
    <w:rsid w:val="489DAA60"/>
    <w:rsid w:val="48A6CDEA"/>
    <w:rsid w:val="48A78F32"/>
    <w:rsid w:val="48B17F93"/>
    <w:rsid w:val="48C261EF"/>
    <w:rsid w:val="48E583F5"/>
    <w:rsid w:val="4920CDA4"/>
    <w:rsid w:val="496960BD"/>
    <w:rsid w:val="4976A9BB"/>
    <w:rsid w:val="49999399"/>
    <w:rsid w:val="49A29A0C"/>
    <w:rsid w:val="49B9D4C1"/>
    <w:rsid w:val="49C236C4"/>
    <w:rsid w:val="49FAD2E9"/>
    <w:rsid w:val="4A0D9131"/>
    <w:rsid w:val="4A0F15F1"/>
    <w:rsid w:val="4A4B7E86"/>
    <w:rsid w:val="4A5513AE"/>
    <w:rsid w:val="4A5C3AEE"/>
    <w:rsid w:val="4A633E70"/>
    <w:rsid w:val="4A9DDDF6"/>
    <w:rsid w:val="4AAD49D4"/>
    <w:rsid w:val="4AAED18B"/>
    <w:rsid w:val="4AB4B07F"/>
    <w:rsid w:val="4ABD8DC8"/>
    <w:rsid w:val="4ADCE55E"/>
    <w:rsid w:val="4AE19379"/>
    <w:rsid w:val="4AE91E51"/>
    <w:rsid w:val="4AF0C96D"/>
    <w:rsid w:val="4AF4E4D6"/>
    <w:rsid w:val="4B03533B"/>
    <w:rsid w:val="4B06CBD6"/>
    <w:rsid w:val="4B1347F7"/>
    <w:rsid w:val="4B345696"/>
    <w:rsid w:val="4B533169"/>
    <w:rsid w:val="4B562B77"/>
    <w:rsid w:val="4B6E1CD8"/>
    <w:rsid w:val="4B73287A"/>
    <w:rsid w:val="4B8D4DCF"/>
    <w:rsid w:val="4BB4C183"/>
    <w:rsid w:val="4BB71B62"/>
    <w:rsid w:val="4BB752CF"/>
    <w:rsid w:val="4BB788B1"/>
    <w:rsid w:val="4BB922EA"/>
    <w:rsid w:val="4BBDDABC"/>
    <w:rsid w:val="4BF8448E"/>
    <w:rsid w:val="4BFEFA19"/>
    <w:rsid w:val="4C0899F8"/>
    <w:rsid w:val="4C13A541"/>
    <w:rsid w:val="4C16E240"/>
    <w:rsid w:val="4C186F53"/>
    <w:rsid w:val="4C1C9BDF"/>
    <w:rsid w:val="4C3EEAD2"/>
    <w:rsid w:val="4C4D27ED"/>
    <w:rsid w:val="4C6AF474"/>
    <w:rsid w:val="4C7585EB"/>
    <w:rsid w:val="4CA51E3A"/>
    <w:rsid w:val="4CBE04D5"/>
    <w:rsid w:val="4CE55879"/>
    <w:rsid w:val="4CEA0EE9"/>
    <w:rsid w:val="4D054445"/>
    <w:rsid w:val="4D07198C"/>
    <w:rsid w:val="4D0E68C5"/>
    <w:rsid w:val="4D0FDE8E"/>
    <w:rsid w:val="4D12138D"/>
    <w:rsid w:val="4D12FFE3"/>
    <w:rsid w:val="4D1593C0"/>
    <w:rsid w:val="4D1669ED"/>
    <w:rsid w:val="4D185046"/>
    <w:rsid w:val="4D19B0E7"/>
    <w:rsid w:val="4D2B1DE5"/>
    <w:rsid w:val="4D30E5A1"/>
    <w:rsid w:val="4D43F7F0"/>
    <w:rsid w:val="4D53B71A"/>
    <w:rsid w:val="4D547453"/>
    <w:rsid w:val="4D588787"/>
    <w:rsid w:val="4D6196B6"/>
    <w:rsid w:val="4D638FAC"/>
    <w:rsid w:val="4D72368E"/>
    <w:rsid w:val="4D74FE19"/>
    <w:rsid w:val="4D794D83"/>
    <w:rsid w:val="4D860206"/>
    <w:rsid w:val="4D94C198"/>
    <w:rsid w:val="4D9CBD48"/>
    <w:rsid w:val="4DAED13C"/>
    <w:rsid w:val="4DAFEF24"/>
    <w:rsid w:val="4DB8E7F8"/>
    <w:rsid w:val="4DD4C4F1"/>
    <w:rsid w:val="4DECC18B"/>
    <w:rsid w:val="4DF74885"/>
    <w:rsid w:val="4DFCE48F"/>
    <w:rsid w:val="4E0DE0D5"/>
    <w:rsid w:val="4E1609DB"/>
    <w:rsid w:val="4E1722E0"/>
    <w:rsid w:val="4E4537F7"/>
    <w:rsid w:val="4E502E2F"/>
    <w:rsid w:val="4E60853B"/>
    <w:rsid w:val="4E60B33A"/>
    <w:rsid w:val="4E8E53F5"/>
    <w:rsid w:val="4EA5B2E0"/>
    <w:rsid w:val="4EAA3926"/>
    <w:rsid w:val="4EAAD37D"/>
    <w:rsid w:val="4EB59F01"/>
    <w:rsid w:val="4EDCD788"/>
    <w:rsid w:val="4EF4004E"/>
    <w:rsid w:val="4F167F3A"/>
    <w:rsid w:val="4F1B1973"/>
    <w:rsid w:val="4F1E8881"/>
    <w:rsid w:val="4F350FB2"/>
    <w:rsid w:val="4F4B4603"/>
    <w:rsid w:val="4F4BDF26"/>
    <w:rsid w:val="4F5941DE"/>
    <w:rsid w:val="4F74AFFC"/>
    <w:rsid w:val="4F86A078"/>
    <w:rsid w:val="4F900F28"/>
    <w:rsid w:val="4F956B74"/>
    <w:rsid w:val="4FA184AC"/>
    <w:rsid w:val="4FA976E2"/>
    <w:rsid w:val="4FB7530B"/>
    <w:rsid w:val="4FCF96A2"/>
    <w:rsid w:val="4FFDC0CF"/>
    <w:rsid w:val="501324F1"/>
    <w:rsid w:val="50208EBB"/>
    <w:rsid w:val="50563FE7"/>
    <w:rsid w:val="505810F9"/>
    <w:rsid w:val="505B34EC"/>
    <w:rsid w:val="509737B5"/>
    <w:rsid w:val="50B2324F"/>
    <w:rsid w:val="50BFBA57"/>
    <w:rsid w:val="50CDFFE2"/>
    <w:rsid w:val="50DF9BE5"/>
    <w:rsid w:val="50EA3BC5"/>
    <w:rsid w:val="50EDE377"/>
    <w:rsid w:val="50F113B8"/>
    <w:rsid w:val="5118066D"/>
    <w:rsid w:val="51367F9B"/>
    <w:rsid w:val="51452C4E"/>
    <w:rsid w:val="51453A70"/>
    <w:rsid w:val="51785C39"/>
    <w:rsid w:val="51839520"/>
    <w:rsid w:val="5186EA23"/>
    <w:rsid w:val="5197086E"/>
    <w:rsid w:val="51A4950D"/>
    <w:rsid w:val="51B142CD"/>
    <w:rsid w:val="51B7B535"/>
    <w:rsid w:val="51BB3CA1"/>
    <w:rsid w:val="51E651A7"/>
    <w:rsid w:val="51E99171"/>
    <w:rsid w:val="51F3C663"/>
    <w:rsid w:val="5232A198"/>
    <w:rsid w:val="5240509A"/>
    <w:rsid w:val="525C6E94"/>
    <w:rsid w:val="5271BDBC"/>
    <w:rsid w:val="527F5638"/>
    <w:rsid w:val="5286020D"/>
    <w:rsid w:val="5287827C"/>
    <w:rsid w:val="52881B0F"/>
    <w:rsid w:val="528CB8D7"/>
    <w:rsid w:val="529358A3"/>
    <w:rsid w:val="52A2883E"/>
    <w:rsid w:val="52BAB84F"/>
    <w:rsid w:val="52C40032"/>
    <w:rsid w:val="52E26587"/>
    <w:rsid w:val="52F586B3"/>
    <w:rsid w:val="5301EEB1"/>
    <w:rsid w:val="5305AF55"/>
    <w:rsid w:val="5312EABE"/>
    <w:rsid w:val="5318E567"/>
    <w:rsid w:val="531AD9B8"/>
    <w:rsid w:val="531D2686"/>
    <w:rsid w:val="534D132E"/>
    <w:rsid w:val="53602551"/>
    <w:rsid w:val="53615400"/>
    <w:rsid w:val="5364B699"/>
    <w:rsid w:val="538640A3"/>
    <w:rsid w:val="538949D1"/>
    <w:rsid w:val="539450E3"/>
    <w:rsid w:val="53AC22ED"/>
    <w:rsid w:val="53C4E93D"/>
    <w:rsid w:val="53C89585"/>
    <w:rsid w:val="53F75917"/>
    <w:rsid w:val="53F90BB3"/>
    <w:rsid w:val="5403DD00"/>
    <w:rsid w:val="540702CA"/>
    <w:rsid w:val="5414F837"/>
    <w:rsid w:val="541EB726"/>
    <w:rsid w:val="5429245E"/>
    <w:rsid w:val="5430F9F4"/>
    <w:rsid w:val="5446FF5D"/>
    <w:rsid w:val="545B92C5"/>
    <w:rsid w:val="54804A5D"/>
    <w:rsid w:val="54C6091D"/>
    <w:rsid w:val="54C9C5A9"/>
    <w:rsid w:val="54CC3CCA"/>
    <w:rsid w:val="54D075E9"/>
    <w:rsid w:val="54DF581A"/>
    <w:rsid w:val="54E80754"/>
    <w:rsid w:val="55340793"/>
    <w:rsid w:val="5537DDE1"/>
    <w:rsid w:val="553C77E7"/>
    <w:rsid w:val="554F6F20"/>
    <w:rsid w:val="55660D77"/>
    <w:rsid w:val="5568E137"/>
    <w:rsid w:val="55756A93"/>
    <w:rsid w:val="55804A61"/>
    <w:rsid w:val="559E15FF"/>
    <w:rsid w:val="55C07693"/>
    <w:rsid w:val="55E52BAD"/>
    <w:rsid w:val="55FE0A13"/>
    <w:rsid w:val="55FF50AC"/>
    <w:rsid w:val="5609406C"/>
    <w:rsid w:val="560ADB41"/>
    <w:rsid w:val="560B9DC3"/>
    <w:rsid w:val="562AB298"/>
    <w:rsid w:val="56388695"/>
    <w:rsid w:val="564D38CA"/>
    <w:rsid w:val="56590032"/>
    <w:rsid w:val="566BAE27"/>
    <w:rsid w:val="567B9613"/>
    <w:rsid w:val="5692DEF3"/>
    <w:rsid w:val="56995DF6"/>
    <w:rsid w:val="569EA5E9"/>
    <w:rsid w:val="56AC2412"/>
    <w:rsid w:val="56FF0693"/>
    <w:rsid w:val="57338148"/>
    <w:rsid w:val="57392BB4"/>
    <w:rsid w:val="5753B462"/>
    <w:rsid w:val="575657E8"/>
    <w:rsid w:val="57611AF9"/>
    <w:rsid w:val="5784E39A"/>
    <w:rsid w:val="578B4649"/>
    <w:rsid w:val="578D399C"/>
    <w:rsid w:val="578D5448"/>
    <w:rsid w:val="579B210D"/>
    <w:rsid w:val="579C062E"/>
    <w:rsid w:val="579C6CD0"/>
    <w:rsid w:val="57A4088F"/>
    <w:rsid w:val="57A90DFE"/>
    <w:rsid w:val="57AE06C9"/>
    <w:rsid w:val="57AE77D9"/>
    <w:rsid w:val="57BD09BA"/>
    <w:rsid w:val="57D33042"/>
    <w:rsid w:val="57E5CB53"/>
    <w:rsid w:val="57EA379E"/>
    <w:rsid w:val="581441EA"/>
    <w:rsid w:val="58240201"/>
    <w:rsid w:val="582A7708"/>
    <w:rsid w:val="5837AB77"/>
    <w:rsid w:val="58391103"/>
    <w:rsid w:val="585345C4"/>
    <w:rsid w:val="58585436"/>
    <w:rsid w:val="587AA594"/>
    <w:rsid w:val="5882D29D"/>
    <w:rsid w:val="5882DE4B"/>
    <w:rsid w:val="589528CB"/>
    <w:rsid w:val="58AFE2B5"/>
    <w:rsid w:val="58BCB4EF"/>
    <w:rsid w:val="58C5C0CD"/>
    <w:rsid w:val="58FE6BC9"/>
    <w:rsid w:val="590C6B42"/>
    <w:rsid w:val="590E3C22"/>
    <w:rsid w:val="59330FB4"/>
    <w:rsid w:val="593D6B1F"/>
    <w:rsid w:val="59460479"/>
    <w:rsid w:val="59736221"/>
    <w:rsid w:val="599D178E"/>
    <w:rsid w:val="599E43A5"/>
    <w:rsid w:val="59E66667"/>
    <w:rsid w:val="5A017C88"/>
    <w:rsid w:val="5A056965"/>
    <w:rsid w:val="5A10B5FB"/>
    <w:rsid w:val="5A3C1331"/>
    <w:rsid w:val="5A43711D"/>
    <w:rsid w:val="5A5D17D6"/>
    <w:rsid w:val="5A62D00F"/>
    <w:rsid w:val="5A663FDC"/>
    <w:rsid w:val="5A8495D5"/>
    <w:rsid w:val="5A84FAD5"/>
    <w:rsid w:val="5AA32402"/>
    <w:rsid w:val="5AA7F347"/>
    <w:rsid w:val="5AC0BD11"/>
    <w:rsid w:val="5AC15D1A"/>
    <w:rsid w:val="5AC2B2A0"/>
    <w:rsid w:val="5ACF6625"/>
    <w:rsid w:val="5AD3DF11"/>
    <w:rsid w:val="5AD8D3C9"/>
    <w:rsid w:val="5B020228"/>
    <w:rsid w:val="5B054F35"/>
    <w:rsid w:val="5B11278D"/>
    <w:rsid w:val="5B2D7966"/>
    <w:rsid w:val="5B412261"/>
    <w:rsid w:val="5B4FA217"/>
    <w:rsid w:val="5B560298"/>
    <w:rsid w:val="5B6CC85A"/>
    <w:rsid w:val="5B73A745"/>
    <w:rsid w:val="5B7E3E18"/>
    <w:rsid w:val="5B88629D"/>
    <w:rsid w:val="5B9932AC"/>
    <w:rsid w:val="5B9E05A9"/>
    <w:rsid w:val="5BA8B417"/>
    <w:rsid w:val="5BA9CB62"/>
    <w:rsid w:val="5BD9A446"/>
    <w:rsid w:val="5BFE5345"/>
    <w:rsid w:val="5C00D347"/>
    <w:rsid w:val="5C02971C"/>
    <w:rsid w:val="5C07C3B6"/>
    <w:rsid w:val="5C1AAEE4"/>
    <w:rsid w:val="5C1BD202"/>
    <w:rsid w:val="5C35F925"/>
    <w:rsid w:val="5C41BCD6"/>
    <w:rsid w:val="5C6F37AE"/>
    <w:rsid w:val="5C876A44"/>
    <w:rsid w:val="5C97A3F0"/>
    <w:rsid w:val="5CEEBADF"/>
    <w:rsid w:val="5CF8BD21"/>
    <w:rsid w:val="5CFF717B"/>
    <w:rsid w:val="5D031089"/>
    <w:rsid w:val="5D1577C8"/>
    <w:rsid w:val="5D3ED2F2"/>
    <w:rsid w:val="5D55008D"/>
    <w:rsid w:val="5D67951A"/>
    <w:rsid w:val="5DBDE8FB"/>
    <w:rsid w:val="5DC6E783"/>
    <w:rsid w:val="5DCBBE85"/>
    <w:rsid w:val="5DCE3244"/>
    <w:rsid w:val="5DCF9C9F"/>
    <w:rsid w:val="5DDA00F8"/>
    <w:rsid w:val="5DDA740E"/>
    <w:rsid w:val="5DEB5A78"/>
    <w:rsid w:val="5DF7A619"/>
    <w:rsid w:val="5E526A6C"/>
    <w:rsid w:val="5E6D546C"/>
    <w:rsid w:val="5E7CA0BC"/>
    <w:rsid w:val="5E881AD8"/>
    <w:rsid w:val="5E8CDA2A"/>
    <w:rsid w:val="5EA2FC71"/>
    <w:rsid w:val="5EA9F070"/>
    <w:rsid w:val="5EB3C8A5"/>
    <w:rsid w:val="5EC27CA1"/>
    <w:rsid w:val="5ED001FF"/>
    <w:rsid w:val="5ED460DD"/>
    <w:rsid w:val="5EDC865C"/>
    <w:rsid w:val="5EDFC049"/>
    <w:rsid w:val="5EE67058"/>
    <w:rsid w:val="5EEAB8B7"/>
    <w:rsid w:val="5F05529F"/>
    <w:rsid w:val="5F28507F"/>
    <w:rsid w:val="5F321059"/>
    <w:rsid w:val="5F47DF7F"/>
    <w:rsid w:val="5F4A19F6"/>
    <w:rsid w:val="5F4FD484"/>
    <w:rsid w:val="5F504009"/>
    <w:rsid w:val="5F5A5293"/>
    <w:rsid w:val="5F7A594D"/>
    <w:rsid w:val="5F957D70"/>
    <w:rsid w:val="5FAEC1EF"/>
    <w:rsid w:val="5FB1C6D0"/>
    <w:rsid w:val="5FC6CD09"/>
    <w:rsid w:val="5FCA3EDC"/>
    <w:rsid w:val="600B09F6"/>
    <w:rsid w:val="600EE25F"/>
    <w:rsid w:val="601FC5AB"/>
    <w:rsid w:val="60534A56"/>
    <w:rsid w:val="606BD260"/>
    <w:rsid w:val="607381F5"/>
    <w:rsid w:val="60744D75"/>
    <w:rsid w:val="6083B8BA"/>
    <w:rsid w:val="60941391"/>
    <w:rsid w:val="6099C029"/>
    <w:rsid w:val="6099E3F5"/>
    <w:rsid w:val="60AE892F"/>
    <w:rsid w:val="60D6A99F"/>
    <w:rsid w:val="60F5AF74"/>
    <w:rsid w:val="60FD6145"/>
    <w:rsid w:val="60FF3A62"/>
    <w:rsid w:val="6103CC70"/>
    <w:rsid w:val="612E6EFA"/>
    <w:rsid w:val="6133CE4C"/>
    <w:rsid w:val="614FEA05"/>
    <w:rsid w:val="615281EB"/>
    <w:rsid w:val="6159CD93"/>
    <w:rsid w:val="6165F64D"/>
    <w:rsid w:val="6173FD65"/>
    <w:rsid w:val="61835252"/>
    <w:rsid w:val="6183B5C2"/>
    <w:rsid w:val="61B26341"/>
    <w:rsid w:val="61CEE882"/>
    <w:rsid w:val="61D3BC0A"/>
    <w:rsid w:val="61E8F984"/>
    <w:rsid w:val="61FC0855"/>
    <w:rsid w:val="61FDCCAE"/>
    <w:rsid w:val="62287AC3"/>
    <w:rsid w:val="625D18F6"/>
    <w:rsid w:val="62684E63"/>
    <w:rsid w:val="629250B0"/>
    <w:rsid w:val="6292F9FA"/>
    <w:rsid w:val="62966766"/>
    <w:rsid w:val="62BB67BF"/>
    <w:rsid w:val="62D8DB91"/>
    <w:rsid w:val="62DA371E"/>
    <w:rsid w:val="62FB215C"/>
    <w:rsid w:val="630E62CD"/>
    <w:rsid w:val="630EFAAB"/>
    <w:rsid w:val="63125018"/>
    <w:rsid w:val="632C9BC2"/>
    <w:rsid w:val="6339E188"/>
    <w:rsid w:val="637C0939"/>
    <w:rsid w:val="637F2DFC"/>
    <w:rsid w:val="638B09FE"/>
    <w:rsid w:val="63D2B698"/>
    <w:rsid w:val="63D83203"/>
    <w:rsid w:val="63F50A1C"/>
    <w:rsid w:val="63FCF722"/>
    <w:rsid w:val="642BEAB7"/>
    <w:rsid w:val="642C96B7"/>
    <w:rsid w:val="6431E478"/>
    <w:rsid w:val="64447E6D"/>
    <w:rsid w:val="6456F019"/>
    <w:rsid w:val="64597B44"/>
    <w:rsid w:val="6459ED74"/>
    <w:rsid w:val="645D200E"/>
    <w:rsid w:val="646BD214"/>
    <w:rsid w:val="646E68A9"/>
    <w:rsid w:val="648A653F"/>
    <w:rsid w:val="649AE23F"/>
    <w:rsid w:val="649B2A22"/>
    <w:rsid w:val="64B8876B"/>
    <w:rsid w:val="64EA5C8D"/>
    <w:rsid w:val="64FE7D83"/>
    <w:rsid w:val="64FF144C"/>
    <w:rsid w:val="6501D007"/>
    <w:rsid w:val="6524F03F"/>
    <w:rsid w:val="6533297F"/>
    <w:rsid w:val="65473F93"/>
    <w:rsid w:val="655E88D7"/>
    <w:rsid w:val="6566DD70"/>
    <w:rsid w:val="657B20B3"/>
    <w:rsid w:val="657D7A92"/>
    <w:rsid w:val="65942B12"/>
    <w:rsid w:val="659F8218"/>
    <w:rsid w:val="65A3266B"/>
    <w:rsid w:val="65A65588"/>
    <w:rsid w:val="65AF5B05"/>
    <w:rsid w:val="65B64BEB"/>
    <w:rsid w:val="65CDB9BF"/>
    <w:rsid w:val="65D11CD6"/>
    <w:rsid w:val="65DBFDDE"/>
    <w:rsid w:val="65E69788"/>
    <w:rsid w:val="660D2E9A"/>
    <w:rsid w:val="663F6202"/>
    <w:rsid w:val="66563757"/>
    <w:rsid w:val="665A25F4"/>
    <w:rsid w:val="66690BC6"/>
    <w:rsid w:val="667677D3"/>
    <w:rsid w:val="667CB0B4"/>
    <w:rsid w:val="669C088A"/>
    <w:rsid w:val="669C53B9"/>
    <w:rsid w:val="66A138AA"/>
    <w:rsid w:val="66A85C05"/>
    <w:rsid w:val="66B52E8F"/>
    <w:rsid w:val="66B9A3EF"/>
    <w:rsid w:val="66BF2E03"/>
    <w:rsid w:val="66F5941F"/>
    <w:rsid w:val="66FD8897"/>
    <w:rsid w:val="671BC18C"/>
    <w:rsid w:val="671CD19C"/>
    <w:rsid w:val="673C2D0F"/>
    <w:rsid w:val="676A58A1"/>
    <w:rsid w:val="677BD132"/>
    <w:rsid w:val="678B591D"/>
    <w:rsid w:val="67CC8E9D"/>
    <w:rsid w:val="67D1E42F"/>
    <w:rsid w:val="67EDD18D"/>
    <w:rsid w:val="6804100D"/>
    <w:rsid w:val="6804116C"/>
    <w:rsid w:val="68045C4F"/>
    <w:rsid w:val="681A5AD9"/>
    <w:rsid w:val="686C9C35"/>
    <w:rsid w:val="686CD613"/>
    <w:rsid w:val="6870DDF9"/>
    <w:rsid w:val="689622A0"/>
    <w:rsid w:val="68C9F003"/>
    <w:rsid w:val="68F46394"/>
    <w:rsid w:val="690007DA"/>
    <w:rsid w:val="691142B1"/>
    <w:rsid w:val="691912F6"/>
    <w:rsid w:val="69354C79"/>
    <w:rsid w:val="693D9E3E"/>
    <w:rsid w:val="69438930"/>
    <w:rsid w:val="694670EA"/>
    <w:rsid w:val="695DDC75"/>
    <w:rsid w:val="6962A04D"/>
    <w:rsid w:val="69714222"/>
    <w:rsid w:val="6987EE70"/>
    <w:rsid w:val="699F3580"/>
    <w:rsid w:val="69B17396"/>
    <w:rsid w:val="69BACBAD"/>
    <w:rsid w:val="69BE4FDC"/>
    <w:rsid w:val="69C64E06"/>
    <w:rsid w:val="69CAAE40"/>
    <w:rsid w:val="69CAE102"/>
    <w:rsid w:val="69CCE7C0"/>
    <w:rsid w:val="69DA4222"/>
    <w:rsid w:val="69DF5D35"/>
    <w:rsid w:val="6A22ABE2"/>
    <w:rsid w:val="6A2A0510"/>
    <w:rsid w:val="6A937345"/>
    <w:rsid w:val="6A9953C1"/>
    <w:rsid w:val="6ABE8B52"/>
    <w:rsid w:val="6ADF0525"/>
    <w:rsid w:val="6AE19F95"/>
    <w:rsid w:val="6AF1F232"/>
    <w:rsid w:val="6B1C97AE"/>
    <w:rsid w:val="6B1FE807"/>
    <w:rsid w:val="6B30CCEB"/>
    <w:rsid w:val="6B323083"/>
    <w:rsid w:val="6B3D4131"/>
    <w:rsid w:val="6B442545"/>
    <w:rsid w:val="6B560492"/>
    <w:rsid w:val="6B6420B0"/>
    <w:rsid w:val="6B731B9A"/>
    <w:rsid w:val="6B97D64D"/>
    <w:rsid w:val="6BA72F8F"/>
    <w:rsid w:val="6BAC1781"/>
    <w:rsid w:val="6BB4547B"/>
    <w:rsid w:val="6BC3802F"/>
    <w:rsid w:val="6BD838A8"/>
    <w:rsid w:val="6BD99762"/>
    <w:rsid w:val="6C06305E"/>
    <w:rsid w:val="6C0E21F6"/>
    <w:rsid w:val="6C2AE0F4"/>
    <w:rsid w:val="6C2FE5D8"/>
    <w:rsid w:val="6C3E6EF8"/>
    <w:rsid w:val="6C6DBC51"/>
    <w:rsid w:val="6C73F32B"/>
    <w:rsid w:val="6C84485D"/>
    <w:rsid w:val="6C84B5FA"/>
    <w:rsid w:val="6C916B7C"/>
    <w:rsid w:val="6C9D828B"/>
    <w:rsid w:val="6CD1E52D"/>
    <w:rsid w:val="6CD3E0B8"/>
    <w:rsid w:val="6CD57F7B"/>
    <w:rsid w:val="6CD6F521"/>
    <w:rsid w:val="6CDE8565"/>
    <w:rsid w:val="6CEC8AAF"/>
    <w:rsid w:val="6CFA640A"/>
    <w:rsid w:val="6D059456"/>
    <w:rsid w:val="6D3C8D15"/>
    <w:rsid w:val="6D4FFD34"/>
    <w:rsid w:val="6D54D348"/>
    <w:rsid w:val="6D6666F9"/>
    <w:rsid w:val="6D6DBDC5"/>
    <w:rsid w:val="6D7A64FB"/>
    <w:rsid w:val="6D889E15"/>
    <w:rsid w:val="6D89D640"/>
    <w:rsid w:val="6D9493E6"/>
    <w:rsid w:val="6DA5EA0E"/>
    <w:rsid w:val="6DAFF1B3"/>
    <w:rsid w:val="6DBEF963"/>
    <w:rsid w:val="6DD2173C"/>
    <w:rsid w:val="6DDCD13B"/>
    <w:rsid w:val="6DE9A990"/>
    <w:rsid w:val="6DF11C60"/>
    <w:rsid w:val="6E017EBF"/>
    <w:rsid w:val="6E0E4A5E"/>
    <w:rsid w:val="6E2800FE"/>
    <w:rsid w:val="6E285F8D"/>
    <w:rsid w:val="6E32ADE3"/>
    <w:rsid w:val="6E4F2D36"/>
    <w:rsid w:val="6E55E865"/>
    <w:rsid w:val="6E5C1AD5"/>
    <w:rsid w:val="6E74561E"/>
    <w:rsid w:val="6E903960"/>
    <w:rsid w:val="6EAB09F6"/>
    <w:rsid w:val="6EC762D0"/>
    <w:rsid w:val="6ED715FB"/>
    <w:rsid w:val="6EE99830"/>
    <w:rsid w:val="6EFE9883"/>
    <w:rsid w:val="6F06AB24"/>
    <w:rsid w:val="6F0BB0C9"/>
    <w:rsid w:val="6F15ABFE"/>
    <w:rsid w:val="6F1D0811"/>
    <w:rsid w:val="6F25AA8C"/>
    <w:rsid w:val="6F2F4758"/>
    <w:rsid w:val="6F31CAA9"/>
    <w:rsid w:val="6F539C57"/>
    <w:rsid w:val="6F53A9B1"/>
    <w:rsid w:val="6F5BE8D2"/>
    <w:rsid w:val="6F6CBF73"/>
    <w:rsid w:val="6F71ED13"/>
    <w:rsid w:val="6FC90C6A"/>
    <w:rsid w:val="6FCE2E6F"/>
    <w:rsid w:val="6FDB604E"/>
    <w:rsid w:val="6FDFD0A4"/>
    <w:rsid w:val="6FEEE7A8"/>
    <w:rsid w:val="701D071B"/>
    <w:rsid w:val="70261858"/>
    <w:rsid w:val="70263F72"/>
    <w:rsid w:val="703D70EB"/>
    <w:rsid w:val="705D0B3E"/>
    <w:rsid w:val="706A16C7"/>
    <w:rsid w:val="70796717"/>
    <w:rsid w:val="707D8967"/>
    <w:rsid w:val="7087DEE6"/>
    <w:rsid w:val="709A206F"/>
    <w:rsid w:val="70A11B22"/>
    <w:rsid w:val="70A6A8B5"/>
    <w:rsid w:val="70C297E7"/>
    <w:rsid w:val="70CE37AC"/>
    <w:rsid w:val="70CFCA46"/>
    <w:rsid w:val="70D1AD3A"/>
    <w:rsid w:val="70F3DCE4"/>
    <w:rsid w:val="7106F242"/>
    <w:rsid w:val="7117324E"/>
    <w:rsid w:val="711DF27F"/>
    <w:rsid w:val="712D0F3C"/>
    <w:rsid w:val="712EB716"/>
    <w:rsid w:val="714EF221"/>
    <w:rsid w:val="71685E4E"/>
    <w:rsid w:val="7173B8BD"/>
    <w:rsid w:val="7187C3AB"/>
    <w:rsid w:val="7188B41A"/>
    <w:rsid w:val="718F5153"/>
    <w:rsid w:val="71BB0AF2"/>
    <w:rsid w:val="71C218F9"/>
    <w:rsid w:val="71D0A271"/>
    <w:rsid w:val="71D0F9F6"/>
    <w:rsid w:val="71E80046"/>
    <w:rsid w:val="71E95A48"/>
    <w:rsid w:val="71E968E6"/>
    <w:rsid w:val="71F22EA9"/>
    <w:rsid w:val="71F46AA4"/>
    <w:rsid w:val="7208EA37"/>
    <w:rsid w:val="720E8EEC"/>
    <w:rsid w:val="7221633E"/>
    <w:rsid w:val="72235905"/>
    <w:rsid w:val="722F6E6D"/>
    <w:rsid w:val="723322CE"/>
    <w:rsid w:val="724CAA15"/>
    <w:rsid w:val="724E9C9D"/>
    <w:rsid w:val="727DF089"/>
    <w:rsid w:val="728255B4"/>
    <w:rsid w:val="72954155"/>
    <w:rsid w:val="72995BEC"/>
    <w:rsid w:val="72B73EBC"/>
    <w:rsid w:val="72BD963D"/>
    <w:rsid w:val="72ECC5AF"/>
    <w:rsid w:val="72FEB504"/>
    <w:rsid w:val="7305A007"/>
    <w:rsid w:val="7307FF61"/>
    <w:rsid w:val="732FD70F"/>
    <w:rsid w:val="733A77E1"/>
    <w:rsid w:val="734F5FA4"/>
    <w:rsid w:val="73656B60"/>
    <w:rsid w:val="7377468B"/>
    <w:rsid w:val="73A1F28A"/>
    <w:rsid w:val="73AF4171"/>
    <w:rsid w:val="73B1DA12"/>
    <w:rsid w:val="73BEC6FE"/>
    <w:rsid w:val="740F6DA7"/>
    <w:rsid w:val="7422C4F7"/>
    <w:rsid w:val="7432B3DE"/>
    <w:rsid w:val="7470BE3B"/>
    <w:rsid w:val="74769E5A"/>
    <w:rsid w:val="747FBA3B"/>
    <w:rsid w:val="7487D2C8"/>
    <w:rsid w:val="749EB8A8"/>
    <w:rsid w:val="74B24B71"/>
    <w:rsid w:val="74BD4473"/>
    <w:rsid w:val="74D3D5E1"/>
    <w:rsid w:val="74D4F992"/>
    <w:rsid w:val="74FFBA1C"/>
    <w:rsid w:val="75367D74"/>
    <w:rsid w:val="753C0F39"/>
    <w:rsid w:val="75574BA6"/>
    <w:rsid w:val="757D89B6"/>
    <w:rsid w:val="757E654E"/>
    <w:rsid w:val="7584722E"/>
    <w:rsid w:val="75886EA4"/>
    <w:rsid w:val="7597CF9B"/>
    <w:rsid w:val="75A01283"/>
    <w:rsid w:val="75A27980"/>
    <w:rsid w:val="75AA158D"/>
    <w:rsid w:val="75DD2921"/>
    <w:rsid w:val="75E80744"/>
    <w:rsid w:val="75F7B17C"/>
    <w:rsid w:val="75F9703D"/>
    <w:rsid w:val="75FB3CD9"/>
    <w:rsid w:val="763EFD8A"/>
    <w:rsid w:val="7658EAA3"/>
    <w:rsid w:val="76596E84"/>
    <w:rsid w:val="766BF1D9"/>
    <w:rsid w:val="7680B270"/>
    <w:rsid w:val="7686E8E5"/>
    <w:rsid w:val="768727FD"/>
    <w:rsid w:val="76C1F357"/>
    <w:rsid w:val="76C22611"/>
    <w:rsid w:val="76C2A546"/>
    <w:rsid w:val="76C95737"/>
    <w:rsid w:val="76D13864"/>
    <w:rsid w:val="76DA4FCD"/>
    <w:rsid w:val="77064863"/>
    <w:rsid w:val="7710C497"/>
    <w:rsid w:val="77115B0F"/>
    <w:rsid w:val="772A8754"/>
    <w:rsid w:val="773F94EA"/>
    <w:rsid w:val="774B056C"/>
    <w:rsid w:val="77584C6D"/>
    <w:rsid w:val="775C189B"/>
    <w:rsid w:val="777954AF"/>
    <w:rsid w:val="777B8372"/>
    <w:rsid w:val="7793EE3D"/>
    <w:rsid w:val="77C36799"/>
    <w:rsid w:val="77C3ED69"/>
    <w:rsid w:val="77FDDEB7"/>
    <w:rsid w:val="781885E5"/>
    <w:rsid w:val="781EF976"/>
    <w:rsid w:val="78259E45"/>
    <w:rsid w:val="782F6F7F"/>
    <w:rsid w:val="7830115B"/>
    <w:rsid w:val="784E502E"/>
    <w:rsid w:val="78652798"/>
    <w:rsid w:val="786E2441"/>
    <w:rsid w:val="787586E1"/>
    <w:rsid w:val="7885522F"/>
    <w:rsid w:val="78BC7EA4"/>
    <w:rsid w:val="78CA7BDE"/>
    <w:rsid w:val="78DEB2F3"/>
    <w:rsid w:val="78E68156"/>
    <w:rsid w:val="78F38F63"/>
    <w:rsid w:val="7905D2BD"/>
    <w:rsid w:val="790DFFF8"/>
    <w:rsid w:val="791E1E9D"/>
    <w:rsid w:val="7926417E"/>
    <w:rsid w:val="792848ED"/>
    <w:rsid w:val="7944DEDF"/>
    <w:rsid w:val="79C1C026"/>
    <w:rsid w:val="79F1F339"/>
    <w:rsid w:val="79F8BDD3"/>
    <w:rsid w:val="79FB2E02"/>
    <w:rsid w:val="7A020111"/>
    <w:rsid w:val="7A09599A"/>
    <w:rsid w:val="7A1B545A"/>
    <w:rsid w:val="7A4AA782"/>
    <w:rsid w:val="7A4EA62D"/>
    <w:rsid w:val="7A565BE7"/>
    <w:rsid w:val="7A588CF7"/>
    <w:rsid w:val="7A6472F0"/>
    <w:rsid w:val="7A68B691"/>
    <w:rsid w:val="7A6BF983"/>
    <w:rsid w:val="7A6D08BD"/>
    <w:rsid w:val="7A92906F"/>
    <w:rsid w:val="7A93983D"/>
    <w:rsid w:val="7ACEFE0C"/>
    <w:rsid w:val="7AF6A861"/>
    <w:rsid w:val="7B0302F7"/>
    <w:rsid w:val="7B264810"/>
    <w:rsid w:val="7B2C1E98"/>
    <w:rsid w:val="7B369D16"/>
    <w:rsid w:val="7B38C0C4"/>
    <w:rsid w:val="7B5CA14B"/>
    <w:rsid w:val="7B73CB31"/>
    <w:rsid w:val="7B8F290B"/>
    <w:rsid w:val="7B9856DC"/>
    <w:rsid w:val="7B9ED1B6"/>
    <w:rsid w:val="7BA0613E"/>
    <w:rsid w:val="7BA5B66B"/>
    <w:rsid w:val="7BDB9DA1"/>
    <w:rsid w:val="7C021A60"/>
    <w:rsid w:val="7C054946"/>
    <w:rsid w:val="7C09A17C"/>
    <w:rsid w:val="7C1532BF"/>
    <w:rsid w:val="7C3E73F4"/>
    <w:rsid w:val="7C406341"/>
    <w:rsid w:val="7C453C35"/>
    <w:rsid w:val="7C46EFAB"/>
    <w:rsid w:val="7CA5EA50"/>
    <w:rsid w:val="7CAEF370"/>
    <w:rsid w:val="7CC57966"/>
    <w:rsid w:val="7CD43839"/>
    <w:rsid w:val="7CFA3355"/>
    <w:rsid w:val="7D058027"/>
    <w:rsid w:val="7D0A2F55"/>
    <w:rsid w:val="7D1B66C5"/>
    <w:rsid w:val="7D213252"/>
    <w:rsid w:val="7D3E5265"/>
    <w:rsid w:val="7D4F55ED"/>
    <w:rsid w:val="7D8D8763"/>
    <w:rsid w:val="7D929D26"/>
    <w:rsid w:val="7DCB5EEB"/>
    <w:rsid w:val="7DD8BAD0"/>
    <w:rsid w:val="7DDFCBCE"/>
    <w:rsid w:val="7E14A142"/>
    <w:rsid w:val="7E18A8CD"/>
    <w:rsid w:val="7E3E1804"/>
    <w:rsid w:val="7E594273"/>
    <w:rsid w:val="7E654DF3"/>
    <w:rsid w:val="7E65623E"/>
    <w:rsid w:val="7E66067B"/>
    <w:rsid w:val="7E7D3936"/>
    <w:rsid w:val="7E80FCC1"/>
    <w:rsid w:val="7EA059E0"/>
    <w:rsid w:val="7EA17499"/>
    <w:rsid w:val="7EC0669C"/>
    <w:rsid w:val="7EC4375D"/>
    <w:rsid w:val="7ED3925A"/>
    <w:rsid w:val="7EE7CF46"/>
    <w:rsid w:val="7EF2DE4D"/>
    <w:rsid w:val="7EFFDFB2"/>
    <w:rsid w:val="7F1144BB"/>
    <w:rsid w:val="7F565594"/>
    <w:rsid w:val="7F856D28"/>
    <w:rsid w:val="7F8A63AA"/>
    <w:rsid w:val="7F9A15BD"/>
    <w:rsid w:val="7F9B3076"/>
    <w:rsid w:val="7FA4D99E"/>
    <w:rsid w:val="7FC926AC"/>
    <w:rsid w:val="7FD5A4FB"/>
    <w:rsid w:val="7FE1A419"/>
    <w:rsid w:val="7FE6B9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A3C46ED0-3346-4216-93D8-8C9BA48E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D222C"/>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22C"/>
    <w:rPr>
      <w:rFonts w:ascii="Segoe UI" w:hAnsi="Segoe UI" w:cs="Segoe UI"/>
      <w:sz w:val="18"/>
      <w:szCs w:val="18"/>
    </w:rPr>
  </w:style>
  <w:style w:type="character" w:styleId="Heading2Char" w:customStyle="1">
    <w:name w:val="Heading 2 Char"/>
    <w:basedOn w:val="DefaultParagraphFont"/>
    <w:link w:val="Heading2"/>
    <w:rsid w:val="003D222C"/>
    <w:rPr>
      <w:rFonts w:ascii="Arial" w:hAnsi="Arial" w:eastAsia="Times New Roman"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hAnsi="Arial" w:eastAsia="Times New Roman" w:cs="Times New Roman"/>
      <w:sz w:val="24"/>
      <w:szCs w:val="20"/>
      <w:lang w:eastAsia="en-GB"/>
    </w:rPr>
  </w:style>
  <w:style w:type="table" w:styleId="TableGrid">
    <w:name w:val="Table Grid"/>
    <w:basedOn w:val="TableNormal"/>
    <w:rsid w:val="003D222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styleId="HeaderChar" w:customStyle="1">
    <w:name w:val="Header Char"/>
    <w:basedOn w:val="DefaultParagraphFont"/>
    <w:link w:val="Header"/>
    <w:uiPriority w:val="99"/>
    <w:rsid w:val="003D222C"/>
    <w:rPr>
      <w:rFonts w:ascii="Arial" w:hAnsi="Arial" w:eastAsia="Times New Roman"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styleId="FooterChar" w:customStyle="1">
    <w:name w:val="Footer Char"/>
    <w:basedOn w:val="DefaultParagraphFont"/>
    <w:link w:val="Footer"/>
    <w:uiPriority w:val="99"/>
    <w:rsid w:val="001A4AA4"/>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hAnsi="Arial" w:eastAsia="Times New Roman" w:cs="Times New Roman"/>
      <w:sz w:val="24"/>
      <w:szCs w:val="24"/>
    </w:rPr>
  </w:style>
  <w:style w:type="paragraph" w:styleId="BEISTitle" w:customStyle="1">
    <w:name w:val="BEIS Title"/>
    <w:basedOn w:val="Normal"/>
    <w:next w:val="Normal"/>
    <w:rsid w:val="00885BB9"/>
    <w:pPr>
      <w:spacing w:after="240" w:line="320" w:lineRule="atLeast"/>
    </w:pPr>
    <w:rPr>
      <w:rFonts w:eastAsiaTheme="minorHAnsi" w:cstheme="minorBidi"/>
      <w:color w:val="041E42"/>
      <w:sz w:val="76"/>
      <w:szCs w:val="22"/>
    </w:rPr>
  </w:style>
  <w:style w:type="paragraph" w:styleId="BEISDate" w:customStyle="1">
    <w:name w:val="BEIS Date"/>
    <w:basedOn w:val="Normal"/>
    <w:rsid w:val="00090217"/>
    <w:pPr>
      <w:spacing w:line="320" w:lineRule="atLeast"/>
    </w:pPr>
    <w:rPr>
      <w:rFonts w:eastAsiaTheme="minorHAnsi" w:cstheme="minorBidi"/>
      <w:color w:val="868686"/>
      <w:sz w:val="28"/>
      <w:szCs w:val="22"/>
    </w:rPr>
  </w:style>
  <w:style w:type="character" w:styleId="Heading1Char" w:customStyle="1">
    <w:name w:val="Heading 1 Char"/>
    <w:basedOn w:val="DefaultParagraphFont"/>
    <w:link w:val="Heading1"/>
    <w:uiPriority w:val="9"/>
    <w:rsid w:val="001B14B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styleId="Heading3Char" w:customStyle="1">
    <w:name w:val="Heading 3 Char"/>
    <w:basedOn w:val="DefaultParagraphFont"/>
    <w:link w:val="Heading3"/>
    <w:uiPriority w:val="9"/>
    <w:rsid w:val="00953846"/>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normaltextrun" w:customStyle="1">
    <w:name w:val="normaltextrun"/>
    <w:basedOn w:val="DefaultParagraphFont"/>
    <w:rsid w:val="65DBFDDE"/>
  </w:style>
  <w:style w:type="character" w:styleId="FootnoteTextChar" w:customStyle="1">
    <w:name w:val="Footnote Text Char"/>
    <w:basedOn w:val="DefaultParagraphFont"/>
    <w:link w:val="FootnoteText"/>
    <w:uiPriority w:val="99"/>
    <w:rsid w:val="007F7903"/>
    <w:rPr>
      <w:sz w:val="20"/>
      <w:szCs w:val="20"/>
    </w:rPr>
  </w:style>
  <w:style w:type="paragraph" w:styleId="FootnoteText">
    <w:name w:val="footnote text"/>
    <w:basedOn w:val="Normal"/>
    <w:link w:val="FootnoteTextChar"/>
    <w:uiPriority w:val="99"/>
    <w:unhideWhenUsed/>
    <w:rsid w:val="007F7903"/>
    <w:rPr>
      <w:rFonts w:asciiTheme="minorHAnsi" w:hAnsiTheme="minorHAnsi" w:eastAsiaTheme="minorHAnsi" w:cstheme="minorBidi"/>
      <w:sz w:val="20"/>
      <w:szCs w:val="20"/>
    </w:rPr>
  </w:style>
  <w:style w:type="character" w:styleId="FootnoteTextChar1" w:customStyle="1">
    <w:name w:val="Footnote Text Char1"/>
    <w:basedOn w:val="DefaultParagraphFont"/>
    <w:uiPriority w:val="99"/>
    <w:semiHidden/>
    <w:rsid w:val="007F7903"/>
    <w:rPr>
      <w:rFonts w:ascii="Arial" w:hAnsi="Arial" w:eastAsia="Times New Roman" w:cs="Times New Roman"/>
      <w:sz w:val="20"/>
      <w:szCs w:val="20"/>
    </w:rPr>
  </w:style>
  <w:style w:type="character" w:styleId="FootnoteReference">
    <w:name w:val="footnote reference"/>
    <w:basedOn w:val="DefaultParagraphFont"/>
    <w:uiPriority w:val="99"/>
    <w:semiHidden/>
    <w:unhideWhenUsed/>
    <w:rsid w:val="007F7903"/>
    <w:rPr>
      <w:vertAlign w:val="superscript"/>
    </w:rPr>
  </w:style>
  <w:style w:type="character" w:styleId="CommentReference">
    <w:name w:val="annotation reference"/>
    <w:basedOn w:val="DefaultParagraphFont"/>
    <w:uiPriority w:val="99"/>
    <w:semiHidden/>
    <w:unhideWhenUsed/>
    <w:rsid w:val="0017475C"/>
    <w:rPr>
      <w:sz w:val="16"/>
      <w:szCs w:val="16"/>
    </w:rPr>
  </w:style>
  <w:style w:type="paragraph" w:styleId="CommentText">
    <w:name w:val="annotation text"/>
    <w:basedOn w:val="Normal"/>
    <w:link w:val="CommentTextChar"/>
    <w:uiPriority w:val="99"/>
    <w:unhideWhenUsed/>
    <w:rsid w:val="0017475C"/>
    <w:rPr>
      <w:sz w:val="20"/>
      <w:szCs w:val="20"/>
    </w:rPr>
  </w:style>
  <w:style w:type="character" w:styleId="CommentTextChar" w:customStyle="1">
    <w:name w:val="Comment Text Char"/>
    <w:basedOn w:val="DefaultParagraphFont"/>
    <w:link w:val="CommentText"/>
    <w:uiPriority w:val="99"/>
    <w:rsid w:val="0017475C"/>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75C"/>
    <w:rPr>
      <w:b/>
      <w:bCs/>
    </w:rPr>
  </w:style>
  <w:style w:type="character" w:styleId="CommentSubjectChar" w:customStyle="1">
    <w:name w:val="Comment Subject Char"/>
    <w:basedOn w:val="CommentTextChar"/>
    <w:link w:val="CommentSubject"/>
    <w:uiPriority w:val="99"/>
    <w:semiHidden/>
    <w:rsid w:val="0017475C"/>
    <w:rPr>
      <w:rFonts w:ascii="Arial" w:hAnsi="Arial" w:eastAsia="Times New Roman" w:cs="Times New Roman"/>
      <w:b/>
      <w:bCs/>
      <w:sz w:val="20"/>
      <w:szCs w:val="20"/>
    </w:rPr>
  </w:style>
  <w:style w:type="paragraph" w:styleId="paragraph" w:customStyle="1">
    <w:name w:val="paragraph"/>
    <w:basedOn w:val="Normal"/>
    <w:rsid w:val="00D93B6C"/>
    <w:pPr>
      <w:spacing w:before="100" w:beforeAutospacing="1" w:after="100" w:afterAutospacing="1"/>
    </w:pPr>
    <w:rPr>
      <w:rFonts w:ascii="Times New Roman" w:hAnsi="Times New Roman"/>
      <w:lang w:eastAsia="en-GB"/>
    </w:rPr>
  </w:style>
  <w:style w:type="character" w:styleId="eop" w:customStyle="1">
    <w:name w:val="eop"/>
    <w:basedOn w:val="DefaultParagraphFont"/>
    <w:rsid w:val="00D93B6C"/>
  </w:style>
  <w:style w:type="character" w:styleId="superscript" w:customStyle="1">
    <w:name w:val="superscript"/>
    <w:basedOn w:val="DefaultParagraphFont"/>
    <w:rsid w:val="00D93B6C"/>
  </w:style>
  <w:style w:type="character" w:styleId="Mention">
    <w:name w:val="Mention"/>
    <w:basedOn w:val="DefaultParagraphFont"/>
    <w:uiPriority w:val="99"/>
    <w:unhideWhenUsed/>
    <w:rsid w:val="00C73F94"/>
    <w:rPr>
      <w:color w:val="2B579A"/>
      <w:shd w:val="clear" w:color="auto" w:fill="E1DFDD"/>
    </w:rPr>
  </w:style>
  <w:style w:type="character" w:styleId="wacimagecontainer" w:customStyle="1">
    <w:name w:val="wacimagecontainer"/>
    <w:basedOn w:val="DefaultParagraphFont"/>
    <w:rsid w:val="00E35052"/>
  </w:style>
  <w:style w:type="paragraph" w:styleId="Caption">
    <w:name w:val="caption"/>
    <w:basedOn w:val="Normal"/>
    <w:next w:val="Normal"/>
    <w:uiPriority w:val="35"/>
    <w:unhideWhenUsed/>
    <w:qFormat/>
    <w:rsid w:val="00DD3088"/>
    <w:pPr>
      <w:spacing w:after="200"/>
    </w:pPr>
    <w:rPr>
      <w:i/>
      <w:iCs/>
      <w:color w:val="44546A" w:themeColor="text2"/>
      <w:sz w:val="18"/>
      <w:szCs w:val="18"/>
    </w:rPr>
  </w:style>
  <w:style w:type="character" w:styleId="SmartLink">
    <w:name w:val="Smart Link"/>
    <w:basedOn w:val="DefaultParagraphFont"/>
    <w:uiPriority w:val="99"/>
    <w:semiHidden/>
    <w:unhideWhenUsed/>
    <w:rsid w:val="00CB4627"/>
    <w:rPr>
      <w:color w:val="0000FF"/>
      <w:u w:val="single"/>
      <w:shd w:val="clear" w:color="auto" w:fill="F3F2F1"/>
    </w:rPr>
  </w:style>
  <w:style w:type="paragraph" w:styleId="EndnoteText">
    <w:name w:val="endnote text"/>
    <w:basedOn w:val="Normal"/>
    <w:link w:val="EndnoteTextChar"/>
    <w:uiPriority w:val="99"/>
    <w:semiHidden/>
    <w:unhideWhenUsed/>
    <w:rsid w:val="001801B5"/>
    <w:rPr>
      <w:sz w:val="20"/>
      <w:szCs w:val="20"/>
    </w:rPr>
  </w:style>
  <w:style w:type="character" w:styleId="EndnoteTextChar" w:customStyle="1">
    <w:name w:val="Endnote Text Char"/>
    <w:basedOn w:val="DefaultParagraphFont"/>
    <w:link w:val="EndnoteText"/>
    <w:uiPriority w:val="99"/>
    <w:semiHidden/>
    <w:rsid w:val="001801B5"/>
    <w:rPr>
      <w:rFonts w:ascii="Arial" w:hAnsi="Arial" w:eastAsia="Times New Roman" w:cs="Times New Roman"/>
      <w:sz w:val="20"/>
      <w:szCs w:val="20"/>
    </w:rPr>
  </w:style>
  <w:style w:type="character" w:styleId="EndnoteReference">
    <w:name w:val="endnote reference"/>
    <w:basedOn w:val="DefaultParagraphFont"/>
    <w:uiPriority w:val="99"/>
    <w:semiHidden/>
    <w:unhideWhenUsed/>
    <w:rsid w:val="001801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066">
      <w:bodyDiv w:val="1"/>
      <w:marLeft w:val="0"/>
      <w:marRight w:val="0"/>
      <w:marTop w:val="0"/>
      <w:marBottom w:val="0"/>
      <w:divBdr>
        <w:top w:val="none" w:sz="0" w:space="0" w:color="auto"/>
        <w:left w:val="none" w:sz="0" w:space="0" w:color="auto"/>
        <w:bottom w:val="none" w:sz="0" w:space="0" w:color="auto"/>
        <w:right w:val="none" w:sz="0" w:space="0" w:color="auto"/>
      </w:divBdr>
    </w:div>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272253386">
      <w:bodyDiv w:val="1"/>
      <w:marLeft w:val="0"/>
      <w:marRight w:val="0"/>
      <w:marTop w:val="0"/>
      <w:marBottom w:val="0"/>
      <w:divBdr>
        <w:top w:val="none" w:sz="0" w:space="0" w:color="auto"/>
        <w:left w:val="none" w:sz="0" w:space="0" w:color="auto"/>
        <w:bottom w:val="none" w:sz="0" w:space="0" w:color="auto"/>
        <w:right w:val="none" w:sz="0" w:space="0" w:color="auto"/>
      </w:divBdr>
      <w:divsChild>
        <w:div w:id="1380321764">
          <w:marLeft w:val="0"/>
          <w:marRight w:val="0"/>
          <w:marTop w:val="0"/>
          <w:marBottom w:val="0"/>
          <w:divBdr>
            <w:top w:val="none" w:sz="0" w:space="0" w:color="auto"/>
            <w:left w:val="none" w:sz="0" w:space="0" w:color="auto"/>
            <w:bottom w:val="none" w:sz="0" w:space="0" w:color="auto"/>
            <w:right w:val="none" w:sz="0" w:space="0" w:color="auto"/>
          </w:divBdr>
        </w:div>
        <w:div w:id="2077626239">
          <w:marLeft w:val="0"/>
          <w:marRight w:val="0"/>
          <w:marTop w:val="0"/>
          <w:marBottom w:val="0"/>
          <w:divBdr>
            <w:top w:val="none" w:sz="0" w:space="0" w:color="auto"/>
            <w:left w:val="none" w:sz="0" w:space="0" w:color="auto"/>
            <w:bottom w:val="none" w:sz="0" w:space="0" w:color="auto"/>
            <w:right w:val="none" w:sz="0" w:space="0" w:color="auto"/>
          </w:divBdr>
        </w:div>
      </w:divsChild>
    </w:div>
    <w:div w:id="441921228">
      <w:bodyDiv w:val="1"/>
      <w:marLeft w:val="0"/>
      <w:marRight w:val="0"/>
      <w:marTop w:val="0"/>
      <w:marBottom w:val="0"/>
      <w:divBdr>
        <w:top w:val="none" w:sz="0" w:space="0" w:color="auto"/>
        <w:left w:val="none" w:sz="0" w:space="0" w:color="auto"/>
        <w:bottom w:val="none" w:sz="0" w:space="0" w:color="auto"/>
        <w:right w:val="none" w:sz="0" w:space="0" w:color="auto"/>
      </w:divBdr>
      <w:divsChild>
        <w:div w:id="1794593535">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969482542">
      <w:bodyDiv w:val="1"/>
      <w:marLeft w:val="0"/>
      <w:marRight w:val="0"/>
      <w:marTop w:val="0"/>
      <w:marBottom w:val="0"/>
      <w:divBdr>
        <w:top w:val="none" w:sz="0" w:space="0" w:color="auto"/>
        <w:left w:val="none" w:sz="0" w:space="0" w:color="auto"/>
        <w:bottom w:val="none" w:sz="0" w:space="0" w:color="auto"/>
        <w:right w:val="none" w:sz="0" w:space="0" w:color="auto"/>
      </w:divBdr>
    </w:div>
    <w:div w:id="976029549">
      <w:bodyDiv w:val="1"/>
      <w:marLeft w:val="0"/>
      <w:marRight w:val="0"/>
      <w:marTop w:val="0"/>
      <w:marBottom w:val="0"/>
      <w:divBdr>
        <w:top w:val="none" w:sz="0" w:space="0" w:color="auto"/>
        <w:left w:val="none" w:sz="0" w:space="0" w:color="auto"/>
        <w:bottom w:val="none" w:sz="0" w:space="0" w:color="auto"/>
        <w:right w:val="none" w:sz="0" w:space="0" w:color="auto"/>
      </w:divBdr>
      <w:divsChild>
        <w:div w:id="413287263">
          <w:marLeft w:val="0"/>
          <w:marRight w:val="0"/>
          <w:marTop w:val="0"/>
          <w:marBottom w:val="0"/>
          <w:divBdr>
            <w:top w:val="none" w:sz="0" w:space="0" w:color="auto"/>
            <w:left w:val="none" w:sz="0" w:space="0" w:color="auto"/>
            <w:bottom w:val="none" w:sz="0" w:space="0" w:color="auto"/>
            <w:right w:val="none" w:sz="0" w:space="0" w:color="auto"/>
          </w:divBdr>
          <w:divsChild>
            <w:div w:id="2079470636">
              <w:marLeft w:val="0"/>
              <w:marRight w:val="0"/>
              <w:marTop w:val="0"/>
              <w:marBottom w:val="0"/>
              <w:divBdr>
                <w:top w:val="none" w:sz="0" w:space="0" w:color="auto"/>
                <w:left w:val="none" w:sz="0" w:space="0" w:color="auto"/>
                <w:bottom w:val="none" w:sz="0" w:space="0" w:color="auto"/>
                <w:right w:val="none" w:sz="0" w:space="0" w:color="auto"/>
              </w:divBdr>
            </w:div>
          </w:divsChild>
        </w:div>
        <w:div w:id="1972706656">
          <w:marLeft w:val="0"/>
          <w:marRight w:val="0"/>
          <w:marTop w:val="0"/>
          <w:marBottom w:val="0"/>
          <w:divBdr>
            <w:top w:val="none" w:sz="0" w:space="0" w:color="auto"/>
            <w:left w:val="none" w:sz="0" w:space="0" w:color="auto"/>
            <w:bottom w:val="none" w:sz="0" w:space="0" w:color="auto"/>
            <w:right w:val="none" w:sz="0" w:space="0" w:color="auto"/>
          </w:divBdr>
          <w:divsChild>
            <w:div w:id="6621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8434">
      <w:bodyDiv w:val="1"/>
      <w:marLeft w:val="0"/>
      <w:marRight w:val="0"/>
      <w:marTop w:val="0"/>
      <w:marBottom w:val="0"/>
      <w:divBdr>
        <w:top w:val="none" w:sz="0" w:space="0" w:color="auto"/>
        <w:left w:val="none" w:sz="0" w:space="0" w:color="auto"/>
        <w:bottom w:val="none" w:sz="0" w:space="0" w:color="auto"/>
        <w:right w:val="none" w:sz="0" w:space="0" w:color="auto"/>
      </w:divBdr>
      <w:divsChild>
        <w:div w:id="565070048">
          <w:marLeft w:val="0"/>
          <w:marRight w:val="0"/>
          <w:marTop w:val="0"/>
          <w:marBottom w:val="0"/>
          <w:divBdr>
            <w:top w:val="none" w:sz="0" w:space="0" w:color="auto"/>
            <w:left w:val="none" w:sz="0" w:space="0" w:color="auto"/>
            <w:bottom w:val="none" w:sz="0" w:space="0" w:color="auto"/>
            <w:right w:val="none" w:sz="0" w:space="0" w:color="auto"/>
          </w:divBdr>
          <w:divsChild>
            <w:div w:id="1795904128">
              <w:marLeft w:val="0"/>
              <w:marRight w:val="0"/>
              <w:marTop w:val="30"/>
              <w:marBottom w:val="30"/>
              <w:divBdr>
                <w:top w:val="none" w:sz="0" w:space="0" w:color="auto"/>
                <w:left w:val="none" w:sz="0" w:space="0" w:color="auto"/>
                <w:bottom w:val="none" w:sz="0" w:space="0" w:color="auto"/>
                <w:right w:val="none" w:sz="0" w:space="0" w:color="auto"/>
              </w:divBdr>
              <w:divsChild>
                <w:div w:id="110637135">
                  <w:marLeft w:val="0"/>
                  <w:marRight w:val="0"/>
                  <w:marTop w:val="0"/>
                  <w:marBottom w:val="0"/>
                  <w:divBdr>
                    <w:top w:val="none" w:sz="0" w:space="0" w:color="auto"/>
                    <w:left w:val="none" w:sz="0" w:space="0" w:color="auto"/>
                    <w:bottom w:val="none" w:sz="0" w:space="0" w:color="auto"/>
                    <w:right w:val="none" w:sz="0" w:space="0" w:color="auto"/>
                  </w:divBdr>
                  <w:divsChild>
                    <w:div w:id="618032045">
                      <w:marLeft w:val="0"/>
                      <w:marRight w:val="0"/>
                      <w:marTop w:val="0"/>
                      <w:marBottom w:val="0"/>
                      <w:divBdr>
                        <w:top w:val="none" w:sz="0" w:space="0" w:color="auto"/>
                        <w:left w:val="none" w:sz="0" w:space="0" w:color="auto"/>
                        <w:bottom w:val="none" w:sz="0" w:space="0" w:color="auto"/>
                        <w:right w:val="none" w:sz="0" w:space="0" w:color="auto"/>
                      </w:divBdr>
                    </w:div>
                  </w:divsChild>
                </w:div>
                <w:div w:id="201987000">
                  <w:marLeft w:val="0"/>
                  <w:marRight w:val="0"/>
                  <w:marTop w:val="0"/>
                  <w:marBottom w:val="0"/>
                  <w:divBdr>
                    <w:top w:val="none" w:sz="0" w:space="0" w:color="auto"/>
                    <w:left w:val="none" w:sz="0" w:space="0" w:color="auto"/>
                    <w:bottom w:val="none" w:sz="0" w:space="0" w:color="auto"/>
                    <w:right w:val="none" w:sz="0" w:space="0" w:color="auto"/>
                  </w:divBdr>
                  <w:divsChild>
                    <w:div w:id="536234323">
                      <w:marLeft w:val="0"/>
                      <w:marRight w:val="0"/>
                      <w:marTop w:val="0"/>
                      <w:marBottom w:val="0"/>
                      <w:divBdr>
                        <w:top w:val="none" w:sz="0" w:space="0" w:color="auto"/>
                        <w:left w:val="none" w:sz="0" w:space="0" w:color="auto"/>
                        <w:bottom w:val="none" w:sz="0" w:space="0" w:color="auto"/>
                        <w:right w:val="none" w:sz="0" w:space="0" w:color="auto"/>
                      </w:divBdr>
                    </w:div>
                  </w:divsChild>
                </w:div>
                <w:div w:id="210508079">
                  <w:marLeft w:val="0"/>
                  <w:marRight w:val="0"/>
                  <w:marTop w:val="0"/>
                  <w:marBottom w:val="0"/>
                  <w:divBdr>
                    <w:top w:val="none" w:sz="0" w:space="0" w:color="auto"/>
                    <w:left w:val="none" w:sz="0" w:space="0" w:color="auto"/>
                    <w:bottom w:val="none" w:sz="0" w:space="0" w:color="auto"/>
                    <w:right w:val="none" w:sz="0" w:space="0" w:color="auto"/>
                  </w:divBdr>
                  <w:divsChild>
                    <w:div w:id="1765875875">
                      <w:marLeft w:val="0"/>
                      <w:marRight w:val="0"/>
                      <w:marTop w:val="0"/>
                      <w:marBottom w:val="0"/>
                      <w:divBdr>
                        <w:top w:val="none" w:sz="0" w:space="0" w:color="auto"/>
                        <w:left w:val="none" w:sz="0" w:space="0" w:color="auto"/>
                        <w:bottom w:val="none" w:sz="0" w:space="0" w:color="auto"/>
                        <w:right w:val="none" w:sz="0" w:space="0" w:color="auto"/>
                      </w:divBdr>
                    </w:div>
                  </w:divsChild>
                </w:div>
                <w:div w:id="324555622">
                  <w:marLeft w:val="0"/>
                  <w:marRight w:val="0"/>
                  <w:marTop w:val="0"/>
                  <w:marBottom w:val="0"/>
                  <w:divBdr>
                    <w:top w:val="none" w:sz="0" w:space="0" w:color="auto"/>
                    <w:left w:val="none" w:sz="0" w:space="0" w:color="auto"/>
                    <w:bottom w:val="none" w:sz="0" w:space="0" w:color="auto"/>
                    <w:right w:val="none" w:sz="0" w:space="0" w:color="auto"/>
                  </w:divBdr>
                  <w:divsChild>
                    <w:div w:id="1366053170">
                      <w:marLeft w:val="0"/>
                      <w:marRight w:val="0"/>
                      <w:marTop w:val="0"/>
                      <w:marBottom w:val="0"/>
                      <w:divBdr>
                        <w:top w:val="none" w:sz="0" w:space="0" w:color="auto"/>
                        <w:left w:val="none" w:sz="0" w:space="0" w:color="auto"/>
                        <w:bottom w:val="none" w:sz="0" w:space="0" w:color="auto"/>
                        <w:right w:val="none" w:sz="0" w:space="0" w:color="auto"/>
                      </w:divBdr>
                    </w:div>
                  </w:divsChild>
                </w:div>
                <w:div w:id="349113722">
                  <w:marLeft w:val="0"/>
                  <w:marRight w:val="0"/>
                  <w:marTop w:val="0"/>
                  <w:marBottom w:val="0"/>
                  <w:divBdr>
                    <w:top w:val="none" w:sz="0" w:space="0" w:color="auto"/>
                    <w:left w:val="none" w:sz="0" w:space="0" w:color="auto"/>
                    <w:bottom w:val="none" w:sz="0" w:space="0" w:color="auto"/>
                    <w:right w:val="none" w:sz="0" w:space="0" w:color="auto"/>
                  </w:divBdr>
                  <w:divsChild>
                    <w:div w:id="272172430">
                      <w:marLeft w:val="0"/>
                      <w:marRight w:val="0"/>
                      <w:marTop w:val="0"/>
                      <w:marBottom w:val="0"/>
                      <w:divBdr>
                        <w:top w:val="none" w:sz="0" w:space="0" w:color="auto"/>
                        <w:left w:val="none" w:sz="0" w:space="0" w:color="auto"/>
                        <w:bottom w:val="none" w:sz="0" w:space="0" w:color="auto"/>
                        <w:right w:val="none" w:sz="0" w:space="0" w:color="auto"/>
                      </w:divBdr>
                    </w:div>
                  </w:divsChild>
                </w:div>
                <w:div w:id="469593376">
                  <w:marLeft w:val="0"/>
                  <w:marRight w:val="0"/>
                  <w:marTop w:val="0"/>
                  <w:marBottom w:val="0"/>
                  <w:divBdr>
                    <w:top w:val="none" w:sz="0" w:space="0" w:color="auto"/>
                    <w:left w:val="none" w:sz="0" w:space="0" w:color="auto"/>
                    <w:bottom w:val="none" w:sz="0" w:space="0" w:color="auto"/>
                    <w:right w:val="none" w:sz="0" w:space="0" w:color="auto"/>
                  </w:divBdr>
                  <w:divsChild>
                    <w:div w:id="1325548251">
                      <w:marLeft w:val="0"/>
                      <w:marRight w:val="0"/>
                      <w:marTop w:val="0"/>
                      <w:marBottom w:val="0"/>
                      <w:divBdr>
                        <w:top w:val="none" w:sz="0" w:space="0" w:color="auto"/>
                        <w:left w:val="none" w:sz="0" w:space="0" w:color="auto"/>
                        <w:bottom w:val="none" w:sz="0" w:space="0" w:color="auto"/>
                        <w:right w:val="none" w:sz="0" w:space="0" w:color="auto"/>
                      </w:divBdr>
                    </w:div>
                    <w:div w:id="1852405112">
                      <w:marLeft w:val="0"/>
                      <w:marRight w:val="0"/>
                      <w:marTop w:val="0"/>
                      <w:marBottom w:val="0"/>
                      <w:divBdr>
                        <w:top w:val="none" w:sz="0" w:space="0" w:color="auto"/>
                        <w:left w:val="none" w:sz="0" w:space="0" w:color="auto"/>
                        <w:bottom w:val="none" w:sz="0" w:space="0" w:color="auto"/>
                        <w:right w:val="none" w:sz="0" w:space="0" w:color="auto"/>
                      </w:divBdr>
                    </w:div>
                  </w:divsChild>
                </w:div>
                <w:div w:id="582421144">
                  <w:marLeft w:val="0"/>
                  <w:marRight w:val="0"/>
                  <w:marTop w:val="0"/>
                  <w:marBottom w:val="0"/>
                  <w:divBdr>
                    <w:top w:val="none" w:sz="0" w:space="0" w:color="auto"/>
                    <w:left w:val="none" w:sz="0" w:space="0" w:color="auto"/>
                    <w:bottom w:val="none" w:sz="0" w:space="0" w:color="auto"/>
                    <w:right w:val="none" w:sz="0" w:space="0" w:color="auto"/>
                  </w:divBdr>
                  <w:divsChild>
                    <w:div w:id="1082411091">
                      <w:marLeft w:val="0"/>
                      <w:marRight w:val="0"/>
                      <w:marTop w:val="0"/>
                      <w:marBottom w:val="0"/>
                      <w:divBdr>
                        <w:top w:val="none" w:sz="0" w:space="0" w:color="auto"/>
                        <w:left w:val="none" w:sz="0" w:space="0" w:color="auto"/>
                        <w:bottom w:val="none" w:sz="0" w:space="0" w:color="auto"/>
                        <w:right w:val="none" w:sz="0" w:space="0" w:color="auto"/>
                      </w:divBdr>
                    </w:div>
                  </w:divsChild>
                </w:div>
                <w:div w:id="603147928">
                  <w:marLeft w:val="0"/>
                  <w:marRight w:val="0"/>
                  <w:marTop w:val="0"/>
                  <w:marBottom w:val="0"/>
                  <w:divBdr>
                    <w:top w:val="none" w:sz="0" w:space="0" w:color="auto"/>
                    <w:left w:val="none" w:sz="0" w:space="0" w:color="auto"/>
                    <w:bottom w:val="none" w:sz="0" w:space="0" w:color="auto"/>
                    <w:right w:val="none" w:sz="0" w:space="0" w:color="auto"/>
                  </w:divBdr>
                  <w:divsChild>
                    <w:div w:id="534319089">
                      <w:marLeft w:val="0"/>
                      <w:marRight w:val="0"/>
                      <w:marTop w:val="0"/>
                      <w:marBottom w:val="0"/>
                      <w:divBdr>
                        <w:top w:val="none" w:sz="0" w:space="0" w:color="auto"/>
                        <w:left w:val="none" w:sz="0" w:space="0" w:color="auto"/>
                        <w:bottom w:val="none" w:sz="0" w:space="0" w:color="auto"/>
                        <w:right w:val="none" w:sz="0" w:space="0" w:color="auto"/>
                      </w:divBdr>
                    </w:div>
                  </w:divsChild>
                </w:div>
                <w:div w:id="732778903">
                  <w:marLeft w:val="0"/>
                  <w:marRight w:val="0"/>
                  <w:marTop w:val="0"/>
                  <w:marBottom w:val="0"/>
                  <w:divBdr>
                    <w:top w:val="none" w:sz="0" w:space="0" w:color="auto"/>
                    <w:left w:val="none" w:sz="0" w:space="0" w:color="auto"/>
                    <w:bottom w:val="none" w:sz="0" w:space="0" w:color="auto"/>
                    <w:right w:val="none" w:sz="0" w:space="0" w:color="auto"/>
                  </w:divBdr>
                  <w:divsChild>
                    <w:div w:id="1251114351">
                      <w:marLeft w:val="0"/>
                      <w:marRight w:val="0"/>
                      <w:marTop w:val="0"/>
                      <w:marBottom w:val="0"/>
                      <w:divBdr>
                        <w:top w:val="none" w:sz="0" w:space="0" w:color="auto"/>
                        <w:left w:val="none" w:sz="0" w:space="0" w:color="auto"/>
                        <w:bottom w:val="none" w:sz="0" w:space="0" w:color="auto"/>
                        <w:right w:val="none" w:sz="0" w:space="0" w:color="auto"/>
                      </w:divBdr>
                    </w:div>
                    <w:div w:id="1350639200">
                      <w:marLeft w:val="0"/>
                      <w:marRight w:val="0"/>
                      <w:marTop w:val="0"/>
                      <w:marBottom w:val="0"/>
                      <w:divBdr>
                        <w:top w:val="none" w:sz="0" w:space="0" w:color="auto"/>
                        <w:left w:val="none" w:sz="0" w:space="0" w:color="auto"/>
                        <w:bottom w:val="none" w:sz="0" w:space="0" w:color="auto"/>
                        <w:right w:val="none" w:sz="0" w:space="0" w:color="auto"/>
                      </w:divBdr>
                    </w:div>
                  </w:divsChild>
                </w:div>
                <w:div w:id="745886251">
                  <w:marLeft w:val="0"/>
                  <w:marRight w:val="0"/>
                  <w:marTop w:val="0"/>
                  <w:marBottom w:val="0"/>
                  <w:divBdr>
                    <w:top w:val="none" w:sz="0" w:space="0" w:color="auto"/>
                    <w:left w:val="none" w:sz="0" w:space="0" w:color="auto"/>
                    <w:bottom w:val="none" w:sz="0" w:space="0" w:color="auto"/>
                    <w:right w:val="none" w:sz="0" w:space="0" w:color="auto"/>
                  </w:divBdr>
                  <w:divsChild>
                    <w:div w:id="673653153">
                      <w:marLeft w:val="0"/>
                      <w:marRight w:val="0"/>
                      <w:marTop w:val="0"/>
                      <w:marBottom w:val="0"/>
                      <w:divBdr>
                        <w:top w:val="none" w:sz="0" w:space="0" w:color="auto"/>
                        <w:left w:val="none" w:sz="0" w:space="0" w:color="auto"/>
                        <w:bottom w:val="none" w:sz="0" w:space="0" w:color="auto"/>
                        <w:right w:val="none" w:sz="0" w:space="0" w:color="auto"/>
                      </w:divBdr>
                    </w:div>
                  </w:divsChild>
                </w:div>
                <w:div w:id="814881808">
                  <w:marLeft w:val="0"/>
                  <w:marRight w:val="0"/>
                  <w:marTop w:val="0"/>
                  <w:marBottom w:val="0"/>
                  <w:divBdr>
                    <w:top w:val="none" w:sz="0" w:space="0" w:color="auto"/>
                    <w:left w:val="none" w:sz="0" w:space="0" w:color="auto"/>
                    <w:bottom w:val="none" w:sz="0" w:space="0" w:color="auto"/>
                    <w:right w:val="none" w:sz="0" w:space="0" w:color="auto"/>
                  </w:divBdr>
                  <w:divsChild>
                    <w:div w:id="954285131">
                      <w:marLeft w:val="0"/>
                      <w:marRight w:val="0"/>
                      <w:marTop w:val="0"/>
                      <w:marBottom w:val="0"/>
                      <w:divBdr>
                        <w:top w:val="none" w:sz="0" w:space="0" w:color="auto"/>
                        <w:left w:val="none" w:sz="0" w:space="0" w:color="auto"/>
                        <w:bottom w:val="none" w:sz="0" w:space="0" w:color="auto"/>
                        <w:right w:val="none" w:sz="0" w:space="0" w:color="auto"/>
                      </w:divBdr>
                    </w:div>
                  </w:divsChild>
                </w:div>
                <w:div w:id="1002974847">
                  <w:marLeft w:val="0"/>
                  <w:marRight w:val="0"/>
                  <w:marTop w:val="0"/>
                  <w:marBottom w:val="0"/>
                  <w:divBdr>
                    <w:top w:val="none" w:sz="0" w:space="0" w:color="auto"/>
                    <w:left w:val="none" w:sz="0" w:space="0" w:color="auto"/>
                    <w:bottom w:val="none" w:sz="0" w:space="0" w:color="auto"/>
                    <w:right w:val="none" w:sz="0" w:space="0" w:color="auto"/>
                  </w:divBdr>
                  <w:divsChild>
                    <w:div w:id="1435130070">
                      <w:marLeft w:val="0"/>
                      <w:marRight w:val="0"/>
                      <w:marTop w:val="0"/>
                      <w:marBottom w:val="0"/>
                      <w:divBdr>
                        <w:top w:val="none" w:sz="0" w:space="0" w:color="auto"/>
                        <w:left w:val="none" w:sz="0" w:space="0" w:color="auto"/>
                        <w:bottom w:val="none" w:sz="0" w:space="0" w:color="auto"/>
                        <w:right w:val="none" w:sz="0" w:space="0" w:color="auto"/>
                      </w:divBdr>
                    </w:div>
                  </w:divsChild>
                </w:div>
                <w:div w:id="1038706585">
                  <w:marLeft w:val="0"/>
                  <w:marRight w:val="0"/>
                  <w:marTop w:val="0"/>
                  <w:marBottom w:val="0"/>
                  <w:divBdr>
                    <w:top w:val="none" w:sz="0" w:space="0" w:color="auto"/>
                    <w:left w:val="none" w:sz="0" w:space="0" w:color="auto"/>
                    <w:bottom w:val="none" w:sz="0" w:space="0" w:color="auto"/>
                    <w:right w:val="none" w:sz="0" w:space="0" w:color="auto"/>
                  </w:divBdr>
                  <w:divsChild>
                    <w:div w:id="2093232557">
                      <w:marLeft w:val="0"/>
                      <w:marRight w:val="0"/>
                      <w:marTop w:val="0"/>
                      <w:marBottom w:val="0"/>
                      <w:divBdr>
                        <w:top w:val="none" w:sz="0" w:space="0" w:color="auto"/>
                        <w:left w:val="none" w:sz="0" w:space="0" w:color="auto"/>
                        <w:bottom w:val="none" w:sz="0" w:space="0" w:color="auto"/>
                        <w:right w:val="none" w:sz="0" w:space="0" w:color="auto"/>
                      </w:divBdr>
                    </w:div>
                  </w:divsChild>
                </w:div>
                <w:div w:id="1166749113">
                  <w:marLeft w:val="0"/>
                  <w:marRight w:val="0"/>
                  <w:marTop w:val="0"/>
                  <w:marBottom w:val="0"/>
                  <w:divBdr>
                    <w:top w:val="none" w:sz="0" w:space="0" w:color="auto"/>
                    <w:left w:val="none" w:sz="0" w:space="0" w:color="auto"/>
                    <w:bottom w:val="none" w:sz="0" w:space="0" w:color="auto"/>
                    <w:right w:val="none" w:sz="0" w:space="0" w:color="auto"/>
                  </w:divBdr>
                  <w:divsChild>
                    <w:div w:id="1199585449">
                      <w:marLeft w:val="0"/>
                      <w:marRight w:val="0"/>
                      <w:marTop w:val="0"/>
                      <w:marBottom w:val="0"/>
                      <w:divBdr>
                        <w:top w:val="none" w:sz="0" w:space="0" w:color="auto"/>
                        <w:left w:val="none" w:sz="0" w:space="0" w:color="auto"/>
                        <w:bottom w:val="none" w:sz="0" w:space="0" w:color="auto"/>
                        <w:right w:val="none" w:sz="0" w:space="0" w:color="auto"/>
                      </w:divBdr>
                    </w:div>
                  </w:divsChild>
                </w:div>
                <w:div w:id="1185291666">
                  <w:marLeft w:val="0"/>
                  <w:marRight w:val="0"/>
                  <w:marTop w:val="0"/>
                  <w:marBottom w:val="0"/>
                  <w:divBdr>
                    <w:top w:val="none" w:sz="0" w:space="0" w:color="auto"/>
                    <w:left w:val="none" w:sz="0" w:space="0" w:color="auto"/>
                    <w:bottom w:val="none" w:sz="0" w:space="0" w:color="auto"/>
                    <w:right w:val="none" w:sz="0" w:space="0" w:color="auto"/>
                  </w:divBdr>
                  <w:divsChild>
                    <w:div w:id="910890931">
                      <w:marLeft w:val="0"/>
                      <w:marRight w:val="0"/>
                      <w:marTop w:val="0"/>
                      <w:marBottom w:val="0"/>
                      <w:divBdr>
                        <w:top w:val="none" w:sz="0" w:space="0" w:color="auto"/>
                        <w:left w:val="none" w:sz="0" w:space="0" w:color="auto"/>
                        <w:bottom w:val="none" w:sz="0" w:space="0" w:color="auto"/>
                        <w:right w:val="none" w:sz="0" w:space="0" w:color="auto"/>
                      </w:divBdr>
                    </w:div>
                  </w:divsChild>
                </w:div>
                <w:div w:id="1238176102">
                  <w:marLeft w:val="0"/>
                  <w:marRight w:val="0"/>
                  <w:marTop w:val="0"/>
                  <w:marBottom w:val="0"/>
                  <w:divBdr>
                    <w:top w:val="none" w:sz="0" w:space="0" w:color="auto"/>
                    <w:left w:val="none" w:sz="0" w:space="0" w:color="auto"/>
                    <w:bottom w:val="none" w:sz="0" w:space="0" w:color="auto"/>
                    <w:right w:val="none" w:sz="0" w:space="0" w:color="auto"/>
                  </w:divBdr>
                  <w:divsChild>
                    <w:div w:id="1962608272">
                      <w:marLeft w:val="0"/>
                      <w:marRight w:val="0"/>
                      <w:marTop w:val="0"/>
                      <w:marBottom w:val="0"/>
                      <w:divBdr>
                        <w:top w:val="none" w:sz="0" w:space="0" w:color="auto"/>
                        <w:left w:val="none" w:sz="0" w:space="0" w:color="auto"/>
                        <w:bottom w:val="none" w:sz="0" w:space="0" w:color="auto"/>
                        <w:right w:val="none" w:sz="0" w:space="0" w:color="auto"/>
                      </w:divBdr>
                    </w:div>
                  </w:divsChild>
                </w:div>
                <w:div w:id="1368219562">
                  <w:marLeft w:val="0"/>
                  <w:marRight w:val="0"/>
                  <w:marTop w:val="0"/>
                  <w:marBottom w:val="0"/>
                  <w:divBdr>
                    <w:top w:val="none" w:sz="0" w:space="0" w:color="auto"/>
                    <w:left w:val="none" w:sz="0" w:space="0" w:color="auto"/>
                    <w:bottom w:val="none" w:sz="0" w:space="0" w:color="auto"/>
                    <w:right w:val="none" w:sz="0" w:space="0" w:color="auto"/>
                  </w:divBdr>
                  <w:divsChild>
                    <w:div w:id="436171462">
                      <w:marLeft w:val="0"/>
                      <w:marRight w:val="0"/>
                      <w:marTop w:val="0"/>
                      <w:marBottom w:val="0"/>
                      <w:divBdr>
                        <w:top w:val="none" w:sz="0" w:space="0" w:color="auto"/>
                        <w:left w:val="none" w:sz="0" w:space="0" w:color="auto"/>
                        <w:bottom w:val="none" w:sz="0" w:space="0" w:color="auto"/>
                        <w:right w:val="none" w:sz="0" w:space="0" w:color="auto"/>
                      </w:divBdr>
                    </w:div>
                  </w:divsChild>
                </w:div>
                <w:div w:id="1523545061">
                  <w:marLeft w:val="0"/>
                  <w:marRight w:val="0"/>
                  <w:marTop w:val="0"/>
                  <w:marBottom w:val="0"/>
                  <w:divBdr>
                    <w:top w:val="none" w:sz="0" w:space="0" w:color="auto"/>
                    <w:left w:val="none" w:sz="0" w:space="0" w:color="auto"/>
                    <w:bottom w:val="none" w:sz="0" w:space="0" w:color="auto"/>
                    <w:right w:val="none" w:sz="0" w:space="0" w:color="auto"/>
                  </w:divBdr>
                  <w:divsChild>
                    <w:div w:id="1077942199">
                      <w:marLeft w:val="0"/>
                      <w:marRight w:val="0"/>
                      <w:marTop w:val="0"/>
                      <w:marBottom w:val="0"/>
                      <w:divBdr>
                        <w:top w:val="none" w:sz="0" w:space="0" w:color="auto"/>
                        <w:left w:val="none" w:sz="0" w:space="0" w:color="auto"/>
                        <w:bottom w:val="none" w:sz="0" w:space="0" w:color="auto"/>
                        <w:right w:val="none" w:sz="0" w:space="0" w:color="auto"/>
                      </w:divBdr>
                    </w:div>
                  </w:divsChild>
                </w:div>
                <w:div w:id="1618373573">
                  <w:marLeft w:val="0"/>
                  <w:marRight w:val="0"/>
                  <w:marTop w:val="0"/>
                  <w:marBottom w:val="0"/>
                  <w:divBdr>
                    <w:top w:val="none" w:sz="0" w:space="0" w:color="auto"/>
                    <w:left w:val="none" w:sz="0" w:space="0" w:color="auto"/>
                    <w:bottom w:val="none" w:sz="0" w:space="0" w:color="auto"/>
                    <w:right w:val="none" w:sz="0" w:space="0" w:color="auto"/>
                  </w:divBdr>
                  <w:divsChild>
                    <w:div w:id="1462767786">
                      <w:marLeft w:val="0"/>
                      <w:marRight w:val="0"/>
                      <w:marTop w:val="0"/>
                      <w:marBottom w:val="0"/>
                      <w:divBdr>
                        <w:top w:val="none" w:sz="0" w:space="0" w:color="auto"/>
                        <w:left w:val="none" w:sz="0" w:space="0" w:color="auto"/>
                        <w:bottom w:val="none" w:sz="0" w:space="0" w:color="auto"/>
                        <w:right w:val="none" w:sz="0" w:space="0" w:color="auto"/>
                      </w:divBdr>
                    </w:div>
                  </w:divsChild>
                </w:div>
                <w:div w:id="1901089516">
                  <w:marLeft w:val="0"/>
                  <w:marRight w:val="0"/>
                  <w:marTop w:val="0"/>
                  <w:marBottom w:val="0"/>
                  <w:divBdr>
                    <w:top w:val="none" w:sz="0" w:space="0" w:color="auto"/>
                    <w:left w:val="none" w:sz="0" w:space="0" w:color="auto"/>
                    <w:bottom w:val="none" w:sz="0" w:space="0" w:color="auto"/>
                    <w:right w:val="none" w:sz="0" w:space="0" w:color="auto"/>
                  </w:divBdr>
                  <w:divsChild>
                    <w:div w:id="2074890435">
                      <w:marLeft w:val="0"/>
                      <w:marRight w:val="0"/>
                      <w:marTop w:val="0"/>
                      <w:marBottom w:val="0"/>
                      <w:divBdr>
                        <w:top w:val="none" w:sz="0" w:space="0" w:color="auto"/>
                        <w:left w:val="none" w:sz="0" w:space="0" w:color="auto"/>
                        <w:bottom w:val="none" w:sz="0" w:space="0" w:color="auto"/>
                        <w:right w:val="none" w:sz="0" w:space="0" w:color="auto"/>
                      </w:divBdr>
                    </w:div>
                  </w:divsChild>
                </w:div>
                <w:div w:id="1923490653">
                  <w:marLeft w:val="0"/>
                  <w:marRight w:val="0"/>
                  <w:marTop w:val="0"/>
                  <w:marBottom w:val="0"/>
                  <w:divBdr>
                    <w:top w:val="none" w:sz="0" w:space="0" w:color="auto"/>
                    <w:left w:val="none" w:sz="0" w:space="0" w:color="auto"/>
                    <w:bottom w:val="none" w:sz="0" w:space="0" w:color="auto"/>
                    <w:right w:val="none" w:sz="0" w:space="0" w:color="auto"/>
                  </w:divBdr>
                  <w:divsChild>
                    <w:div w:id="1192302480">
                      <w:marLeft w:val="0"/>
                      <w:marRight w:val="0"/>
                      <w:marTop w:val="0"/>
                      <w:marBottom w:val="0"/>
                      <w:divBdr>
                        <w:top w:val="none" w:sz="0" w:space="0" w:color="auto"/>
                        <w:left w:val="none" w:sz="0" w:space="0" w:color="auto"/>
                        <w:bottom w:val="none" w:sz="0" w:space="0" w:color="auto"/>
                        <w:right w:val="none" w:sz="0" w:space="0" w:color="auto"/>
                      </w:divBdr>
                    </w:div>
                  </w:divsChild>
                </w:div>
                <w:div w:id="1926068238">
                  <w:marLeft w:val="0"/>
                  <w:marRight w:val="0"/>
                  <w:marTop w:val="0"/>
                  <w:marBottom w:val="0"/>
                  <w:divBdr>
                    <w:top w:val="none" w:sz="0" w:space="0" w:color="auto"/>
                    <w:left w:val="none" w:sz="0" w:space="0" w:color="auto"/>
                    <w:bottom w:val="none" w:sz="0" w:space="0" w:color="auto"/>
                    <w:right w:val="none" w:sz="0" w:space="0" w:color="auto"/>
                  </w:divBdr>
                  <w:divsChild>
                    <w:div w:id="781996050">
                      <w:marLeft w:val="0"/>
                      <w:marRight w:val="0"/>
                      <w:marTop w:val="0"/>
                      <w:marBottom w:val="0"/>
                      <w:divBdr>
                        <w:top w:val="none" w:sz="0" w:space="0" w:color="auto"/>
                        <w:left w:val="none" w:sz="0" w:space="0" w:color="auto"/>
                        <w:bottom w:val="none" w:sz="0" w:space="0" w:color="auto"/>
                        <w:right w:val="none" w:sz="0" w:space="0" w:color="auto"/>
                      </w:divBdr>
                    </w:div>
                  </w:divsChild>
                </w:div>
                <w:div w:id="1967809324">
                  <w:marLeft w:val="0"/>
                  <w:marRight w:val="0"/>
                  <w:marTop w:val="0"/>
                  <w:marBottom w:val="0"/>
                  <w:divBdr>
                    <w:top w:val="none" w:sz="0" w:space="0" w:color="auto"/>
                    <w:left w:val="none" w:sz="0" w:space="0" w:color="auto"/>
                    <w:bottom w:val="none" w:sz="0" w:space="0" w:color="auto"/>
                    <w:right w:val="none" w:sz="0" w:space="0" w:color="auto"/>
                  </w:divBdr>
                  <w:divsChild>
                    <w:div w:id="183062273">
                      <w:marLeft w:val="0"/>
                      <w:marRight w:val="0"/>
                      <w:marTop w:val="0"/>
                      <w:marBottom w:val="0"/>
                      <w:divBdr>
                        <w:top w:val="none" w:sz="0" w:space="0" w:color="auto"/>
                        <w:left w:val="none" w:sz="0" w:space="0" w:color="auto"/>
                        <w:bottom w:val="none" w:sz="0" w:space="0" w:color="auto"/>
                        <w:right w:val="none" w:sz="0" w:space="0" w:color="auto"/>
                      </w:divBdr>
                    </w:div>
                  </w:divsChild>
                </w:div>
                <w:div w:id="1974670666">
                  <w:marLeft w:val="0"/>
                  <w:marRight w:val="0"/>
                  <w:marTop w:val="0"/>
                  <w:marBottom w:val="0"/>
                  <w:divBdr>
                    <w:top w:val="none" w:sz="0" w:space="0" w:color="auto"/>
                    <w:left w:val="none" w:sz="0" w:space="0" w:color="auto"/>
                    <w:bottom w:val="none" w:sz="0" w:space="0" w:color="auto"/>
                    <w:right w:val="none" w:sz="0" w:space="0" w:color="auto"/>
                  </w:divBdr>
                  <w:divsChild>
                    <w:div w:id="362368565">
                      <w:marLeft w:val="0"/>
                      <w:marRight w:val="0"/>
                      <w:marTop w:val="0"/>
                      <w:marBottom w:val="0"/>
                      <w:divBdr>
                        <w:top w:val="none" w:sz="0" w:space="0" w:color="auto"/>
                        <w:left w:val="none" w:sz="0" w:space="0" w:color="auto"/>
                        <w:bottom w:val="none" w:sz="0" w:space="0" w:color="auto"/>
                        <w:right w:val="none" w:sz="0" w:space="0" w:color="auto"/>
                      </w:divBdr>
                    </w:div>
                  </w:divsChild>
                </w:div>
                <w:div w:id="1988507167">
                  <w:marLeft w:val="0"/>
                  <w:marRight w:val="0"/>
                  <w:marTop w:val="0"/>
                  <w:marBottom w:val="0"/>
                  <w:divBdr>
                    <w:top w:val="none" w:sz="0" w:space="0" w:color="auto"/>
                    <w:left w:val="none" w:sz="0" w:space="0" w:color="auto"/>
                    <w:bottom w:val="none" w:sz="0" w:space="0" w:color="auto"/>
                    <w:right w:val="none" w:sz="0" w:space="0" w:color="auto"/>
                  </w:divBdr>
                  <w:divsChild>
                    <w:div w:id="1698921370">
                      <w:marLeft w:val="0"/>
                      <w:marRight w:val="0"/>
                      <w:marTop w:val="0"/>
                      <w:marBottom w:val="0"/>
                      <w:divBdr>
                        <w:top w:val="none" w:sz="0" w:space="0" w:color="auto"/>
                        <w:left w:val="none" w:sz="0" w:space="0" w:color="auto"/>
                        <w:bottom w:val="none" w:sz="0" w:space="0" w:color="auto"/>
                        <w:right w:val="none" w:sz="0" w:space="0" w:color="auto"/>
                      </w:divBdr>
                    </w:div>
                  </w:divsChild>
                </w:div>
                <w:div w:id="1996839326">
                  <w:marLeft w:val="0"/>
                  <w:marRight w:val="0"/>
                  <w:marTop w:val="0"/>
                  <w:marBottom w:val="0"/>
                  <w:divBdr>
                    <w:top w:val="none" w:sz="0" w:space="0" w:color="auto"/>
                    <w:left w:val="none" w:sz="0" w:space="0" w:color="auto"/>
                    <w:bottom w:val="none" w:sz="0" w:space="0" w:color="auto"/>
                    <w:right w:val="none" w:sz="0" w:space="0" w:color="auto"/>
                  </w:divBdr>
                  <w:divsChild>
                    <w:div w:id="1964340389">
                      <w:marLeft w:val="0"/>
                      <w:marRight w:val="0"/>
                      <w:marTop w:val="0"/>
                      <w:marBottom w:val="0"/>
                      <w:divBdr>
                        <w:top w:val="none" w:sz="0" w:space="0" w:color="auto"/>
                        <w:left w:val="none" w:sz="0" w:space="0" w:color="auto"/>
                        <w:bottom w:val="none" w:sz="0" w:space="0" w:color="auto"/>
                        <w:right w:val="none" w:sz="0" w:space="0" w:color="auto"/>
                      </w:divBdr>
                    </w:div>
                  </w:divsChild>
                </w:div>
                <w:div w:id="2040399417">
                  <w:marLeft w:val="0"/>
                  <w:marRight w:val="0"/>
                  <w:marTop w:val="0"/>
                  <w:marBottom w:val="0"/>
                  <w:divBdr>
                    <w:top w:val="none" w:sz="0" w:space="0" w:color="auto"/>
                    <w:left w:val="none" w:sz="0" w:space="0" w:color="auto"/>
                    <w:bottom w:val="none" w:sz="0" w:space="0" w:color="auto"/>
                    <w:right w:val="none" w:sz="0" w:space="0" w:color="auto"/>
                  </w:divBdr>
                  <w:divsChild>
                    <w:div w:id="13111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1185">
          <w:marLeft w:val="0"/>
          <w:marRight w:val="0"/>
          <w:marTop w:val="0"/>
          <w:marBottom w:val="0"/>
          <w:divBdr>
            <w:top w:val="none" w:sz="0" w:space="0" w:color="auto"/>
            <w:left w:val="none" w:sz="0" w:space="0" w:color="auto"/>
            <w:bottom w:val="none" w:sz="0" w:space="0" w:color="auto"/>
            <w:right w:val="none" w:sz="0" w:space="0" w:color="auto"/>
          </w:divBdr>
        </w:div>
      </w:divsChild>
    </w:div>
    <w:div w:id="1543203762">
      <w:bodyDiv w:val="1"/>
      <w:marLeft w:val="0"/>
      <w:marRight w:val="0"/>
      <w:marTop w:val="0"/>
      <w:marBottom w:val="0"/>
      <w:divBdr>
        <w:top w:val="none" w:sz="0" w:space="0" w:color="auto"/>
        <w:left w:val="none" w:sz="0" w:space="0" w:color="auto"/>
        <w:bottom w:val="none" w:sz="0" w:space="0" w:color="auto"/>
        <w:right w:val="none" w:sz="0" w:space="0" w:color="auto"/>
      </w:divBdr>
    </w:div>
    <w:div w:id="1688478242">
      <w:bodyDiv w:val="1"/>
      <w:marLeft w:val="0"/>
      <w:marRight w:val="0"/>
      <w:marTop w:val="0"/>
      <w:marBottom w:val="0"/>
      <w:divBdr>
        <w:top w:val="none" w:sz="0" w:space="0" w:color="auto"/>
        <w:left w:val="none" w:sz="0" w:space="0" w:color="auto"/>
        <w:bottom w:val="none" w:sz="0" w:space="0" w:color="auto"/>
        <w:right w:val="none" w:sz="0" w:space="0" w:color="auto"/>
      </w:divBdr>
    </w:div>
    <w:div w:id="1761221767">
      <w:bodyDiv w:val="1"/>
      <w:marLeft w:val="0"/>
      <w:marRight w:val="0"/>
      <w:marTop w:val="0"/>
      <w:marBottom w:val="0"/>
      <w:divBdr>
        <w:top w:val="none" w:sz="0" w:space="0" w:color="auto"/>
        <w:left w:val="none" w:sz="0" w:space="0" w:color="auto"/>
        <w:bottom w:val="none" w:sz="0" w:space="0" w:color="auto"/>
        <w:right w:val="none" w:sz="0" w:space="0" w:color="auto"/>
      </w:divBdr>
    </w:div>
    <w:div w:id="1783110704">
      <w:bodyDiv w:val="1"/>
      <w:marLeft w:val="0"/>
      <w:marRight w:val="0"/>
      <w:marTop w:val="0"/>
      <w:marBottom w:val="0"/>
      <w:divBdr>
        <w:top w:val="none" w:sz="0" w:space="0" w:color="auto"/>
        <w:left w:val="none" w:sz="0" w:space="0" w:color="auto"/>
        <w:bottom w:val="none" w:sz="0" w:space="0" w:color="auto"/>
        <w:right w:val="none" w:sz="0" w:space="0" w:color="auto"/>
      </w:divBdr>
      <w:divsChild>
        <w:div w:id="2109881434">
          <w:marLeft w:val="0"/>
          <w:marRight w:val="0"/>
          <w:marTop w:val="0"/>
          <w:marBottom w:val="0"/>
          <w:divBdr>
            <w:top w:val="none" w:sz="0" w:space="0" w:color="auto"/>
            <w:left w:val="none" w:sz="0" w:space="0" w:color="auto"/>
            <w:bottom w:val="none" w:sz="0" w:space="0" w:color="auto"/>
            <w:right w:val="none" w:sz="0" w:space="0" w:color="auto"/>
          </w:divBdr>
        </w:div>
      </w:divsChild>
    </w:div>
    <w:div w:id="1846624468">
      <w:bodyDiv w:val="1"/>
      <w:marLeft w:val="0"/>
      <w:marRight w:val="0"/>
      <w:marTop w:val="0"/>
      <w:marBottom w:val="0"/>
      <w:divBdr>
        <w:top w:val="none" w:sz="0" w:space="0" w:color="auto"/>
        <w:left w:val="none" w:sz="0" w:space="0" w:color="auto"/>
        <w:bottom w:val="none" w:sz="0" w:space="0" w:color="auto"/>
        <w:right w:val="none" w:sz="0" w:space="0" w:color="auto"/>
      </w:divBdr>
    </w:div>
    <w:div w:id="1977447852">
      <w:bodyDiv w:val="1"/>
      <w:marLeft w:val="0"/>
      <w:marRight w:val="0"/>
      <w:marTop w:val="0"/>
      <w:marBottom w:val="0"/>
      <w:divBdr>
        <w:top w:val="none" w:sz="0" w:space="0" w:color="auto"/>
        <w:left w:val="none" w:sz="0" w:space="0" w:color="auto"/>
        <w:bottom w:val="none" w:sz="0" w:space="0" w:color="auto"/>
        <w:right w:val="none" w:sz="0" w:space="0" w:color="auto"/>
      </w:divBdr>
      <w:divsChild>
        <w:div w:id="1035500068">
          <w:marLeft w:val="0"/>
          <w:marRight w:val="0"/>
          <w:marTop w:val="0"/>
          <w:marBottom w:val="0"/>
          <w:divBdr>
            <w:top w:val="none" w:sz="0" w:space="0" w:color="auto"/>
            <w:left w:val="none" w:sz="0" w:space="0" w:color="auto"/>
            <w:bottom w:val="none" w:sz="0" w:space="0" w:color="auto"/>
            <w:right w:val="none" w:sz="0" w:space="0" w:color="auto"/>
          </w:divBdr>
        </w:div>
        <w:div w:id="1749233417">
          <w:marLeft w:val="0"/>
          <w:marRight w:val="0"/>
          <w:marTop w:val="0"/>
          <w:marBottom w:val="0"/>
          <w:divBdr>
            <w:top w:val="none" w:sz="0" w:space="0" w:color="auto"/>
            <w:left w:val="none" w:sz="0" w:space="0" w:color="auto"/>
            <w:bottom w:val="none" w:sz="0" w:space="0" w:color="auto"/>
            <w:right w:val="none" w:sz="0" w:space="0" w:color="auto"/>
          </w:divBdr>
        </w:div>
      </w:divsChild>
    </w:div>
    <w:div w:id="2049530448">
      <w:bodyDiv w:val="1"/>
      <w:marLeft w:val="0"/>
      <w:marRight w:val="0"/>
      <w:marTop w:val="0"/>
      <w:marBottom w:val="0"/>
      <w:divBdr>
        <w:top w:val="none" w:sz="0" w:space="0" w:color="auto"/>
        <w:left w:val="none" w:sz="0" w:space="0" w:color="auto"/>
        <w:bottom w:val="none" w:sz="0" w:space="0" w:color="auto"/>
        <w:right w:val="none" w:sz="0" w:space="0" w:color="auto"/>
      </w:divBdr>
      <w:divsChild>
        <w:div w:id="590553821">
          <w:marLeft w:val="0"/>
          <w:marRight w:val="0"/>
          <w:marTop w:val="0"/>
          <w:marBottom w:val="0"/>
          <w:divBdr>
            <w:top w:val="none" w:sz="0" w:space="0" w:color="auto"/>
            <w:left w:val="none" w:sz="0" w:space="0" w:color="auto"/>
            <w:bottom w:val="none" w:sz="0" w:space="0" w:color="auto"/>
            <w:right w:val="none" w:sz="0" w:space="0" w:color="auto"/>
          </w:divBdr>
        </w:div>
        <w:div w:id="594242602">
          <w:marLeft w:val="0"/>
          <w:marRight w:val="0"/>
          <w:marTop w:val="0"/>
          <w:marBottom w:val="0"/>
          <w:divBdr>
            <w:top w:val="none" w:sz="0" w:space="0" w:color="auto"/>
            <w:left w:val="none" w:sz="0" w:space="0" w:color="auto"/>
            <w:bottom w:val="none" w:sz="0" w:space="0" w:color="auto"/>
            <w:right w:val="none" w:sz="0" w:space="0" w:color="auto"/>
          </w:divBdr>
        </w:div>
      </w:divsChild>
    </w:div>
    <w:div w:id="2080590655">
      <w:bodyDiv w:val="1"/>
      <w:marLeft w:val="0"/>
      <w:marRight w:val="0"/>
      <w:marTop w:val="0"/>
      <w:marBottom w:val="0"/>
      <w:divBdr>
        <w:top w:val="none" w:sz="0" w:space="0" w:color="auto"/>
        <w:left w:val="none" w:sz="0" w:space="0" w:color="auto"/>
        <w:bottom w:val="none" w:sz="0" w:space="0" w:color="auto"/>
        <w:right w:val="none" w:sz="0" w:space="0" w:color="auto"/>
      </w:divBdr>
    </w:div>
    <w:div w:id="20992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si@nationalarchives.gsi.gov.uk" TargetMode="External" Id="rId13" /><Relationship Type="http://schemas.openxmlformats.org/officeDocument/2006/relationships/hyperlink" Target="https://science-and-innovation-network.s3.eu-west-2.amazonaws.com/BEIS+ICF/REM/REM+Annual+Review+2021-22.docx" TargetMode="External" Id="rId18" /><Relationship Type="http://schemas.openxmlformats.org/officeDocument/2006/relationships/hyperlink" Target="https://beisgov.sharepoint.com/:w:/r/sites/ICF/_layouts/15/Doc.aspx?sourcedoc=%7B9049ECD9-A424-4474-BF56-C9E6618C6767%7D&amp;file=Annex%20T%20-%20Climate%20Risk%20Assurance%20-%20REDD%20Early%20Movers.docx&amp;action=default&amp;mobileredirect=true" TargetMode="External" Id="rId26" /><Relationship Type="http://schemas.openxmlformats.org/officeDocument/2006/relationships/customXml" Target="../customXml/item3.xml" Id="rId3" /><Relationship Type="http://schemas.microsoft.com/office/2016/09/relationships/commentsIds" Target="commentsIds.xml" Id="rId21" /><Relationship Type="http://schemas.microsoft.com/office/2019/05/relationships/documenttasks" Target="documenttasks/documenttasks1.xml" Id="rId34" /><Relationship Type="http://schemas.openxmlformats.org/officeDocument/2006/relationships/styles" Target="styles.xml" Id="rId7" /><Relationship Type="http://schemas.openxmlformats.org/officeDocument/2006/relationships/hyperlink" Target="http://nationalarchives.gov.uk/doc/open-government-licence/version/3/" TargetMode="External" Id="rId12" /><Relationship Type="http://schemas.openxmlformats.org/officeDocument/2006/relationships/hyperlink" Target="https://science-and-innovation-network.s3.eu-west-2.amazonaws.com/BEIS+ICF/REM/REM+Logframe+2021-22.xlsx" TargetMode="External" Id="rId17" /><Relationship Type="http://schemas.openxmlformats.org/officeDocument/2006/relationships/image" Target="media/image2.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aidstream.org/files/documents/REM-Business-Case-Extension-20180322030336.pdf" TargetMode="External" Id="rId16" /><Relationship Type="http://schemas.microsoft.com/office/2011/relationships/commentsExtended" Target="commentsExtended.xm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1.png" Id="rId24" /><Relationship Type="http://schemas.microsoft.com/office/2011/relationships/people" Target="people.xml" Id="rId32" /><Relationship Type="http://schemas.openxmlformats.org/officeDocument/2006/relationships/customXml" Target="../customXml/item5.xml" Id="rId5" /><Relationship Type="http://schemas.openxmlformats.org/officeDocument/2006/relationships/hyperlink" Target="https://aidstream.org/files/documents/REM-Amazon-Vision-Business-Case-20170308120302.pdf" TargetMode="External" Id="rId15" /><Relationship Type="http://schemas.openxmlformats.org/officeDocument/2006/relationships/hyperlink" Target="https://agroicone.com.br/"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ODA-Transparency@beis.gov.uk" TargetMode="External" Id="rId14"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2" Type="http://schemas.openxmlformats.org/officeDocument/2006/relationships/hyperlink" Target="https://rem.sema.mt.gov.br/en/" TargetMode="External"/><Relationship Id="rId1" Type="http://schemas.openxmlformats.org/officeDocument/2006/relationships/hyperlink" Target="https://rem.sema.mt.gov.br/en/territorios-indigen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130F46B-7D25-4B6C-9F3D-E01D6CF99AE1}">
    <t:Anchor>
      <t:Comment id="458884299"/>
    </t:Anchor>
    <t:History>
      <t:Event id="{5789054C-5C8B-4B57-BB18-6AB9FD0A1C1B}" time="2024-12-17T09:04:41.19Z">
        <t:Attribution userId="S::tim.mcneill@energysecurity.gov.uk::132d74ed-b374-4d7a-97ae-4e8bc4d49e31" userProvider="AD" userName="Mcneill, Tim (Energy Security)"/>
        <t:Anchor>
          <t:Comment id="458884299"/>
        </t:Anchor>
        <t:Create/>
      </t:Event>
      <t:Event id="{FA0650A3-C16C-4E5C-98F5-A36A32035E15}" time="2024-12-17T09:04:41.19Z">
        <t:Attribution userId="S::tim.mcneill@energysecurity.gov.uk::132d74ed-b374-4d7a-97ae-4e8bc4d49e31" userProvider="AD" userName="Mcneill, Tim (Energy Security)"/>
        <t:Anchor>
          <t:Comment id="458884299"/>
        </t:Anchor>
        <t:Assign userId="S::Svenja.Bunte@energysecurity.gov.uk::5c92925f-0ace-4d3f-97a8-fb7c5bb0b47a" userProvider="AD" userName="Bunte, Svenja (Energy Security)"/>
      </t:Event>
      <t:Event id="{10611CD0-6370-4AFA-BD2A-49A6E77AEB49}" time="2024-12-17T09:04:41.19Z">
        <t:Attribution userId="S::tim.mcneill@energysecurity.gov.uk::132d74ed-b374-4d7a-97ae-4e8bc4d49e31" userProvider="AD" userName="Mcneill, Tim (Energy Security)"/>
        <t:Anchor>
          <t:Comment id="458884299"/>
        </t:Anchor>
        <t:SetTitle title="@Bunte, Svenja (Energy Security) can you add a sentence explaining what this is"/>
      </t:Event>
    </t:History>
  </t:Task>
  <t:Task id="{DAF4388A-09F2-4478-AC9D-78F7B92E7094}">
    <t:Anchor>
      <t:Comment id="1355499851"/>
    </t:Anchor>
    <t:History>
      <t:Event id="{08D37A33-A82F-4890-9971-D7EED851547C}" time="2024-12-06T18:32:50.208Z">
        <t:Attribution userId="S::Henry.Parrin@energysecurity.gov.uk::698aed9b-778b-45fe-bc9f-80a3bef660cd" userProvider="AD" userName="Parrin, Henry (Energy Security)"/>
        <t:Anchor>
          <t:Comment id="1355499851"/>
        </t:Anchor>
        <t:Create/>
      </t:Event>
      <t:Event id="{B63DF049-1E83-4091-AA04-D784C06829C4}" time="2024-12-06T18:32:50.208Z">
        <t:Attribution userId="S::Henry.Parrin@energysecurity.gov.uk::698aed9b-778b-45fe-bc9f-80a3bef660cd" userProvider="AD" userName="Parrin, Henry (Energy Security)"/>
        <t:Anchor>
          <t:Comment id="1355499851"/>
        </t:Anchor>
        <t:Assign userId="S::Philip.Jones3@energysecurity.gov.uk::81fb2a18-2ae0-4b38-83fe-c36798b88f4a" userProvider="AD" userName="Jones3, Philip (Energy Security)"/>
      </t:Event>
      <t:Event id="{00DD78F9-0F98-4D88-BE39-0A60CD6E3CD8}" time="2024-12-06T18:32:50.208Z">
        <t:Attribution userId="S::Henry.Parrin@energysecurity.gov.uk::698aed9b-778b-45fe-bc9f-80a3bef660cd" userProvider="AD" userName="Parrin, Henry (Energy Security)"/>
        <t:Anchor>
          <t:Comment id="1355499851"/>
        </t:Anchor>
        <t:SetTitle title="@Jones3, Philip (Energy Security) does this mean we shouldn’t account for it when doing the overall scoring for this output? (and with Indicator 9 as well?)"/>
      </t:Event>
      <t:Event id="{FA590A5D-C848-4E99-BBE7-52540BAEAE18}" time="2024-12-23T11:20:03.09Z">
        <t:Attribution userId="S::Svenja.Bunte@energysecurity.gov.uk::5c92925f-0ace-4d3f-97a8-fb7c5bb0b47a" userProvider="AD" userName="Bunte, Svenja (Energy Security)"/>
        <t:Progress percentComplete="100"/>
      </t:Event>
    </t:History>
  </t:Task>
  <t:Task id="{F9FE79C3-12D3-4F7B-887E-C298BA94C7AF}">
    <t:Anchor>
      <t:Comment id="1725481072"/>
    </t:Anchor>
    <t:History>
      <t:Event id="{C999A1FF-B205-4D45-9516-9947FBCB8133}" time="2024-12-17T08:52:16.554Z">
        <t:Attribution userId="S::tim.mcneill@energysecurity.gov.uk::132d74ed-b374-4d7a-97ae-4e8bc4d49e31" userProvider="AD" userName="Mcneill, Tim (Energy Security)"/>
        <t:Anchor>
          <t:Comment id="1725481072"/>
        </t:Anchor>
        <t:Create/>
      </t:Event>
      <t:Event id="{F30E046C-DD37-458D-AB0D-35D2CA96D609}" time="2024-12-17T08:52:16.554Z">
        <t:Attribution userId="S::tim.mcneill@energysecurity.gov.uk::132d74ed-b374-4d7a-97ae-4e8bc4d49e31" userProvider="AD" userName="Mcneill, Tim (Energy Security)"/>
        <t:Anchor>
          <t:Comment id="1725481072"/>
        </t:Anchor>
        <t:Assign userId="S::Svenja.Bunte@energysecurity.gov.uk::5c92925f-0ace-4d3f-97a8-fb7c5bb0b47a" userProvider="AD" userName="Bunte, Svenja (Energy Security)"/>
      </t:Event>
      <t:Event id="{572D0670-905B-43BF-9DB4-1944539EF238}" time="2024-12-17T08:52:16.554Z">
        <t:Attribution userId="S::tim.mcneill@energysecurity.gov.uk::132d74ed-b374-4d7a-97ae-4e8bc4d49e31" userProvider="AD" userName="Mcneill, Tim (Energy Security)"/>
        <t:Anchor>
          <t:Comment id="1725481072"/>
        </t:Anchor>
        <t:SetTitle title="@Bunte, Svenja (Energy Security) compared to when / what period?"/>
      </t:Event>
      <t:Event id="{A56E9B58-109E-4115-A04A-8857DD9C4646}" time="2024-12-23T10:57:01.531Z">
        <t:Attribution userId="S::Svenja.Bunte@energysecurity.gov.uk::5c92925f-0ace-4d3f-97a8-fb7c5bb0b47a" userProvider="AD" userName="Bunte, Svenja (Energy Security)"/>
        <t:Progress percentComplete="100"/>
      </t:Event>
    </t:History>
  </t:Task>
  <t:Task id="{12121969-4D34-44F5-ADC6-4650C94DB496}">
    <t:Anchor>
      <t:Comment id="2120273395"/>
    </t:Anchor>
    <t:History>
      <t:Event id="{236A324C-34C5-4244-BC5A-A1945FC9FF0B}" time="2024-12-17T09:02:30.501Z">
        <t:Attribution userId="S::tim.mcneill@energysecurity.gov.uk::132d74ed-b374-4d7a-97ae-4e8bc4d49e31" userProvider="AD" userName="Mcneill, Tim (Energy Security)"/>
        <t:Anchor>
          <t:Comment id="2120273395"/>
        </t:Anchor>
        <t:Create/>
      </t:Event>
      <t:Event id="{75DCA362-26DF-4860-AB8A-17B0690B696A}" time="2024-12-17T09:02:30.501Z">
        <t:Attribution userId="S::tim.mcneill@energysecurity.gov.uk::132d74ed-b374-4d7a-97ae-4e8bc4d49e31" userProvider="AD" userName="Mcneill, Tim (Energy Security)"/>
        <t:Anchor>
          <t:Comment id="2120273395"/>
        </t:Anchor>
        <t:Assign userId="S::Svenja.Bunte@energysecurity.gov.uk::5c92925f-0ace-4d3f-97a8-fb7c5bb0b47a" userProvider="AD" userName="Bunte, Svenja (Energy Security)"/>
      </t:Event>
      <t:Event id="{71F8DE5A-524D-4DE0-9696-D9B63EFEBDCD}" time="2024-12-17T09:02:30.501Z">
        <t:Attribution userId="S::tim.mcneill@energysecurity.gov.uk::132d74ed-b374-4d7a-97ae-4e8bc4d49e31" userProvider="AD" userName="Mcneill, Tim (Energy Security)"/>
        <t:Anchor>
          <t:Comment id="2120273395"/>
        </t:Anchor>
        <t:SetTitle title="@Bunte, Svenja (Energy Security) I don't think that it's just that the link is not linear - we need to say that we don't have evidence of a causal link and we don't have evidence of correlation (unless you do), Is there a recommendation here that we …"/>
      </t:Event>
      <t:Event id="{8F72873C-5E50-436D-9517-DEDB14F8FF93}" time="2024-12-23T16:58:17.573Z">
        <t:Attribution userId="S::svenja.bunte@energysecurity.gov.uk::5c92925f-0ace-4d3f-97a8-fb7c5bb0b47a" userProvider="AD" userName="Bunte, Svenja (Energy Security)"/>
        <t:Progress percentComplete="100"/>
      </t:Event>
    </t:History>
  </t:Task>
  <t:Task id="{D31304E0-B50C-46E8-9824-D4B47445C9F2}">
    <t:Anchor>
      <t:Comment id="1310163644"/>
    </t:Anchor>
    <t:History>
      <t:Event id="{A37E3A74-D76E-4B8D-96EB-7DD2930DD86C}" time="2024-12-17T08:58:48.438Z">
        <t:Attribution userId="S::tim.mcneill@energysecurity.gov.uk::132d74ed-b374-4d7a-97ae-4e8bc4d49e31" userProvider="AD" userName="Mcneill, Tim (Energy Security)"/>
        <t:Anchor>
          <t:Comment id="1310163644"/>
        </t:Anchor>
        <t:Create/>
      </t:Event>
      <t:Event id="{8C8EDBDB-FB7E-4CFE-B3AB-B1F37E018EEA}" time="2024-12-17T08:58:48.438Z">
        <t:Attribution userId="S::tim.mcneill@energysecurity.gov.uk::132d74ed-b374-4d7a-97ae-4e8bc4d49e31" userProvider="AD" userName="Mcneill, Tim (Energy Security)"/>
        <t:Anchor>
          <t:Comment id="1310163644"/>
        </t:Anchor>
        <t:Assign userId="S::Svenja.Bunte@energysecurity.gov.uk::5c92925f-0ace-4d3f-97a8-fb7c5bb0b47a" userProvider="AD" userName="Bunte, Svenja (Energy Security)"/>
      </t:Event>
      <t:Event id="{BEE2E12F-523A-46B6-889E-2B4DE50585E8}" time="2024-12-17T08:58:48.438Z">
        <t:Attribution userId="S::tim.mcneill@energysecurity.gov.uk::132d74ed-b374-4d7a-97ae-4e8bc4d49e31" userProvider="AD" userName="Mcneill, Tim (Energy Security)"/>
        <t:Anchor>
          <t:Comment id="1310163644"/>
        </t:Anchor>
        <t:SetTitle title="@Bunte, Svenja (Energy Security) this seems quite critical... why has it not been achieved and can we hold back payment? what are the implications here of not implementing safeguards?"/>
      </t:Event>
      <t:Event id="{A48F8778-3838-45C9-9192-3C11E94D45CA}" time="2024-12-23T10:58:13.627Z">
        <t:Attribution userId="S::Svenja.Bunte@energysecurity.gov.uk::5c92925f-0ace-4d3f-97a8-fb7c5bb0b47a" userProvider="AD" userName="Bunte, Svenja (Energy Security)"/>
        <t:Progress percentComplete="100"/>
      </t:Event>
    </t:History>
  </t:Task>
  <t:Task id="{9EEF14D5-1FA8-423B-9027-BE2848709675}">
    <t:Anchor>
      <t:Comment id="467723459"/>
    </t:Anchor>
    <t:History>
      <t:Event id="{EC8D058C-8039-4D85-B8FA-D761D9A11362}" time="2024-12-17T09:06:50.204Z">
        <t:Attribution userId="S::tim.mcneill@energysecurity.gov.uk::132d74ed-b374-4d7a-97ae-4e8bc4d49e31" userProvider="AD" userName="Mcneill, Tim (Energy Security)"/>
        <t:Anchor>
          <t:Comment id="467723459"/>
        </t:Anchor>
        <t:Create/>
      </t:Event>
      <t:Event id="{50E2F31E-F695-4B6B-8DC8-06FB98CDA44E}" time="2024-12-17T09:06:50.204Z">
        <t:Attribution userId="S::tim.mcneill@energysecurity.gov.uk::132d74ed-b374-4d7a-97ae-4e8bc4d49e31" userProvider="AD" userName="Mcneill, Tim (Energy Security)"/>
        <t:Anchor>
          <t:Comment id="467723459"/>
        </t:Anchor>
        <t:Assign userId="S::Svenja.Bunte@energysecurity.gov.uk::5c92925f-0ace-4d3f-97a8-fb7c5bb0b47a" userProvider="AD" userName="Bunte, Svenja (Energy Security)"/>
      </t:Event>
      <t:Event id="{D69073C9-F024-4B94-81B5-6C006229C915}" time="2024-12-17T09:06:50.204Z">
        <t:Attribution userId="S::tim.mcneill@energysecurity.gov.uk::132d74ed-b374-4d7a-97ae-4e8bc4d49e31" userProvider="AD" userName="Mcneill, Tim (Energy Security)"/>
        <t:Anchor>
          <t:Comment id="467723459"/>
        </t:Anchor>
        <t:SetTitle title="@Bunte, Svenja (Energy Security) is this not 4...?"/>
      </t:Event>
      <t:Event id="{3A204915-8514-40F0-A658-2EA0C0DB93CD}" time="2024-12-23T11:19:57.733Z">
        <t:Attribution userId="S::Svenja.Bunte@energysecurity.gov.uk::5c92925f-0ace-4d3f-97a8-fb7c5bb0b47a" userProvider="AD" userName="Bunte, Svenja (Energy Securit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1" ma:contentTypeDescription="Create a new document." ma:contentTypeScope="" ma:versionID="a8db199c007e854cc6042756a819d245">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281e53aa03d71f3d6d4a8e6eb6a928a7"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element ref="ns5:Comments_x002f_keyel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element name="Comments_x002f_keyelements" ma:index="36" nillable="true" ma:displayName="Comments/key elements" ma:description="Include info on any key points covered in key emails" ma:format="Dropdown" ma:internalName="Comments_x002f_keyele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N3MC4NMT5URJ-1164569100-14492</_dlc_DocId>
    <TaxCatchAll xmlns="839018be-1fd5-46c8-bb5f-8e5f297ce001">
      <Value>3</Value>
      <Value>2</Value>
      <Value>1</Value>
    </TaxCatchAll>
    <_dlc_DocIdUrl xmlns="839018be-1fd5-46c8-bb5f-8e5f297ce001">
      <Url>https://beisgov.sharepoint.com/sites/InternationalForests-EXT-OS/_layouts/15/DocIdRedir.aspx?ID=N3MC4NMT5URJ-1164569100-14492</Url>
      <Description>N3MC4NMT5URJ-1164569100-14492</Description>
    </_dlc_DocIdUrl>
    <SharedWithUsers xmlns="839018be-1fd5-46c8-bb5f-8e5f297ce001">
      <UserInfo>
        <DisplayName>zz_Bray, Callum (BEIS)</DisplayName>
        <AccountId>2925</AccountId>
        <AccountType/>
      </UserInfo>
      <UserInfo>
        <DisplayName>zz_Lugt, Ellie (International - Climate and Energy)</DisplayName>
        <AccountId>662</AccountId>
        <AccountType/>
      </UserInfo>
      <UserInfo>
        <DisplayName>White, James (DSIT)</DisplayName>
        <AccountId>475</AccountId>
        <AccountType/>
      </UserInfo>
      <UserInfo>
        <DisplayName>zz_Walter, Poppy (NZBI - Domestic)</DisplayName>
        <AccountId>1016</AccountId>
        <AccountType/>
      </UserInfo>
      <UserInfo>
        <DisplayName>zz_Robinson, Giulia (International - Climate and Energy)</DisplayName>
        <AccountId>2926</AccountId>
        <AccountType/>
      </UserInfo>
      <UserInfo>
        <DisplayName>zz_Hughes, Catriona (Business Sectors - Infrastructure &amp; Materials)</DisplayName>
        <AccountId>2927</AccountId>
        <AccountType/>
      </UserInfo>
      <UserInfo>
        <DisplayName>zz_White, Alastair (NZSI - International Net Zero)</DisplayName>
        <AccountId>2928</AccountId>
        <AccountType/>
      </UserInfo>
      <UserInfo>
        <DisplayName>zz_Andrews, Sophie (International - Climate and Energy)</DisplayName>
        <AccountId>1913</AccountId>
        <AccountType/>
      </UserInfo>
      <UserInfo>
        <DisplayName>Patrick, Niall (Energy Security)</DisplayName>
        <AccountId>2929</AccountId>
        <AccountType/>
      </UserInfo>
      <UserInfo>
        <DisplayName>zz_Stathakopoulou, Christina (NZSI - International Net Zero)</DisplayName>
        <AccountId>219</AccountId>
        <AccountType/>
      </UserInfo>
      <UserInfo>
        <DisplayName>zz_Sardeson, Lottie (Intl Climate Finance - Investments)</DisplayName>
        <AccountId>2930</AccountId>
        <AccountType/>
      </UserInfo>
      <UserInfo>
        <DisplayName>zz_Donegan, Brendan (Energy Security)</DisplayName>
        <AccountId>1949</AccountId>
        <AccountType/>
      </UserInfo>
      <UserInfo>
        <DisplayName>zz_Gibbs, Douglas (Intl Climate Finance - Investments)</DisplayName>
        <AccountId>732</AccountId>
        <AccountType/>
      </UserInfo>
      <UserInfo>
        <DisplayName>zz_Mills, Sarah (Intl Climate Finance - Investments)</DisplayName>
        <AccountId>1934</AccountId>
        <AccountType/>
      </UserInfo>
      <UserInfo>
        <DisplayName>Farmer, Will (Energy Security)</DisplayName>
        <AccountId>646</AccountId>
        <AccountType/>
      </UserInfo>
      <UserInfo>
        <DisplayName>zz_Ahmed, Tajbee (Energy Security)</DisplayName>
        <AccountId>957</AccountId>
        <AccountType/>
      </UserInfo>
      <UserInfo>
        <DisplayName>zz_Evans, Sian (Intl Climate Finance - Partnerships)</DisplayName>
        <AccountId>473</AccountId>
        <AccountType/>
      </UserInfo>
      <UserInfo>
        <DisplayName>Davis, Owen (Energy Security)</DisplayName>
        <AccountId>661</AccountId>
        <AccountType/>
      </UserInfo>
      <UserInfo>
        <DisplayName>Coverdale, Ellen (Energy Security)</DisplayName>
        <AccountId>811</AccountId>
        <AccountType/>
      </UserInfo>
      <UserInfo>
        <DisplayName>zz_Kasliwal, Pritika (Intl Climate Finance - Partnerships)</DisplayName>
        <AccountId>1953</AccountId>
        <AccountType/>
      </UserInfo>
      <UserInfo>
        <DisplayName>Hirschhausen, Lara (Energy Security)</DisplayName>
        <AccountId>391</AccountId>
        <AccountType/>
      </UserInfo>
      <UserInfo>
        <DisplayName>zz_Le Quesne, Felicity (NZSI - International Forests Hub)</DisplayName>
        <AccountId>23</AccountId>
        <AccountType/>
      </UserInfo>
      <UserInfo>
        <DisplayName>zz_Ashworth, Francesca (Science, Research &amp; Innovation)</DisplayName>
        <AccountId>1914</AccountId>
        <AccountType/>
      </UserInfo>
      <UserInfo>
        <DisplayName>zz_Tomlinson, Luke (Intl Climate Finance - Investments)</DisplayName>
        <AccountId>2535</AccountId>
        <AccountType/>
      </UserInfo>
      <UserInfo>
        <DisplayName>zz_Schuler, Nina (International - Climate and Energy)</DisplayName>
        <AccountId>2931</AccountId>
        <AccountType/>
      </UserInfo>
      <UserInfo>
        <DisplayName>Olubodun, Lekan (Energy Security)</DisplayName>
        <AccountId>129</AccountId>
        <AccountType/>
      </UserInfo>
      <UserInfo>
        <DisplayName>zz_Augustin, Sidney (DSIT)</DisplayName>
        <AccountId>1946</AccountId>
        <AccountType/>
      </UserInfo>
      <UserInfo>
        <DisplayName>zz_Liehr, Estefania (Intl Climate Finance - Investments)</DisplayName>
        <AccountId>100</AccountId>
        <AccountType/>
      </UserInfo>
      <UserInfo>
        <DisplayName>veronica.robledo</DisplayName>
        <AccountId>105</AccountId>
        <AccountType/>
      </UserInfo>
      <UserInfo>
        <DisplayName>lina.penuela@fcdo.gov.uk</DisplayName>
        <AccountId>457</AccountId>
        <AccountType/>
      </UserInfo>
      <UserInfo>
        <DisplayName>natalia.rodriguez</DisplayName>
        <AccountId>458</AccountId>
        <AccountType/>
      </UserInfo>
      <UserInfo>
        <DisplayName>Veronica Robledo (Sensitive)</DisplayName>
        <AccountId>127</AccountId>
        <AccountType/>
      </UserInfo>
      <UserInfo>
        <DisplayName>Lina Penuela (Sensitive)</DisplayName>
        <AccountId>976</AccountId>
        <AccountType/>
      </UserInfo>
      <UserInfo>
        <DisplayName>Natalia Rodriguez (Sensitive)</DisplayName>
        <AccountId>1926</AccountId>
        <AccountType/>
      </UserInfo>
      <UserInfo>
        <DisplayName>zz_Caravani, Alice (Energy Security)</DisplayName>
        <AccountId>390</AccountId>
        <AccountType/>
      </UserInfo>
      <UserInfo>
        <DisplayName>zz_Unadkat, Kavi (International - Climate and Energy)</DisplayName>
        <AccountId>2533</AccountId>
        <AccountType/>
      </UserInfo>
      <UserInfo>
        <DisplayName>zz_Rose, Ginny (International - Climate and Energy)</DisplayName>
        <AccountId>2932</AccountId>
        <AccountType/>
      </UserInfo>
      <UserInfo>
        <DisplayName>Baillie, Jack (NZSI - International Net Zero)</DisplayName>
        <AccountId>983</AccountId>
        <AccountType/>
      </UserInfo>
      <UserInfo>
        <DisplayName>zz_Al-Sibassi, Eman (Energy Security)</DisplayName>
        <AccountId>1919</AccountId>
        <AccountType/>
      </UserInfo>
      <UserInfo>
        <DisplayName>zz_Enevoldsen, Chloe (NZSI - International Net Zero)</DisplayName>
        <AccountId>134</AccountId>
        <AccountType/>
      </UserInfo>
      <UserInfo>
        <DisplayName>zz_Carro, Inigo (BEIS)</DisplayName>
        <AccountId>2933</AccountId>
        <AccountType/>
      </UserInfo>
      <UserInfo>
        <DisplayName>zz_Kennedy, Ruth (Intl Climate Finance - Investments)</DisplayName>
        <AccountId>1937</AccountId>
        <AccountType/>
      </UserInfo>
      <UserInfo>
        <DisplayName>zz_Pettem, Sarah (Intl Climate Finance - Portfolio)</DisplayName>
        <AccountId>36</AccountId>
        <AccountType/>
      </UserInfo>
      <UserInfo>
        <DisplayName>zz_Hodgetts, George (NZSI - International Net Zero)</DisplayName>
        <AccountId>199</AccountId>
        <AccountType/>
      </UserInfo>
      <UserInfo>
        <DisplayName>zz_Keene, Alexander (Topps - National Security &amp; International)</DisplayName>
        <AccountId>476</AccountId>
        <AccountType/>
      </UserInfo>
      <UserInfo>
        <DisplayName>zz_Hillson, Isabelle (Energy Security)</DisplayName>
        <AccountId>763</AccountId>
        <AccountType/>
      </UserInfo>
      <UserInfo>
        <DisplayName>Smithers, William (Energy Security)</DisplayName>
        <AccountId>106</AccountId>
        <AccountType/>
      </UserInfo>
      <UserInfo>
        <DisplayName>Bunte, Svenja (Energy Security)</DisplayName>
        <AccountId>21</AccountId>
        <AccountType/>
      </UserInfo>
      <UserInfo>
        <DisplayName>Jones3, Philip (Energy Security)</DisplayName>
        <AccountId>746</AccountId>
        <AccountType/>
      </UserInfo>
      <UserInfo>
        <DisplayName>Sarah Pettem</DisplayName>
        <AccountId>122</AccountId>
        <AccountType/>
      </UserInfo>
      <UserInfo>
        <DisplayName>Boustead, Rebecca (Energy Security)</DisplayName>
        <AccountId>1666</AccountId>
        <AccountType/>
      </UserInfo>
      <UserInfo>
        <DisplayName>Evans, Rachael (Energy Security)</DisplayName>
        <AccountId>713</AccountId>
        <AccountType/>
      </UserInfo>
      <UserInfo>
        <DisplayName>zz_LeNagard, Clementine (Energy Security)</DisplayName>
        <AccountId>1755</AccountId>
        <AccountType/>
      </UserInfo>
      <UserInfo>
        <DisplayName>zz_Birkett, Joe (Energy Security)</DisplayName>
        <AccountId>745</AccountId>
        <AccountType/>
      </UserInfo>
      <UserInfo>
        <DisplayName>Poletti, Monica (Energy Security)</DisplayName>
        <AccountId>446</AccountId>
        <AccountType/>
      </UserInfo>
      <UserInfo>
        <DisplayName>Flanagan, Thomas (Energy Security)</DisplayName>
        <AccountId>2934</AccountId>
        <AccountType/>
      </UserInfo>
      <UserInfo>
        <DisplayName>Evans, Jacob (Energy Security)</DisplayName>
        <AccountId>984</AccountId>
        <AccountType/>
      </UserInfo>
      <UserInfo>
        <DisplayName>zz_Wong2, Matthew (Energy Security)</DisplayName>
        <AccountId>985</AccountId>
        <AccountType/>
      </UserInfo>
      <UserInfo>
        <DisplayName>zz_Haddad, Marie (Energy Security)</DisplayName>
        <AccountId>823</AccountId>
        <AccountType/>
      </UserInfo>
      <UserInfo>
        <DisplayName>Carroll, Sabrina (Energy Security)</DisplayName>
        <AccountId>681</AccountId>
        <AccountType/>
      </UserInfo>
      <UserInfo>
        <DisplayName>zz_Norman-Rhodes, Alex (Energy Security)</DisplayName>
        <AccountId>445</AccountId>
        <AccountType/>
      </UserInfo>
      <UserInfo>
        <DisplayName>Connolly, Michael (Energy Security)</DisplayName>
        <AccountId>1437</AccountId>
        <AccountType/>
      </UserInfo>
      <UserInfo>
        <DisplayName>zz_Salt, Fred (NZSI - International Net Zero )</DisplayName>
        <AccountId>824</AccountId>
        <AccountType/>
      </UserInfo>
      <UserInfo>
        <DisplayName>Parris, Francesca (Energy Security)</DisplayName>
        <AccountId>55</AccountId>
        <AccountType/>
      </UserInfo>
      <UserInfo>
        <DisplayName>Sanyal, Sean (Energy Security)</DisplayName>
        <AccountId>543</AccountId>
        <AccountType/>
      </UserInfo>
      <UserInfo>
        <DisplayName>zz_Bertrand, Jeromine (Energy Security)</DisplayName>
        <AccountId>22</AccountId>
        <AccountType/>
      </UserInfo>
      <UserInfo>
        <DisplayName>Apine, Alina (Energy Security)</DisplayName>
        <AccountId>1383</AccountId>
        <AccountType/>
      </UserInfo>
      <UserInfo>
        <DisplayName>Hampton-Ball, Simon (Energy Security)</DisplayName>
        <AccountId>1136</AccountId>
        <AccountType/>
      </UserInfo>
      <UserInfo>
        <DisplayName>zz_Wastie, Tayah (Energy Security)</DisplayName>
        <AccountId>381</AccountId>
        <AccountType/>
      </UserInfo>
      <UserInfo>
        <DisplayName>zz_Rodriguez, Poppy (Energy Security)</DisplayName>
        <AccountId>1227</AccountId>
        <AccountType/>
      </UserInfo>
      <UserInfo>
        <DisplayName>zz_Livesey, Renee (Energy Security)</DisplayName>
        <AccountId>296</AccountId>
        <AccountType/>
      </UserInfo>
      <UserInfo>
        <DisplayName>Shipley, Chris (Energy Security)</DisplayName>
        <AccountId>102</AccountId>
        <AccountType/>
      </UserInfo>
      <UserInfo>
        <DisplayName>Bennett, Victoria (Energy Security)</DisplayName>
        <AccountId>1859</AccountId>
        <AccountType/>
      </UserInfo>
      <UserInfo>
        <DisplayName>Stringer, Fiona (Energy Security)</DisplayName>
        <AccountId>29</AccountId>
        <AccountType/>
      </UserInfo>
      <UserInfo>
        <DisplayName>Situ, Victoria (Energy Security)</DisplayName>
        <AccountId>663</AccountId>
        <AccountType/>
      </UserInfo>
      <UserInfo>
        <DisplayName>Mohammadpour, Parmida (Energy Security)</DisplayName>
        <AccountId>1046</AccountId>
        <AccountType/>
      </UserInfo>
      <UserInfo>
        <DisplayName>Parrin, Henry (Energy Security)</DisplayName>
        <AccountId>24</AccountId>
        <AccountType/>
      </UserInfo>
      <UserInfo>
        <DisplayName>Millar, Nico (Energy Security)</DisplayName>
        <AccountId>1604</AccountId>
        <AccountType/>
      </UserInfo>
    </SharedWithUsers>
    <lcf76f155ced4ddcb4097134ff3c332f xmlns="b3d83fe4-f584-44c1-ada4-cced241b61b0">
      <Terms xmlns="http://schemas.microsoft.com/office/infopath/2007/PartnerControls"/>
    </lcf76f155ced4ddcb4097134ff3c332f>
    <_dlc_DocIdPersistId xmlns="839018be-1fd5-46c8-bb5f-8e5f297ce001" xsi:nil="true"/>
    <TaxCatchAllLabel xmlns="839018be-1fd5-46c8-bb5f-8e5f297ce001"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Comments_x002f_keyelements xmlns="b3d83fe4-f584-44c1-ada4-cced241b61b0" xsi:nil="true"/>
  </documentManagement>
</p:properties>
</file>

<file path=customXml/itemProps1.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2.xml><?xml version="1.0" encoding="utf-8"?>
<ds:datastoreItem xmlns:ds="http://schemas.openxmlformats.org/officeDocument/2006/customXml" ds:itemID="{78CF5812-5C3E-44FA-8DAB-A1C36411049A}"/>
</file>

<file path=customXml/itemProps3.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4.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5.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92ad9e33-5271-4ce6-bdd9-333434fbc601"/>
    <ds:schemaRef ds:uri="a8f60570-4bd3-4f2b-950b-a996de8ab151"/>
    <ds:schemaRef ds:uri="b413c3fd-5a3b-4239-b985-69032e371c04"/>
    <ds:schemaRef ds:uri="0063f72e-ace3-48fb-9c1f-5b513408b31f"/>
    <ds:schemaRef ds:uri="690a6d5d-fdcf-4e34-9890-d5df760091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Emily Brandao</cp:lastModifiedBy>
  <cp:revision>376</cp:revision>
  <dcterms:created xsi:type="dcterms:W3CDTF">2024-11-09T07:39:00Z</dcterms:created>
  <dcterms:modified xsi:type="dcterms:W3CDTF">2026-03-05T19:10:05Z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_dlc_DocIdItemGuid">
    <vt:lpwstr>c1ae27fe-e255-4390-a3df-caa5dea009a2</vt:lpwstr>
  </property>
  <property fmtid="{D5CDD505-2E9C-101B-9397-08002B2CF9AE}" pid="18" name="MSIP_Label_e4c996da-17fa-4fc5-8989-2758fb4cf86b_SetDate">
    <vt:lpwstr>2020-03-30T16:49:07Z</vt:lpwstr>
  </property>
  <property fmtid="{D5CDD505-2E9C-101B-9397-08002B2CF9AE}" pid="19" name="MSIP_Label_e4c996da-17fa-4fc5-8989-2758fb4cf86b_Method">
    <vt:lpwstr>Standard</vt:lpwstr>
  </property>
  <property fmtid="{D5CDD505-2E9C-101B-9397-08002B2CF9AE}" pid="20" name="MediaServiceImageTags">
    <vt:lpwstr/>
  </property>
  <property fmtid="{D5CDD505-2E9C-101B-9397-08002B2CF9AE}" pid="21" name="MSIP_Label_3db74b36-bb73-45e8-92f4-8dcc13585b70_Enabled">
    <vt:lpwstr>true</vt:lpwstr>
  </property>
  <property fmtid="{D5CDD505-2E9C-101B-9397-08002B2CF9AE}" pid="22" name="MSIP_Label_3db74b36-bb73-45e8-92f4-8dcc13585b70_SetDate">
    <vt:lpwstr>2023-12-15T09:48:09Z</vt:lpwstr>
  </property>
  <property fmtid="{D5CDD505-2E9C-101B-9397-08002B2CF9AE}" pid="23" name="MSIP_Label_3db74b36-bb73-45e8-92f4-8dcc13585b70_Method">
    <vt:lpwstr>Privileged</vt:lpwstr>
  </property>
  <property fmtid="{D5CDD505-2E9C-101B-9397-08002B2CF9AE}" pid="24" name="MSIP_Label_3db74b36-bb73-45e8-92f4-8dcc13585b70_Name">
    <vt:lpwstr>confidential</vt:lpwstr>
  </property>
  <property fmtid="{D5CDD505-2E9C-101B-9397-08002B2CF9AE}" pid="25" name="MSIP_Label_3db74b36-bb73-45e8-92f4-8dcc13585b70_SiteId">
    <vt:lpwstr>05ca8f81-10c4-490e-9c8b-77dad30ce21b</vt:lpwstr>
  </property>
  <property fmtid="{D5CDD505-2E9C-101B-9397-08002B2CF9AE}" pid="26" name="MSIP_Label_3db74b36-bb73-45e8-92f4-8dcc13585b70_ActionId">
    <vt:lpwstr>24abe107-443e-40f2-8e99-2859bf0d2bda</vt:lpwstr>
  </property>
  <property fmtid="{D5CDD505-2E9C-101B-9397-08002B2CF9AE}" pid="27" name="MSIP_Label_3db74b36-bb73-45e8-92f4-8dcc13585b70_ContentBits">
    <vt:lpwstr>0</vt:lpwstr>
  </property>
  <property fmtid="{D5CDD505-2E9C-101B-9397-08002B2CF9AE}" pid="28" name="Business_x0020_Unit">
    <vt:lpwstr>1;#International Climate Finance|25a07eec-082c-4868-be05-2bef48a6767e</vt:lpwstr>
  </property>
  <property fmtid="{D5CDD505-2E9C-101B-9397-08002B2CF9AE}" pid="29" name="Order">
    <vt:r8>3941200</vt:r8>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m975189f4ba442ecbf67d4147307b177">
    <vt:lpwstr>International Climate Finance|25a07eec-082c-4868-be05-2bef48a6767e</vt:lpwstr>
  </property>
  <property fmtid="{D5CDD505-2E9C-101B-9397-08002B2CF9AE}" pid="34" name="Retention Label">
    <vt:lpwstr>Corp PPP Review</vt:lpwstr>
  </property>
  <property fmtid="{D5CDD505-2E9C-101B-9397-08002B2CF9AE}" pid="35" name="ComplianceAssetId">
    <vt:lpwstr/>
  </property>
  <property fmtid="{D5CDD505-2E9C-101B-9397-08002B2CF9AE}" pid="36" name="TemplateUrl">
    <vt:lpwstr/>
  </property>
  <property fmtid="{D5CDD505-2E9C-101B-9397-08002B2CF9AE}" pid="37" name="Government Body">
    <vt:lpwstr>BEIS</vt:lpwstr>
  </property>
  <property fmtid="{D5CDD505-2E9C-101B-9397-08002B2CF9AE}" pid="38" name="Descriptor">
    <vt:lpwstr>LOCSEN</vt:lpwstr>
  </property>
  <property fmtid="{D5CDD505-2E9C-101B-9397-08002B2CF9AE}" pid="39" name="_ExtendedDescription">
    <vt:lpwstr/>
  </property>
  <property fmtid="{D5CDD505-2E9C-101B-9397-08002B2CF9AE}" pid="40" name="TriggerFlowInfo">
    <vt:lpwstr/>
  </property>
  <property fmtid="{D5CDD505-2E9C-101B-9397-08002B2CF9AE}" pid="41" name="Security Classification">
    <vt:lpwstr>OFFICIAL</vt:lpwstr>
  </property>
  <property fmtid="{D5CDD505-2E9C-101B-9397-08002B2CF9AE}" pid="42" name="xd_Signature">
    <vt:bool>false</vt:bool>
  </property>
  <property fmtid="{D5CDD505-2E9C-101B-9397-08002B2CF9AE}" pid="43" name="KIM_Activity">
    <vt:lpwstr>2;#International Climate and Energy,|8ce3479e-0228-4d4b-8382-a951e8f3cec1</vt:lpwstr>
  </property>
  <property fmtid="{D5CDD505-2E9C-101B-9397-08002B2CF9AE}" pid="44" name="KIM_GovernmentBody">
    <vt:lpwstr>3;#BEIS|b386cac2-c28c-4db4-8fca-43733d0e74ef</vt:lpwstr>
  </property>
  <property fmtid="{D5CDD505-2E9C-101B-9397-08002B2CF9AE}" pid="45" name="KIM_Function">
    <vt:lpwstr>1;#Energy and Climate|67dfd3db-8e6c-4d42-96c1-aed1098cd89b</vt:lpwstr>
  </property>
  <property fmtid="{D5CDD505-2E9C-101B-9397-08002B2CF9AE}" pid="47" name="docLang">
    <vt:lpwstr>en</vt:lpwstr>
  </property>
</Properties>
</file>