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397"/>
        <w:gridCol w:w="2694"/>
        <w:gridCol w:w="2925"/>
      </w:tblGrid>
      <w:tr w:rsidR="003D222C" w:rsidRPr="006778A3" w14:paraId="4245A7F1" w14:textId="77777777" w:rsidTr="30193D0A">
        <w:trPr>
          <w:trHeight w:val="407"/>
        </w:trPr>
        <w:tc>
          <w:tcPr>
            <w:tcW w:w="9016" w:type="dxa"/>
            <w:gridSpan w:val="3"/>
            <w:tcBorders>
              <w:top w:val="single" w:sz="4" w:space="0" w:color="auto"/>
              <w:left w:val="single" w:sz="4" w:space="0" w:color="auto"/>
              <w:bottom w:val="dotted" w:sz="2" w:space="0" w:color="000000" w:themeColor="text1"/>
              <w:right w:val="single" w:sz="4" w:space="0" w:color="auto"/>
            </w:tcBorders>
          </w:tcPr>
          <w:p w14:paraId="63F828E4" w14:textId="2D6DF060" w:rsidR="003D222C" w:rsidRPr="006778A3" w:rsidRDefault="003D222C" w:rsidP="006778A3">
            <w:pPr>
              <w:spacing w:after="120"/>
              <w:rPr>
                <w:rFonts w:cs="Arial"/>
                <w:b/>
                <w:sz w:val="22"/>
                <w:szCs w:val="22"/>
              </w:rPr>
            </w:pPr>
            <w:r w:rsidRPr="006778A3">
              <w:rPr>
                <w:rFonts w:cs="Arial"/>
                <w:b/>
                <w:sz w:val="22"/>
                <w:szCs w:val="22"/>
              </w:rPr>
              <w:t xml:space="preserve">Title:  </w:t>
            </w:r>
            <w:r w:rsidR="0074372C">
              <w:rPr>
                <w:rFonts w:cs="Arial"/>
                <w:b/>
                <w:sz w:val="22"/>
                <w:szCs w:val="22"/>
              </w:rPr>
              <w:t>Sustainable Infrastructure Programme Latin America (SIP-LA)</w:t>
            </w:r>
          </w:p>
        </w:tc>
      </w:tr>
      <w:tr w:rsidR="003D222C" w:rsidRPr="006778A3" w14:paraId="1CE19CC0" w14:textId="77777777" w:rsidTr="0074372C">
        <w:trPr>
          <w:trHeight w:val="413"/>
        </w:trPr>
        <w:tc>
          <w:tcPr>
            <w:tcW w:w="3397" w:type="dxa"/>
            <w:tcBorders>
              <w:top w:val="dotted" w:sz="2" w:space="0" w:color="000000" w:themeColor="text1"/>
              <w:left w:val="single" w:sz="4" w:space="0" w:color="000000" w:themeColor="text1"/>
              <w:bottom w:val="dotted" w:sz="2" w:space="0" w:color="000000" w:themeColor="text1"/>
              <w:right w:val="dotted" w:sz="2" w:space="0" w:color="000000" w:themeColor="text1"/>
            </w:tcBorders>
            <w:hideMark/>
          </w:tcPr>
          <w:p w14:paraId="05489EB9" w14:textId="6CE1B4DA" w:rsidR="003D222C" w:rsidRPr="006778A3" w:rsidRDefault="003D222C" w:rsidP="006778A3">
            <w:pPr>
              <w:spacing w:after="120"/>
              <w:rPr>
                <w:rFonts w:cs="Arial"/>
                <w:b/>
                <w:sz w:val="22"/>
                <w:szCs w:val="22"/>
              </w:rPr>
            </w:pPr>
            <w:r w:rsidRPr="006778A3">
              <w:rPr>
                <w:rFonts w:cs="Arial"/>
                <w:b/>
                <w:sz w:val="22"/>
                <w:szCs w:val="22"/>
              </w:rPr>
              <w:t>Programme Value</w:t>
            </w:r>
            <w:r w:rsidR="00E42180">
              <w:rPr>
                <w:rFonts w:cs="Arial"/>
                <w:b/>
                <w:sz w:val="22"/>
                <w:szCs w:val="22"/>
              </w:rPr>
              <w:t>:</w:t>
            </w:r>
            <w:r w:rsidRPr="006778A3">
              <w:rPr>
                <w:rFonts w:cs="Arial"/>
                <w:b/>
                <w:sz w:val="22"/>
                <w:szCs w:val="22"/>
              </w:rPr>
              <w:t xml:space="preserve"> £</w:t>
            </w:r>
            <w:r w:rsidR="00E42180">
              <w:rPr>
                <w:rFonts w:cs="Arial"/>
                <w:b/>
                <w:sz w:val="22"/>
                <w:szCs w:val="22"/>
              </w:rPr>
              <w:t>177.5m</w:t>
            </w:r>
            <w:r w:rsidRPr="006778A3">
              <w:rPr>
                <w:rFonts w:cs="Arial"/>
                <w:b/>
                <w:sz w:val="22"/>
                <w:szCs w:val="22"/>
              </w:rPr>
              <w:t xml:space="preserve"> </w:t>
            </w:r>
          </w:p>
        </w:tc>
        <w:tc>
          <w:tcPr>
            <w:tcW w:w="5619" w:type="dxa"/>
            <w:gridSpan w:val="2"/>
            <w:tcBorders>
              <w:top w:val="dotted" w:sz="2" w:space="0" w:color="000000" w:themeColor="text1"/>
              <w:left w:val="dotted" w:sz="2" w:space="0" w:color="000000" w:themeColor="text1"/>
              <w:bottom w:val="dotted" w:sz="2" w:space="0" w:color="000000" w:themeColor="text1"/>
              <w:right w:val="single" w:sz="4" w:space="0" w:color="000000" w:themeColor="text1"/>
            </w:tcBorders>
            <w:hideMark/>
          </w:tcPr>
          <w:p w14:paraId="4DFDCE56" w14:textId="749E7688" w:rsidR="003D222C" w:rsidRPr="006778A3" w:rsidRDefault="003D222C" w:rsidP="006778A3">
            <w:pPr>
              <w:spacing w:after="120"/>
              <w:rPr>
                <w:rFonts w:cs="Arial"/>
                <w:b/>
                <w:sz w:val="22"/>
                <w:szCs w:val="22"/>
              </w:rPr>
            </w:pPr>
            <w:r w:rsidRPr="006778A3">
              <w:rPr>
                <w:rFonts w:cs="Arial"/>
                <w:b/>
                <w:sz w:val="22"/>
                <w:szCs w:val="22"/>
              </w:rPr>
              <w:t xml:space="preserve">Review date: </w:t>
            </w:r>
            <w:r w:rsidR="00E42180">
              <w:rPr>
                <w:rFonts w:cs="Arial"/>
                <w:b/>
                <w:sz w:val="22"/>
                <w:szCs w:val="22"/>
              </w:rPr>
              <w:t>1</w:t>
            </w:r>
            <w:r w:rsidR="00E42180" w:rsidRPr="00E42180">
              <w:rPr>
                <w:rFonts w:cs="Arial"/>
                <w:b/>
                <w:sz w:val="22"/>
                <w:szCs w:val="22"/>
                <w:vertAlign w:val="superscript"/>
              </w:rPr>
              <w:t>st</w:t>
            </w:r>
            <w:r w:rsidR="00E42180">
              <w:rPr>
                <w:rFonts w:cs="Arial"/>
                <w:b/>
                <w:sz w:val="22"/>
                <w:szCs w:val="22"/>
              </w:rPr>
              <w:t xml:space="preserve"> January – 31</w:t>
            </w:r>
            <w:r w:rsidR="00E42180" w:rsidRPr="00E42180">
              <w:rPr>
                <w:rFonts w:cs="Arial"/>
                <w:b/>
                <w:sz w:val="22"/>
                <w:szCs w:val="22"/>
                <w:vertAlign w:val="superscript"/>
              </w:rPr>
              <w:t>st</w:t>
            </w:r>
            <w:r w:rsidR="00E42180">
              <w:rPr>
                <w:rFonts w:cs="Arial"/>
                <w:b/>
                <w:sz w:val="22"/>
                <w:szCs w:val="22"/>
              </w:rPr>
              <w:t xml:space="preserve"> December 20</w:t>
            </w:r>
            <w:r w:rsidR="0074372C">
              <w:rPr>
                <w:rFonts w:cs="Arial"/>
                <w:b/>
                <w:sz w:val="22"/>
                <w:szCs w:val="22"/>
              </w:rPr>
              <w:t>20</w:t>
            </w:r>
          </w:p>
        </w:tc>
      </w:tr>
      <w:tr w:rsidR="003D222C" w:rsidRPr="006778A3" w14:paraId="0B024262" w14:textId="77777777" w:rsidTr="00CA6165">
        <w:trPr>
          <w:trHeight w:val="300"/>
        </w:trPr>
        <w:tc>
          <w:tcPr>
            <w:tcW w:w="3397" w:type="dxa"/>
            <w:tcBorders>
              <w:top w:val="dotted" w:sz="2" w:space="0" w:color="000000" w:themeColor="text1"/>
              <w:left w:val="single" w:sz="4" w:space="0" w:color="auto"/>
              <w:bottom w:val="single" w:sz="4" w:space="0" w:color="auto"/>
              <w:right w:val="dotted" w:sz="2" w:space="0" w:color="000000" w:themeColor="text1"/>
            </w:tcBorders>
          </w:tcPr>
          <w:p w14:paraId="619F3ADF" w14:textId="77777777" w:rsidR="0074372C" w:rsidRPr="00CA6165" w:rsidRDefault="003D222C" w:rsidP="0074372C">
            <w:pPr>
              <w:spacing w:after="120"/>
              <w:contextualSpacing/>
              <w:rPr>
                <w:rFonts w:cs="Arial"/>
                <w:b/>
                <w:sz w:val="22"/>
                <w:szCs w:val="22"/>
              </w:rPr>
            </w:pPr>
            <w:r w:rsidRPr="00CA6165">
              <w:rPr>
                <w:rFonts w:cs="Arial"/>
                <w:b/>
                <w:sz w:val="22"/>
                <w:szCs w:val="22"/>
              </w:rPr>
              <w:t xml:space="preserve">Programme Code: </w:t>
            </w:r>
          </w:p>
          <w:p w14:paraId="43ADE542" w14:textId="308A1269" w:rsidR="003D222C" w:rsidRPr="006778A3" w:rsidRDefault="00CA6165" w:rsidP="006778A3">
            <w:pPr>
              <w:spacing w:after="120"/>
              <w:rPr>
                <w:rFonts w:cs="Arial"/>
                <w:b/>
                <w:sz w:val="22"/>
                <w:szCs w:val="22"/>
              </w:rPr>
            </w:pPr>
            <w:r w:rsidRPr="00CA6165">
              <w:rPr>
                <w:rFonts w:cs="Arial"/>
                <w:color w:val="000000"/>
                <w:sz w:val="22"/>
                <w:szCs w:val="22"/>
              </w:rPr>
              <w:t>GB-GOV-13-ICF-0014-SIPLA</w:t>
            </w:r>
          </w:p>
        </w:tc>
        <w:tc>
          <w:tcPr>
            <w:tcW w:w="2694" w:type="dxa"/>
            <w:tcBorders>
              <w:top w:val="dotted" w:sz="2" w:space="0" w:color="000000" w:themeColor="text1"/>
              <w:left w:val="dotted" w:sz="2" w:space="0" w:color="000000" w:themeColor="text1"/>
              <w:bottom w:val="single" w:sz="4" w:space="0" w:color="000000" w:themeColor="text1"/>
              <w:right w:val="dotted" w:sz="2" w:space="0" w:color="000000" w:themeColor="text1"/>
            </w:tcBorders>
            <w:hideMark/>
          </w:tcPr>
          <w:p w14:paraId="0140ED2C" w14:textId="6BD929DE" w:rsidR="003D222C" w:rsidRPr="006778A3" w:rsidRDefault="003D222C" w:rsidP="006778A3">
            <w:pPr>
              <w:spacing w:after="120"/>
              <w:rPr>
                <w:rFonts w:cs="Arial"/>
                <w:b/>
                <w:sz w:val="22"/>
                <w:szCs w:val="22"/>
              </w:rPr>
            </w:pPr>
            <w:r w:rsidRPr="006778A3">
              <w:rPr>
                <w:rFonts w:cs="Arial"/>
                <w:b/>
                <w:sz w:val="22"/>
                <w:szCs w:val="22"/>
              </w:rPr>
              <w:t>Programme start date:</w:t>
            </w:r>
            <w:r w:rsidRPr="006778A3">
              <w:rPr>
                <w:rFonts w:cs="Arial"/>
                <w:sz w:val="22"/>
                <w:szCs w:val="22"/>
              </w:rPr>
              <w:t xml:space="preserve"> </w:t>
            </w:r>
            <w:r w:rsidR="00E42180">
              <w:rPr>
                <w:rFonts w:cs="Arial"/>
                <w:sz w:val="22"/>
                <w:szCs w:val="22"/>
              </w:rPr>
              <w:t>Nov 201</w:t>
            </w:r>
            <w:r w:rsidR="005F670E">
              <w:rPr>
                <w:rFonts w:cs="Arial"/>
                <w:sz w:val="22"/>
                <w:szCs w:val="22"/>
              </w:rPr>
              <w:t>7</w:t>
            </w:r>
          </w:p>
        </w:tc>
        <w:tc>
          <w:tcPr>
            <w:tcW w:w="2925" w:type="dxa"/>
            <w:tcBorders>
              <w:top w:val="dotted" w:sz="2" w:space="0" w:color="000000" w:themeColor="text1"/>
              <w:left w:val="dotted" w:sz="2" w:space="0" w:color="000000" w:themeColor="text1"/>
              <w:bottom w:val="single" w:sz="4" w:space="0" w:color="auto"/>
              <w:right w:val="single" w:sz="4" w:space="0" w:color="auto"/>
            </w:tcBorders>
            <w:hideMark/>
          </w:tcPr>
          <w:p w14:paraId="32D75C72" w14:textId="76D0E9EE" w:rsidR="003D222C" w:rsidRPr="006778A3" w:rsidRDefault="003D222C" w:rsidP="006778A3">
            <w:pPr>
              <w:spacing w:after="120"/>
              <w:rPr>
                <w:rFonts w:cs="Arial"/>
                <w:b/>
                <w:sz w:val="22"/>
                <w:szCs w:val="22"/>
              </w:rPr>
            </w:pPr>
            <w:r w:rsidRPr="006778A3">
              <w:rPr>
                <w:rFonts w:cs="Arial"/>
                <w:b/>
                <w:sz w:val="22"/>
                <w:szCs w:val="22"/>
              </w:rPr>
              <w:t>Programme end date:</w:t>
            </w:r>
            <w:r w:rsidRPr="006778A3">
              <w:rPr>
                <w:rFonts w:cs="Arial"/>
                <w:sz w:val="22"/>
                <w:szCs w:val="22"/>
              </w:rPr>
              <w:t xml:space="preserve"> </w:t>
            </w:r>
            <w:r w:rsidR="004204FC">
              <w:rPr>
                <w:rFonts w:cs="Arial"/>
                <w:sz w:val="22"/>
                <w:szCs w:val="22"/>
              </w:rPr>
              <w:t>Nov 2022</w:t>
            </w:r>
          </w:p>
        </w:tc>
      </w:tr>
    </w:tbl>
    <w:p w14:paraId="7F5746E0" w14:textId="130E0470" w:rsidR="003D222C" w:rsidRPr="006778A3" w:rsidRDefault="008F206D" w:rsidP="00852C36">
      <w:pPr>
        <w:spacing w:before="120" w:after="120"/>
        <w:rPr>
          <w:rFonts w:cs="Arial"/>
          <w:b/>
          <w:sz w:val="22"/>
          <w:szCs w:val="22"/>
        </w:rPr>
      </w:pPr>
      <w:r>
        <w:rPr>
          <w:rFonts w:cs="Arial"/>
          <w:b/>
          <w:sz w:val="22"/>
          <w:szCs w:val="22"/>
        </w:rPr>
        <w:t xml:space="preserve"> </w:t>
      </w:r>
      <w:r w:rsidR="003D222C" w:rsidRPr="006778A3">
        <w:rPr>
          <w:rFonts w:cs="Arial"/>
          <w:b/>
          <w:sz w:val="22"/>
          <w:szCs w:val="22"/>
        </w:rPr>
        <w:t xml:space="preserve">Summary of Programme Performance </w:t>
      </w:r>
    </w:p>
    <w:tbl>
      <w:tblPr>
        <w:tblStyle w:val="TableGrid"/>
        <w:tblW w:w="0" w:type="auto"/>
        <w:tblLayout w:type="fixed"/>
        <w:tblLook w:val="04A0" w:firstRow="1" w:lastRow="0" w:firstColumn="1" w:lastColumn="0" w:noHBand="0" w:noVBand="1"/>
      </w:tblPr>
      <w:tblGrid>
        <w:gridCol w:w="2405"/>
        <w:gridCol w:w="1228"/>
        <w:gridCol w:w="1229"/>
        <w:gridCol w:w="1229"/>
      </w:tblGrid>
      <w:tr w:rsidR="00E42180" w:rsidRPr="006778A3" w14:paraId="6A71CF25" w14:textId="77777777" w:rsidTr="00E04922">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2470E30" w14:textId="77777777" w:rsidR="00E42180" w:rsidRPr="006778A3" w:rsidRDefault="00E42180" w:rsidP="006778A3">
            <w:pPr>
              <w:spacing w:after="120"/>
              <w:rPr>
                <w:rFonts w:cs="Arial"/>
                <w:sz w:val="22"/>
                <w:szCs w:val="22"/>
              </w:rPr>
            </w:pPr>
            <w:r w:rsidRPr="006778A3">
              <w:rPr>
                <w:rFonts w:cs="Arial"/>
                <w:sz w:val="22"/>
                <w:szCs w:val="22"/>
              </w:rPr>
              <w:t>Year</w:t>
            </w:r>
          </w:p>
        </w:tc>
        <w:tc>
          <w:tcPr>
            <w:tcW w:w="1228" w:type="dxa"/>
            <w:tcBorders>
              <w:top w:val="single" w:sz="4" w:space="0" w:color="auto"/>
              <w:left w:val="single" w:sz="4" w:space="0" w:color="auto"/>
              <w:bottom w:val="single" w:sz="4" w:space="0" w:color="auto"/>
              <w:right w:val="single" w:sz="4" w:space="0" w:color="auto"/>
            </w:tcBorders>
          </w:tcPr>
          <w:p w14:paraId="0AF8295F" w14:textId="3977BBF9" w:rsidR="00E42180" w:rsidRPr="006778A3" w:rsidRDefault="00E42180" w:rsidP="006778A3">
            <w:pPr>
              <w:spacing w:after="120"/>
              <w:rPr>
                <w:rFonts w:cs="Arial"/>
                <w:b/>
                <w:sz w:val="22"/>
                <w:szCs w:val="22"/>
              </w:rPr>
            </w:pPr>
            <w:r>
              <w:rPr>
                <w:rFonts w:cs="Arial"/>
                <w:b/>
                <w:sz w:val="22"/>
                <w:szCs w:val="22"/>
              </w:rPr>
              <w:t>2018</w:t>
            </w:r>
          </w:p>
        </w:tc>
        <w:tc>
          <w:tcPr>
            <w:tcW w:w="1229" w:type="dxa"/>
            <w:tcBorders>
              <w:top w:val="single" w:sz="4" w:space="0" w:color="auto"/>
              <w:left w:val="single" w:sz="4" w:space="0" w:color="auto"/>
              <w:bottom w:val="single" w:sz="4" w:space="0" w:color="auto"/>
              <w:right w:val="single" w:sz="4" w:space="0" w:color="auto"/>
            </w:tcBorders>
          </w:tcPr>
          <w:p w14:paraId="6D57E47F" w14:textId="09754C56" w:rsidR="00E42180" w:rsidRPr="006778A3" w:rsidRDefault="00E42180" w:rsidP="006778A3">
            <w:pPr>
              <w:spacing w:after="120"/>
              <w:rPr>
                <w:rFonts w:cs="Arial"/>
                <w:b/>
                <w:sz w:val="22"/>
                <w:szCs w:val="22"/>
              </w:rPr>
            </w:pPr>
            <w:r>
              <w:rPr>
                <w:rFonts w:cs="Arial"/>
                <w:b/>
                <w:sz w:val="22"/>
                <w:szCs w:val="22"/>
              </w:rPr>
              <w:t>2019</w:t>
            </w:r>
          </w:p>
        </w:tc>
        <w:tc>
          <w:tcPr>
            <w:tcW w:w="1229" w:type="dxa"/>
            <w:tcBorders>
              <w:top w:val="single" w:sz="4" w:space="0" w:color="auto"/>
              <w:left w:val="single" w:sz="4" w:space="0" w:color="auto"/>
              <w:bottom w:val="single" w:sz="4" w:space="0" w:color="auto"/>
              <w:right w:val="single" w:sz="4" w:space="0" w:color="auto"/>
            </w:tcBorders>
          </w:tcPr>
          <w:p w14:paraId="5FE5C4CF" w14:textId="51FCC355" w:rsidR="00E42180" w:rsidRPr="006778A3" w:rsidRDefault="00E42180" w:rsidP="006778A3">
            <w:pPr>
              <w:spacing w:after="120"/>
              <w:rPr>
                <w:rFonts w:cs="Arial"/>
                <w:b/>
                <w:sz w:val="22"/>
                <w:szCs w:val="22"/>
              </w:rPr>
            </w:pPr>
            <w:r>
              <w:rPr>
                <w:rFonts w:cs="Arial"/>
                <w:b/>
                <w:sz w:val="22"/>
                <w:szCs w:val="22"/>
              </w:rPr>
              <w:t>2020</w:t>
            </w:r>
          </w:p>
        </w:tc>
      </w:tr>
      <w:tr w:rsidR="001C1719" w:rsidRPr="00513E41" w14:paraId="3E78E217" w14:textId="77777777" w:rsidTr="00E04922">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B24BFD8" w14:textId="77777777" w:rsidR="001C1719" w:rsidRPr="006778A3" w:rsidRDefault="001C1719" w:rsidP="001C1719">
            <w:pPr>
              <w:spacing w:after="120"/>
              <w:rPr>
                <w:rFonts w:cs="Arial"/>
                <w:sz w:val="22"/>
                <w:szCs w:val="22"/>
              </w:rPr>
            </w:pPr>
            <w:r w:rsidRPr="006778A3">
              <w:rPr>
                <w:rFonts w:cs="Arial"/>
                <w:sz w:val="22"/>
                <w:szCs w:val="22"/>
              </w:rPr>
              <w:t>Overall Output Score</w:t>
            </w:r>
          </w:p>
        </w:tc>
        <w:tc>
          <w:tcPr>
            <w:tcW w:w="1228" w:type="dxa"/>
            <w:tcBorders>
              <w:top w:val="single" w:sz="4" w:space="0" w:color="auto"/>
              <w:left w:val="single" w:sz="4" w:space="0" w:color="auto"/>
              <w:bottom w:val="single" w:sz="4" w:space="0" w:color="auto"/>
              <w:right w:val="single" w:sz="4" w:space="0" w:color="auto"/>
            </w:tcBorders>
          </w:tcPr>
          <w:p w14:paraId="3BE08F8B" w14:textId="68DE7B94" w:rsidR="001C1719" w:rsidRPr="006778A3" w:rsidRDefault="001C1719" w:rsidP="001C1719">
            <w:pPr>
              <w:spacing w:after="120"/>
              <w:rPr>
                <w:rFonts w:cs="Arial"/>
                <w:b/>
                <w:sz w:val="22"/>
                <w:szCs w:val="22"/>
              </w:rPr>
            </w:pPr>
            <w:r>
              <w:rPr>
                <w:rFonts w:cs="Arial"/>
                <w:b/>
                <w:sz w:val="22"/>
                <w:szCs w:val="22"/>
              </w:rPr>
              <w:t>B</w:t>
            </w:r>
          </w:p>
        </w:tc>
        <w:tc>
          <w:tcPr>
            <w:tcW w:w="1229" w:type="dxa"/>
            <w:tcBorders>
              <w:top w:val="single" w:sz="4" w:space="0" w:color="auto"/>
              <w:left w:val="single" w:sz="4" w:space="0" w:color="auto"/>
              <w:bottom w:val="single" w:sz="4" w:space="0" w:color="auto"/>
              <w:right w:val="single" w:sz="4" w:space="0" w:color="auto"/>
            </w:tcBorders>
          </w:tcPr>
          <w:p w14:paraId="30EFABAD" w14:textId="3A37C597" w:rsidR="001C1719" w:rsidRPr="00513E41" w:rsidRDefault="001C1719" w:rsidP="001C1719">
            <w:pPr>
              <w:spacing w:after="120"/>
              <w:rPr>
                <w:rFonts w:cs="Arial"/>
                <w:b/>
                <w:sz w:val="22"/>
                <w:szCs w:val="22"/>
              </w:rPr>
            </w:pPr>
            <w:r w:rsidRPr="00513E41">
              <w:rPr>
                <w:rFonts w:cs="Arial"/>
                <w:b/>
                <w:sz w:val="22"/>
                <w:szCs w:val="22"/>
              </w:rPr>
              <w:t>B</w:t>
            </w:r>
          </w:p>
        </w:tc>
        <w:tc>
          <w:tcPr>
            <w:tcW w:w="1229" w:type="dxa"/>
            <w:tcBorders>
              <w:top w:val="single" w:sz="4" w:space="0" w:color="auto"/>
              <w:left w:val="single" w:sz="4" w:space="0" w:color="auto"/>
              <w:bottom w:val="single" w:sz="4" w:space="0" w:color="auto"/>
              <w:right w:val="single" w:sz="4" w:space="0" w:color="auto"/>
            </w:tcBorders>
          </w:tcPr>
          <w:p w14:paraId="7599E010" w14:textId="2ECEC1F6" w:rsidR="001C1719" w:rsidRPr="00513E41" w:rsidRDefault="00A853A8" w:rsidP="001C1719">
            <w:pPr>
              <w:spacing w:after="120"/>
              <w:rPr>
                <w:rFonts w:cs="Arial"/>
                <w:b/>
                <w:sz w:val="22"/>
                <w:szCs w:val="22"/>
              </w:rPr>
            </w:pPr>
            <w:r>
              <w:rPr>
                <w:rFonts w:cs="Arial"/>
                <w:b/>
                <w:sz w:val="22"/>
                <w:szCs w:val="22"/>
              </w:rPr>
              <w:t>B</w:t>
            </w:r>
          </w:p>
        </w:tc>
      </w:tr>
      <w:tr w:rsidR="001C1719" w:rsidRPr="00513E41" w14:paraId="6816F39D" w14:textId="77777777" w:rsidTr="00E04922">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E865868" w14:textId="77777777" w:rsidR="001C1719" w:rsidRPr="006778A3" w:rsidRDefault="001C1719" w:rsidP="001C1719">
            <w:pPr>
              <w:spacing w:after="120"/>
              <w:rPr>
                <w:rFonts w:cs="Arial"/>
                <w:sz w:val="22"/>
                <w:szCs w:val="22"/>
              </w:rPr>
            </w:pPr>
            <w:r w:rsidRPr="006778A3">
              <w:rPr>
                <w:rFonts w:cs="Arial"/>
                <w:sz w:val="22"/>
                <w:szCs w:val="22"/>
              </w:rPr>
              <w:t xml:space="preserve">Risk Rating </w:t>
            </w:r>
          </w:p>
        </w:tc>
        <w:tc>
          <w:tcPr>
            <w:tcW w:w="1228" w:type="dxa"/>
            <w:tcBorders>
              <w:top w:val="single" w:sz="4" w:space="0" w:color="auto"/>
              <w:left w:val="single" w:sz="4" w:space="0" w:color="auto"/>
              <w:bottom w:val="single" w:sz="4" w:space="0" w:color="auto"/>
              <w:right w:val="single" w:sz="4" w:space="0" w:color="auto"/>
            </w:tcBorders>
          </w:tcPr>
          <w:p w14:paraId="42FA75A2" w14:textId="3936E03B" w:rsidR="001C1719" w:rsidRPr="006778A3" w:rsidRDefault="001C1719" w:rsidP="001C1719">
            <w:pPr>
              <w:spacing w:after="120"/>
              <w:rPr>
                <w:rFonts w:cs="Arial"/>
                <w:b/>
                <w:sz w:val="22"/>
                <w:szCs w:val="22"/>
              </w:rPr>
            </w:pPr>
            <w:r>
              <w:rPr>
                <w:rFonts w:cs="Arial"/>
                <w:b/>
                <w:sz w:val="22"/>
                <w:szCs w:val="22"/>
              </w:rPr>
              <w:t>Moderate</w:t>
            </w:r>
          </w:p>
        </w:tc>
        <w:tc>
          <w:tcPr>
            <w:tcW w:w="1229" w:type="dxa"/>
            <w:tcBorders>
              <w:top w:val="single" w:sz="4" w:space="0" w:color="auto"/>
              <w:left w:val="single" w:sz="4" w:space="0" w:color="auto"/>
              <w:bottom w:val="single" w:sz="4" w:space="0" w:color="auto"/>
              <w:right w:val="single" w:sz="4" w:space="0" w:color="auto"/>
            </w:tcBorders>
          </w:tcPr>
          <w:p w14:paraId="1D7F9841" w14:textId="255572B0" w:rsidR="001C1719" w:rsidRPr="00513E41" w:rsidRDefault="001C1719" w:rsidP="001C1719">
            <w:pPr>
              <w:spacing w:after="120"/>
              <w:rPr>
                <w:rFonts w:cs="Arial"/>
                <w:b/>
                <w:sz w:val="22"/>
                <w:szCs w:val="22"/>
              </w:rPr>
            </w:pPr>
            <w:r w:rsidRPr="00513E41">
              <w:rPr>
                <w:rFonts w:cs="Arial"/>
                <w:b/>
                <w:sz w:val="22"/>
                <w:szCs w:val="22"/>
              </w:rPr>
              <w:t>Major</w:t>
            </w:r>
          </w:p>
        </w:tc>
        <w:tc>
          <w:tcPr>
            <w:tcW w:w="1229" w:type="dxa"/>
            <w:tcBorders>
              <w:top w:val="single" w:sz="4" w:space="0" w:color="auto"/>
              <w:left w:val="single" w:sz="4" w:space="0" w:color="auto"/>
              <w:bottom w:val="single" w:sz="4" w:space="0" w:color="auto"/>
              <w:right w:val="single" w:sz="4" w:space="0" w:color="auto"/>
            </w:tcBorders>
          </w:tcPr>
          <w:p w14:paraId="4300A545" w14:textId="08264DB3" w:rsidR="001C1719" w:rsidRPr="00513E41" w:rsidRDefault="00AB5C8D" w:rsidP="001C1719">
            <w:pPr>
              <w:spacing w:after="120"/>
              <w:rPr>
                <w:rFonts w:cs="Arial"/>
                <w:b/>
                <w:sz w:val="22"/>
                <w:szCs w:val="22"/>
              </w:rPr>
            </w:pPr>
            <w:r w:rsidRPr="00513E41">
              <w:rPr>
                <w:rFonts w:cs="Arial"/>
                <w:b/>
                <w:sz w:val="22"/>
                <w:szCs w:val="22"/>
              </w:rPr>
              <w:t>Major</w:t>
            </w:r>
          </w:p>
        </w:tc>
      </w:tr>
    </w:tbl>
    <w:p w14:paraId="538CB237" w14:textId="77777777" w:rsidR="003D222C" w:rsidRPr="004204FC" w:rsidRDefault="003D222C" w:rsidP="006778A3">
      <w:pPr>
        <w:spacing w:after="120"/>
        <w:rPr>
          <w:rFonts w:cs="Arial"/>
          <w:b/>
          <w:sz w:val="12"/>
          <w:szCs w:val="12"/>
        </w:rPr>
      </w:pPr>
    </w:p>
    <w:tbl>
      <w:tblPr>
        <w:tblStyle w:val="TableGrid"/>
        <w:tblW w:w="0" w:type="auto"/>
        <w:tblInd w:w="-5" w:type="dxa"/>
        <w:tblLook w:val="04A0" w:firstRow="1" w:lastRow="0" w:firstColumn="1" w:lastColumn="0" w:noHBand="0" w:noVBand="1"/>
      </w:tblPr>
      <w:tblGrid>
        <w:gridCol w:w="3402"/>
        <w:gridCol w:w="5619"/>
      </w:tblGrid>
      <w:tr w:rsidR="00D8621D" w:rsidRPr="006778A3" w14:paraId="6C68957E" w14:textId="77777777" w:rsidTr="00CB70EF">
        <w:trPr>
          <w:trHeight w:val="301"/>
        </w:trPr>
        <w:tc>
          <w:tcPr>
            <w:tcW w:w="3402" w:type="dxa"/>
            <w:shd w:val="clear" w:color="auto" w:fill="B4C6E7" w:themeFill="accent1" w:themeFillTint="66"/>
            <w:hideMark/>
          </w:tcPr>
          <w:p w14:paraId="579DBC33" w14:textId="77777777" w:rsidR="003D222C" w:rsidRPr="006778A3" w:rsidRDefault="003D222C" w:rsidP="00CB70EF">
            <w:pPr>
              <w:spacing w:after="120"/>
              <w:rPr>
                <w:rFonts w:cs="Arial"/>
                <w:sz w:val="22"/>
                <w:szCs w:val="22"/>
              </w:rPr>
            </w:pPr>
            <w:r w:rsidRPr="006778A3">
              <w:rPr>
                <w:rFonts w:cs="Arial"/>
                <w:bCs/>
                <w:sz w:val="22"/>
                <w:szCs w:val="22"/>
              </w:rPr>
              <w:t xml:space="preserve">Link to Business Case: </w:t>
            </w:r>
          </w:p>
        </w:tc>
        <w:tc>
          <w:tcPr>
            <w:tcW w:w="5619" w:type="dxa"/>
          </w:tcPr>
          <w:p w14:paraId="7FD6BEF4" w14:textId="7F1BD6D3" w:rsidR="003D222C" w:rsidRPr="00431162" w:rsidRDefault="00620770" w:rsidP="00CB70EF">
            <w:pPr>
              <w:spacing w:after="120"/>
              <w:rPr>
                <w:rFonts w:cs="Arial"/>
                <w:bCs/>
                <w:sz w:val="22"/>
                <w:szCs w:val="22"/>
              </w:rPr>
            </w:pPr>
            <w:hyperlink r:id="rId12" w:history="1">
              <w:r w:rsidR="00431162" w:rsidRPr="00431162">
                <w:rPr>
                  <w:rStyle w:val="Hyperlink"/>
                  <w:rFonts w:cs="Arial"/>
                  <w:bCs/>
                  <w:sz w:val="22"/>
                  <w:szCs w:val="22"/>
                  <w:lang w:eastAsia="en-US"/>
                </w:rPr>
                <w:t>SIP-LA Business Case</w:t>
              </w:r>
            </w:hyperlink>
          </w:p>
        </w:tc>
      </w:tr>
      <w:tr w:rsidR="00D8621D" w:rsidRPr="006778A3" w14:paraId="510493EF" w14:textId="77777777" w:rsidTr="00984DF7">
        <w:trPr>
          <w:trHeight w:val="403"/>
        </w:trPr>
        <w:tc>
          <w:tcPr>
            <w:tcW w:w="3402" w:type="dxa"/>
            <w:shd w:val="clear" w:color="auto" w:fill="B4C6E7" w:themeFill="accent1" w:themeFillTint="66"/>
            <w:hideMark/>
          </w:tcPr>
          <w:p w14:paraId="033BF08C" w14:textId="77777777" w:rsidR="003D222C" w:rsidRPr="006778A3" w:rsidRDefault="003D222C" w:rsidP="00CB70EF">
            <w:pPr>
              <w:spacing w:after="120"/>
              <w:rPr>
                <w:rFonts w:cs="Arial"/>
                <w:bCs/>
                <w:i/>
                <w:sz w:val="22"/>
                <w:szCs w:val="22"/>
              </w:rPr>
            </w:pPr>
            <w:r w:rsidRPr="006778A3">
              <w:rPr>
                <w:rFonts w:cs="Arial"/>
                <w:bCs/>
                <w:sz w:val="22"/>
                <w:szCs w:val="22"/>
              </w:rPr>
              <w:t xml:space="preserve">Link to results framework: </w:t>
            </w:r>
          </w:p>
        </w:tc>
        <w:tc>
          <w:tcPr>
            <w:tcW w:w="5619" w:type="dxa"/>
          </w:tcPr>
          <w:p w14:paraId="2D87E262" w14:textId="60EF9487" w:rsidR="003D222C" w:rsidRPr="00F945DD" w:rsidRDefault="00620770" w:rsidP="00CB70EF">
            <w:pPr>
              <w:spacing w:after="120"/>
              <w:rPr>
                <w:rFonts w:cs="Arial"/>
                <w:bCs/>
                <w:sz w:val="22"/>
                <w:szCs w:val="22"/>
              </w:rPr>
            </w:pPr>
            <w:hyperlink r:id="rId13" w:history="1">
              <w:r w:rsidR="00F945DD" w:rsidRPr="004B075D">
                <w:rPr>
                  <w:rStyle w:val="Hyperlink"/>
                  <w:rFonts w:cs="Arial"/>
                  <w:bCs/>
                  <w:sz w:val="22"/>
                  <w:szCs w:val="22"/>
                </w:rPr>
                <w:t>SIP-LA Log Frame</w:t>
              </w:r>
            </w:hyperlink>
          </w:p>
        </w:tc>
      </w:tr>
      <w:tr w:rsidR="00D8621D" w:rsidRPr="006778A3" w14:paraId="20D3D745" w14:textId="77777777" w:rsidTr="00CB70EF">
        <w:trPr>
          <w:trHeight w:val="355"/>
        </w:trPr>
        <w:tc>
          <w:tcPr>
            <w:tcW w:w="3402" w:type="dxa"/>
            <w:shd w:val="clear" w:color="auto" w:fill="B4C6E7" w:themeFill="accent1" w:themeFillTint="66"/>
          </w:tcPr>
          <w:p w14:paraId="37AC097F" w14:textId="6187B263" w:rsidR="003D222C" w:rsidRPr="006778A3" w:rsidRDefault="003D222C" w:rsidP="00CB70EF">
            <w:pPr>
              <w:spacing w:after="120"/>
              <w:rPr>
                <w:rFonts w:cs="Arial"/>
                <w:bCs/>
                <w:sz w:val="22"/>
                <w:szCs w:val="22"/>
              </w:rPr>
            </w:pPr>
            <w:r w:rsidRPr="006778A3">
              <w:rPr>
                <w:rFonts w:cs="Arial"/>
                <w:bCs/>
                <w:sz w:val="22"/>
                <w:szCs w:val="22"/>
              </w:rPr>
              <w:t>Link to previous Annual Review</w:t>
            </w:r>
            <w:r w:rsidR="00E04922">
              <w:rPr>
                <w:rFonts w:cs="Arial"/>
                <w:bCs/>
                <w:sz w:val="22"/>
                <w:szCs w:val="22"/>
              </w:rPr>
              <w:t>:</w:t>
            </w:r>
          </w:p>
        </w:tc>
        <w:tc>
          <w:tcPr>
            <w:tcW w:w="5619" w:type="dxa"/>
          </w:tcPr>
          <w:p w14:paraId="5DF52686" w14:textId="6229F1E0" w:rsidR="003D222C" w:rsidRPr="006644E9" w:rsidRDefault="00620770" w:rsidP="00CB70EF">
            <w:pPr>
              <w:spacing w:after="120"/>
              <w:rPr>
                <w:rFonts w:cs="Arial"/>
                <w:bCs/>
                <w:sz w:val="22"/>
                <w:szCs w:val="22"/>
              </w:rPr>
            </w:pPr>
            <w:hyperlink r:id="rId14" w:history="1">
              <w:r w:rsidR="006644E9" w:rsidRPr="006644E9">
                <w:rPr>
                  <w:rStyle w:val="Hyperlink"/>
                  <w:rFonts w:cs="Arial"/>
                  <w:bCs/>
                  <w:sz w:val="22"/>
                  <w:szCs w:val="22"/>
                  <w:lang w:eastAsia="en-US"/>
                </w:rPr>
                <w:t>SIP-LA 201</w:t>
              </w:r>
              <w:r w:rsidR="006644E9" w:rsidRPr="006644E9">
                <w:rPr>
                  <w:rStyle w:val="Hyperlink"/>
                  <w:rFonts w:cs="Arial"/>
                  <w:bCs/>
                  <w:sz w:val="22"/>
                  <w:szCs w:val="22"/>
                </w:rPr>
                <w:t>9 Annual Review</w:t>
              </w:r>
            </w:hyperlink>
          </w:p>
        </w:tc>
      </w:tr>
    </w:tbl>
    <w:p w14:paraId="76AE6D43" w14:textId="77777777" w:rsidR="003D222C" w:rsidRPr="004204FC" w:rsidRDefault="003D222C" w:rsidP="006778A3">
      <w:pPr>
        <w:spacing w:after="120"/>
        <w:rPr>
          <w:rFonts w:cs="Arial"/>
          <w:sz w:val="12"/>
          <w:szCs w:val="12"/>
        </w:rPr>
      </w:pPr>
    </w:p>
    <w:p w14:paraId="1CA2AABD" w14:textId="547A7879" w:rsidR="003D222C" w:rsidRPr="006778A3" w:rsidRDefault="003D222C" w:rsidP="006778A3">
      <w:pPr>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cs="Arial"/>
          <w:sz w:val="22"/>
          <w:szCs w:val="22"/>
        </w:rPr>
      </w:pPr>
      <w:r w:rsidRPr="006778A3">
        <w:rPr>
          <w:rFonts w:cs="Arial"/>
          <w:b/>
          <w:sz w:val="22"/>
          <w:szCs w:val="22"/>
        </w:rPr>
        <w:t xml:space="preserve">A. SUMMARY AND OVERVIEW </w:t>
      </w:r>
    </w:p>
    <w:p w14:paraId="7A642962" w14:textId="204A10FD" w:rsidR="003D222C" w:rsidRPr="006778A3" w:rsidRDefault="003D222C" w:rsidP="00E04922">
      <w:pPr>
        <w:spacing w:after="120"/>
        <w:contextualSpacing/>
        <w:rPr>
          <w:rFonts w:cs="Arial"/>
          <w:sz w:val="22"/>
          <w:szCs w:val="22"/>
        </w:rPr>
      </w:pPr>
      <w:r w:rsidRPr="006778A3">
        <w:rPr>
          <w:rFonts w:cs="Arial"/>
          <w:b/>
          <w:sz w:val="22"/>
          <w:szCs w:val="22"/>
        </w:rPr>
        <w:t xml:space="preserve">Description of programme </w:t>
      </w:r>
    </w:p>
    <w:p w14:paraId="07BAEFBB" w14:textId="71863E68" w:rsidR="00E219F5" w:rsidRDefault="00E219F5" w:rsidP="03E7C795">
      <w:pPr>
        <w:pStyle w:val="NormalWeb"/>
        <w:spacing w:before="0" w:beforeAutospacing="0" w:after="120" w:afterAutospacing="0"/>
        <w:jc w:val="both"/>
        <w:rPr>
          <w:rFonts w:ascii="Arial" w:hAnsi="Arial" w:cs="Arial"/>
          <w:color w:val="000000"/>
          <w:sz w:val="22"/>
          <w:szCs w:val="22"/>
        </w:rPr>
      </w:pPr>
      <w:r w:rsidRPr="03E7C795">
        <w:rPr>
          <w:rFonts w:ascii="Arial" w:hAnsi="Arial" w:cs="Arial"/>
          <w:sz w:val="22"/>
          <w:szCs w:val="22"/>
        </w:rPr>
        <w:t xml:space="preserve">The Sustainable Infrastructure Programme Latin America (SIP-LA) </w:t>
      </w:r>
      <w:r w:rsidRPr="03E7C795">
        <w:rPr>
          <w:rFonts w:ascii="Arial" w:hAnsi="Arial" w:cs="Arial"/>
          <w:color w:val="000000" w:themeColor="text1"/>
          <w:sz w:val="22"/>
          <w:szCs w:val="22"/>
        </w:rPr>
        <w:t xml:space="preserve">is a £177.5m bilateral programme funded </w:t>
      </w:r>
      <w:r w:rsidR="00015130" w:rsidRPr="03E7C795">
        <w:rPr>
          <w:rFonts w:ascii="Arial" w:hAnsi="Arial" w:cs="Arial"/>
          <w:color w:val="000000" w:themeColor="text1"/>
          <w:sz w:val="22"/>
          <w:szCs w:val="22"/>
        </w:rPr>
        <w:t>through the</w:t>
      </w:r>
      <w:r w:rsidRPr="03E7C795">
        <w:rPr>
          <w:rFonts w:ascii="Arial" w:hAnsi="Arial" w:cs="Arial"/>
          <w:color w:val="000000" w:themeColor="text1"/>
          <w:sz w:val="22"/>
          <w:szCs w:val="22"/>
        </w:rPr>
        <w:t xml:space="preserve"> UK</w:t>
      </w:r>
      <w:r w:rsidR="00015130" w:rsidRPr="03E7C795">
        <w:rPr>
          <w:rFonts w:ascii="Arial" w:hAnsi="Arial" w:cs="Arial"/>
          <w:color w:val="000000" w:themeColor="text1"/>
          <w:sz w:val="22"/>
          <w:szCs w:val="22"/>
        </w:rPr>
        <w:t>’s</w:t>
      </w:r>
      <w:r w:rsidRPr="03E7C795">
        <w:rPr>
          <w:rFonts w:ascii="Arial" w:hAnsi="Arial" w:cs="Arial"/>
          <w:color w:val="000000" w:themeColor="text1"/>
          <w:sz w:val="22"/>
          <w:szCs w:val="22"/>
        </w:rPr>
        <w:t xml:space="preserve"> International Climate Finance (ICF)</w:t>
      </w:r>
      <w:r w:rsidR="00263314">
        <w:rPr>
          <w:rFonts w:ascii="Arial" w:hAnsi="Arial" w:cs="Arial"/>
          <w:color w:val="000000" w:themeColor="text1"/>
          <w:sz w:val="22"/>
          <w:szCs w:val="22"/>
        </w:rPr>
        <w:t>, via the UK’s Department for Business, Energy and Industrial Strateg</w:t>
      </w:r>
      <w:r w:rsidR="00482814">
        <w:rPr>
          <w:rFonts w:ascii="Arial" w:hAnsi="Arial" w:cs="Arial"/>
          <w:color w:val="000000" w:themeColor="text1"/>
          <w:sz w:val="22"/>
          <w:szCs w:val="22"/>
        </w:rPr>
        <w:t>y (BEIS)</w:t>
      </w:r>
      <w:r w:rsidRPr="03E7C795">
        <w:rPr>
          <w:rFonts w:ascii="Arial" w:hAnsi="Arial" w:cs="Arial"/>
          <w:color w:val="000000" w:themeColor="text1"/>
          <w:sz w:val="22"/>
          <w:szCs w:val="22"/>
        </w:rPr>
        <w:t xml:space="preserve"> and delivered by the Inter-American Development Bank (IDB). SIP-LA supports partner countries to achieve their emission reduction commitments by mobilising private investment into low</w:t>
      </w:r>
      <w:r w:rsidR="00936846">
        <w:rPr>
          <w:rFonts w:ascii="Arial" w:hAnsi="Arial" w:cs="Arial"/>
          <w:color w:val="000000" w:themeColor="text1"/>
          <w:sz w:val="22"/>
          <w:szCs w:val="22"/>
        </w:rPr>
        <w:t xml:space="preserve"> </w:t>
      </w:r>
      <w:r w:rsidRPr="03E7C795">
        <w:rPr>
          <w:rFonts w:ascii="Arial" w:hAnsi="Arial" w:cs="Arial"/>
          <w:color w:val="000000" w:themeColor="text1"/>
          <w:sz w:val="22"/>
          <w:szCs w:val="22"/>
        </w:rPr>
        <w:t xml:space="preserve">carbon infrastructure. The programme provides public </w:t>
      </w:r>
      <w:r w:rsidR="00832BAC" w:rsidRPr="03E7C795">
        <w:rPr>
          <w:rFonts w:ascii="Arial" w:hAnsi="Arial" w:cs="Arial"/>
          <w:color w:val="000000" w:themeColor="text1"/>
          <w:sz w:val="22"/>
          <w:szCs w:val="22"/>
        </w:rPr>
        <w:t xml:space="preserve">and private </w:t>
      </w:r>
      <w:r w:rsidRPr="03E7C795">
        <w:rPr>
          <w:rFonts w:ascii="Arial" w:hAnsi="Arial" w:cs="Arial"/>
          <w:color w:val="000000" w:themeColor="text1"/>
          <w:sz w:val="22"/>
          <w:szCs w:val="22"/>
        </w:rPr>
        <w:t>sector technical assistance a</w:t>
      </w:r>
      <w:r w:rsidR="00832BAC" w:rsidRPr="03E7C795">
        <w:rPr>
          <w:rFonts w:ascii="Arial" w:hAnsi="Arial" w:cs="Arial"/>
          <w:color w:val="000000" w:themeColor="text1"/>
          <w:sz w:val="22"/>
          <w:szCs w:val="22"/>
        </w:rPr>
        <w:t>longside</w:t>
      </w:r>
      <w:r w:rsidRPr="03E7C795">
        <w:rPr>
          <w:rFonts w:ascii="Arial" w:hAnsi="Arial" w:cs="Arial"/>
          <w:color w:val="000000" w:themeColor="text1"/>
          <w:sz w:val="22"/>
          <w:szCs w:val="22"/>
        </w:rPr>
        <w:t xml:space="preserve"> </w:t>
      </w:r>
      <w:r w:rsidR="009E532E">
        <w:rPr>
          <w:rFonts w:ascii="Arial" w:hAnsi="Arial" w:cs="Arial"/>
          <w:color w:val="000000" w:themeColor="text1"/>
          <w:sz w:val="22"/>
          <w:szCs w:val="22"/>
        </w:rPr>
        <w:t>blended finance</w:t>
      </w:r>
      <w:r w:rsidR="009E532E" w:rsidRPr="03E7C795">
        <w:rPr>
          <w:rFonts w:ascii="Arial" w:hAnsi="Arial" w:cs="Arial"/>
          <w:color w:val="000000" w:themeColor="text1"/>
          <w:sz w:val="22"/>
          <w:szCs w:val="22"/>
        </w:rPr>
        <w:t xml:space="preserve"> </w:t>
      </w:r>
      <w:r w:rsidRPr="03E7C795">
        <w:rPr>
          <w:rFonts w:ascii="Arial" w:hAnsi="Arial" w:cs="Arial"/>
          <w:color w:val="000000" w:themeColor="text1"/>
          <w:sz w:val="22"/>
          <w:szCs w:val="22"/>
        </w:rPr>
        <w:t>investments</w:t>
      </w:r>
      <w:r w:rsidR="006377E1" w:rsidRPr="03E7C795">
        <w:rPr>
          <w:rFonts w:ascii="Arial" w:hAnsi="Arial" w:cs="Arial"/>
          <w:color w:val="000000" w:themeColor="text1"/>
          <w:sz w:val="22"/>
          <w:szCs w:val="22"/>
        </w:rPr>
        <w:t xml:space="preserve"> in </w:t>
      </w:r>
      <w:r w:rsidRPr="03E7C795">
        <w:rPr>
          <w:rFonts w:ascii="Arial" w:hAnsi="Arial" w:cs="Arial"/>
          <w:color w:val="000000" w:themeColor="text1"/>
          <w:sz w:val="22"/>
          <w:szCs w:val="22"/>
        </w:rPr>
        <w:t xml:space="preserve">Brazil, Colombia, Mexico, and Peru. </w:t>
      </w:r>
    </w:p>
    <w:p w14:paraId="7EC7CFAC" w14:textId="235509D9" w:rsidR="003D222C" w:rsidRPr="006778A3" w:rsidRDefault="00E219F5" w:rsidP="00E04922">
      <w:pPr>
        <w:spacing w:after="120"/>
        <w:jc w:val="both"/>
        <w:rPr>
          <w:rFonts w:cs="Arial"/>
          <w:b/>
          <w:sz w:val="22"/>
          <w:szCs w:val="22"/>
        </w:rPr>
      </w:pPr>
      <w:r w:rsidRPr="0F2ABEE9">
        <w:rPr>
          <w:rFonts w:cs="Arial"/>
          <w:color w:val="000000" w:themeColor="text1"/>
          <w:sz w:val="22"/>
          <w:szCs w:val="22"/>
        </w:rPr>
        <w:t xml:space="preserve">SIP-LA is </w:t>
      </w:r>
      <w:r w:rsidR="008A0D47">
        <w:rPr>
          <w:rFonts w:cs="Arial"/>
          <w:color w:val="000000" w:themeColor="text1"/>
          <w:sz w:val="22"/>
          <w:szCs w:val="22"/>
        </w:rPr>
        <w:t xml:space="preserve">delivered </w:t>
      </w:r>
      <w:r w:rsidR="000417D8">
        <w:rPr>
          <w:rFonts w:cs="Arial"/>
          <w:color w:val="000000" w:themeColor="text1"/>
          <w:sz w:val="22"/>
          <w:szCs w:val="22"/>
        </w:rPr>
        <w:t>through</w:t>
      </w:r>
      <w:r w:rsidRPr="0F2ABEE9">
        <w:rPr>
          <w:rFonts w:cs="Arial"/>
          <w:color w:val="000000" w:themeColor="text1"/>
          <w:sz w:val="22"/>
          <w:szCs w:val="22"/>
        </w:rPr>
        <w:t xml:space="preserve"> </w:t>
      </w:r>
      <w:r w:rsidR="00015130">
        <w:rPr>
          <w:rFonts w:cs="Arial"/>
          <w:color w:val="000000" w:themeColor="text1"/>
          <w:sz w:val="22"/>
          <w:szCs w:val="22"/>
        </w:rPr>
        <w:t xml:space="preserve">two </w:t>
      </w:r>
      <w:r w:rsidR="00562950">
        <w:rPr>
          <w:rFonts w:cs="Arial"/>
          <w:color w:val="000000" w:themeColor="text1"/>
          <w:sz w:val="22"/>
          <w:szCs w:val="22"/>
        </w:rPr>
        <w:t>divisions</w:t>
      </w:r>
      <w:r w:rsidR="00015130">
        <w:rPr>
          <w:rFonts w:cs="Arial"/>
          <w:color w:val="000000" w:themeColor="text1"/>
          <w:sz w:val="22"/>
          <w:szCs w:val="22"/>
        </w:rPr>
        <w:t xml:space="preserve"> of</w:t>
      </w:r>
      <w:r w:rsidRPr="0F2ABEE9">
        <w:rPr>
          <w:rFonts w:cs="Arial"/>
          <w:color w:val="000000" w:themeColor="text1"/>
          <w:sz w:val="22"/>
          <w:szCs w:val="22"/>
        </w:rPr>
        <w:t xml:space="preserve"> </w:t>
      </w:r>
      <w:r w:rsidR="00015130">
        <w:rPr>
          <w:rFonts w:cs="Arial"/>
          <w:color w:val="000000" w:themeColor="text1"/>
          <w:sz w:val="22"/>
          <w:szCs w:val="22"/>
        </w:rPr>
        <w:t>the</w:t>
      </w:r>
      <w:r w:rsidRPr="0F2ABEE9">
        <w:rPr>
          <w:rFonts w:cs="Arial"/>
          <w:color w:val="000000" w:themeColor="text1"/>
          <w:sz w:val="22"/>
          <w:szCs w:val="22"/>
        </w:rPr>
        <w:t xml:space="preserve"> IDB Group</w:t>
      </w:r>
      <w:r w:rsidR="00015130">
        <w:rPr>
          <w:rFonts w:cs="Arial"/>
          <w:color w:val="000000" w:themeColor="text1"/>
          <w:sz w:val="22"/>
          <w:szCs w:val="22"/>
        </w:rPr>
        <w:t xml:space="preserve">: the </w:t>
      </w:r>
      <w:r w:rsidR="00015130" w:rsidRPr="0F2ABEE9">
        <w:rPr>
          <w:rFonts w:cs="Arial"/>
          <w:color w:val="000000" w:themeColor="text1"/>
          <w:sz w:val="22"/>
          <w:szCs w:val="22"/>
        </w:rPr>
        <w:t xml:space="preserve">IDB Climate Change Division </w:t>
      </w:r>
      <w:r w:rsidR="00FC5D93">
        <w:rPr>
          <w:rFonts w:cs="Arial"/>
          <w:color w:val="000000" w:themeColor="text1"/>
          <w:sz w:val="22"/>
          <w:szCs w:val="22"/>
        </w:rPr>
        <w:t>and IDB Invest</w:t>
      </w:r>
      <w:r w:rsidRPr="0F2ABEE9">
        <w:rPr>
          <w:rFonts w:cs="Arial"/>
          <w:color w:val="000000" w:themeColor="text1"/>
          <w:sz w:val="22"/>
          <w:szCs w:val="22"/>
        </w:rPr>
        <w:t xml:space="preserve">. </w:t>
      </w:r>
      <w:r w:rsidR="00015130">
        <w:rPr>
          <w:rFonts w:cs="Arial"/>
          <w:color w:val="000000" w:themeColor="text1"/>
          <w:sz w:val="22"/>
          <w:szCs w:val="22"/>
        </w:rPr>
        <w:t xml:space="preserve">The </w:t>
      </w:r>
      <w:r w:rsidRPr="0F2ABEE9">
        <w:rPr>
          <w:rFonts w:cs="Arial"/>
          <w:color w:val="000000" w:themeColor="text1"/>
          <w:sz w:val="22"/>
          <w:szCs w:val="22"/>
        </w:rPr>
        <w:t xml:space="preserve">IDB Climate Change Division leads on engagement with partner governments and the delivery of public sector technical assistance activities. IDB Invest </w:t>
      </w:r>
      <w:r w:rsidR="00015130">
        <w:rPr>
          <w:rFonts w:cs="Arial"/>
          <w:color w:val="000000" w:themeColor="text1"/>
          <w:sz w:val="22"/>
          <w:szCs w:val="22"/>
        </w:rPr>
        <w:t>delivers the programme’s</w:t>
      </w:r>
      <w:r w:rsidRPr="0F2ABEE9">
        <w:rPr>
          <w:rFonts w:cs="Arial"/>
          <w:color w:val="000000" w:themeColor="text1"/>
          <w:sz w:val="22"/>
          <w:szCs w:val="22"/>
        </w:rPr>
        <w:t xml:space="preserve"> blended finance and private sector technical assistance </w:t>
      </w:r>
      <w:r w:rsidR="00A34485">
        <w:rPr>
          <w:rFonts w:cs="Arial"/>
          <w:color w:val="000000" w:themeColor="text1"/>
          <w:sz w:val="22"/>
          <w:szCs w:val="22"/>
        </w:rPr>
        <w:t>activities</w:t>
      </w:r>
      <w:r w:rsidRPr="0F2ABEE9">
        <w:rPr>
          <w:rFonts w:cs="Arial"/>
          <w:color w:val="000000" w:themeColor="text1"/>
          <w:sz w:val="22"/>
          <w:szCs w:val="22"/>
        </w:rPr>
        <w:t>.</w:t>
      </w:r>
    </w:p>
    <w:p w14:paraId="01141ADC" w14:textId="3A3CAB70" w:rsidR="003D222C" w:rsidRDefault="003D222C" w:rsidP="00E04922">
      <w:pPr>
        <w:spacing w:after="120"/>
        <w:jc w:val="both"/>
        <w:rPr>
          <w:rFonts w:cs="Arial"/>
          <w:b/>
          <w:sz w:val="22"/>
          <w:szCs w:val="22"/>
        </w:rPr>
      </w:pPr>
      <w:r w:rsidRPr="006778A3">
        <w:rPr>
          <w:rFonts w:cs="Arial"/>
          <w:b/>
          <w:sz w:val="22"/>
          <w:szCs w:val="22"/>
        </w:rPr>
        <w:t xml:space="preserve">Summary of progress </w:t>
      </w:r>
    </w:p>
    <w:p w14:paraId="02F28898" w14:textId="52D37586" w:rsidR="00385517" w:rsidRPr="00296F9D" w:rsidRDefault="00472137" w:rsidP="003809B1">
      <w:pPr>
        <w:spacing w:after="120"/>
        <w:jc w:val="both"/>
        <w:rPr>
          <w:rFonts w:cs="Arial"/>
          <w:color w:val="000000"/>
          <w:sz w:val="22"/>
          <w:szCs w:val="22"/>
          <w:shd w:val="clear" w:color="auto" w:fill="FFFFFF"/>
        </w:rPr>
      </w:pPr>
      <w:r w:rsidRPr="00D47961">
        <w:rPr>
          <w:rFonts w:cs="Arial"/>
          <w:bCs/>
          <w:sz w:val="22"/>
          <w:szCs w:val="22"/>
        </w:rPr>
        <w:t xml:space="preserve">This is </w:t>
      </w:r>
      <w:r w:rsidR="00D47961">
        <w:rPr>
          <w:rFonts w:cs="Arial"/>
          <w:bCs/>
          <w:sz w:val="22"/>
          <w:szCs w:val="22"/>
        </w:rPr>
        <w:t>SIP-LA’s</w:t>
      </w:r>
      <w:r w:rsidRPr="00D47961">
        <w:rPr>
          <w:rFonts w:cs="Arial"/>
          <w:bCs/>
          <w:sz w:val="22"/>
          <w:szCs w:val="22"/>
        </w:rPr>
        <w:t xml:space="preserve"> third Annual Review. The first two Annual Reviews </w:t>
      </w:r>
      <w:r w:rsidR="003613E1">
        <w:rPr>
          <w:rFonts w:cs="Arial"/>
          <w:bCs/>
          <w:sz w:val="22"/>
          <w:szCs w:val="22"/>
        </w:rPr>
        <w:t xml:space="preserve">both </w:t>
      </w:r>
      <w:r w:rsidRPr="00D47961">
        <w:rPr>
          <w:rFonts w:cs="Arial"/>
          <w:bCs/>
          <w:sz w:val="22"/>
          <w:szCs w:val="22"/>
        </w:rPr>
        <w:t xml:space="preserve">scored SIP-LA </w:t>
      </w:r>
      <w:r w:rsidR="00804197" w:rsidRPr="00D47961">
        <w:rPr>
          <w:rFonts w:cs="Arial"/>
          <w:bCs/>
          <w:sz w:val="22"/>
          <w:szCs w:val="22"/>
        </w:rPr>
        <w:t>‘B’.</w:t>
      </w:r>
      <w:r w:rsidR="00FF60B6">
        <w:rPr>
          <w:rFonts w:cs="Arial"/>
          <w:bCs/>
          <w:sz w:val="22"/>
          <w:szCs w:val="22"/>
        </w:rPr>
        <w:t xml:space="preserve"> At the end 2019</w:t>
      </w:r>
      <w:r w:rsidR="00492582">
        <w:rPr>
          <w:rFonts w:cs="Arial"/>
          <w:bCs/>
          <w:sz w:val="22"/>
          <w:szCs w:val="22"/>
        </w:rPr>
        <w:t xml:space="preserve">, </w:t>
      </w:r>
      <w:r w:rsidR="00C44FD2" w:rsidRPr="000A6F38">
        <w:rPr>
          <w:rStyle w:val="normaltextrun"/>
          <w:rFonts w:cs="Arial"/>
          <w:color w:val="000000"/>
          <w:sz w:val="22"/>
          <w:szCs w:val="22"/>
          <w:shd w:val="clear" w:color="auto" w:fill="FFFFFF"/>
        </w:rPr>
        <w:t xml:space="preserve">BEIS and IDB </w:t>
      </w:r>
      <w:r w:rsidR="000107F7">
        <w:rPr>
          <w:rStyle w:val="normaltextrun"/>
          <w:rFonts w:cs="Arial"/>
          <w:color w:val="000000"/>
          <w:sz w:val="22"/>
          <w:szCs w:val="22"/>
          <w:shd w:val="clear" w:color="auto" w:fill="FFFFFF"/>
        </w:rPr>
        <w:t>undertook</w:t>
      </w:r>
      <w:r w:rsidR="00C44FD2" w:rsidRPr="000A6F38">
        <w:rPr>
          <w:rStyle w:val="normaltextrun"/>
          <w:rFonts w:cs="Arial"/>
          <w:color w:val="000000"/>
          <w:sz w:val="22"/>
          <w:szCs w:val="22"/>
          <w:shd w:val="clear" w:color="auto" w:fill="FFFFFF"/>
        </w:rPr>
        <w:t> </w:t>
      </w:r>
      <w:r w:rsidR="00254C82" w:rsidRPr="000A6F38">
        <w:rPr>
          <w:rStyle w:val="normaltextrun"/>
          <w:rFonts w:cs="Arial"/>
          <w:color w:val="000000"/>
          <w:sz w:val="22"/>
          <w:szCs w:val="22"/>
          <w:shd w:val="clear" w:color="auto" w:fill="FFFFFF"/>
        </w:rPr>
        <w:t>a ‘</w:t>
      </w:r>
      <w:r w:rsidR="005B3063">
        <w:rPr>
          <w:rStyle w:val="normaltextrun"/>
          <w:rFonts w:cs="Arial"/>
          <w:color w:val="000000"/>
          <w:sz w:val="22"/>
          <w:szCs w:val="22"/>
          <w:shd w:val="clear" w:color="auto" w:fill="FFFFFF"/>
        </w:rPr>
        <w:t>S</w:t>
      </w:r>
      <w:r w:rsidR="00254C82" w:rsidRPr="000A6F38">
        <w:rPr>
          <w:rStyle w:val="normaltextrun"/>
          <w:rFonts w:cs="Arial"/>
          <w:color w:val="000000"/>
          <w:sz w:val="22"/>
          <w:szCs w:val="22"/>
          <w:shd w:val="clear" w:color="auto" w:fill="FFFFFF"/>
        </w:rPr>
        <w:t xml:space="preserve">trategic </w:t>
      </w:r>
      <w:r w:rsidR="005B3063">
        <w:rPr>
          <w:rStyle w:val="normaltextrun"/>
          <w:rFonts w:cs="Arial"/>
          <w:color w:val="000000"/>
          <w:sz w:val="22"/>
          <w:szCs w:val="22"/>
          <w:shd w:val="clear" w:color="auto" w:fill="FFFFFF"/>
        </w:rPr>
        <w:t>R</w:t>
      </w:r>
      <w:r w:rsidR="00254C82" w:rsidRPr="000A6F38">
        <w:rPr>
          <w:rStyle w:val="normaltextrun"/>
          <w:rFonts w:cs="Arial"/>
          <w:color w:val="000000"/>
          <w:sz w:val="22"/>
          <w:szCs w:val="22"/>
          <w:shd w:val="clear" w:color="auto" w:fill="FFFFFF"/>
        </w:rPr>
        <w:t xml:space="preserve">eview’ </w:t>
      </w:r>
      <w:r w:rsidR="007416C2">
        <w:rPr>
          <w:rStyle w:val="normaltextrun"/>
          <w:rFonts w:cs="Arial"/>
          <w:color w:val="000000"/>
          <w:sz w:val="22"/>
          <w:szCs w:val="22"/>
          <w:shd w:val="clear" w:color="auto" w:fill="FFFFFF"/>
        </w:rPr>
        <w:t xml:space="preserve">to improve </w:t>
      </w:r>
      <w:r w:rsidR="007416C2" w:rsidRPr="000A6F38">
        <w:rPr>
          <w:rFonts w:cs="Arial"/>
          <w:bCs/>
          <w:sz w:val="22"/>
          <w:szCs w:val="22"/>
        </w:rPr>
        <w:t xml:space="preserve">the programme’s </w:t>
      </w:r>
      <w:r w:rsidR="007416C2">
        <w:rPr>
          <w:rStyle w:val="normaltextrun"/>
          <w:rFonts w:cs="Arial"/>
          <w:color w:val="000000"/>
          <w:sz w:val="22"/>
          <w:szCs w:val="22"/>
          <w:shd w:val="clear" w:color="auto" w:fill="FFFFFF"/>
        </w:rPr>
        <w:t>strategic focus, governance and MEL processes</w:t>
      </w:r>
      <w:r w:rsidR="00A26CC8">
        <w:rPr>
          <w:rStyle w:val="normaltextrun"/>
          <w:rFonts w:cs="Arial"/>
          <w:color w:val="000000"/>
          <w:sz w:val="22"/>
          <w:szCs w:val="22"/>
          <w:shd w:val="clear" w:color="auto" w:fill="FFFFFF"/>
        </w:rPr>
        <w:t xml:space="preserve"> (as reported in the 2019 Annual Review)</w:t>
      </w:r>
      <w:r w:rsidR="000A6F38" w:rsidRPr="000A6F38">
        <w:rPr>
          <w:rStyle w:val="normaltextrun"/>
          <w:rFonts w:cs="Arial"/>
          <w:color w:val="000000"/>
          <w:sz w:val="22"/>
          <w:szCs w:val="22"/>
          <w:shd w:val="clear" w:color="auto" w:fill="FFFFFF"/>
        </w:rPr>
        <w:t>.</w:t>
      </w:r>
      <w:r w:rsidR="00031D88">
        <w:rPr>
          <w:rStyle w:val="normaltextrun"/>
          <w:rFonts w:cs="Arial"/>
          <w:color w:val="000000"/>
          <w:sz w:val="22"/>
          <w:szCs w:val="22"/>
          <w:shd w:val="clear" w:color="auto" w:fill="FFFFFF"/>
        </w:rPr>
        <w:t xml:space="preserve"> </w:t>
      </w:r>
      <w:r w:rsidR="0085450C">
        <w:rPr>
          <w:rStyle w:val="normaltextrun"/>
          <w:rFonts w:cs="Arial"/>
          <w:color w:val="000000"/>
          <w:sz w:val="22"/>
          <w:szCs w:val="22"/>
          <w:shd w:val="clear" w:color="auto" w:fill="FFFFFF"/>
        </w:rPr>
        <w:t xml:space="preserve">BEIS </w:t>
      </w:r>
      <w:r w:rsidR="000107F7">
        <w:rPr>
          <w:rStyle w:val="normaltextrun"/>
          <w:rFonts w:cs="Arial"/>
          <w:color w:val="000000"/>
          <w:sz w:val="22"/>
          <w:szCs w:val="22"/>
          <w:shd w:val="clear" w:color="auto" w:fill="FFFFFF"/>
        </w:rPr>
        <w:t xml:space="preserve">implemented the Strategic Review to </w:t>
      </w:r>
      <w:r w:rsidR="00970C1C">
        <w:rPr>
          <w:rStyle w:val="normaltextrun"/>
          <w:rFonts w:cs="Arial"/>
          <w:color w:val="000000"/>
          <w:sz w:val="22"/>
          <w:szCs w:val="22"/>
          <w:shd w:val="clear" w:color="auto" w:fill="FFFFFF"/>
        </w:rPr>
        <w:t>build delivery confidence in the partnership delivering its core aims</w:t>
      </w:r>
      <w:r w:rsidR="000944CE">
        <w:rPr>
          <w:rStyle w:val="normaltextrun"/>
          <w:rFonts w:cs="Arial"/>
          <w:color w:val="000000"/>
          <w:sz w:val="22"/>
          <w:szCs w:val="22"/>
          <w:shd w:val="clear" w:color="auto" w:fill="FFFFFF"/>
        </w:rPr>
        <w:t xml:space="preserve">, notable value-adding from a climate perspective and across all four countries in </w:t>
      </w:r>
      <w:r w:rsidR="000944CE" w:rsidRPr="00E45C4E">
        <w:rPr>
          <w:rStyle w:val="normaltextrun"/>
          <w:rFonts w:cs="Arial"/>
          <w:color w:val="000000"/>
          <w:sz w:val="22"/>
          <w:szCs w:val="22"/>
          <w:shd w:val="clear" w:color="auto" w:fill="FFFFFF"/>
        </w:rPr>
        <w:t>scope</w:t>
      </w:r>
      <w:r w:rsidR="00F91FB9">
        <w:rPr>
          <w:rStyle w:val="normaltextrun"/>
          <w:rFonts w:cs="Arial"/>
          <w:color w:val="000000"/>
          <w:sz w:val="22"/>
          <w:szCs w:val="22"/>
          <w:shd w:val="clear" w:color="auto" w:fill="FFFFFF"/>
        </w:rPr>
        <w:t>, and improve pipeline quality and visibility</w:t>
      </w:r>
      <w:r w:rsidR="00863569">
        <w:rPr>
          <w:rStyle w:val="normaltextrun"/>
          <w:rFonts w:cs="Arial"/>
          <w:color w:val="000000"/>
          <w:sz w:val="22"/>
          <w:szCs w:val="22"/>
          <w:shd w:val="clear" w:color="auto" w:fill="FFFFFF"/>
        </w:rPr>
        <w:t xml:space="preserve">. </w:t>
      </w:r>
      <w:r w:rsidR="00A26CC8" w:rsidRPr="00CE0D9E">
        <w:rPr>
          <w:rStyle w:val="normaltextrun"/>
          <w:rFonts w:cs="Arial"/>
          <w:color w:val="000000"/>
          <w:sz w:val="22"/>
          <w:szCs w:val="22"/>
          <w:shd w:val="clear" w:color="auto" w:fill="FFFFFF"/>
        </w:rPr>
        <w:t>The Strategic Review</w:t>
      </w:r>
      <w:r w:rsidR="000A6F38" w:rsidRPr="00CE0D9E">
        <w:rPr>
          <w:rStyle w:val="normaltextrun"/>
          <w:rFonts w:cs="Arial"/>
          <w:color w:val="000000"/>
          <w:sz w:val="22"/>
          <w:szCs w:val="22"/>
          <w:shd w:val="clear" w:color="auto" w:fill="FFFFFF"/>
        </w:rPr>
        <w:t xml:space="preserve"> included</w:t>
      </w:r>
      <w:r w:rsidR="000A6F38" w:rsidRPr="000A6F38">
        <w:rPr>
          <w:rStyle w:val="normaltextrun"/>
          <w:rFonts w:cs="Arial"/>
          <w:color w:val="000000"/>
          <w:sz w:val="22"/>
          <w:szCs w:val="22"/>
          <w:shd w:val="clear" w:color="auto" w:fill="FFFFFF"/>
        </w:rPr>
        <w:t xml:space="preserve"> a </w:t>
      </w:r>
      <w:r w:rsidR="00492582">
        <w:rPr>
          <w:rStyle w:val="normaltextrun"/>
          <w:rFonts w:cs="Arial"/>
          <w:color w:val="000000"/>
          <w:sz w:val="22"/>
          <w:szCs w:val="22"/>
          <w:shd w:val="clear" w:color="auto" w:fill="FFFFFF"/>
        </w:rPr>
        <w:t>review of the programme</w:t>
      </w:r>
      <w:r w:rsidR="3E4FDFCA" w:rsidRPr="000A6F38">
        <w:rPr>
          <w:rStyle w:val="normaltextrun"/>
          <w:rFonts w:cs="Arial"/>
          <w:color w:val="000000"/>
          <w:sz w:val="22"/>
          <w:szCs w:val="22"/>
          <w:shd w:val="clear" w:color="auto" w:fill="FFFFFF"/>
        </w:rPr>
        <w:t xml:space="preserve">'s </w:t>
      </w:r>
      <w:r w:rsidR="00C22760">
        <w:rPr>
          <w:rStyle w:val="normaltextrun"/>
          <w:rFonts w:cs="Arial"/>
          <w:color w:val="000000"/>
          <w:sz w:val="22"/>
          <w:szCs w:val="22"/>
          <w:shd w:val="clear" w:color="auto" w:fill="FFFFFF"/>
        </w:rPr>
        <w:t>l</w:t>
      </w:r>
      <w:r w:rsidR="3E4FDFCA" w:rsidRPr="000A6F38">
        <w:rPr>
          <w:rStyle w:val="normaltextrun"/>
          <w:rFonts w:cs="Arial"/>
          <w:color w:val="000000"/>
          <w:sz w:val="22"/>
          <w:szCs w:val="22"/>
          <w:shd w:val="clear" w:color="auto" w:fill="FFFFFF"/>
        </w:rPr>
        <w:t>og</w:t>
      </w:r>
      <w:r w:rsidR="00C22760">
        <w:rPr>
          <w:rStyle w:val="normaltextrun"/>
          <w:rFonts w:cs="Arial"/>
          <w:color w:val="000000"/>
          <w:sz w:val="22"/>
          <w:szCs w:val="22"/>
          <w:shd w:val="clear" w:color="auto" w:fill="FFFFFF"/>
        </w:rPr>
        <w:t xml:space="preserve"> </w:t>
      </w:r>
      <w:r w:rsidR="3E4FDFCA" w:rsidRPr="000A6F38">
        <w:rPr>
          <w:rStyle w:val="normaltextrun"/>
          <w:rFonts w:cs="Arial"/>
          <w:color w:val="000000"/>
          <w:sz w:val="22"/>
          <w:szCs w:val="22"/>
          <w:shd w:val="clear" w:color="auto" w:fill="FFFFFF"/>
        </w:rPr>
        <w:t>frame</w:t>
      </w:r>
      <w:r w:rsidR="00C44FD2" w:rsidRPr="000A6F38">
        <w:rPr>
          <w:rStyle w:val="normaltextrun"/>
          <w:rFonts w:cs="Arial"/>
          <w:color w:val="000000"/>
          <w:sz w:val="22"/>
          <w:szCs w:val="22"/>
          <w:shd w:val="clear" w:color="auto" w:fill="FFFFFF"/>
        </w:rPr>
        <w:t xml:space="preserve">, </w:t>
      </w:r>
      <w:r w:rsidR="007416C2">
        <w:rPr>
          <w:rStyle w:val="normaltextrun"/>
          <w:rFonts w:cs="Arial"/>
          <w:color w:val="000000"/>
          <w:sz w:val="22"/>
          <w:szCs w:val="22"/>
          <w:shd w:val="clear" w:color="auto" w:fill="FFFFFF"/>
        </w:rPr>
        <w:t xml:space="preserve">the development of </w:t>
      </w:r>
      <w:r w:rsidR="006C3F33">
        <w:rPr>
          <w:rStyle w:val="normaltextrun"/>
          <w:rFonts w:cs="Arial"/>
          <w:color w:val="000000"/>
          <w:sz w:val="22"/>
          <w:szCs w:val="22"/>
          <w:shd w:val="clear" w:color="auto" w:fill="FFFFFF"/>
        </w:rPr>
        <w:t xml:space="preserve">a </w:t>
      </w:r>
      <w:r w:rsidR="00C44FD2" w:rsidRPr="000A6F38">
        <w:rPr>
          <w:rStyle w:val="normaltextrun"/>
          <w:rFonts w:cs="Arial"/>
          <w:color w:val="000000"/>
          <w:sz w:val="22"/>
          <w:szCs w:val="22"/>
          <w:shd w:val="clear" w:color="auto" w:fill="FFFFFF"/>
        </w:rPr>
        <w:t>VFM monitoring</w:t>
      </w:r>
      <w:r w:rsidR="007416C2">
        <w:rPr>
          <w:rStyle w:val="normaltextrun"/>
          <w:rFonts w:cs="Arial"/>
          <w:color w:val="000000"/>
          <w:sz w:val="22"/>
          <w:szCs w:val="22"/>
          <w:shd w:val="clear" w:color="auto" w:fill="FFFFFF"/>
        </w:rPr>
        <w:t xml:space="preserve"> framework,</w:t>
      </w:r>
      <w:r w:rsidR="00C44FD2" w:rsidRPr="000A6F38">
        <w:rPr>
          <w:rStyle w:val="normaltextrun"/>
          <w:rFonts w:cs="Arial"/>
          <w:color w:val="000000"/>
          <w:sz w:val="22"/>
          <w:szCs w:val="22"/>
          <w:shd w:val="clear" w:color="auto" w:fill="FFFFFF"/>
        </w:rPr>
        <w:t xml:space="preserve"> and </w:t>
      </w:r>
      <w:r w:rsidR="00094C64">
        <w:rPr>
          <w:rStyle w:val="normaltextrun"/>
          <w:rFonts w:cs="Arial"/>
          <w:color w:val="000000"/>
          <w:sz w:val="22"/>
          <w:szCs w:val="22"/>
          <w:shd w:val="clear" w:color="auto" w:fill="FFFFFF"/>
        </w:rPr>
        <w:t xml:space="preserve">the </w:t>
      </w:r>
      <w:r w:rsidR="00492582">
        <w:rPr>
          <w:rStyle w:val="normaltextrun"/>
          <w:rFonts w:cs="Arial"/>
          <w:color w:val="000000"/>
          <w:sz w:val="22"/>
          <w:szCs w:val="22"/>
          <w:shd w:val="clear" w:color="auto" w:fill="FFFFFF"/>
        </w:rPr>
        <w:t>agreement of</w:t>
      </w:r>
      <w:r w:rsidR="007416C2">
        <w:rPr>
          <w:rStyle w:val="normaltextrun"/>
          <w:rFonts w:cs="Arial"/>
          <w:color w:val="000000"/>
          <w:sz w:val="22"/>
          <w:szCs w:val="22"/>
          <w:shd w:val="clear" w:color="auto" w:fill="FFFFFF"/>
        </w:rPr>
        <w:t xml:space="preserve"> </w:t>
      </w:r>
      <w:r w:rsidR="00C44FD2" w:rsidRPr="000A6F38">
        <w:rPr>
          <w:rStyle w:val="normaltextrun"/>
          <w:rFonts w:cs="Arial"/>
          <w:color w:val="000000"/>
          <w:sz w:val="22"/>
          <w:szCs w:val="22"/>
          <w:shd w:val="clear" w:color="auto" w:fill="FFFFFF"/>
        </w:rPr>
        <w:t xml:space="preserve">strategic </w:t>
      </w:r>
      <w:r w:rsidR="006C3F33">
        <w:rPr>
          <w:rStyle w:val="normaltextrun"/>
          <w:rFonts w:cs="Arial"/>
          <w:color w:val="000000"/>
          <w:sz w:val="22"/>
          <w:szCs w:val="22"/>
          <w:shd w:val="clear" w:color="auto" w:fill="FFFFFF"/>
        </w:rPr>
        <w:t xml:space="preserve">guiding </w:t>
      </w:r>
      <w:r w:rsidR="007416C2">
        <w:rPr>
          <w:rStyle w:val="normaltextrun"/>
          <w:rFonts w:cs="Arial"/>
          <w:color w:val="000000"/>
          <w:sz w:val="22"/>
          <w:szCs w:val="22"/>
          <w:shd w:val="clear" w:color="auto" w:fill="FFFFFF"/>
        </w:rPr>
        <w:t>principles</w:t>
      </w:r>
      <w:r w:rsidR="000C2DCE">
        <w:rPr>
          <w:rStyle w:val="normaltextrun"/>
          <w:rFonts w:cs="Arial"/>
          <w:color w:val="000000"/>
          <w:sz w:val="22"/>
          <w:szCs w:val="22"/>
          <w:shd w:val="clear" w:color="auto" w:fill="FFFFFF"/>
        </w:rPr>
        <w:t xml:space="preserve"> for </w:t>
      </w:r>
      <w:r w:rsidR="00A26CC8">
        <w:rPr>
          <w:rStyle w:val="normaltextrun"/>
          <w:rFonts w:cs="Arial"/>
          <w:color w:val="000000"/>
          <w:sz w:val="22"/>
          <w:szCs w:val="22"/>
          <w:shd w:val="clear" w:color="auto" w:fill="FFFFFF"/>
        </w:rPr>
        <w:t>SIP-LA projects</w:t>
      </w:r>
      <w:r w:rsidR="000A6F38">
        <w:rPr>
          <w:rStyle w:val="normaltextrun"/>
          <w:rFonts w:cs="Arial"/>
          <w:color w:val="000000"/>
          <w:sz w:val="22"/>
          <w:szCs w:val="22"/>
          <w:shd w:val="clear" w:color="auto" w:fill="FFFFFF"/>
        </w:rPr>
        <w:t>.</w:t>
      </w:r>
      <w:r w:rsidR="003809B1">
        <w:rPr>
          <w:rStyle w:val="normaltextrun"/>
          <w:rFonts w:cs="Arial"/>
          <w:color w:val="000000"/>
          <w:sz w:val="22"/>
          <w:szCs w:val="22"/>
          <w:shd w:val="clear" w:color="auto" w:fill="FFFFFF"/>
        </w:rPr>
        <w:t xml:space="preserve"> </w:t>
      </w:r>
      <w:r w:rsidR="007416C2">
        <w:rPr>
          <w:rFonts w:cs="Arial"/>
          <w:bCs/>
          <w:sz w:val="22"/>
          <w:szCs w:val="22"/>
        </w:rPr>
        <w:t xml:space="preserve">BEIS </w:t>
      </w:r>
      <w:r w:rsidR="00CE0D9E">
        <w:rPr>
          <w:rFonts w:cs="Arial"/>
          <w:bCs/>
          <w:sz w:val="22"/>
          <w:szCs w:val="22"/>
        </w:rPr>
        <w:t xml:space="preserve">and </w:t>
      </w:r>
      <w:r w:rsidR="00296F9D">
        <w:rPr>
          <w:rFonts w:cs="Arial"/>
          <w:bCs/>
          <w:sz w:val="22"/>
          <w:szCs w:val="22"/>
        </w:rPr>
        <w:t>IDB</w:t>
      </w:r>
      <w:r w:rsidR="00D919D5">
        <w:rPr>
          <w:rFonts w:cs="Arial"/>
          <w:bCs/>
          <w:sz w:val="22"/>
          <w:szCs w:val="22"/>
        </w:rPr>
        <w:t xml:space="preserve"> </w:t>
      </w:r>
      <w:r w:rsidR="00CE0D9E">
        <w:rPr>
          <w:rFonts w:cs="Arial"/>
          <w:bCs/>
          <w:sz w:val="22"/>
          <w:szCs w:val="22"/>
        </w:rPr>
        <w:t xml:space="preserve">agreed </w:t>
      </w:r>
      <w:r w:rsidR="00D919D5">
        <w:rPr>
          <w:rFonts w:cs="Arial"/>
          <w:bCs/>
          <w:sz w:val="22"/>
          <w:szCs w:val="22"/>
        </w:rPr>
        <w:t xml:space="preserve">to </w:t>
      </w:r>
      <w:r w:rsidR="007416C2">
        <w:rPr>
          <w:rFonts w:cs="Arial"/>
          <w:bCs/>
          <w:sz w:val="22"/>
          <w:szCs w:val="22"/>
        </w:rPr>
        <w:t xml:space="preserve">pause </w:t>
      </w:r>
      <w:r w:rsidR="00A26CC8">
        <w:rPr>
          <w:rFonts w:cs="Arial"/>
          <w:bCs/>
          <w:sz w:val="22"/>
          <w:szCs w:val="22"/>
        </w:rPr>
        <w:t xml:space="preserve">the </w:t>
      </w:r>
      <w:r w:rsidR="007416C2">
        <w:rPr>
          <w:rFonts w:cs="Arial"/>
          <w:bCs/>
          <w:sz w:val="22"/>
          <w:szCs w:val="22"/>
        </w:rPr>
        <w:t>origination</w:t>
      </w:r>
      <w:r w:rsidR="00257645" w:rsidRPr="003809B1">
        <w:rPr>
          <w:rFonts w:cs="Arial"/>
          <w:bCs/>
          <w:sz w:val="22"/>
          <w:szCs w:val="22"/>
        </w:rPr>
        <w:t xml:space="preserve"> </w:t>
      </w:r>
      <w:r w:rsidR="00FF60B6">
        <w:rPr>
          <w:rFonts w:cs="Arial"/>
          <w:bCs/>
          <w:sz w:val="22"/>
          <w:szCs w:val="22"/>
        </w:rPr>
        <w:t>of</w:t>
      </w:r>
      <w:r w:rsidR="00A26CC8">
        <w:rPr>
          <w:rFonts w:cs="Arial"/>
          <w:bCs/>
          <w:sz w:val="22"/>
          <w:szCs w:val="22"/>
        </w:rPr>
        <w:t xml:space="preserve"> </w:t>
      </w:r>
      <w:r w:rsidR="00296F9D">
        <w:rPr>
          <w:rFonts w:cs="Arial"/>
          <w:bCs/>
          <w:sz w:val="22"/>
          <w:szCs w:val="22"/>
        </w:rPr>
        <w:t>new</w:t>
      </w:r>
      <w:r w:rsidR="0028396A">
        <w:rPr>
          <w:rFonts w:cs="Arial"/>
          <w:bCs/>
          <w:sz w:val="22"/>
          <w:szCs w:val="22"/>
        </w:rPr>
        <w:t xml:space="preserve"> </w:t>
      </w:r>
      <w:r w:rsidR="008E781C">
        <w:rPr>
          <w:rFonts w:cs="Arial"/>
          <w:bCs/>
          <w:sz w:val="22"/>
          <w:szCs w:val="22"/>
        </w:rPr>
        <w:t xml:space="preserve">technical assistance and </w:t>
      </w:r>
      <w:r w:rsidR="00BD6832">
        <w:rPr>
          <w:rFonts w:cs="Arial"/>
          <w:bCs/>
          <w:sz w:val="22"/>
          <w:szCs w:val="22"/>
        </w:rPr>
        <w:t xml:space="preserve">blended finance </w:t>
      </w:r>
      <w:r w:rsidR="008E781C">
        <w:rPr>
          <w:rFonts w:cs="Arial"/>
          <w:bCs/>
          <w:sz w:val="22"/>
          <w:szCs w:val="22"/>
        </w:rPr>
        <w:t xml:space="preserve">investment </w:t>
      </w:r>
      <w:r w:rsidR="00FF60B6">
        <w:rPr>
          <w:rFonts w:cs="Arial"/>
          <w:bCs/>
          <w:sz w:val="22"/>
          <w:szCs w:val="22"/>
        </w:rPr>
        <w:t xml:space="preserve">projects </w:t>
      </w:r>
      <w:r w:rsidR="00482814">
        <w:rPr>
          <w:rFonts w:cs="Arial"/>
          <w:bCs/>
          <w:sz w:val="22"/>
          <w:szCs w:val="22"/>
        </w:rPr>
        <w:t>in</w:t>
      </w:r>
      <w:r w:rsidR="007416C2">
        <w:rPr>
          <w:rFonts w:cs="Arial"/>
          <w:bCs/>
          <w:sz w:val="22"/>
          <w:szCs w:val="22"/>
        </w:rPr>
        <w:t xml:space="preserve"> </w:t>
      </w:r>
      <w:r w:rsidR="00257645" w:rsidRPr="003809B1">
        <w:rPr>
          <w:rFonts w:cs="Arial"/>
          <w:bCs/>
          <w:sz w:val="22"/>
          <w:szCs w:val="22"/>
        </w:rPr>
        <w:t>June</w:t>
      </w:r>
      <w:r w:rsidR="00482814">
        <w:rPr>
          <w:rFonts w:cs="Arial"/>
          <w:bCs/>
          <w:sz w:val="22"/>
          <w:szCs w:val="22"/>
        </w:rPr>
        <w:t xml:space="preserve"> 2020</w:t>
      </w:r>
      <w:r w:rsidR="007416C2">
        <w:rPr>
          <w:rFonts w:cs="Arial"/>
          <w:bCs/>
          <w:sz w:val="22"/>
          <w:szCs w:val="22"/>
        </w:rPr>
        <w:t xml:space="preserve"> </w:t>
      </w:r>
      <w:r w:rsidR="00296F9D">
        <w:rPr>
          <w:rFonts w:cs="Arial"/>
          <w:bCs/>
          <w:sz w:val="22"/>
          <w:szCs w:val="22"/>
        </w:rPr>
        <w:t>whilst</w:t>
      </w:r>
      <w:r w:rsidR="007416C2">
        <w:rPr>
          <w:rFonts w:cs="Arial"/>
          <w:bCs/>
          <w:sz w:val="22"/>
          <w:szCs w:val="22"/>
        </w:rPr>
        <w:t xml:space="preserve"> </w:t>
      </w:r>
      <w:r w:rsidR="0028396A">
        <w:rPr>
          <w:rFonts w:cs="Arial"/>
          <w:bCs/>
          <w:sz w:val="22"/>
          <w:szCs w:val="22"/>
        </w:rPr>
        <w:t>these activities</w:t>
      </w:r>
      <w:r w:rsidR="00296F9D">
        <w:rPr>
          <w:rFonts w:cs="Arial"/>
          <w:bCs/>
          <w:sz w:val="22"/>
          <w:szCs w:val="22"/>
        </w:rPr>
        <w:t xml:space="preserve"> were completed</w:t>
      </w:r>
      <w:r w:rsidR="00267536">
        <w:rPr>
          <w:rFonts w:cs="Arial"/>
          <w:bCs/>
          <w:sz w:val="22"/>
          <w:szCs w:val="22"/>
        </w:rPr>
        <w:t xml:space="preserve"> </w:t>
      </w:r>
      <w:r w:rsidR="00596C09">
        <w:rPr>
          <w:rFonts w:cs="Arial"/>
          <w:bCs/>
          <w:sz w:val="22"/>
          <w:szCs w:val="22"/>
        </w:rPr>
        <w:t xml:space="preserve">to </w:t>
      </w:r>
      <w:r w:rsidR="00DA6BBC">
        <w:rPr>
          <w:rFonts w:cs="Arial"/>
          <w:bCs/>
          <w:sz w:val="22"/>
          <w:szCs w:val="22"/>
        </w:rPr>
        <w:t xml:space="preserve">ensure that </w:t>
      </w:r>
      <w:r w:rsidR="00596C09">
        <w:rPr>
          <w:rFonts w:cs="Arial"/>
          <w:bCs/>
          <w:sz w:val="22"/>
          <w:szCs w:val="22"/>
        </w:rPr>
        <w:t xml:space="preserve"> new</w:t>
      </w:r>
      <w:r w:rsidR="001903CF">
        <w:rPr>
          <w:rFonts w:cs="Arial"/>
          <w:bCs/>
          <w:sz w:val="22"/>
          <w:szCs w:val="22"/>
        </w:rPr>
        <w:t xml:space="preserve"> budget allocation decisions for new</w:t>
      </w:r>
      <w:r w:rsidR="00596C09">
        <w:rPr>
          <w:rFonts w:cs="Arial"/>
          <w:bCs/>
          <w:sz w:val="22"/>
          <w:szCs w:val="22"/>
        </w:rPr>
        <w:t xml:space="preserve"> projects </w:t>
      </w:r>
      <w:r w:rsidR="00A02BC3">
        <w:rPr>
          <w:rFonts w:cs="Arial"/>
          <w:bCs/>
          <w:sz w:val="22"/>
          <w:szCs w:val="22"/>
        </w:rPr>
        <w:t xml:space="preserve"> </w:t>
      </w:r>
      <w:r w:rsidR="000C1BC7">
        <w:rPr>
          <w:rFonts w:cs="Arial"/>
          <w:bCs/>
          <w:sz w:val="22"/>
          <w:szCs w:val="22"/>
        </w:rPr>
        <w:t xml:space="preserve">sufficiently </w:t>
      </w:r>
      <w:r w:rsidR="001903CF">
        <w:rPr>
          <w:rFonts w:cs="Arial"/>
          <w:bCs/>
          <w:sz w:val="22"/>
          <w:szCs w:val="22"/>
        </w:rPr>
        <w:t>responded to the drivers and intended outcomes</w:t>
      </w:r>
      <w:r w:rsidR="00412009">
        <w:rPr>
          <w:rFonts w:cs="Arial"/>
          <w:bCs/>
          <w:sz w:val="22"/>
          <w:szCs w:val="22"/>
        </w:rPr>
        <w:t xml:space="preserve"> </w:t>
      </w:r>
      <w:r w:rsidR="00514519">
        <w:rPr>
          <w:rFonts w:cs="Arial"/>
          <w:bCs/>
          <w:sz w:val="22"/>
          <w:szCs w:val="22"/>
        </w:rPr>
        <w:t xml:space="preserve">of the </w:t>
      </w:r>
      <w:r w:rsidR="00412009">
        <w:rPr>
          <w:rFonts w:cs="Arial"/>
          <w:bCs/>
          <w:sz w:val="22"/>
          <w:szCs w:val="22"/>
        </w:rPr>
        <w:t>Strategic Review</w:t>
      </w:r>
      <w:r w:rsidR="003809B1">
        <w:rPr>
          <w:rFonts w:cs="Arial"/>
          <w:bCs/>
          <w:sz w:val="22"/>
          <w:szCs w:val="22"/>
        </w:rPr>
        <w:t xml:space="preserve">. </w:t>
      </w:r>
    </w:p>
    <w:p w14:paraId="2DF78A39" w14:textId="15507195" w:rsidR="00E4695C" w:rsidRDefault="00452682" w:rsidP="00922285">
      <w:pPr>
        <w:spacing w:after="120"/>
        <w:jc w:val="both"/>
        <w:rPr>
          <w:rFonts w:cs="Arial"/>
          <w:bCs/>
          <w:sz w:val="22"/>
          <w:szCs w:val="22"/>
        </w:rPr>
      </w:pPr>
      <w:r>
        <w:rPr>
          <w:rStyle w:val="normaltextrun"/>
          <w:rFonts w:cs="Arial"/>
          <w:color w:val="000000"/>
          <w:sz w:val="22"/>
          <w:szCs w:val="22"/>
          <w:shd w:val="clear" w:color="auto" w:fill="FFFFFF"/>
        </w:rPr>
        <w:t xml:space="preserve">BEIS and IDB completed </w:t>
      </w:r>
      <w:r w:rsidR="0001581A">
        <w:rPr>
          <w:rStyle w:val="normaltextrun"/>
          <w:rFonts w:cs="Arial"/>
          <w:color w:val="000000"/>
          <w:sz w:val="22"/>
          <w:szCs w:val="22"/>
          <w:shd w:val="clear" w:color="auto" w:fill="FFFFFF"/>
        </w:rPr>
        <w:t xml:space="preserve">the </w:t>
      </w:r>
      <w:r w:rsidR="00CF00C1">
        <w:rPr>
          <w:rStyle w:val="normaltextrun"/>
          <w:rFonts w:cs="Arial"/>
          <w:color w:val="000000"/>
          <w:sz w:val="22"/>
          <w:szCs w:val="22"/>
          <w:shd w:val="clear" w:color="auto" w:fill="FFFFFF"/>
        </w:rPr>
        <w:t>S</w:t>
      </w:r>
      <w:r w:rsidR="0001581A">
        <w:rPr>
          <w:rStyle w:val="normaltextrun"/>
          <w:rFonts w:cs="Arial"/>
          <w:color w:val="000000"/>
          <w:sz w:val="22"/>
          <w:szCs w:val="22"/>
          <w:shd w:val="clear" w:color="auto" w:fill="FFFFFF"/>
        </w:rPr>
        <w:t xml:space="preserve">trategic </w:t>
      </w:r>
      <w:r w:rsidR="00CF00C1">
        <w:rPr>
          <w:rStyle w:val="normaltextrun"/>
          <w:rFonts w:cs="Arial"/>
          <w:color w:val="000000"/>
          <w:sz w:val="22"/>
          <w:szCs w:val="22"/>
          <w:shd w:val="clear" w:color="auto" w:fill="FFFFFF"/>
        </w:rPr>
        <w:t>R</w:t>
      </w:r>
      <w:r w:rsidR="0001581A">
        <w:rPr>
          <w:rStyle w:val="normaltextrun"/>
          <w:rFonts w:cs="Arial"/>
          <w:color w:val="000000"/>
          <w:sz w:val="22"/>
          <w:szCs w:val="22"/>
          <w:shd w:val="clear" w:color="auto" w:fill="FFFFFF"/>
        </w:rPr>
        <w:t xml:space="preserve">eview </w:t>
      </w:r>
      <w:r w:rsidR="0028396A">
        <w:rPr>
          <w:rStyle w:val="normaltextrun"/>
          <w:rFonts w:cs="Arial"/>
          <w:color w:val="000000"/>
          <w:sz w:val="22"/>
          <w:szCs w:val="22"/>
          <w:shd w:val="clear" w:color="auto" w:fill="FFFFFF"/>
        </w:rPr>
        <w:t>in November 2020</w:t>
      </w:r>
      <w:r>
        <w:rPr>
          <w:rStyle w:val="normaltextrun"/>
          <w:rFonts w:cs="Arial"/>
          <w:bCs/>
          <w:sz w:val="22"/>
          <w:szCs w:val="22"/>
        </w:rPr>
        <w:t>.</w:t>
      </w:r>
      <w:r w:rsidR="005A6154">
        <w:rPr>
          <w:rStyle w:val="normaltextrun"/>
          <w:rFonts w:cs="Arial"/>
          <w:bCs/>
          <w:sz w:val="22"/>
          <w:szCs w:val="22"/>
        </w:rPr>
        <w:t xml:space="preserve"> </w:t>
      </w:r>
      <w:r w:rsidR="0039697A">
        <w:rPr>
          <w:rStyle w:val="normaltextrun"/>
          <w:rFonts w:cs="Arial"/>
          <w:bCs/>
          <w:sz w:val="22"/>
          <w:szCs w:val="22"/>
        </w:rPr>
        <w:t xml:space="preserve">SIP-LA </w:t>
      </w:r>
      <w:r w:rsidR="001D00D5">
        <w:rPr>
          <w:rStyle w:val="normaltextrun"/>
          <w:rFonts w:cs="Arial"/>
          <w:bCs/>
          <w:sz w:val="22"/>
          <w:szCs w:val="22"/>
        </w:rPr>
        <w:t>now has str</w:t>
      </w:r>
      <w:r w:rsidR="001D444C">
        <w:rPr>
          <w:rStyle w:val="normaltextrun"/>
          <w:rFonts w:cs="Arial"/>
          <w:bCs/>
          <w:sz w:val="22"/>
          <w:szCs w:val="22"/>
        </w:rPr>
        <w:t>engthened</w:t>
      </w:r>
      <w:r w:rsidR="001D00D5">
        <w:rPr>
          <w:rStyle w:val="normaltextrun"/>
          <w:rFonts w:cs="Arial"/>
          <w:bCs/>
          <w:sz w:val="22"/>
          <w:szCs w:val="22"/>
        </w:rPr>
        <w:t xml:space="preserve"> governance and MEL processes that address the original concerns that triggered the Strategic Review. </w:t>
      </w:r>
      <w:r w:rsidR="00CF00C1">
        <w:rPr>
          <w:rStyle w:val="normaltextrun"/>
          <w:rFonts w:cs="Arial"/>
          <w:bCs/>
          <w:sz w:val="22"/>
          <w:szCs w:val="22"/>
        </w:rPr>
        <w:t xml:space="preserve">However, the </w:t>
      </w:r>
      <w:r w:rsidR="00372AEB">
        <w:rPr>
          <w:rStyle w:val="normaltextrun"/>
          <w:rFonts w:cs="Arial"/>
          <w:bCs/>
          <w:sz w:val="22"/>
          <w:szCs w:val="22"/>
        </w:rPr>
        <w:t>p</w:t>
      </w:r>
      <w:r w:rsidR="0040473A">
        <w:rPr>
          <w:rStyle w:val="normaltextrun"/>
          <w:rFonts w:cs="Arial"/>
          <w:bCs/>
          <w:sz w:val="22"/>
          <w:szCs w:val="22"/>
        </w:rPr>
        <w:t xml:space="preserve">ause in project origination impacted </w:t>
      </w:r>
      <w:r w:rsidR="00085F66">
        <w:rPr>
          <w:rStyle w:val="normaltextrun"/>
          <w:rFonts w:cs="Arial"/>
          <w:bCs/>
          <w:sz w:val="22"/>
          <w:szCs w:val="22"/>
        </w:rPr>
        <w:t xml:space="preserve">pace of </w:t>
      </w:r>
      <w:r w:rsidR="00E526C9">
        <w:rPr>
          <w:rStyle w:val="normaltextrun"/>
          <w:rFonts w:cs="Arial"/>
          <w:bCs/>
          <w:sz w:val="22"/>
          <w:szCs w:val="22"/>
        </w:rPr>
        <w:t>programme</w:t>
      </w:r>
      <w:r w:rsidR="0040473A">
        <w:rPr>
          <w:rStyle w:val="normaltextrun"/>
          <w:rFonts w:cs="Arial"/>
          <w:bCs/>
          <w:sz w:val="22"/>
          <w:szCs w:val="22"/>
        </w:rPr>
        <w:t xml:space="preserve"> delivery</w:t>
      </w:r>
      <w:r w:rsidR="00E526C9">
        <w:rPr>
          <w:rStyle w:val="normaltextrun"/>
          <w:rFonts w:cs="Arial"/>
          <w:bCs/>
          <w:sz w:val="22"/>
          <w:szCs w:val="22"/>
        </w:rPr>
        <w:t xml:space="preserve"> in 2020</w:t>
      </w:r>
      <w:r w:rsidR="00085827">
        <w:rPr>
          <w:rStyle w:val="normaltextrun"/>
          <w:rFonts w:cs="Arial"/>
          <w:bCs/>
          <w:sz w:val="22"/>
          <w:szCs w:val="22"/>
        </w:rPr>
        <w:t xml:space="preserve">, foremost in relation to </w:t>
      </w:r>
      <w:r w:rsidR="0040473A">
        <w:rPr>
          <w:rStyle w:val="normaltextrun"/>
          <w:rFonts w:cs="Arial"/>
          <w:bCs/>
          <w:sz w:val="22"/>
          <w:szCs w:val="22"/>
        </w:rPr>
        <w:t xml:space="preserve">SIP-LA’s </w:t>
      </w:r>
      <w:r w:rsidR="001D00D5">
        <w:rPr>
          <w:rStyle w:val="normaltextrun"/>
          <w:rFonts w:cs="Arial"/>
          <w:bCs/>
          <w:sz w:val="22"/>
          <w:szCs w:val="22"/>
        </w:rPr>
        <w:t>blended finance</w:t>
      </w:r>
      <w:r w:rsidR="00085827">
        <w:rPr>
          <w:rStyle w:val="normaltextrun"/>
          <w:rFonts w:cs="Arial"/>
          <w:bCs/>
          <w:sz w:val="22"/>
          <w:szCs w:val="22"/>
        </w:rPr>
        <w:t xml:space="preserve"> </w:t>
      </w:r>
      <w:r w:rsidR="0040473A">
        <w:rPr>
          <w:rStyle w:val="normaltextrun"/>
          <w:rFonts w:cs="Arial"/>
          <w:bCs/>
          <w:sz w:val="22"/>
          <w:szCs w:val="22"/>
        </w:rPr>
        <w:t>output</w:t>
      </w:r>
      <w:r w:rsidR="001D00D5">
        <w:rPr>
          <w:rStyle w:val="normaltextrun"/>
          <w:rFonts w:cs="Arial"/>
          <w:bCs/>
          <w:sz w:val="22"/>
          <w:szCs w:val="22"/>
        </w:rPr>
        <w:t xml:space="preserve"> (output 3)</w:t>
      </w:r>
      <w:r w:rsidR="00E4695C">
        <w:rPr>
          <w:rStyle w:val="normaltextrun"/>
          <w:rFonts w:cs="Arial"/>
          <w:bCs/>
          <w:sz w:val="22"/>
          <w:szCs w:val="22"/>
        </w:rPr>
        <w:t xml:space="preserve"> but also SIP-LA’s private sector technical assistance </w:t>
      </w:r>
      <w:r w:rsidR="001C6D9C">
        <w:rPr>
          <w:rStyle w:val="normaltextrun"/>
          <w:rFonts w:cs="Arial"/>
          <w:bCs/>
          <w:sz w:val="22"/>
          <w:szCs w:val="22"/>
        </w:rPr>
        <w:t xml:space="preserve">output </w:t>
      </w:r>
      <w:r w:rsidR="00E4695C">
        <w:rPr>
          <w:rStyle w:val="normaltextrun"/>
          <w:rFonts w:cs="Arial"/>
          <w:bCs/>
          <w:sz w:val="22"/>
          <w:szCs w:val="22"/>
        </w:rPr>
        <w:t>(output 2)</w:t>
      </w:r>
      <w:r w:rsidR="0040473A">
        <w:rPr>
          <w:rStyle w:val="normaltextrun"/>
          <w:rFonts w:cs="Arial"/>
          <w:bCs/>
          <w:sz w:val="22"/>
          <w:szCs w:val="22"/>
        </w:rPr>
        <w:t>.</w:t>
      </w:r>
      <w:r w:rsidR="00D2153C" w:rsidRPr="00452682">
        <w:rPr>
          <w:rFonts w:cs="Arial"/>
          <w:bCs/>
          <w:sz w:val="22"/>
          <w:szCs w:val="22"/>
        </w:rPr>
        <w:t xml:space="preserve"> </w:t>
      </w:r>
      <w:r w:rsidR="00D905A6">
        <w:rPr>
          <w:rFonts w:cs="Arial"/>
          <w:bCs/>
          <w:sz w:val="22"/>
          <w:szCs w:val="22"/>
        </w:rPr>
        <w:t>The programme pause ha</w:t>
      </w:r>
      <w:r w:rsidR="001C6D9C">
        <w:rPr>
          <w:rFonts w:cs="Arial"/>
          <w:bCs/>
          <w:sz w:val="22"/>
          <w:szCs w:val="22"/>
        </w:rPr>
        <w:t>d</w:t>
      </w:r>
      <w:r w:rsidR="00D905A6">
        <w:rPr>
          <w:rFonts w:cs="Arial"/>
          <w:bCs/>
          <w:sz w:val="22"/>
          <w:szCs w:val="22"/>
        </w:rPr>
        <w:t xml:space="preserve"> less of an impact on the delivery of SIP-LA’s </w:t>
      </w:r>
      <w:r w:rsidR="00A23E6C">
        <w:rPr>
          <w:rFonts w:cs="Arial"/>
          <w:bCs/>
          <w:sz w:val="22"/>
          <w:szCs w:val="22"/>
        </w:rPr>
        <w:t xml:space="preserve">public sector </w:t>
      </w:r>
      <w:r w:rsidR="00D905A6">
        <w:rPr>
          <w:rFonts w:cs="Arial"/>
          <w:bCs/>
          <w:sz w:val="22"/>
          <w:szCs w:val="22"/>
        </w:rPr>
        <w:t>technical assistance output</w:t>
      </w:r>
      <w:r w:rsidR="00A23E6C">
        <w:rPr>
          <w:rFonts w:cs="Arial"/>
          <w:bCs/>
          <w:sz w:val="22"/>
          <w:szCs w:val="22"/>
        </w:rPr>
        <w:t xml:space="preserve"> (output 1)</w:t>
      </w:r>
      <w:r w:rsidR="00C50815">
        <w:rPr>
          <w:rFonts w:cs="Arial"/>
          <w:bCs/>
          <w:sz w:val="22"/>
          <w:szCs w:val="22"/>
        </w:rPr>
        <w:t xml:space="preserve"> in 2020</w:t>
      </w:r>
      <w:r w:rsidR="00D905A6">
        <w:rPr>
          <w:rFonts w:cs="Arial"/>
          <w:bCs/>
          <w:sz w:val="22"/>
          <w:szCs w:val="22"/>
        </w:rPr>
        <w:t xml:space="preserve">, which </w:t>
      </w:r>
      <w:r w:rsidR="00A76441">
        <w:rPr>
          <w:rFonts w:cs="Arial"/>
          <w:bCs/>
          <w:sz w:val="22"/>
          <w:szCs w:val="22"/>
        </w:rPr>
        <w:t>w</w:t>
      </w:r>
      <w:r w:rsidR="00A23E6C">
        <w:rPr>
          <w:rFonts w:cs="Arial"/>
          <w:bCs/>
          <w:sz w:val="22"/>
          <w:szCs w:val="22"/>
        </w:rPr>
        <w:t>as</w:t>
      </w:r>
      <w:r w:rsidR="00A76441">
        <w:rPr>
          <w:rFonts w:cs="Arial"/>
          <w:bCs/>
          <w:sz w:val="22"/>
          <w:szCs w:val="22"/>
        </w:rPr>
        <w:t xml:space="preserve"> achieved by projects that were approved in 2018 and 2019. </w:t>
      </w:r>
    </w:p>
    <w:p w14:paraId="0E9BFDE4" w14:textId="50C361EC" w:rsidR="00B57EEB" w:rsidRPr="00DD32B0" w:rsidRDefault="00381160" w:rsidP="00513E41">
      <w:pPr>
        <w:spacing w:after="120"/>
        <w:jc w:val="both"/>
        <w:rPr>
          <w:rFonts w:cs="Arial"/>
          <w:b/>
          <w:sz w:val="22"/>
          <w:szCs w:val="22"/>
        </w:rPr>
      </w:pPr>
      <w:r>
        <w:rPr>
          <w:rFonts w:cs="Arial"/>
          <w:bCs/>
          <w:sz w:val="22"/>
          <w:szCs w:val="22"/>
        </w:rPr>
        <w:lastRenderedPageBreak/>
        <w:t xml:space="preserve">COVID-19 </w:t>
      </w:r>
      <w:r w:rsidR="002A53CA">
        <w:rPr>
          <w:rFonts w:cs="Arial"/>
          <w:bCs/>
          <w:sz w:val="22"/>
          <w:szCs w:val="22"/>
        </w:rPr>
        <w:t>had some limited impact</w:t>
      </w:r>
      <w:r w:rsidR="00883D6C">
        <w:rPr>
          <w:rFonts w:cs="Arial"/>
          <w:bCs/>
          <w:sz w:val="22"/>
          <w:szCs w:val="22"/>
        </w:rPr>
        <w:t>s</w:t>
      </w:r>
      <w:r w:rsidR="002A53CA">
        <w:rPr>
          <w:rFonts w:cs="Arial"/>
          <w:bCs/>
          <w:sz w:val="22"/>
          <w:szCs w:val="22"/>
        </w:rPr>
        <w:t xml:space="preserve"> on </w:t>
      </w:r>
      <w:r w:rsidR="00E4695C">
        <w:rPr>
          <w:rFonts w:cs="Arial"/>
          <w:bCs/>
          <w:sz w:val="22"/>
          <w:szCs w:val="22"/>
        </w:rPr>
        <w:t xml:space="preserve">SIP-LA’s </w:t>
      </w:r>
      <w:r w:rsidR="002A53CA" w:rsidRPr="00DD32B0">
        <w:rPr>
          <w:rFonts w:cs="Arial"/>
          <w:bCs/>
          <w:sz w:val="22"/>
          <w:szCs w:val="22"/>
        </w:rPr>
        <w:t>delivery</w:t>
      </w:r>
      <w:r w:rsidRPr="001A5E91">
        <w:rPr>
          <w:rFonts w:cs="Arial"/>
          <w:bCs/>
          <w:sz w:val="22"/>
          <w:szCs w:val="22"/>
        </w:rPr>
        <w:t>.</w:t>
      </w:r>
      <w:r w:rsidR="00C2049D" w:rsidRPr="001A5E91">
        <w:rPr>
          <w:rFonts w:cs="Arial"/>
          <w:bCs/>
          <w:sz w:val="22"/>
          <w:szCs w:val="22"/>
        </w:rPr>
        <w:t xml:space="preserve"> </w:t>
      </w:r>
      <w:r w:rsidR="003F0CDE" w:rsidRPr="001F7E15">
        <w:rPr>
          <w:rFonts w:cs="Arial"/>
          <w:bCs/>
          <w:sz w:val="22"/>
          <w:szCs w:val="22"/>
        </w:rPr>
        <w:t xml:space="preserve">COVID-19 </w:t>
      </w:r>
      <w:r w:rsidR="009F7166" w:rsidRPr="00610D04">
        <w:rPr>
          <w:rFonts w:cs="Arial"/>
          <w:bCs/>
          <w:sz w:val="22"/>
          <w:szCs w:val="22"/>
        </w:rPr>
        <w:t xml:space="preserve">restrictions </w:t>
      </w:r>
      <w:r w:rsidR="003F0CDE" w:rsidRPr="00066CB2">
        <w:rPr>
          <w:rFonts w:cs="Arial"/>
          <w:bCs/>
          <w:sz w:val="22"/>
          <w:szCs w:val="22"/>
        </w:rPr>
        <w:t>meant that some events planned for 2020 had to be postponed until 2021.</w:t>
      </w:r>
      <w:r w:rsidR="002A53CA" w:rsidRPr="00CC2C6D">
        <w:rPr>
          <w:rFonts w:cs="Arial"/>
          <w:bCs/>
          <w:sz w:val="22"/>
          <w:szCs w:val="22"/>
        </w:rPr>
        <w:t xml:space="preserve"> </w:t>
      </w:r>
      <w:r w:rsidR="00DD32B0" w:rsidRPr="00F826AE">
        <w:rPr>
          <w:sz w:val="22"/>
          <w:szCs w:val="22"/>
        </w:rPr>
        <w:t>Temporal changes in national government priorities and COVID-19 related impacts meant that the delivery of some</w:t>
      </w:r>
      <w:r w:rsidR="00DD32B0">
        <w:rPr>
          <w:sz w:val="22"/>
          <w:szCs w:val="22"/>
        </w:rPr>
        <w:t xml:space="preserve"> </w:t>
      </w:r>
      <w:r w:rsidR="00C1710C" w:rsidRPr="00DD32B0">
        <w:rPr>
          <w:rFonts w:cs="Arial"/>
          <w:bCs/>
          <w:sz w:val="22"/>
          <w:szCs w:val="22"/>
        </w:rPr>
        <w:t>public sector technical assistance</w:t>
      </w:r>
      <w:r w:rsidR="003516B9" w:rsidRPr="00DD32B0">
        <w:rPr>
          <w:rFonts w:cs="Arial"/>
          <w:bCs/>
          <w:sz w:val="22"/>
          <w:szCs w:val="22"/>
        </w:rPr>
        <w:t xml:space="preserve"> </w:t>
      </w:r>
      <w:r w:rsidR="00C1710C" w:rsidRPr="00DD32B0">
        <w:rPr>
          <w:rFonts w:cs="Arial"/>
          <w:bCs/>
          <w:sz w:val="22"/>
          <w:szCs w:val="22"/>
        </w:rPr>
        <w:t>outputs were postponed until 2021</w:t>
      </w:r>
      <w:r w:rsidR="002A53CA" w:rsidRPr="00DD32B0">
        <w:rPr>
          <w:rFonts w:cs="Arial"/>
          <w:bCs/>
          <w:sz w:val="22"/>
          <w:szCs w:val="22"/>
        </w:rPr>
        <w:t>.</w:t>
      </w:r>
      <w:r w:rsidR="00240460" w:rsidRPr="00DD32B0">
        <w:rPr>
          <w:rFonts w:cs="Arial"/>
          <w:bCs/>
          <w:sz w:val="22"/>
          <w:szCs w:val="22"/>
        </w:rPr>
        <w:t xml:space="preserve"> </w:t>
      </w:r>
      <w:r w:rsidR="00CA7053" w:rsidRPr="00DD32B0">
        <w:rPr>
          <w:rFonts w:cs="Arial"/>
          <w:bCs/>
          <w:sz w:val="22"/>
          <w:szCs w:val="22"/>
        </w:rPr>
        <w:t xml:space="preserve">COVID-19 </w:t>
      </w:r>
      <w:r w:rsidR="003D17E0" w:rsidRPr="00DD32B0">
        <w:rPr>
          <w:rFonts w:cs="Arial"/>
          <w:bCs/>
          <w:sz w:val="22"/>
          <w:szCs w:val="22"/>
        </w:rPr>
        <w:t xml:space="preserve">has </w:t>
      </w:r>
      <w:r w:rsidR="00CA7053" w:rsidRPr="00DD32B0">
        <w:rPr>
          <w:rFonts w:cs="Arial"/>
          <w:bCs/>
          <w:sz w:val="22"/>
          <w:szCs w:val="22"/>
        </w:rPr>
        <w:t xml:space="preserve">had less of an impact on SIP-LA’s blended finance </w:t>
      </w:r>
      <w:r w:rsidR="003D17E0" w:rsidRPr="00DD32B0">
        <w:rPr>
          <w:rFonts w:cs="Arial"/>
          <w:bCs/>
          <w:sz w:val="22"/>
          <w:szCs w:val="22"/>
        </w:rPr>
        <w:t>delivery to date</w:t>
      </w:r>
      <w:r w:rsidR="00535764" w:rsidRPr="00DD32B0">
        <w:rPr>
          <w:rFonts w:cs="Arial"/>
          <w:bCs/>
          <w:sz w:val="22"/>
          <w:szCs w:val="22"/>
        </w:rPr>
        <w:t>, although it</w:t>
      </w:r>
      <w:r w:rsidR="00F658A9" w:rsidRPr="00DD32B0">
        <w:rPr>
          <w:rFonts w:cs="Arial"/>
          <w:bCs/>
          <w:sz w:val="22"/>
          <w:szCs w:val="22"/>
        </w:rPr>
        <w:t xml:space="preserve"> is </w:t>
      </w:r>
      <w:r w:rsidR="00535764" w:rsidRPr="00DD32B0">
        <w:rPr>
          <w:rFonts w:cs="Arial"/>
          <w:bCs/>
          <w:sz w:val="22"/>
          <w:szCs w:val="22"/>
        </w:rPr>
        <w:t>uncertain</w:t>
      </w:r>
      <w:r w:rsidR="00B64A48" w:rsidRPr="00DD32B0">
        <w:rPr>
          <w:rFonts w:cs="Arial"/>
          <w:bCs/>
          <w:sz w:val="22"/>
          <w:szCs w:val="22"/>
        </w:rPr>
        <w:t xml:space="preserve"> how</w:t>
      </w:r>
      <w:r w:rsidR="00535764" w:rsidRPr="00DD32B0">
        <w:rPr>
          <w:rFonts w:cs="Arial"/>
          <w:bCs/>
          <w:sz w:val="22"/>
          <w:szCs w:val="22"/>
        </w:rPr>
        <w:t xml:space="preserve"> </w:t>
      </w:r>
      <w:r w:rsidR="00CB5724" w:rsidRPr="00DD32B0">
        <w:rPr>
          <w:rFonts w:cs="Arial"/>
          <w:bCs/>
          <w:sz w:val="22"/>
          <w:szCs w:val="22"/>
        </w:rPr>
        <w:t xml:space="preserve">COVID-19’s </w:t>
      </w:r>
      <w:r w:rsidR="003D17E0" w:rsidRPr="00DD32B0">
        <w:rPr>
          <w:rFonts w:cs="Arial"/>
          <w:bCs/>
          <w:sz w:val="22"/>
          <w:szCs w:val="22"/>
        </w:rPr>
        <w:t xml:space="preserve">long-term </w:t>
      </w:r>
      <w:r w:rsidR="00B64A48" w:rsidRPr="00DD32B0">
        <w:rPr>
          <w:rFonts w:cs="Arial"/>
          <w:bCs/>
          <w:sz w:val="22"/>
          <w:szCs w:val="22"/>
        </w:rPr>
        <w:t xml:space="preserve">market impacts </w:t>
      </w:r>
      <w:r w:rsidR="00535764" w:rsidRPr="00DD32B0">
        <w:rPr>
          <w:rFonts w:cs="Arial"/>
          <w:bCs/>
          <w:sz w:val="22"/>
          <w:szCs w:val="22"/>
        </w:rPr>
        <w:t xml:space="preserve">will </w:t>
      </w:r>
      <w:r w:rsidR="00B64A48" w:rsidRPr="00DD32B0">
        <w:rPr>
          <w:rFonts w:cs="Arial"/>
          <w:bCs/>
          <w:sz w:val="22"/>
          <w:szCs w:val="22"/>
        </w:rPr>
        <w:t>affect</w:t>
      </w:r>
      <w:r w:rsidR="00535764" w:rsidRPr="00DD32B0">
        <w:rPr>
          <w:rFonts w:cs="Arial"/>
          <w:bCs/>
          <w:sz w:val="22"/>
          <w:szCs w:val="22"/>
        </w:rPr>
        <w:t xml:space="preserve"> </w:t>
      </w:r>
      <w:r w:rsidR="003D17E0" w:rsidRPr="00DD32B0">
        <w:rPr>
          <w:rFonts w:cs="Arial"/>
          <w:bCs/>
          <w:sz w:val="22"/>
          <w:szCs w:val="22"/>
        </w:rPr>
        <w:t>SIP-LA</w:t>
      </w:r>
      <w:r w:rsidR="00CB5724" w:rsidRPr="00DD32B0">
        <w:rPr>
          <w:rFonts w:cs="Arial"/>
          <w:bCs/>
          <w:sz w:val="22"/>
          <w:szCs w:val="22"/>
        </w:rPr>
        <w:t xml:space="preserve"> </w:t>
      </w:r>
      <w:r w:rsidR="00CA47CC" w:rsidRPr="00DD32B0">
        <w:rPr>
          <w:rFonts w:cs="Arial"/>
          <w:bCs/>
          <w:sz w:val="22"/>
          <w:szCs w:val="22"/>
        </w:rPr>
        <w:t xml:space="preserve">investment </w:t>
      </w:r>
      <w:r w:rsidR="00CB5724" w:rsidRPr="00DD32B0">
        <w:rPr>
          <w:rFonts w:cs="Arial"/>
          <w:bCs/>
          <w:sz w:val="22"/>
          <w:szCs w:val="22"/>
        </w:rPr>
        <w:t>delivery</w:t>
      </w:r>
      <w:r w:rsidR="00535764" w:rsidRPr="00DD32B0">
        <w:rPr>
          <w:rFonts w:cs="Arial"/>
          <w:bCs/>
          <w:sz w:val="22"/>
          <w:szCs w:val="22"/>
        </w:rPr>
        <w:t xml:space="preserve">. </w:t>
      </w:r>
      <w:r w:rsidR="00D32647" w:rsidRPr="00DD32B0">
        <w:rPr>
          <w:rFonts w:cs="Arial"/>
          <w:bCs/>
          <w:sz w:val="22"/>
          <w:szCs w:val="22"/>
        </w:rPr>
        <w:t xml:space="preserve">A full account of COVID-19 is provided in the </w:t>
      </w:r>
      <w:r w:rsidR="00BD5538" w:rsidRPr="00DD32B0">
        <w:rPr>
          <w:rFonts w:cs="Arial"/>
          <w:bCs/>
          <w:sz w:val="22"/>
          <w:szCs w:val="22"/>
        </w:rPr>
        <w:t>risk section.</w:t>
      </w:r>
    </w:p>
    <w:p w14:paraId="4551020C" w14:textId="5549EDA1" w:rsidR="00375279" w:rsidRPr="00D5723B" w:rsidRDefault="00B57EEB" w:rsidP="00513E41">
      <w:pPr>
        <w:spacing w:after="120"/>
        <w:jc w:val="both"/>
        <w:rPr>
          <w:rFonts w:cs="Arial"/>
          <w:bCs/>
          <w:sz w:val="22"/>
          <w:szCs w:val="22"/>
        </w:rPr>
      </w:pPr>
      <w:r w:rsidRPr="00B83764">
        <w:rPr>
          <w:rFonts w:cs="Arial"/>
          <w:sz w:val="22"/>
          <w:szCs w:val="22"/>
        </w:rPr>
        <w:t xml:space="preserve">This Annual Review scores SIP-LA </w:t>
      </w:r>
      <w:r w:rsidR="00581B02" w:rsidRPr="00B83764">
        <w:rPr>
          <w:rFonts w:cs="Arial"/>
          <w:sz w:val="22"/>
          <w:szCs w:val="22"/>
        </w:rPr>
        <w:t>a</w:t>
      </w:r>
      <w:r w:rsidRPr="00B83764">
        <w:rPr>
          <w:rFonts w:cs="Arial"/>
          <w:sz w:val="22"/>
          <w:szCs w:val="22"/>
        </w:rPr>
        <w:t xml:space="preserve"> </w:t>
      </w:r>
      <w:r w:rsidR="00174BA8">
        <w:rPr>
          <w:rFonts w:cs="Arial"/>
          <w:sz w:val="22"/>
          <w:szCs w:val="22"/>
        </w:rPr>
        <w:t>B</w:t>
      </w:r>
      <w:r w:rsidRPr="00B83764">
        <w:rPr>
          <w:rFonts w:cs="Arial"/>
          <w:sz w:val="22"/>
          <w:szCs w:val="22"/>
        </w:rPr>
        <w:t>.</w:t>
      </w:r>
      <w:r w:rsidR="00F62147" w:rsidRPr="00B83764">
        <w:rPr>
          <w:rFonts w:cs="Arial"/>
          <w:sz w:val="22"/>
          <w:szCs w:val="22"/>
        </w:rPr>
        <w:t xml:space="preserve"> SIP-LA </w:t>
      </w:r>
      <w:r w:rsidR="00D40E6B" w:rsidRPr="00B83764">
        <w:rPr>
          <w:rFonts w:cs="Arial"/>
          <w:sz w:val="22"/>
          <w:szCs w:val="22"/>
        </w:rPr>
        <w:t>exceeded</w:t>
      </w:r>
      <w:r w:rsidR="00F62147" w:rsidRPr="00B83764">
        <w:rPr>
          <w:rFonts w:cs="Arial"/>
          <w:sz w:val="22"/>
          <w:szCs w:val="22"/>
        </w:rPr>
        <w:t xml:space="preserve"> its </w:t>
      </w:r>
      <w:r w:rsidR="00E661A1" w:rsidRPr="00B83764">
        <w:rPr>
          <w:rFonts w:cs="Arial"/>
          <w:sz w:val="22"/>
          <w:szCs w:val="22"/>
        </w:rPr>
        <w:t>milestone expectations</w:t>
      </w:r>
      <w:r w:rsidR="00F62147" w:rsidRPr="00B83764">
        <w:rPr>
          <w:rFonts w:cs="Arial"/>
          <w:sz w:val="22"/>
          <w:szCs w:val="22"/>
        </w:rPr>
        <w:t xml:space="preserve"> for </w:t>
      </w:r>
      <w:r w:rsidR="00E661A1" w:rsidRPr="00B83764">
        <w:rPr>
          <w:rFonts w:cs="Arial"/>
          <w:sz w:val="22"/>
          <w:szCs w:val="22"/>
        </w:rPr>
        <w:t xml:space="preserve">its </w:t>
      </w:r>
      <w:r w:rsidR="00F62147" w:rsidRPr="00B83764">
        <w:rPr>
          <w:rFonts w:cs="Arial"/>
          <w:sz w:val="22"/>
          <w:szCs w:val="22"/>
        </w:rPr>
        <w:t>public sector technical assistance</w:t>
      </w:r>
      <w:r w:rsidR="00E661A1" w:rsidRPr="00B83764">
        <w:rPr>
          <w:rFonts w:cs="Arial"/>
          <w:sz w:val="22"/>
          <w:szCs w:val="22"/>
        </w:rPr>
        <w:t xml:space="preserve"> outputs</w:t>
      </w:r>
      <w:r w:rsidR="00D40E6B" w:rsidRPr="00B83764">
        <w:rPr>
          <w:rFonts w:cs="Arial"/>
          <w:bCs/>
          <w:sz w:val="22"/>
          <w:szCs w:val="22"/>
        </w:rPr>
        <w:t xml:space="preserve">, but </w:t>
      </w:r>
      <w:r w:rsidR="00657450" w:rsidRPr="00B83764">
        <w:rPr>
          <w:rFonts w:cs="Arial"/>
          <w:sz w:val="22"/>
          <w:szCs w:val="22"/>
        </w:rPr>
        <w:t xml:space="preserve">did not achieve its milestone expectations for </w:t>
      </w:r>
      <w:r w:rsidR="001F1465" w:rsidRPr="00B83764">
        <w:rPr>
          <w:rFonts w:cs="Arial"/>
          <w:sz w:val="22"/>
          <w:szCs w:val="22"/>
        </w:rPr>
        <w:t xml:space="preserve">either </w:t>
      </w:r>
      <w:r w:rsidR="00657450" w:rsidRPr="00B83764">
        <w:rPr>
          <w:rFonts w:cs="Arial"/>
          <w:sz w:val="22"/>
          <w:szCs w:val="22"/>
        </w:rPr>
        <w:t xml:space="preserve">its private sector technical assistance </w:t>
      </w:r>
      <w:r w:rsidR="001F1465" w:rsidRPr="00B83764">
        <w:rPr>
          <w:rFonts w:cs="Arial"/>
          <w:sz w:val="22"/>
          <w:szCs w:val="22"/>
        </w:rPr>
        <w:t xml:space="preserve">(output 2) </w:t>
      </w:r>
      <w:r w:rsidR="00085F66">
        <w:rPr>
          <w:rFonts w:cs="Arial"/>
          <w:sz w:val="22"/>
          <w:szCs w:val="22"/>
        </w:rPr>
        <w:t>or</w:t>
      </w:r>
      <w:r w:rsidR="00657450" w:rsidRPr="00B83764">
        <w:rPr>
          <w:rFonts w:cs="Arial"/>
          <w:sz w:val="22"/>
          <w:szCs w:val="22"/>
        </w:rPr>
        <w:t xml:space="preserve"> blended finance investment</w:t>
      </w:r>
      <w:r w:rsidR="00E661A1" w:rsidRPr="00B83764">
        <w:rPr>
          <w:rFonts w:cs="Arial"/>
          <w:sz w:val="22"/>
          <w:szCs w:val="22"/>
        </w:rPr>
        <w:t xml:space="preserve"> </w:t>
      </w:r>
      <w:r w:rsidR="001F1465" w:rsidRPr="00B83764">
        <w:rPr>
          <w:rFonts w:cs="Arial"/>
          <w:sz w:val="22"/>
          <w:szCs w:val="22"/>
        </w:rPr>
        <w:t xml:space="preserve">(output 3) </w:t>
      </w:r>
      <w:r w:rsidR="00E661A1" w:rsidRPr="00B83764">
        <w:rPr>
          <w:rFonts w:cs="Arial"/>
          <w:sz w:val="22"/>
          <w:szCs w:val="22"/>
        </w:rPr>
        <w:t>outputs</w:t>
      </w:r>
      <w:r w:rsidR="00D40E6B" w:rsidRPr="00B83764">
        <w:rPr>
          <w:rFonts w:cs="Arial"/>
          <w:sz w:val="22"/>
          <w:szCs w:val="22"/>
        </w:rPr>
        <w:t>.</w:t>
      </w:r>
      <w:r w:rsidR="00F91FB9">
        <w:rPr>
          <w:rFonts w:cs="Arial"/>
          <w:sz w:val="22"/>
          <w:szCs w:val="22"/>
        </w:rPr>
        <w:t xml:space="preserve"> SIP-LA </w:t>
      </w:r>
      <w:r w:rsidR="00D6642F">
        <w:rPr>
          <w:rFonts w:cs="Arial"/>
          <w:sz w:val="22"/>
          <w:szCs w:val="22"/>
        </w:rPr>
        <w:t>has not</w:t>
      </w:r>
      <w:r w:rsidR="00F91FB9">
        <w:rPr>
          <w:rFonts w:cs="Arial"/>
          <w:sz w:val="22"/>
          <w:szCs w:val="22"/>
        </w:rPr>
        <w:t xml:space="preserve"> </w:t>
      </w:r>
      <w:r w:rsidR="00D6642F">
        <w:rPr>
          <w:rFonts w:cs="Arial"/>
          <w:sz w:val="22"/>
          <w:szCs w:val="22"/>
        </w:rPr>
        <w:t>had any projects reach</w:t>
      </w:r>
      <w:r w:rsidR="00F91FB9">
        <w:rPr>
          <w:rFonts w:cs="Arial"/>
          <w:sz w:val="22"/>
          <w:szCs w:val="22"/>
        </w:rPr>
        <w:t xml:space="preserve"> </w:t>
      </w:r>
      <w:r w:rsidR="00311B5E">
        <w:rPr>
          <w:rFonts w:cs="Arial"/>
          <w:sz w:val="22"/>
          <w:szCs w:val="22"/>
        </w:rPr>
        <w:t>financial close</w:t>
      </w:r>
      <w:r w:rsidR="00085F66">
        <w:rPr>
          <w:rFonts w:cs="Arial"/>
          <w:sz w:val="22"/>
          <w:szCs w:val="22"/>
        </w:rPr>
        <w:t xml:space="preserve"> in its three years of implementation</w:t>
      </w:r>
      <w:r w:rsidR="00311B5E">
        <w:rPr>
          <w:rFonts w:cs="Arial"/>
          <w:sz w:val="22"/>
          <w:szCs w:val="22"/>
        </w:rPr>
        <w:t xml:space="preserve"> </w:t>
      </w:r>
      <w:r w:rsidR="00D6642F">
        <w:rPr>
          <w:rFonts w:cs="Arial"/>
          <w:sz w:val="22"/>
          <w:szCs w:val="22"/>
        </w:rPr>
        <w:t>nor has it</w:t>
      </w:r>
      <w:r w:rsidR="003241E0">
        <w:rPr>
          <w:rFonts w:cs="Arial"/>
          <w:sz w:val="22"/>
          <w:szCs w:val="22"/>
        </w:rPr>
        <w:t xml:space="preserve"> yet </w:t>
      </w:r>
      <w:r w:rsidR="003A21BB">
        <w:rPr>
          <w:rFonts w:cs="Arial"/>
          <w:sz w:val="22"/>
          <w:szCs w:val="22"/>
        </w:rPr>
        <w:t>shown progress in developing pipeline projects in Peru.</w:t>
      </w:r>
      <w:r w:rsidR="009141B9">
        <w:rPr>
          <w:rFonts w:cs="Arial"/>
          <w:sz w:val="22"/>
          <w:szCs w:val="22"/>
        </w:rPr>
        <w:t xml:space="preserve"> </w:t>
      </w:r>
      <w:r w:rsidR="002B0630" w:rsidRPr="00B83764">
        <w:rPr>
          <w:rFonts w:cs="Arial"/>
          <w:sz w:val="22"/>
          <w:szCs w:val="22"/>
        </w:rPr>
        <w:t>The failure to achieve these outputs is</w:t>
      </w:r>
      <w:r w:rsidR="001D5F54">
        <w:rPr>
          <w:rFonts w:cs="Arial"/>
          <w:sz w:val="22"/>
          <w:szCs w:val="22"/>
        </w:rPr>
        <w:t xml:space="preserve"> due to multiple reasons</w:t>
      </w:r>
      <w:r w:rsidR="0076289A">
        <w:rPr>
          <w:rFonts w:cs="Arial"/>
          <w:sz w:val="22"/>
          <w:szCs w:val="22"/>
        </w:rPr>
        <w:t xml:space="preserve"> </w:t>
      </w:r>
      <w:r w:rsidR="0076289A" w:rsidRPr="001A5E91">
        <w:rPr>
          <w:rFonts w:cs="Arial"/>
          <w:sz w:val="22"/>
          <w:szCs w:val="22"/>
        </w:rPr>
        <w:t>including market context</w:t>
      </w:r>
      <w:r w:rsidR="00D35884" w:rsidRPr="001F7E15">
        <w:rPr>
          <w:rFonts w:cs="Arial"/>
          <w:sz w:val="22"/>
          <w:szCs w:val="22"/>
        </w:rPr>
        <w:t xml:space="preserve"> (</w:t>
      </w:r>
      <w:r w:rsidR="00192C08" w:rsidRPr="00610D04">
        <w:rPr>
          <w:rFonts w:cs="Arial"/>
          <w:sz w:val="22"/>
          <w:szCs w:val="22"/>
        </w:rPr>
        <w:t xml:space="preserve">relatively </w:t>
      </w:r>
      <w:r w:rsidR="00D35884" w:rsidRPr="00066CB2">
        <w:rPr>
          <w:rFonts w:cs="Arial"/>
          <w:sz w:val="22"/>
          <w:szCs w:val="22"/>
        </w:rPr>
        <w:t>thin market opportunity in Peru and increasingly in Mexico</w:t>
      </w:r>
      <w:r w:rsidR="00192C08" w:rsidRPr="00CC2C6D">
        <w:rPr>
          <w:rFonts w:cs="Arial"/>
          <w:sz w:val="22"/>
          <w:szCs w:val="22"/>
        </w:rPr>
        <w:t xml:space="preserve"> given </w:t>
      </w:r>
      <w:r w:rsidR="006F2CAF" w:rsidRPr="00CC2C6D">
        <w:rPr>
          <w:rFonts w:cs="Arial"/>
          <w:sz w:val="22"/>
          <w:szCs w:val="22"/>
        </w:rPr>
        <w:t>political context</w:t>
      </w:r>
      <w:r w:rsidR="00D35884" w:rsidRPr="00CC2C6D">
        <w:rPr>
          <w:rFonts w:cs="Arial"/>
          <w:sz w:val="22"/>
          <w:szCs w:val="22"/>
        </w:rPr>
        <w:t>)</w:t>
      </w:r>
      <w:r w:rsidR="0076289A" w:rsidRPr="001A5E91">
        <w:rPr>
          <w:rFonts w:cs="Arial"/>
          <w:sz w:val="22"/>
          <w:szCs w:val="22"/>
        </w:rPr>
        <w:t xml:space="preserve">, </w:t>
      </w:r>
      <w:r w:rsidR="00D35884" w:rsidRPr="001A5E91">
        <w:rPr>
          <w:rFonts w:cs="Arial"/>
          <w:sz w:val="22"/>
          <w:szCs w:val="22"/>
        </w:rPr>
        <w:t>degree of competition with other market investors,</w:t>
      </w:r>
      <w:r w:rsidR="00045A10" w:rsidRPr="002E6A46">
        <w:rPr>
          <w:rFonts w:cs="Arial"/>
          <w:sz w:val="22"/>
          <w:szCs w:val="22"/>
        </w:rPr>
        <w:t xml:space="preserve"> and earlier governance within</w:t>
      </w:r>
      <w:r w:rsidR="00045A10">
        <w:rPr>
          <w:rFonts w:cs="Arial"/>
          <w:sz w:val="22"/>
          <w:szCs w:val="22"/>
        </w:rPr>
        <w:t xml:space="preserve"> the partnership that might have led to inefficiencies or miscommunication.</w:t>
      </w:r>
      <w:r w:rsidR="0076289A">
        <w:rPr>
          <w:rFonts w:cs="Arial"/>
          <w:sz w:val="22"/>
          <w:szCs w:val="22"/>
        </w:rPr>
        <w:t xml:space="preserve"> </w:t>
      </w:r>
      <w:r w:rsidR="00045A10">
        <w:rPr>
          <w:rFonts w:cs="Arial"/>
          <w:sz w:val="22"/>
          <w:szCs w:val="22"/>
        </w:rPr>
        <w:t>T</w:t>
      </w:r>
      <w:r w:rsidR="002B0630" w:rsidRPr="00B83764">
        <w:rPr>
          <w:rFonts w:cs="Arial"/>
          <w:sz w:val="22"/>
          <w:szCs w:val="22"/>
        </w:rPr>
        <w:t xml:space="preserve">he </w:t>
      </w:r>
      <w:r w:rsidR="00130C1E">
        <w:rPr>
          <w:rFonts w:cs="Arial"/>
          <w:sz w:val="22"/>
          <w:szCs w:val="22"/>
        </w:rPr>
        <w:t>5 month</w:t>
      </w:r>
      <w:r w:rsidR="002B0630" w:rsidRPr="00B83764">
        <w:rPr>
          <w:rFonts w:cs="Arial"/>
          <w:sz w:val="22"/>
          <w:szCs w:val="22"/>
        </w:rPr>
        <w:t xml:space="preserve"> pause in project origination necessitated by the Strategic Review</w:t>
      </w:r>
      <w:r w:rsidR="00967DE8">
        <w:rPr>
          <w:rFonts w:cs="Arial"/>
          <w:bCs/>
          <w:sz w:val="22"/>
          <w:szCs w:val="22"/>
        </w:rPr>
        <w:t xml:space="preserve"> and</w:t>
      </w:r>
      <w:r w:rsidR="008D21D5">
        <w:rPr>
          <w:rFonts w:cs="Arial"/>
          <w:bCs/>
          <w:sz w:val="22"/>
          <w:szCs w:val="22"/>
        </w:rPr>
        <w:t xml:space="preserve"> </w:t>
      </w:r>
      <w:r w:rsidR="002B0630" w:rsidRPr="00B83764">
        <w:rPr>
          <w:rFonts w:cs="Arial"/>
          <w:bCs/>
          <w:sz w:val="22"/>
          <w:szCs w:val="22"/>
        </w:rPr>
        <w:t xml:space="preserve">which </w:t>
      </w:r>
      <w:r w:rsidR="002C7171">
        <w:rPr>
          <w:rFonts w:cs="Arial"/>
          <w:bCs/>
          <w:sz w:val="22"/>
          <w:szCs w:val="22"/>
        </w:rPr>
        <w:t xml:space="preserve">both </w:t>
      </w:r>
      <w:r w:rsidR="002B0630" w:rsidRPr="00B83764">
        <w:rPr>
          <w:rFonts w:cs="Arial"/>
          <w:bCs/>
          <w:sz w:val="22"/>
          <w:szCs w:val="22"/>
        </w:rPr>
        <w:t xml:space="preserve">IDB </w:t>
      </w:r>
      <w:r w:rsidR="00967DE8">
        <w:rPr>
          <w:rFonts w:cs="Arial"/>
          <w:bCs/>
          <w:sz w:val="22"/>
          <w:szCs w:val="22"/>
        </w:rPr>
        <w:t>and BEIS</w:t>
      </w:r>
      <w:r w:rsidR="002B0630" w:rsidRPr="00B83764">
        <w:rPr>
          <w:rFonts w:cs="Arial"/>
          <w:bCs/>
          <w:sz w:val="22"/>
          <w:szCs w:val="22"/>
        </w:rPr>
        <w:t xml:space="preserve"> engaged in with good </w:t>
      </w:r>
      <w:r w:rsidR="002B0630" w:rsidRPr="178D3ACD">
        <w:rPr>
          <w:rFonts w:cs="Arial"/>
          <w:sz w:val="22"/>
          <w:szCs w:val="22"/>
        </w:rPr>
        <w:t>faith</w:t>
      </w:r>
      <w:r w:rsidR="00967DE8">
        <w:rPr>
          <w:rFonts w:cs="Arial"/>
          <w:sz w:val="22"/>
          <w:szCs w:val="22"/>
        </w:rPr>
        <w:t>, might have concluded sooner</w:t>
      </w:r>
      <w:r w:rsidR="00130C1E">
        <w:rPr>
          <w:rFonts w:cs="Arial"/>
          <w:sz w:val="22"/>
          <w:szCs w:val="22"/>
        </w:rPr>
        <w:t xml:space="preserve"> but cannot alone explain the programme not meeting expectations</w:t>
      </w:r>
      <w:r w:rsidR="005340C9">
        <w:rPr>
          <w:rFonts w:cs="Arial"/>
          <w:sz w:val="22"/>
          <w:szCs w:val="22"/>
        </w:rPr>
        <w:t xml:space="preserve"> (the 6 months </w:t>
      </w:r>
      <w:r w:rsidR="00901948">
        <w:rPr>
          <w:rFonts w:cs="Arial"/>
          <w:sz w:val="22"/>
          <w:szCs w:val="22"/>
        </w:rPr>
        <w:t xml:space="preserve">plus prior to the pause did not result in </w:t>
      </w:r>
      <w:r w:rsidR="00972A70">
        <w:rPr>
          <w:rFonts w:cs="Arial"/>
          <w:sz w:val="22"/>
          <w:szCs w:val="22"/>
        </w:rPr>
        <w:t>new project commitments in support of Output 3</w:t>
      </w:r>
      <w:r w:rsidR="008D21D5">
        <w:rPr>
          <w:rFonts w:cs="Arial"/>
          <w:sz w:val="22"/>
          <w:szCs w:val="22"/>
        </w:rPr>
        <w:t>)</w:t>
      </w:r>
      <w:r w:rsidR="002B0630" w:rsidRPr="178D3ACD">
        <w:rPr>
          <w:rFonts w:cs="Arial"/>
          <w:sz w:val="22"/>
          <w:szCs w:val="22"/>
        </w:rPr>
        <w:t xml:space="preserve">. </w:t>
      </w:r>
      <w:r w:rsidR="00D5723B" w:rsidRPr="00B83764">
        <w:rPr>
          <w:rFonts w:cs="Arial"/>
          <w:sz w:val="22"/>
          <w:szCs w:val="22"/>
        </w:rPr>
        <w:t>The Strategic Review has resulted in significant programme improvements, which has improved delivery confidence</w:t>
      </w:r>
      <w:r w:rsidR="00972A70">
        <w:rPr>
          <w:rFonts w:cs="Arial"/>
          <w:sz w:val="22"/>
          <w:szCs w:val="22"/>
        </w:rPr>
        <w:t>.</w:t>
      </w:r>
      <w:r w:rsidR="00D5723B" w:rsidRPr="00B83764">
        <w:rPr>
          <w:rFonts w:cs="Arial"/>
          <w:sz w:val="22"/>
          <w:szCs w:val="22"/>
        </w:rPr>
        <w:t xml:space="preserve"> </w:t>
      </w:r>
    </w:p>
    <w:p w14:paraId="66FFA5E3" w14:textId="762EEEA3" w:rsidR="003D222C" w:rsidRPr="00BB1E65" w:rsidRDefault="003D222C" w:rsidP="00BB1E65">
      <w:pPr>
        <w:spacing w:after="120"/>
        <w:rPr>
          <w:rFonts w:cs="Arial"/>
          <w:b/>
          <w:sz w:val="22"/>
          <w:szCs w:val="22"/>
        </w:rPr>
      </w:pPr>
      <w:r w:rsidRPr="00BB1E65">
        <w:rPr>
          <w:rFonts w:cs="Arial"/>
          <w:b/>
          <w:sz w:val="22"/>
          <w:szCs w:val="22"/>
        </w:rPr>
        <w:t xml:space="preserve">Progress against recommendations from the last </w:t>
      </w:r>
      <w:r w:rsidRPr="00110583">
        <w:rPr>
          <w:rFonts w:cs="Arial"/>
          <w:b/>
          <w:sz w:val="22"/>
          <w:szCs w:val="22"/>
        </w:rPr>
        <w:t>review</w:t>
      </w:r>
    </w:p>
    <w:tbl>
      <w:tblPr>
        <w:tblStyle w:val="TableGrid"/>
        <w:tblW w:w="5000" w:type="pct"/>
        <w:tblLook w:val="04A0" w:firstRow="1" w:lastRow="0" w:firstColumn="1" w:lastColumn="0" w:noHBand="0" w:noVBand="1"/>
      </w:tblPr>
      <w:tblGrid>
        <w:gridCol w:w="4674"/>
        <w:gridCol w:w="4342"/>
      </w:tblGrid>
      <w:tr w:rsidR="00477F1B" w14:paraId="489A49B0" w14:textId="77777777" w:rsidTr="007B5B33">
        <w:tc>
          <w:tcPr>
            <w:tcW w:w="2592"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C14A97" w14:textId="256C6CC5" w:rsidR="00477F1B" w:rsidRPr="00047311" w:rsidRDefault="00477F1B" w:rsidP="00B54528">
            <w:pPr>
              <w:tabs>
                <w:tab w:val="left" w:pos="6915"/>
                <w:tab w:val="left" w:pos="9495"/>
              </w:tabs>
              <w:spacing w:after="120"/>
              <w:jc w:val="both"/>
              <w:rPr>
                <w:b/>
                <w:bCs/>
                <w:sz w:val="20"/>
                <w:szCs w:val="20"/>
              </w:rPr>
            </w:pPr>
            <w:r w:rsidRPr="00047311">
              <w:rPr>
                <w:rFonts w:cs="Arial"/>
                <w:b/>
                <w:sz w:val="20"/>
                <w:szCs w:val="20"/>
              </w:rPr>
              <w:t>Recommendation</w:t>
            </w:r>
          </w:p>
        </w:tc>
        <w:tc>
          <w:tcPr>
            <w:tcW w:w="2408"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E575D13" w14:textId="4B9575DE" w:rsidR="00477F1B" w:rsidRPr="00047311" w:rsidRDefault="00477F1B" w:rsidP="00B54528">
            <w:pPr>
              <w:tabs>
                <w:tab w:val="left" w:pos="6915"/>
                <w:tab w:val="left" w:pos="9495"/>
              </w:tabs>
              <w:spacing w:after="120"/>
              <w:jc w:val="both"/>
              <w:rPr>
                <w:b/>
                <w:bCs/>
                <w:sz w:val="20"/>
                <w:szCs w:val="20"/>
              </w:rPr>
            </w:pPr>
            <w:r w:rsidRPr="00047311">
              <w:rPr>
                <w:rFonts w:cs="Arial"/>
                <w:b/>
                <w:sz w:val="20"/>
                <w:szCs w:val="20"/>
              </w:rPr>
              <w:t>Progress</w:t>
            </w:r>
          </w:p>
        </w:tc>
      </w:tr>
      <w:tr w:rsidR="00477F1B" w14:paraId="2AA5E1B5" w14:textId="476D253F" w:rsidTr="007B5B33">
        <w:tc>
          <w:tcPr>
            <w:tcW w:w="2592" w:type="pct"/>
            <w:tcBorders>
              <w:top w:val="single" w:sz="4" w:space="0" w:color="auto"/>
              <w:left w:val="single" w:sz="4" w:space="0" w:color="auto"/>
              <w:bottom w:val="single" w:sz="4" w:space="0" w:color="auto"/>
              <w:right w:val="single" w:sz="4" w:space="0" w:color="auto"/>
            </w:tcBorders>
            <w:hideMark/>
          </w:tcPr>
          <w:p w14:paraId="326C8D7D" w14:textId="4AEFA8EA" w:rsidR="005807D5" w:rsidRDefault="00477F1B" w:rsidP="00F65517">
            <w:pPr>
              <w:tabs>
                <w:tab w:val="left" w:pos="6915"/>
                <w:tab w:val="left" w:pos="9495"/>
              </w:tabs>
              <w:rPr>
                <w:b/>
                <w:bCs/>
                <w:sz w:val="20"/>
                <w:szCs w:val="20"/>
              </w:rPr>
            </w:pPr>
            <w:r w:rsidRPr="00047311">
              <w:rPr>
                <w:b/>
                <w:bCs/>
                <w:sz w:val="20"/>
                <w:szCs w:val="20"/>
              </w:rPr>
              <w:t>R1 – Monitoring and Delivery</w:t>
            </w:r>
          </w:p>
          <w:p w14:paraId="0B03C4E9" w14:textId="554AD224" w:rsidR="00477F1B" w:rsidRPr="00047311" w:rsidRDefault="00477F1B" w:rsidP="00E04922">
            <w:pPr>
              <w:tabs>
                <w:tab w:val="left" w:pos="6915"/>
                <w:tab w:val="left" w:pos="9495"/>
              </w:tabs>
              <w:spacing w:after="120"/>
              <w:rPr>
                <w:sz w:val="20"/>
                <w:szCs w:val="20"/>
              </w:rPr>
            </w:pPr>
            <w:r w:rsidRPr="00047311">
              <w:rPr>
                <w:sz w:val="20"/>
                <w:szCs w:val="20"/>
              </w:rPr>
              <w:t xml:space="preserve">IDB should reprofile milestones for Output 2 and consider in collaboration with BEIS whether achievement should be extended beyond the original programme completion date of 2022. To be completed by 31 January 2021. </w:t>
            </w:r>
          </w:p>
        </w:tc>
        <w:tc>
          <w:tcPr>
            <w:tcW w:w="2408" w:type="pct"/>
            <w:tcBorders>
              <w:top w:val="single" w:sz="4" w:space="0" w:color="auto"/>
              <w:left w:val="single" w:sz="4" w:space="0" w:color="auto"/>
              <w:bottom w:val="single" w:sz="4" w:space="0" w:color="auto"/>
              <w:right w:val="single" w:sz="4" w:space="0" w:color="auto"/>
            </w:tcBorders>
          </w:tcPr>
          <w:p w14:paraId="08E3FED4" w14:textId="1848BE2A" w:rsidR="00F30EEC" w:rsidRDefault="00FA3450" w:rsidP="00F30EEC">
            <w:pPr>
              <w:tabs>
                <w:tab w:val="left" w:pos="6915"/>
                <w:tab w:val="left" w:pos="9495"/>
              </w:tabs>
              <w:rPr>
                <w:b/>
                <w:bCs/>
                <w:sz w:val="20"/>
                <w:szCs w:val="20"/>
              </w:rPr>
            </w:pPr>
            <w:r>
              <w:rPr>
                <w:b/>
                <w:bCs/>
                <w:sz w:val="20"/>
                <w:szCs w:val="20"/>
              </w:rPr>
              <w:t>Partially complete</w:t>
            </w:r>
          </w:p>
          <w:p w14:paraId="413AB847" w14:textId="6719B805" w:rsidR="00477F1B" w:rsidRPr="00047311" w:rsidRDefault="001C4C53" w:rsidP="00F30EEC">
            <w:pPr>
              <w:tabs>
                <w:tab w:val="left" w:pos="6915"/>
                <w:tab w:val="left" w:pos="9495"/>
              </w:tabs>
              <w:spacing w:after="120"/>
              <w:rPr>
                <w:b/>
                <w:bCs/>
                <w:sz w:val="20"/>
                <w:szCs w:val="20"/>
              </w:rPr>
            </w:pPr>
            <w:r w:rsidRPr="001C4C53">
              <w:rPr>
                <w:sz w:val="20"/>
                <w:szCs w:val="20"/>
              </w:rPr>
              <w:t xml:space="preserve">IDB have </w:t>
            </w:r>
            <w:r w:rsidR="00F30EEC">
              <w:rPr>
                <w:sz w:val="20"/>
                <w:szCs w:val="20"/>
              </w:rPr>
              <w:t>modelled</w:t>
            </w:r>
            <w:r w:rsidRPr="001C4C53">
              <w:rPr>
                <w:sz w:val="20"/>
                <w:szCs w:val="20"/>
              </w:rPr>
              <w:t xml:space="preserve"> milestone</w:t>
            </w:r>
            <w:r w:rsidR="00F30EEC">
              <w:rPr>
                <w:sz w:val="20"/>
                <w:szCs w:val="20"/>
              </w:rPr>
              <w:t xml:space="preserve"> expectations </w:t>
            </w:r>
            <w:r w:rsidR="006214A3">
              <w:rPr>
                <w:sz w:val="20"/>
                <w:szCs w:val="20"/>
              </w:rPr>
              <w:t>and</w:t>
            </w:r>
            <w:r>
              <w:rPr>
                <w:sz w:val="20"/>
                <w:szCs w:val="20"/>
              </w:rPr>
              <w:t xml:space="preserve"> BEIS and IDB are </w:t>
            </w:r>
            <w:r w:rsidR="000F0400">
              <w:rPr>
                <w:sz w:val="20"/>
                <w:szCs w:val="20"/>
              </w:rPr>
              <w:t xml:space="preserve">in the process of </w:t>
            </w:r>
            <w:r w:rsidR="00EF7AC5">
              <w:rPr>
                <w:sz w:val="20"/>
                <w:szCs w:val="20"/>
              </w:rPr>
              <w:t xml:space="preserve">discussing options for </w:t>
            </w:r>
            <w:r w:rsidR="00FC03BB">
              <w:rPr>
                <w:sz w:val="20"/>
                <w:szCs w:val="20"/>
              </w:rPr>
              <w:t xml:space="preserve">the remainder of </w:t>
            </w:r>
            <w:r w:rsidR="00644011">
              <w:rPr>
                <w:sz w:val="20"/>
                <w:szCs w:val="20"/>
              </w:rPr>
              <w:t xml:space="preserve">the </w:t>
            </w:r>
            <w:r w:rsidR="00810852">
              <w:rPr>
                <w:sz w:val="20"/>
                <w:szCs w:val="20"/>
              </w:rPr>
              <w:t>programme.</w:t>
            </w:r>
          </w:p>
        </w:tc>
      </w:tr>
      <w:tr w:rsidR="00477F1B" w14:paraId="377E7379" w14:textId="5993CCE8" w:rsidTr="007B5B33">
        <w:tc>
          <w:tcPr>
            <w:tcW w:w="2592" w:type="pct"/>
            <w:tcBorders>
              <w:top w:val="single" w:sz="4" w:space="0" w:color="auto"/>
              <w:left w:val="single" w:sz="4" w:space="0" w:color="auto"/>
              <w:bottom w:val="single" w:sz="4" w:space="0" w:color="auto"/>
              <w:right w:val="single" w:sz="4" w:space="0" w:color="auto"/>
            </w:tcBorders>
            <w:hideMark/>
          </w:tcPr>
          <w:p w14:paraId="7CFD872C" w14:textId="673004D4" w:rsidR="0026757D" w:rsidRDefault="00477F1B" w:rsidP="00F65517">
            <w:pPr>
              <w:tabs>
                <w:tab w:val="left" w:pos="6915"/>
                <w:tab w:val="left" w:pos="9495"/>
              </w:tabs>
              <w:rPr>
                <w:b/>
                <w:bCs/>
                <w:sz w:val="20"/>
                <w:szCs w:val="20"/>
              </w:rPr>
            </w:pPr>
            <w:r w:rsidRPr="00047311">
              <w:rPr>
                <w:b/>
                <w:bCs/>
                <w:sz w:val="20"/>
                <w:szCs w:val="20"/>
              </w:rPr>
              <w:t xml:space="preserve">R2 – Monitoring </w:t>
            </w:r>
          </w:p>
          <w:p w14:paraId="38D0A609" w14:textId="1140C620" w:rsidR="00477F1B" w:rsidRPr="00047311" w:rsidRDefault="00477F1B" w:rsidP="00E04922">
            <w:pPr>
              <w:tabs>
                <w:tab w:val="left" w:pos="6915"/>
                <w:tab w:val="left" w:pos="9495"/>
              </w:tabs>
              <w:spacing w:after="120"/>
              <w:rPr>
                <w:b/>
                <w:bCs/>
                <w:sz w:val="20"/>
                <w:szCs w:val="20"/>
              </w:rPr>
            </w:pPr>
            <w:r w:rsidRPr="00047311">
              <w:rPr>
                <w:rFonts w:cs="Arial"/>
                <w:sz w:val="20"/>
                <w:szCs w:val="20"/>
              </w:rPr>
              <w:t>BEIS and IDB should finalise the update of the log frame to ensure there is a valid results chain and coherent expression of the changes expected. Expected result targets should also be updated for future years. BEIS and IDB should agree the revised log frame by October 31, 2020.</w:t>
            </w:r>
          </w:p>
        </w:tc>
        <w:tc>
          <w:tcPr>
            <w:tcW w:w="2408" w:type="pct"/>
            <w:tcBorders>
              <w:top w:val="single" w:sz="4" w:space="0" w:color="auto"/>
              <w:left w:val="single" w:sz="4" w:space="0" w:color="auto"/>
              <w:bottom w:val="single" w:sz="4" w:space="0" w:color="auto"/>
              <w:right w:val="single" w:sz="4" w:space="0" w:color="auto"/>
            </w:tcBorders>
          </w:tcPr>
          <w:p w14:paraId="61D16AB2" w14:textId="74492CAD" w:rsidR="00F30EEC" w:rsidRDefault="00C573A3" w:rsidP="009B19BC">
            <w:pPr>
              <w:tabs>
                <w:tab w:val="left" w:pos="6915"/>
                <w:tab w:val="left" w:pos="9495"/>
              </w:tabs>
              <w:rPr>
                <w:b/>
                <w:bCs/>
                <w:sz w:val="20"/>
                <w:szCs w:val="20"/>
              </w:rPr>
            </w:pPr>
            <w:r>
              <w:rPr>
                <w:b/>
                <w:bCs/>
                <w:sz w:val="20"/>
                <w:szCs w:val="20"/>
              </w:rPr>
              <w:t>Complete</w:t>
            </w:r>
          </w:p>
          <w:p w14:paraId="1628B494" w14:textId="669B51A9" w:rsidR="002E679D" w:rsidRPr="009B19BC" w:rsidRDefault="00C573A3" w:rsidP="00F30EEC">
            <w:pPr>
              <w:tabs>
                <w:tab w:val="left" w:pos="6915"/>
                <w:tab w:val="left" w:pos="9495"/>
              </w:tabs>
              <w:spacing w:after="120"/>
              <w:rPr>
                <w:sz w:val="20"/>
                <w:szCs w:val="20"/>
              </w:rPr>
            </w:pPr>
            <w:r w:rsidRPr="002E679D">
              <w:rPr>
                <w:sz w:val="20"/>
                <w:szCs w:val="20"/>
              </w:rPr>
              <w:t xml:space="preserve">BEIS and IDB agreed a completed log frame in November 2020. </w:t>
            </w:r>
            <w:r w:rsidR="009B19BC">
              <w:rPr>
                <w:sz w:val="20"/>
                <w:szCs w:val="20"/>
              </w:rPr>
              <w:t xml:space="preserve">Changes are articulated </w:t>
            </w:r>
            <w:r w:rsidR="00A36460">
              <w:rPr>
                <w:sz w:val="20"/>
                <w:szCs w:val="20"/>
              </w:rPr>
              <w:t>throughout</w:t>
            </w:r>
            <w:r w:rsidR="009B19BC">
              <w:rPr>
                <w:sz w:val="20"/>
                <w:szCs w:val="20"/>
              </w:rPr>
              <w:t xml:space="preserve"> this review.</w:t>
            </w:r>
          </w:p>
        </w:tc>
      </w:tr>
      <w:tr w:rsidR="00477F1B" w14:paraId="474E4FC2" w14:textId="7DDEE733" w:rsidTr="00BB17B3">
        <w:trPr>
          <w:trHeight w:val="1485"/>
        </w:trPr>
        <w:tc>
          <w:tcPr>
            <w:tcW w:w="2592" w:type="pct"/>
            <w:tcBorders>
              <w:top w:val="single" w:sz="4" w:space="0" w:color="auto"/>
              <w:left w:val="single" w:sz="4" w:space="0" w:color="auto"/>
              <w:bottom w:val="single" w:sz="4" w:space="0" w:color="auto"/>
              <w:right w:val="single" w:sz="4" w:space="0" w:color="auto"/>
            </w:tcBorders>
            <w:hideMark/>
          </w:tcPr>
          <w:p w14:paraId="62795A63" w14:textId="0FAEB404" w:rsidR="0026757D" w:rsidRDefault="00477F1B" w:rsidP="00F65517">
            <w:pPr>
              <w:tabs>
                <w:tab w:val="left" w:pos="6915"/>
                <w:tab w:val="left" w:pos="9495"/>
              </w:tabs>
              <w:rPr>
                <w:b/>
                <w:bCs/>
                <w:sz w:val="20"/>
                <w:szCs w:val="20"/>
              </w:rPr>
            </w:pPr>
            <w:r w:rsidRPr="00047311">
              <w:rPr>
                <w:b/>
                <w:bCs/>
                <w:sz w:val="20"/>
                <w:szCs w:val="20"/>
              </w:rPr>
              <w:t>R3 – Monitoring</w:t>
            </w:r>
          </w:p>
          <w:p w14:paraId="0920B862" w14:textId="2537A31D" w:rsidR="00477F1B" w:rsidRPr="00047311" w:rsidRDefault="00477F1B" w:rsidP="00E04922">
            <w:pPr>
              <w:tabs>
                <w:tab w:val="left" w:pos="6915"/>
                <w:tab w:val="left" w:pos="9495"/>
              </w:tabs>
              <w:spacing w:after="120"/>
              <w:rPr>
                <w:sz w:val="20"/>
                <w:szCs w:val="20"/>
              </w:rPr>
            </w:pPr>
            <w:r w:rsidRPr="00047311">
              <w:rPr>
                <w:sz w:val="20"/>
                <w:szCs w:val="20"/>
              </w:rPr>
              <w:t>BEIS and IDB to develop an agreed methodology for KPI15 by 28 February 2021. This will ensure clarity in SIP’s transformational aims and enable it to receive a KPI 15 (Transformation) rating in Year 3 of operation.</w:t>
            </w:r>
          </w:p>
        </w:tc>
        <w:tc>
          <w:tcPr>
            <w:tcW w:w="2408" w:type="pct"/>
            <w:tcBorders>
              <w:top w:val="single" w:sz="4" w:space="0" w:color="auto"/>
              <w:left w:val="single" w:sz="4" w:space="0" w:color="auto"/>
              <w:bottom w:val="single" w:sz="4" w:space="0" w:color="auto"/>
              <w:right w:val="single" w:sz="4" w:space="0" w:color="auto"/>
            </w:tcBorders>
          </w:tcPr>
          <w:p w14:paraId="40D02476" w14:textId="60B57AF2" w:rsidR="009D1B92" w:rsidRDefault="000F0400" w:rsidP="009D1B92">
            <w:pPr>
              <w:tabs>
                <w:tab w:val="left" w:pos="6915"/>
                <w:tab w:val="left" w:pos="9495"/>
              </w:tabs>
              <w:rPr>
                <w:b/>
                <w:bCs/>
                <w:sz w:val="20"/>
                <w:szCs w:val="20"/>
              </w:rPr>
            </w:pPr>
            <w:r>
              <w:rPr>
                <w:b/>
                <w:bCs/>
                <w:sz w:val="20"/>
                <w:szCs w:val="20"/>
              </w:rPr>
              <w:t>Partially c</w:t>
            </w:r>
            <w:r w:rsidR="0063662F">
              <w:rPr>
                <w:b/>
                <w:bCs/>
                <w:sz w:val="20"/>
                <w:szCs w:val="20"/>
              </w:rPr>
              <w:t xml:space="preserve">omplete </w:t>
            </w:r>
          </w:p>
          <w:p w14:paraId="6B5879B3" w14:textId="4D9675FB" w:rsidR="00477F1B" w:rsidRPr="000F0400" w:rsidRDefault="000F0400" w:rsidP="00F30EEC">
            <w:pPr>
              <w:tabs>
                <w:tab w:val="left" w:pos="6915"/>
                <w:tab w:val="left" w:pos="9495"/>
              </w:tabs>
              <w:spacing w:after="120"/>
              <w:rPr>
                <w:sz w:val="20"/>
                <w:szCs w:val="20"/>
              </w:rPr>
            </w:pPr>
            <w:r>
              <w:rPr>
                <w:sz w:val="20"/>
                <w:szCs w:val="20"/>
              </w:rPr>
              <w:t xml:space="preserve">BEIS and IDB </w:t>
            </w:r>
            <w:r w:rsidR="00C25351">
              <w:rPr>
                <w:sz w:val="20"/>
                <w:szCs w:val="20"/>
              </w:rPr>
              <w:t>have held a KPI 15 workshop and drafted a</w:t>
            </w:r>
            <w:r w:rsidR="004A2386">
              <w:rPr>
                <w:sz w:val="20"/>
                <w:szCs w:val="20"/>
              </w:rPr>
              <w:t xml:space="preserve"> provisional </w:t>
            </w:r>
            <w:r w:rsidR="00C25351">
              <w:rPr>
                <w:sz w:val="20"/>
                <w:szCs w:val="20"/>
              </w:rPr>
              <w:t>KPI 15 methodology</w:t>
            </w:r>
            <w:r w:rsidR="00621EB3">
              <w:rPr>
                <w:sz w:val="20"/>
                <w:szCs w:val="20"/>
              </w:rPr>
              <w:t xml:space="preserve">, which is </w:t>
            </w:r>
            <w:r w:rsidR="004A2386">
              <w:rPr>
                <w:sz w:val="20"/>
                <w:szCs w:val="20"/>
              </w:rPr>
              <w:t>expected to be completed in Autumn 2021.</w:t>
            </w:r>
            <w:r w:rsidR="6D3F2B5B" w:rsidRPr="178D3ACD">
              <w:rPr>
                <w:sz w:val="20"/>
                <w:szCs w:val="20"/>
              </w:rPr>
              <w:t xml:space="preserve"> </w:t>
            </w:r>
          </w:p>
        </w:tc>
      </w:tr>
      <w:tr w:rsidR="00477F1B" w14:paraId="6FB4DD66" w14:textId="7EF85066" w:rsidTr="00513E41">
        <w:tc>
          <w:tcPr>
            <w:tcW w:w="2592" w:type="pct"/>
            <w:tcBorders>
              <w:top w:val="single" w:sz="4" w:space="0" w:color="auto"/>
              <w:left w:val="single" w:sz="4" w:space="0" w:color="auto"/>
              <w:bottom w:val="single" w:sz="4" w:space="0" w:color="auto"/>
              <w:right w:val="single" w:sz="4" w:space="0" w:color="auto"/>
            </w:tcBorders>
            <w:shd w:val="clear" w:color="auto" w:fill="auto"/>
            <w:hideMark/>
          </w:tcPr>
          <w:p w14:paraId="21916F1E" w14:textId="052D7D5A" w:rsidR="0026757D" w:rsidRPr="0072411D" w:rsidRDefault="00477F1B" w:rsidP="00362E00">
            <w:pPr>
              <w:tabs>
                <w:tab w:val="left" w:pos="6915"/>
                <w:tab w:val="left" w:pos="9495"/>
              </w:tabs>
              <w:rPr>
                <w:b/>
                <w:bCs/>
                <w:sz w:val="20"/>
                <w:szCs w:val="20"/>
              </w:rPr>
            </w:pPr>
            <w:r w:rsidRPr="0072411D">
              <w:rPr>
                <w:b/>
                <w:bCs/>
                <w:sz w:val="20"/>
                <w:szCs w:val="20"/>
              </w:rPr>
              <w:t>R4 - Delivery</w:t>
            </w:r>
          </w:p>
          <w:p w14:paraId="22569C3F" w14:textId="6F2F811A" w:rsidR="00477F1B" w:rsidRPr="0072411D" w:rsidRDefault="00477F1B" w:rsidP="00E04922">
            <w:pPr>
              <w:tabs>
                <w:tab w:val="left" w:pos="6915"/>
                <w:tab w:val="left" w:pos="9495"/>
              </w:tabs>
              <w:spacing w:after="120"/>
              <w:rPr>
                <w:sz w:val="20"/>
                <w:szCs w:val="20"/>
              </w:rPr>
            </w:pPr>
            <w:r w:rsidRPr="0072411D">
              <w:rPr>
                <w:sz w:val="20"/>
                <w:szCs w:val="20"/>
              </w:rPr>
              <w:t>IDB to draft and agree with BEIS a strategic outline for what SIP-LA will achieve in each of its partner countries by 31 October 2020.</w:t>
            </w:r>
          </w:p>
        </w:tc>
        <w:tc>
          <w:tcPr>
            <w:tcW w:w="2408" w:type="pct"/>
            <w:tcBorders>
              <w:top w:val="single" w:sz="4" w:space="0" w:color="auto"/>
              <w:left w:val="single" w:sz="4" w:space="0" w:color="auto"/>
              <w:bottom w:val="single" w:sz="4" w:space="0" w:color="auto"/>
              <w:right w:val="single" w:sz="4" w:space="0" w:color="auto"/>
            </w:tcBorders>
            <w:shd w:val="clear" w:color="auto" w:fill="auto"/>
          </w:tcPr>
          <w:p w14:paraId="01B13324" w14:textId="20F28D07" w:rsidR="00477F1B" w:rsidRPr="0072411D" w:rsidRDefault="00B1308F" w:rsidP="00093A50">
            <w:pPr>
              <w:tabs>
                <w:tab w:val="left" w:pos="6915"/>
                <w:tab w:val="left" w:pos="9495"/>
              </w:tabs>
              <w:rPr>
                <w:b/>
                <w:bCs/>
                <w:sz w:val="20"/>
                <w:szCs w:val="20"/>
              </w:rPr>
            </w:pPr>
            <w:r w:rsidRPr="0072411D">
              <w:rPr>
                <w:b/>
                <w:bCs/>
                <w:sz w:val="20"/>
                <w:szCs w:val="20"/>
              </w:rPr>
              <w:t>C</w:t>
            </w:r>
            <w:r w:rsidR="00886C60" w:rsidRPr="0072411D">
              <w:rPr>
                <w:b/>
                <w:bCs/>
                <w:sz w:val="20"/>
                <w:szCs w:val="20"/>
              </w:rPr>
              <w:t>omplete</w:t>
            </w:r>
          </w:p>
          <w:p w14:paraId="173146FA" w14:textId="669696A5" w:rsidR="00093A50" w:rsidRPr="0072411D" w:rsidRDefault="00A36460" w:rsidP="00F30EEC">
            <w:pPr>
              <w:tabs>
                <w:tab w:val="left" w:pos="6915"/>
                <w:tab w:val="left" w:pos="9495"/>
              </w:tabs>
              <w:spacing w:after="120"/>
              <w:rPr>
                <w:sz w:val="20"/>
                <w:szCs w:val="20"/>
              </w:rPr>
            </w:pPr>
            <w:r w:rsidRPr="0072411D">
              <w:rPr>
                <w:sz w:val="20"/>
                <w:szCs w:val="20"/>
              </w:rPr>
              <w:t xml:space="preserve">IDB </w:t>
            </w:r>
            <w:r w:rsidR="00B1308F" w:rsidRPr="00513E41">
              <w:rPr>
                <w:sz w:val="20"/>
                <w:szCs w:val="20"/>
              </w:rPr>
              <w:t xml:space="preserve">produced </w:t>
            </w:r>
            <w:r w:rsidR="005223E9" w:rsidRPr="00513E41">
              <w:rPr>
                <w:sz w:val="20"/>
                <w:szCs w:val="20"/>
              </w:rPr>
              <w:t xml:space="preserve">strategic outlines for all SIP-LA partner countries in the form of ‘Country Frameworks’. BEIS and IDB have agreed that these Country Frameworks will be updated following </w:t>
            </w:r>
            <w:r w:rsidRPr="0072411D">
              <w:rPr>
                <w:sz w:val="20"/>
                <w:szCs w:val="20"/>
              </w:rPr>
              <w:t xml:space="preserve">the </w:t>
            </w:r>
            <w:r w:rsidR="00093A50" w:rsidRPr="0072411D">
              <w:rPr>
                <w:sz w:val="20"/>
                <w:szCs w:val="20"/>
              </w:rPr>
              <w:t xml:space="preserve">High-Level Dialogue </w:t>
            </w:r>
            <w:r w:rsidR="005223E9" w:rsidRPr="00513E41">
              <w:rPr>
                <w:sz w:val="20"/>
                <w:szCs w:val="20"/>
              </w:rPr>
              <w:t xml:space="preserve">meetings </w:t>
            </w:r>
            <w:r w:rsidR="00093A50" w:rsidRPr="0072411D">
              <w:rPr>
                <w:sz w:val="20"/>
                <w:szCs w:val="20"/>
              </w:rPr>
              <w:t xml:space="preserve">with </w:t>
            </w:r>
            <w:r w:rsidRPr="0072411D">
              <w:rPr>
                <w:sz w:val="20"/>
                <w:szCs w:val="20"/>
              </w:rPr>
              <w:t xml:space="preserve">each </w:t>
            </w:r>
            <w:r w:rsidR="00C6510E" w:rsidRPr="0072411D">
              <w:rPr>
                <w:sz w:val="20"/>
                <w:szCs w:val="20"/>
              </w:rPr>
              <w:t xml:space="preserve">SIP-LA </w:t>
            </w:r>
            <w:r w:rsidR="00093A50" w:rsidRPr="0072411D">
              <w:rPr>
                <w:sz w:val="20"/>
                <w:szCs w:val="20"/>
              </w:rPr>
              <w:t>partner countr</w:t>
            </w:r>
            <w:r w:rsidR="00C6510E" w:rsidRPr="0072411D">
              <w:rPr>
                <w:sz w:val="20"/>
                <w:szCs w:val="20"/>
              </w:rPr>
              <w:t>y</w:t>
            </w:r>
            <w:r w:rsidR="00093A50" w:rsidRPr="0072411D">
              <w:rPr>
                <w:sz w:val="20"/>
                <w:szCs w:val="20"/>
              </w:rPr>
              <w:t xml:space="preserve">. </w:t>
            </w:r>
          </w:p>
        </w:tc>
      </w:tr>
      <w:tr w:rsidR="00477F1B" w14:paraId="42DFC7DE" w14:textId="4ACF824E" w:rsidTr="007B5B33">
        <w:tc>
          <w:tcPr>
            <w:tcW w:w="2592" w:type="pct"/>
            <w:tcBorders>
              <w:top w:val="single" w:sz="4" w:space="0" w:color="auto"/>
              <w:left w:val="single" w:sz="4" w:space="0" w:color="auto"/>
              <w:bottom w:val="single" w:sz="4" w:space="0" w:color="auto"/>
              <w:right w:val="single" w:sz="4" w:space="0" w:color="auto"/>
            </w:tcBorders>
            <w:hideMark/>
          </w:tcPr>
          <w:p w14:paraId="0D30B447" w14:textId="7256873E" w:rsidR="0026757D" w:rsidRDefault="00477F1B" w:rsidP="00362E00">
            <w:pPr>
              <w:tabs>
                <w:tab w:val="left" w:pos="6915"/>
                <w:tab w:val="left" w:pos="9495"/>
              </w:tabs>
              <w:rPr>
                <w:b/>
                <w:bCs/>
                <w:sz w:val="20"/>
                <w:szCs w:val="20"/>
              </w:rPr>
            </w:pPr>
            <w:r w:rsidRPr="00047311">
              <w:rPr>
                <w:b/>
                <w:bCs/>
                <w:sz w:val="20"/>
                <w:szCs w:val="20"/>
              </w:rPr>
              <w:t>R5 – Delivery</w:t>
            </w:r>
          </w:p>
          <w:p w14:paraId="089E7AF5" w14:textId="6360A1EC" w:rsidR="00477F1B" w:rsidRPr="00047311" w:rsidRDefault="00477F1B" w:rsidP="00E04922">
            <w:pPr>
              <w:tabs>
                <w:tab w:val="left" w:pos="6915"/>
                <w:tab w:val="left" w:pos="9495"/>
              </w:tabs>
              <w:spacing w:after="120"/>
              <w:rPr>
                <w:b/>
                <w:bCs/>
                <w:sz w:val="20"/>
                <w:szCs w:val="20"/>
              </w:rPr>
            </w:pPr>
            <w:r w:rsidRPr="00047311">
              <w:rPr>
                <w:sz w:val="20"/>
                <w:szCs w:val="20"/>
              </w:rPr>
              <w:t>Technical Advisors from both IDB and</w:t>
            </w:r>
            <w:r w:rsidRPr="00047311">
              <w:rPr>
                <w:b/>
                <w:bCs/>
                <w:sz w:val="20"/>
                <w:szCs w:val="20"/>
              </w:rPr>
              <w:t xml:space="preserve"> </w:t>
            </w:r>
            <w:r w:rsidRPr="00047311">
              <w:rPr>
                <w:sz w:val="20"/>
                <w:szCs w:val="20"/>
              </w:rPr>
              <w:t>IDB Invest and Country Climate Change Specialists should attend monthly meetings with the four embassies effective immediately.</w:t>
            </w:r>
          </w:p>
        </w:tc>
        <w:tc>
          <w:tcPr>
            <w:tcW w:w="2408" w:type="pct"/>
            <w:tcBorders>
              <w:top w:val="single" w:sz="4" w:space="0" w:color="auto"/>
              <w:left w:val="single" w:sz="4" w:space="0" w:color="auto"/>
              <w:bottom w:val="single" w:sz="4" w:space="0" w:color="auto"/>
              <w:right w:val="single" w:sz="4" w:space="0" w:color="auto"/>
            </w:tcBorders>
          </w:tcPr>
          <w:p w14:paraId="159F767D" w14:textId="37CE1DB5" w:rsidR="00477F1B" w:rsidRPr="00A97C67" w:rsidRDefault="00727C3C" w:rsidP="00BA22C6">
            <w:pPr>
              <w:tabs>
                <w:tab w:val="left" w:pos="6915"/>
                <w:tab w:val="left" w:pos="9495"/>
              </w:tabs>
              <w:rPr>
                <w:b/>
                <w:bCs/>
                <w:sz w:val="20"/>
                <w:szCs w:val="20"/>
              </w:rPr>
            </w:pPr>
            <w:r w:rsidRPr="00A97C67">
              <w:rPr>
                <w:b/>
                <w:bCs/>
                <w:sz w:val="20"/>
                <w:szCs w:val="20"/>
              </w:rPr>
              <w:t>Complete</w:t>
            </w:r>
          </w:p>
          <w:p w14:paraId="15C6C5C0" w14:textId="2C37BCE7" w:rsidR="00E042E1" w:rsidRPr="00A97C67" w:rsidRDefault="007D5E6F" w:rsidP="00A97C67">
            <w:pPr>
              <w:tabs>
                <w:tab w:val="left" w:pos="6915"/>
                <w:tab w:val="left" w:pos="9495"/>
              </w:tabs>
              <w:spacing w:after="120"/>
              <w:rPr>
                <w:sz w:val="20"/>
                <w:szCs w:val="20"/>
              </w:rPr>
            </w:pPr>
            <w:r>
              <w:rPr>
                <w:sz w:val="20"/>
                <w:szCs w:val="20"/>
              </w:rPr>
              <w:t xml:space="preserve">The </w:t>
            </w:r>
            <w:r w:rsidR="00A97C67" w:rsidRPr="00A97C67">
              <w:rPr>
                <w:sz w:val="20"/>
                <w:szCs w:val="20"/>
              </w:rPr>
              <w:t>IDB</w:t>
            </w:r>
            <w:r>
              <w:rPr>
                <w:sz w:val="20"/>
                <w:szCs w:val="20"/>
              </w:rPr>
              <w:t xml:space="preserve"> SIP-LA team and IDB sector experts </w:t>
            </w:r>
            <w:r w:rsidR="00C63301">
              <w:rPr>
                <w:sz w:val="20"/>
                <w:szCs w:val="20"/>
              </w:rPr>
              <w:t>hold</w:t>
            </w:r>
            <w:r w:rsidR="00A97C67" w:rsidRPr="00A97C67">
              <w:rPr>
                <w:sz w:val="20"/>
                <w:szCs w:val="20"/>
              </w:rPr>
              <w:t xml:space="preserve"> monthly update meetings </w:t>
            </w:r>
            <w:r w:rsidR="00C63301" w:rsidRPr="00A97C67">
              <w:rPr>
                <w:sz w:val="20"/>
                <w:szCs w:val="20"/>
              </w:rPr>
              <w:t xml:space="preserve">with </w:t>
            </w:r>
            <w:r w:rsidR="00C63301">
              <w:rPr>
                <w:sz w:val="20"/>
                <w:szCs w:val="20"/>
              </w:rPr>
              <w:t>HMG embassy teams</w:t>
            </w:r>
            <w:r w:rsidR="00D11AAF">
              <w:rPr>
                <w:sz w:val="20"/>
                <w:szCs w:val="20"/>
              </w:rPr>
              <w:t>.</w:t>
            </w:r>
          </w:p>
        </w:tc>
      </w:tr>
      <w:tr w:rsidR="00477F1B" w14:paraId="063A37D5" w14:textId="1E269854" w:rsidTr="007B5B33">
        <w:tc>
          <w:tcPr>
            <w:tcW w:w="2592" w:type="pct"/>
            <w:tcBorders>
              <w:top w:val="single" w:sz="4" w:space="0" w:color="auto"/>
              <w:left w:val="single" w:sz="4" w:space="0" w:color="auto"/>
              <w:bottom w:val="single" w:sz="4" w:space="0" w:color="auto"/>
              <w:right w:val="single" w:sz="4" w:space="0" w:color="auto"/>
            </w:tcBorders>
            <w:hideMark/>
          </w:tcPr>
          <w:p w14:paraId="05F633BC" w14:textId="568126B1" w:rsidR="0026757D" w:rsidRDefault="00477F1B" w:rsidP="00362E00">
            <w:pPr>
              <w:tabs>
                <w:tab w:val="left" w:pos="6915"/>
                <w:tab w:val="left" w:pos="9495"/>
              </w:tabs>
              <w:rPr>
                <w:sz w:val="20"/>
                <w:szCs w:val="20"/>
              </w:rPr>
            </w:pPr>
            <w:r w:rsidRPr="00047311">
              <w:rPr>
                <w:b/>
                <w:bCs/>
                <w:sz w:val="20"/>
                <w:szCs w:val="20"/>
              </w:rPr>
              <w:lastRenderedPageBreak/>
              <w:t>R6 – Evaluation</w:t>
            </w:r>
          </w:p>
          <w:p w14:paraId="1E0378B3" w14:textId="2080BD98" w:rsidR="00477F1B" w:rsidRPr="00047311" w:rsidRDefault="00477F1B" w:rsidP="00E04922">
            <w:pPr>
              <w:tabs>
                <w:tab w:val="left" w:pos="6915"/>
                <w:tab w:val="left" w:pos="9495"/>
              </w:tabs>
              <w:spacing w:after="120"/>
              <w:rPr>
                <w:b/>
                <w:bCs/>
                <w:sz w:val="20"/>
                <w:szCs w:val="20"/>
              </w:rPr>
            </w:pPr>
            <w:r w:rsidRPr="00047311">
              <w:rPr>
                <w:sz w:val="20"/>
                <w:szCs w:val="20"/>
              </w:rPr>
              <w:t>IDB should reference relevant evidence from key SIP-LA governance tools in proposals presented to BEIS, effective immediately</w:t>
            </w:r>
            <w:r w:rsidR="008915FD">
              <w:rPr>
                <w:sz w:val="20"/>
                <w:szCs w:val="20"/>
              </w:rPr>
              <w:t>.</w:t>
            </w:r>
          </w:p>
        </w:tc>
        <w:tc>
          <w:tcPr>
            <w:tcW w:w="2408" w:type="pct"/>
            <w:tcBorders>
              <w:top w:val="single" w:sz="4" w:space="0" w:color="auto"/>
              <w:left w:val="single" w:sz="4" w:space="0" w:color="auto"/>
              <w:bottom w:val="single" w:sz="4" w:space="0" w:color="auto"/>
              <w:right w:val="single" w:sz="4" w:space="0" w:color="auto"/>
            </w:tcBorders>
          </w:tcPr>
          <w:p w14:paraId="506D91C9" w14:textId="77777777" w:rsidR="00477F1B" w:rsidRDefault="00122005" w:rsidP="0018195D">
            <w:pPr>
              <w:keepNext/>
              <w:tabs>
                <w:tab w:val="left" w:pos="6915"/>
                <w:tab w:val="left" w:pos="9495"/>
              </w:tabs>
              <w:rPr>
                <w:b/>
                <w:bCs/>
                <w:sz w:val="20"/>
                <w:szCs w:val="20"/>
              </w:rPr>
            </w:pPr>
            <w:r>
              <w:rPr>
                <w:b/>
                <w:bCs/>
                <w:sz w:val="20"/>
                <w:szCs w:val="20"/>
              </w:rPr>
              <w:t xml:space="preserve">Complete </w:t>
            </w:r>
          </w:p>
          <w:p w14:paraId="49AE9F70" w14:textId="5A0D299D" w:rsidR="00FF78CA" w:rsidRPr="00927F00" w:rsidRDefault="00927F00" w:rsidP="00F30EEC">
            <w:pPr>
              <w:tabs>
                <w:tab w:val="left" w:pos="6915"/>
                <w:tab w:val="left" w:pos="9495"/>
              </w:tabs>
              <w:spacing w:after="120"/>
              <w:rPr>
                <w:sz w:val="20"/>
                <w:szCs w:val="20"/>
              </w:rPr>
            </w:pPr>
            <w:r>
              <w:rPr>
                <w:sz w:val="20"/>
                <w:szCs w:val="20"/>
              </w:rPr>
              <w:t xml:space="preserve">IDB have referenced the </w:t>
            </w:r>
            <w:r w:rsidR="003E3FC2">
              <w:rPr>
                <w:sz w:val="20"/>
                <w:szCs w:val="20"/>
              </w:rPr>
              <w:t>B</w:t>
            </w:r>
            <w:r>
              <w:rPr>
                <w:sz w:val="20"/>
                <w:szCs w:val="20"/>
              </w:rPr>
              <w:t xml:space="preserve">aseline </w:t>
            </w:r>
            <w:r w:rsidR="003E3FC2">
              <w:rPr>
                <w:sz w:val="20"/>
                <w:szCs w:val="20"/>
              </w:rPr>
              <w:t>F</w:t>
            </w:r>
            <w:r w:rsidR="00F7723B">
              <w:rPr>
                <w:sz w:val="20"/>
                <w:szCs w:val="20"/>
              </w:rPr>
              <w:t xml:space="preserve">ront </w:t>
            </w:r>
            <w:r w:rsidR="003E3FC2">
              <w:rPr>
                <w:sz w:val="20"/>
                <w:szCs w:val="20"/>
              </w:rPr>
              <w:t>E</w:t>
            </w:r>
            <w:r w:rsidR="00F7723B">
              <w:rPr>
                <w:sz w:val="20"/>
                <w:szCs w:val="20"/>
              </w:rPr>
              <w:t xml:space="preserve">nd </w:t>
            </w:r>
            <w:r w:rsidR="003E3FC2">
              <w:rPr>
                <w:sz w:val="20"/>
                <w:szCs w:val="20"/>
              </w:rPr>
              <w:t>A</w:t>
            </w:r>
            <w:r w:rsidR="00F7723B">
              <w:rPr>
                <w:sz w:val="20"/>
                <w:szCs w:val="20"/>
              </w:rPr>
              <w:t>nalysis and other</w:t>
            </w:r>
            <w:r w:rsidR="00EB1D19">
              <w:rPr>
                <w:sz w:val="20"/>
                <w:szCs w:val="20"/>
              </w:rPr>
              <w:t xml:space="preserve"> supporting</w:t>
            </w:r>
            <w:r w:rsidR="00F7723B">
              <w:rPr>
                <w:sz w:val="20"/>
                <w:szCs w:val="20"/>
              </w:rPr>
              <w:t xml:space="preserve"> evidence in new project proposals.</w:t>
            </w:r>
          </w:p>
        </w:tc>
      </w:tr>
      <w:tr w:rsidR="00477F1B" w14:paraId="02328C35" w14:textId="38A55540" w:rsidTr="007B5B33">
        <w:tc>
          <w:tcPr>
            <w:tcW w:w="2592" w:type="pct"/>
            <w:tcBorders>
              <w:top w:val="single" w:sz="4" w:space="0" w:color="auto"/>
              <w:left w:val="single" w:sz="4" w:space="0" w:color="auto"/>
              <w:bottom w:val="single" w:sz="4" w:space="0" w:color="auto"/>
              <w:right w:val="single" w:sz="4" w:space="0" w:color="auto"/>
            </w:tcBorders>
            <w:hideMark/>
          </w:tcPr>
          <w:p w14:paraId="071B823D" w14:textId="2F0334A8" w:rsidR="0026757D" w:rsidRDefault="00477F1B" w:rsidP="00362E00">
            <w:pPr>
              <w:rPr>
                <w:b/>
                <w:bCs/>
                <w:sz w:val="20"/>
                <w:szCs w:val="20"/>
              </w:rPr>
            </w:pPr>
            <w:r w:rsidRPr="00047311">
              <w:rPr>
                <w:b/>
                <w:bCs/>
                <w:sz w:val="20"/>
                <w:szCs w:val="20"/>
              </w:rPr>
              <w:t>R7 – Visibility</w:t>
            </w:r>
          </w:p>
          <w:p w14:paraId="027CA0D4" w14:textId="512B59A9" w:rsidR="00477F1B" w:rsidRPr="00047311" w:rsidRDefault="00477F1B" w:rsidP="00E04922">
            <w:pPr>
              <w:spacing w:after="120"/>
              <w:rPr>
                <w:rFonts w:cs="Arial"/>
                <w:sz w:val="20"/>
                <w:szCs w:val="20"/>
              </w:rPr>
            </w:pPr>
            <w:r w:rsidRPr="00047311">
              <w:rPr>
                <w:rFonts w:cs="Arial"/>
                <w:sz w:val="20"/>
                <w:szCs w:val="20"/>
              </w:rPr>
              <w:t>IDB should commission a communication strategy for UK branding, visibility, and positioning by 31 December 2020 and deliver this strategy by 31 January 2021.</w:t>
            </w:r>
          </w:p>
        </w:tc>
        <w:tc>
          <w:tcPr>
            <w:tcW w:w="2408" w:type="pct"/>
            <w:tcBorders>
              <w:top w:val="single" w:sz="4" w:space="0" w:color="auto"/>
              <w:left w:val="single" w:sz="4" w:space="0" w:color="auto"/>
              <w:bottom w:val="single" w:sz="4" w:space="0" w:color="auto"/>
              <w:right w:val="single" w:sz="4" w:space="0" w:color="auto"/>
            </w:tcBorders>
          </w:tcPr>
          <w:p w14:paraId="38A40392" w14:textId="65A82BE7" w:rsidR="00392E07" w:rsidRDefault="00CB6F04" w:rsidP="00392E07">
            <w:pPr>
              <w:rPr>
                <w:sz w:val="20"/>
                <w:szCs w:val="20"/>
              </w:rPr>
            </w:pPr>
            <w:r>
              <w:rPr>
                <w:b/>
                <w:bCs/>
                <w:sz w:val="20"/>
                <w:szCs w:val="20"/>
              </w:rPr>
              <w:t xml:space="preserve">Complete </w:t>
            </w:r>
          </w:p>
          <w:p w14:paraId="39C44115" w14:textId="28CF6D62" w:rsidR="00FF78CA" w:rsidRPr="00E1596C" w:rsidRDefault="00CD2A9A" w:rsidP="00BB17B3">
            <w:pPr>
              <w:rPr>
                <w:sz w:val="20"/>
                <w:szCs w:val="20"/>
              </w:rPr>
            </w:pPr>
            <w:r w:rsidRPr="00E1596C">
              <w:rPr>
                <w:sz w:val="20"/>
                <w:szCs w:val="20"/>
              </w:rPr>
              <w:t xml:space="preserve">IDB presented </w:t>
            </w:r>
            <w:r w:rsidR="00276475">
              <w:rPr>
                <w:sz w:val="20"/>
                <w:szCs w:val="20"/>
              </w:rPr>
              <w:t xml:space="preserve">a completed </w:t>
            </w:r>
            <w:r w:rsidR="00E1596C" w:rsidRPr="00E1596C">
              <w:rPr>
                <w:sz w:val="20"/>
                <w:szCs w:val="20"/>
              </w:rPr>
              <w:t xml:space="preserve">communications strategy </w:t>
            </w:r>
            <w:r w:rsidR="004F1B21">
              <w:rPr>
                <w:sz w:val="20"/>
                <w:szCs w:val="20"/>
              </w:rPr>
              <w:t xml:space="preserve">to BEIS </w:t>
            </w:r>
            <w:r w:rsidR="00E1596C" w:rsidRPr="00E1596C">
              <w:rPr>
                <w:sz w:val="20"/>
                <w:szCs w:val="20"/>
              </w:rPr>
              <w:t>in April 2021</w:t>
            </w:r>
            <w:r w:rsidR="00F7723B">
              <w:rPr>
                <w:sz w:val="20"/>
                <w:szCs w:val="20"/>
              </w:rPr>
              <w:t>.</w:t>
            </w:r>
            <w:r w:rsidR="004F1B21">
              <w:rPr>
                <w:sz w:val="20"/>
                <w:szCs w:val="20"/>
              </w:rPr>
              <w:t xml:space="preserve"> </w:t>
            </w:r>
          </w:p>
        </w:tc>
      </w:tr>
      <w:tr w:rsidR="00477F1B" w14:paraId="01098EBD" w14:textId="276EB006" w:rsidTr="007B5B33">
        <w:tc>
          <w:tcPr>
            <w:tcW w:w="2592" w:type="pct"/>
            <w:tcBorders>
              <w:top w:val="single" w:sz="4" w:space="0" w:color="auto"/>
              <w:left w:val="single" w:sz="4" w:space="0" w:color="auto"/>
              <w:bottom w:val="single" w:sz="4" w:space="0" w:color="auto"/>
              <w:right w:val="single" w:sz="4" w:space="0" w:color="auto"/>
            </w:tcBorders>
            <w:hideMark/>
          </w:tcPr>
          <w:p w14:paraId="105819FD" w14:textId="302EDA29" w:rsidR="0026757D" w:rsidRDefault="00477F1B" w:rsidP="00B83764">
            <w:pPr>
              <w:keepNext/>
              <w:tabs>
                <w:tab w:val="left" w:pos="6915"/>
                <w:tab w:val="left" w:pos="9495"/>
              </w:tabs>
              <w:rPr>
                <w:b/>
                <w:bCs/>
                <w:sz w:val="20"/>
                <w:szCs w:val="20"/>
              </w:rPr>
            </w:pPr>
            <w:r w:rsidRPr="00047311">
              <w:rPr>
                <w:b/>
                <w:bCs/>
                <w:sz w:val="20"/>
                <w:szCs w:val="20"/>
              </w:rPr>
              <w:t>R8 – Evaluation</w:t>
            </w:r>
          </w:p>
          <w:p w14:paraId="683980A8" w14:textId="45600978" w:rsidR="00477F1B" w:rsidRPr="00047311" w:rsidRDefault="00477F1B" w:rsidP="00E04922">
            <w:pPr>
              <w:tabs>
                <w:tab w:val="left" w:pos="6915"/>
                <w:tab w:val="left" w:pos="9495"/>
              </w:tabs>
              <w:spacing w:after="120"/>
              <w:rPr>
                <w:sz w:val="20"/>
                <w:szCs w:val="20"/>
              </w:rPr>
            </w:pPr>
            <w:r w:rsidRPr="00047311">
              <w:rPr>
                <w:sz w:val="20"/>
                <w:szCs w:val="20"/>
              </w:rPr>
              <w:t>BEIS to draft a timeframe and plan for the programme’s evaluation activities for approval with IDB by 31 December 2020.</w:t>
            </w:r>
            <w:r w:rsidRPr="00047311">
              <w:rPr>
                <w:b/>
                <w:sz w:val="20"/>
                <w:szCs w:val="20"/>
              </w:rPr>
              <w:t xml:space="preserve"> </w:t>
            </w:r>
          </w:p>
        </w:tc>
        <w:tc>
          <w:tcPr>
            <w:tcW w:w="2408" w:type="pct"/>
            <w:tcBorders>
              <w:top w:val="single" w:sz="4" w:space="0" w:color="auto"/>
              <w:left w:val="single" w:sz="4" w:space="0" w:color="auto"/>
              <w:bottom w:val="single" w:sz="4" w:space="0" w:color="auto"/>
              <w:right w:val="single" w:sz="4" w:space="0" w:color="auto"/>
            </w:tcBorders>
          </w:tcPr>
          <w:p w14:paraId="17D92D00" w14:textId="171A070D" w:rsidR="00477F1B" w:rsidRDefault="00CB6F04" w:rsidP="00927F00">
            <w:pPr>
              <w:tabs>
                <w:tab w:val="left" w:pos="6915"/>
                <w:tab w:val="left" w:pos="9495"/>
              </w:tabs>
              <w:jc w:val="both"/>
              <w:rPr>
                <w:b/>
                <w:bCs/>
                <w:sz w:val="20"/>
                <w:szCs w:val="20"/>
              </w:rPr>
            </w:pPr>
            <w:r>
              <w:rPr>
                <w:b/>
                <w:bCs/>
                <w:sz w:val="20"/>
                <w:szCs w:val="20"/>
              </w:rPr>
              <w:t xml:space="preserve">Complete </w:t>
            </w:r>
          </w:p>
          <w:p w14:paraId="5C639BB6" w14:textId="7FA92836" w:rsidR="00927F00" w:rsidRPr="00276475" w:rsidRDefault="00276475" w:rsidP="00B54528">
            <w:pPr>
              <w:tabs>
                <w:tab w:val="left" w:pos="6915"/>
                <w:tab w:val="left" w:pos="9495"/>
              </w:tabs>
              <w:spacing w:after="120"/>
              <w:jc w:val="both"/>
              <w:rPr>
                <w:b/>
                <w:bCs/>
                <w:sz w:val="20"/>
                <w:szCs w:val="20"/>
              </w:rPr>
            </w:pPr>
            <w:r>
              <w:rPr>
                <w:sz w:val="20"/>
                <w:szCs w:val="20"/>
              </w:rPr>
              <w:t xml:space="preserve">BEIS and IDB have produced a draft </w:t>
            </w:r>
            <w:r w:rsidR="0002344D">
              <w:rPr>
                <w:sz w:val="20"/>
                <w:szCs w:val="20"/>
              </w:rPr>
              <w:t xml:space="preserve">evaluation </w:t>
            </w:r>
            <w:r w:rsidR="4F9225D9" w:rsidRPr="178D3ACD">
              <w:rPr>
                <w:sz w:val="20"/>
                <w:szCs w:val="20"/>
              </w:rPr>
              <w:t>plan</w:t>
            </w:r>
            <w:r w:rsidR="0002344D">
              <w:rPr>
                <w:sz w:val="20"/>
                <w:szCs w:val="20"/>
              </w:rPr>
              <w:t xml:space="preserve"> (subject to approval).</w:t>
            </w:r>
          </w:p>
        </w:tc>
      </w:tr>
      <w:tr w:rsidR="00477F1B" w14:paraId="5E3F92E4" w14:textId="57F9ACE6" w:rsidTr="007B5B33">
        <w:tc>
          <w:tcPr>
            <w:tcW w:w="2592" w:type="pct"/>
            <w:tcBorders>
              <w:top w:val="single" w:sz="4" w:space="0" w:color="auto"/>
              <w:left w:val="single" w:sz="4" w:space="0" w:color="auto"/>
              <w:bottom w:val="single" w:sz="4" w:space="0" w:color="auto"/>
              <w:right w:val="single" w:sz="4" w:space="0" w:color="auto"/>
            </w:tcBorders>
            <w:hideMark/>
          </w:tcPr>
          <w:p w14:paraId="04AFC5B0" w14:textId="500F010D" w:rsidR="0026757D" w:rsidRDefault="00477F1B" w:rsidP="00362E00">
            <w:pPr>
              <w:tabs>
                <w:tab w:val="left" w:pos="6915"/>
                <w:tab w:val="left" w:pos="9495"/>
              </w:tabs>
              <w:rPr>
                <w:b/>
                <w:bCs/>
                <w:sz w:val="20"/>
                <w:szCs w:val="20"/>
              </w:rPr>
            </w:pPr>
            <w:r w:rsidRPr="00047311">
              <w:rPr>
                <w:b/>
                <w:bCs/>
                <w:sz w:val="20"/>
                <w:szCs w:val="20"/>
              </w:rPr>
              <w:t>R9- Risk</w:t>
            </w:r>
          </w:p>
          <w:p w14:paraId="66B58F19" w14:textId="1EE9A6C6" w:rsidR="00477F1B" w:rsidRPr="00047311" w:rsidRDefault="00477F1B" w:rsidP="00E04922">
            <w:pPr>
              <w:tabs>
                <w:tab w:val="left" w:pos="6915"/>
                <w:tab w:val="left" w:pos="9495"/>
              </w:tabs>
              <w:spacing w:after="120"/>
              <w:rPr>
                <w:sz w:val="20"/>
                <w:szCs w:val="20"/>
              </w:rPr>
            </w:pPr>
            <w:r w:rsidRPr="00047311">
              <w:rPr>
                <w:sz w:val="20"/>
                <w:szCs w:val="20"/>
              </w:rPr>
              <w:t xml:space="preserve">IDB to monitor the impact of </w:t>
            </w:r>
            <w:r w:rsidR="008915FD">
              <w:rPr>
                <w:sz w:val="20"/>
                <w:szCs w:val="20"/>
              </w:rPr>
              <w:t>COVID</w:t>
            </w:r>
            <w:r w:rsidRPr="00047311">
              <w:rPr>
                <w:sz w:val="20"/>
                <w:szCs w:val="20"/>
              </w:rPr>
              <w:t>-19 on programme delivery and add a standing item to update to monthly programming meetings, effective immediately</w:t>
            </w:r>
            <w:r w:rsidR="008915FD">
              <w:rPr>
                <w:sz w:val="20"/>
                <w:szCs w:val="20"/>
              </w:rPr>
              <w:t>.</w:t>
            </w:r>
          </w:p>
        </w:tc>
        <w:tc>
          <w:tcPr>
            <w:tcW w:w="2408" w:type="pct"/>
            <w:tcBorders>
              <w:top w:val="single" w:sz="4" w:space="0" w:color="auto"/>
              <w:left w:val="single" w:sz="4" w:space="0" w:color="auto"/>
              <w:bottom w:val="single" w:sz="4" w:space="0" w:color="auto"/>
              <w:right w:val="single" w:sz="4" w:space="0" w:color="auto"/>
            </w:tcBorders>
          </w:tcPr>
          <w:p w14:paraId="6B11904E" w14:textId="77777777" w:rsidR="00477F1B" w:rsidRDefault="00A9773B" w:rsidP="00513E41">
            <w:pPr>
              <w:keepNext/>
              <w:tabs>
                <w:tab w:val="left" w:pos="6915"/>
                <w:tab w:val="left" w:pos="9495"/>
              </w:tabs>
              <w:rPr>
                <w:b/>
                <w:bCs/>
                <w:sz w:val="20"/>
                <w:szCs w:val="20"/>
              </w:rPr>
            </w:pPr>
            <w:r>
              <w:rPr>
                <w:b/>
                <w:bCs/>
                <w:sz w:val="20"/>
                <w:szCs w:val="20"/>
              </w:rPr>
              <w:t>C</w:t>
            </w:r>
            <w:r w:rsidR="000B272D">
              <w:rPr>
                <w:b/>
                <w:bCs/>
                <w:sz w:val="20"/>
                <w:szCs w:val="20"/>
              </w:rPr>
              <w:t>omplete</w:t>
            </w:r>
          </w:p>
          <w:p w14:paraId="206AC887" w14:textId="7A18F7BD" w:rsidR="00D509E3" w:rsidRPr="005807D5" w:rsidRDefault="00124F6E" w:rsidP="005807D5">
            <w:pPr>
              <w:tabs>
                <w:tab w:val="left" w:pos="6915"/>
                <w:tab w:val="left" w:pos="9495"/>
              </w:tabs>
              <w:spacing w:after="120"/>
              <w:rPr>
                <w:sz w:val="20"/>
                <w:szCs w:val="20"/>
              </w:rPr>
            </w:pPr>
            <w:r w:rsidRPr="005807D5">
              <w:rPr>
                <w:sz w:val="20"/>
                <w:szCs w:val="20"/>
              </w:rPr>
              <w:t>IDB pr</w:t>
            </w:r>
            <w:r w:rsidR="005807D5" w:rsidRPr="005807D5">
              <w:rPr>
                <w:sz w:val="20"/>
                <w:szCs w:val="20"/>
              </w:rPr>
              <w:t>ovided a COVID-19 impact assessment in Spring 2020 and provide</w:t>
            </w:r>
            <w:r w:rsidR="004F1B21">
              <w:rPr>
                <w:sz w:val="20"/>
                <w:szCs w:val="20"/>
              </w:rPr>
              <w:t xml:space="preserve"> risk</w:t>
            </w:r>
            <w:r w:rsidR="005807D5" w:rsidRPr="005807D5">
              <w:rPr>
                <w:sz w:val="20"/>
                <w:szCs w:val="20"/>
              </w:rPr>
              <w:t xml:space="preserve"> updates in the monthly SIP</w:t>
            </w:r>
            <w:r w:rsidR="004F1B21">
              <w:rPr>
                <w:sz w:val="20"/>
                <w:szCs w:val="20"/>
              </w:rPr>
              <w:t>-LA</w:t>
            </w:r>
            <w:r w:rsidR="005807D5" w:rsidRPr="005807D5">
              <w:rPr>
                <w:sz w:val="20"/>
                <w:szCs w:val="20"/>
              </w:rPr>
              <w:t xml:space="preserve"> Technical Advisor meetings.</w:t>
            </w:r>
          </w:p>
        </w:tc>
      </w:tr>
    </w:tbl>
    <w:p w14:paraId="433B6582" w14:textId="1253AAF4" w:rsidR="003154E3" w:rsidRDefault="003154E3" w:rsidP="00F41E82">
      <w:pPr>
        <w:tabs>
          <w:tab w:val="left" w:pos="6915"/>
          <w:tab w:val="left" w:pos="9495"/>
        </w:tabs>
        <w:spacing w:before="120" w:after="120"/>
        <w:jc w:val="both"/>
        <w:rPr>
          <w:rFonts w:cs="Arial"/>
          <w:b/>
          <w:sz w:val="22"/>
          <w:szCs w:val="22"/>
        </w:rPr>
      </w:pPr>
      <w:r>
        <w:rPr>
          <w:rFonts w:cs="Arial"/>
          <w:b/>
          <w:sz w:val="22"/>
          <w:szCs w:val="22"/>
        </w:rPr>
        <w:t xml:space="preserve">Progress against </w:t>
      </w:r>
      <w:r w:rsidR="00F42044">
        <w:rPr>
          <w:rFonts w:cs="Arial"/>
          <w:b/>
          <w:sz w:val="22"/>
          <w:szCs w:val="22"/>
        </w:rPr>
        <w:t xml:space="preserve">2019 </w:t>
      </w:r>
      <w:r>
        <w:rPr>
          <w:rFonts w:cs="Arial"/>
          <w:b/>
          <w:sz w:val="22"/>
          <w:szCs w:val="22"/>
        </w:rPr>
        <w:t>recommendations</w:t>
      </w:r>
    </w:p>
    <w:p w14:paraId="58B209E3" w14:textId="396A4A41" w:rsidR="003154E3" w:rsidRDefault="0065585B" w:rsidP="003154E3">
      <w:pPr>
        <w:tabs>
          <w:tab w:val="left" w:pos="6915"/>
          <w:tab w:val="left" w:pos="9495"/>
        </w:tabs>
        <w:spacing w:before="120" w:after="120"/>
        <w:jc w:val="both"/>
        <w:rPr>
          <w:rFonts w:cs="Arial"/>
          <w:bCs/>
          <w:sz w:val="22"/>
          <w:szCs w:val="22"/>
        </w:rPr>
      </w:pPr>
      <w:r>
        <w:rPr>
          <w:rFonts w:cs="Arial"/>
          <w:bCs/>
          <w:sz w:val="22"/>
          <w:szCs w:val="22"/>
        </w:rPr>
        <w:t xml:space="preserve">All of the 2019 Annual Review recommendations are either complete, or partially complete. </w:t>
      </w:r>
      <w:r w:rsidR="00637460">
        <w:rPr>
          <w:rFonts w:cs="Arial"/>
          <w:bCs/>
          <w:sz w:val="22"/>
          <w:szCs w:val="22"/>
        </w:rPr>
        <w:t xml:space="preserve">BEIS and IDB have </w:t>
      </w:r>
      <w:r w:rsidR="005F0151">
        <w:rPr>
          <w:rFonts w:cs="Arial"/>
          <w:bCs/>
          <w:sz w:val="22"/>
          <w:szCs w:val="22"/>
        </w:rPr>
        <w:t>improved</w:t>
      </w:r>
      <w:r w:rsidR="003154E3">
        <w:rPr>
          <w:rFonts w:cs="Arial"/>
          <w:bCs/>
          <w:sz w:val="22"/>
          <w:szCs w:val="22"/>
        </w:rPr>
        <w:t xml:space="preserve"> coordination with </w:t>
      </w:r>
      <w:r w:rsidR="005F0151">
        <w:rPr>
          <w:rFonts w:cs="Arial"/>
          <w:bCs/>
          <w:sz w:val="22"/>
          <w:szCs w:val="22"/>
        </w:rPr>
        <w:t xml:space="preserve">HMG </w:t>
      </w:r>
      <w:r w:rsidR="003154E3">
        <w:rPr>
          <w:rFonts w:cs="Arial"/>
          <w:bCs/>
          <w:sz w:val="22"/>
          <w:szCs w:val="22"/>
        </w:rPr>
        <w:t>teams a</w:t>
      </w:r>
      <w:r w:rsidR="005F0151">
        <w:rPr>
          <w:rFonts w:cs="Arial"/>
          <w:bCs/>
          <w:sz w:val="22"/>
          <w:szCs w:val="22"/>
        </w:rPr>
        <w:t>t</w:t>
      </w:r>
      <w:r w:rsidR="003154E3">
        <w:rPr>
          <w:rFonts w:cs="Arial"/>
          <w:bCs/>
          <w:sz w:val="22"/>
          <w:szCs w:val="22"/>
        </w:rPr>
        <w:t xml:space="preserve"> Post</w:t>
      </w:r>
      <w:r w:rsidR="005F0151">
        <w:rPr>
          <w:rFonts w:cs="Arial"/>
          <w:bCs/>
          <w:sz w:val="22"/>
          <w:szCs w:val="22"/>
        </w:rPr>
        <w:t xml:space="preserve"> following the increase</w:t>
      </w:r>
      <w:r w:rsidR="005936E5">
        <w:rPr>
          <w:rFonts w:cs="Arial"/>
          <w:bCs/>
          <w:sz w:val="22"/>
          <w:szCs w:val="22"/>
        </w:rPr>
        <w:t xml:space="preserve"> in </w:t>
      </w:r>
      <w:r w:rsidR="005F0151">
        <w:rPr>
          <w:rFonts w:cs="Arial"/>
          <w:bCs/>
          <w:sz w:val="22"/>
          <w:szCs w:val="22"/>
        </w:rPr>
        <w:t xml:space="preserve">climate resource </w:t>
      </w:r>
      <w:r w:rsidR="005936E5">
        <w:rPr>
          <w:rFonts w:cs="Arial"/>
          <w:bCs/>
          <w:sz w:val="22"/>
          <w:szCs w:val="22"/>
        </w:rPr>
        <w:t xml:space="preserve">in UK embassy teams in each of SIP-LA’s countries. This has enabled improved </w:t>
      </w:r>
      <w:r w:rsidR="00345E57">
        <w:rPr>
          <w:rFonts w:cs="Arial"/>
          <w:bCs/>
          <w:sz w:val="22"/>
          <w:szCs w:val="22"/>
        </w:rPr>
        <w:t>coordination with UK climate programming and better use of UK climate expertise.</w:t>
      </w:r>
    </w:p>
    <w:p w14:paraId="3BCBF5A5" w14:textId="1EAF2E9E" w:rsidR="003154E3" w:rsidRDefault="00E73CE8" w:rsidP="003154E3">
      <w:pPr>
        <w:tabs>
          <w:tab w:val="left" w:pos="6915"/>
          <w:tab w:val="left" w:pos="9495"/>
        </w:tabs>
        <w:spacing w:before="120" w:after="120"/>
        <w:jc w:val="both"/>
        <w:rPr>
          <w:rFonts w:cs="Arial"/>
          <w:bCs/>
          <w:sz w:val="22"/>
          <w:szCs w:val="22"/>
        </w:rPr>
      </w:pPr>
      <w:r>
        <w:rPr>
          <w:rFonts w:cs="Arial"/>
          <w:bCs/>
          <w:sz w:val="22"/>
          <w:szCs w:val="22"/>
        </w:rPr>
        <w:t xml:space="preserve">IDB </w:t>
      </w:r>
      <w:r w:rsidR="004E249A">
        <w:rPr>
          <w:rFonts w:cs="Arial"/>
          <w:bCs/>
          <w:sz w:val="22"/>
          <w:szCs w:val="22"/>
        </w:rPr>
        <w:t xml:space="preserve">has </w:t>
      </w:r>
      <w:r>
        <w:rPr>
          <w:rFonts w:cs="Arial"/>
          <w:bCs/>
          <w:sz w:val="22"/>
          <w:szCs w:val="22"/>
        </w:rPr>
        <w:t xml:space="preserve">presented </w:t>
      </w:r>
      <w:r w:rsidR="0020037D">
        <w:rPr>
          <w:rFonts w:cs="Arial"/>
          <w:bCs/>
          <w:sz w:val="22"/>
          <w:szCs w:val="22"/>
        </w:rPr>
        <w:t>a</w:t>
      </w:r>
      <w:r>
        <w:rPr>
          <w:rFonts w:cs="Arial"/>
          <w:bCs/>
          <w:sz w:val="22"/>
          <w:szCs w:val="22"/>
        </w:rPr>
        <w:t xml:space="preserve"> SIP-LA c</w:t>
      </w:r>
      <w:r w:rsidR="003154E3">
        <w:rPr>
          <w:rFonts w:cs="Arial"/>
          <w:bCs/>
          <w:sz w:val="22"/>
          <w:szCs w:val="22"/>
        </w:rPr>
        <w:t>ommunications</w:t>
      </w:r>
      <w:r>
        <w:rPr>
          <w:rFonts w:cs="Arial"/>
          <w:bCs/>
          <w:sz w:val="22"/>
          <w:szCs w:val="22"/>
        </w:rPr>
        <w:t xml:space="preserve"> </w:t>
      </w:r>
      <w:r w:rsidR="004E249A">
        <w:rPr>
          <w:rFonts w:cs="Arial"/>
          <w:bCs/>
          <w:sz w:val="22"/>
          <w:szCs w:val="22"/>
        </w:rPr>
        <w:t>strategy</w:t>
      </w:r>
      <w:r>
        <w:rPr>
          <w:rFonts w:cs="Arial"/>
          <w:bCs/>
          <w:sz w:val="22"/>
          <w:szCs w:val="22"/>
        </w:rPr>
        <w:t xml:space="preserve"> to BEIS</w:t>
      </w:r>
      <w:r w:rsidR="004E249A">
        <w:rPr>
          <w:rFonts w:cs="Arial"/>
          <w:bCs/>
          <w:sz w:val="22"/>
          <w:szCs w:val="22"/>
        </w:rPr>
        <w:t xml:space="preserve">, which </w:t>
      </w:r>
      <w:r w:rsidR="00BD3005">
        <w:rPr>
          <w:rFonts w:cs="Arial"/>
          <w:bCs/>
          <w:sz w:val="22"/>
          <w:szCs w:val="22"/>
        </w:rPr>
        <w:t xml:space="preserve">includes communications products that will enable better dissemination of SIP-LA </w:t>
      </w:r>
      <w:r w:rsidR="000D6CFA">
        <w:rPr>
          <w:rFonts w:cs="Arial"/>
          <w:bCs/>
          <w:sz w:val="22"/>
          <w:szCs w:val="22"/>
        </w:rPr>
        <w:t xml:space="preserve">learnings and </w:t>
      </w:r>
      <w:r w:rsidR="00BD3005">
        <w:rPr>
          <w:rFonts w:cs="Arial"/>
          <w:bCs/>
          <w:sz w:val="22"/>
          <w:szCs w:val="22"/>
        </w:rPr>
        <w:t>results</w:t>
      </w:r>
      <w:r w:rsidR="005E2AEC">
        <w:rPr>
          <w:rFonts w:cs="Arial"/>
          <w:bCs/>
          <w:sz w:val="22"/>
          <w:szCs w:val="22"/>
        </w:rPr>
        <w:t>.</w:t>
      </w:r>
      <w:r w:rsidR="004E249A">
        <w:rPr>
          <w:rFonts w:cs="Arial"/>
          <w:bCs/>
          <w:sz w:val="22"/>
          <w:szCs w:val="22"/>
        </w:rPr>
        <w:t xml:space="preserve"> </w:t>
      </w:r>
      <w:r w:rsidR="000D6CFA">
        <w:rPr>
          <w:rFonts w:cs="Arial"/>
          <w:bCs/>
          <w:sz w:val="22"/>
          <w:szCs w:val="22"/>
        </w:rPr>
        <w:t xml:space="preserve">BEIS and IDB are developing a communications plan to implement this strategy that will support </w:t>
      </w:r>
      <w:r w:rsidR="00566DE7">
        <w:rPr>
          <w:rFonts w:cs="Arial"/>
          <w:bCs/>
          <w:sz w:val="22"/>
          <w:szCs w:val="22"/>
        </w:rPr>
        <w:t>SIP-LA’s profile and UK visibility at COP26.</w:t>
      </w:r>
    </w:p>
    <w:p w14:paraId="560BE787" w14:textId="4C2EC3CA" w:rsidR="00E72EB5" w:rsidRPr="00E72EB5" w:rsidRDefault="004F1B21" w:rsidP="00F41E82">
      <w:pPr>
        <w:tabs>
          <w:tab w:val="left" w:pos="6915"/>
          <w:tab w:val="left" w:pos="9495"/>
        </w:tabs>
        <w:spacing w:before="120" w:after="120"/>
        <w:jc w:val="both"/>
        <w:rPr>
          <w:rFonts w:cs="Arial"/>
          <w:b/>
          <w:sz w:val="22"/>
          <w:szCs w:val="22"/>
        </w:rPr>
      </w:pPr>
      <w:r>
        <w:rPr>
          <w:rFonts w:cs="Arial"/>
          <w:b/>
          <w:sz w:val="22"/>
          <w:szCs w:val="22"/>
        </w:rPr>
        <w:t>Progress of t</w:t>
      </w:r>
      <w:r w:rsidR="00E72EB5" w:rsidRPr="00E72EB5">
        <w:rPr>
          <w:rFonts w:cs="Arial"/>
          <w:b/>
          <w:sz w:val="22"/>
          <w:szCs w:val="22"/>
        </w:rPr>
        <w:t>he SIP-LA Strategic Review</w:t>
      </w:r>
    </w:p>
    <w:p w14:paraId="47B9F49A" w14:textId="01B72A8F" w:rsidR="00CC7171" w:rsidRDefault="002B7D71" w:rsidP="00F41E82">
      <w:pPr>
        <w:tabs>
          <w:tab w:val="left" w:pos="6915"/>
          <w:tab w:val="left" w:pos="9495"/>
        </w:tabs>
        <w:spacing w:before="120" w:after="120"/>
        <w:jc w:val="both"/>
        <w:rPr>
          <w:rFonts w:cs="Arial"/>
          <w:bCs/>
          <w:sz w:val="22"/>
          <w:szCs w:val="22"/>
        </w:rPr>
      </w:pPr>
      <w:r>
        <w:rPr>
          <w:rFonts w:cs="Arial"/>
          <w:bCs/>
          <w:sz w:val="22"/>
          <w:szCs w:val="22"/>
        </w:rPr>
        <w:t>As describe</w:t>
      </w:r>
      <w:r w:rsidR="004F1B21">
        <w:rPr>
          <w:rFonts w:cs="Arial"/>
          <w:bCs/>
          <w:sz w:val="22"/>
          <w:szCs w:val="22"/>
        </w:rPr>
        <w:t>d</w:t>
      </w:r>
      <w:r>
        <w:rPr>
          <w:rFonts w:cs="Arial"/>
          <w:bCs/>
          <w:sz w:val="22"/>
          <w:szCs w:val="22"/>
        </w:rPr>
        <w:t xml:space="preserve"> in the 2019 Annual Review, BEIS and IDB </w:t>
      </w:r>
      <w:r w:rsidR="00AE6EE3">
        <w:rPr>
          <w:rFonts w:cs="Arial"/>
          <w:bCs/>
          <w:sz w:val="22"/>
          <w:szCs w:val="22"/>
        </w:rPr>
        <w:t>instigated</w:t>
      </w:r>
      <w:r>
        <w:rPr>
          <w:rFonts w:cs="Arial"/>
          <w:bCs/>
          <w:sz w:val="22"/>
          <w:szCs w:val="22"/>
        </w:rPr>
        <w:t xml:space="preserve"> </w:t>
      </w:r>
      <w:r w:rsidR="004F1B21">
        <w:rPr>
          <w:rFonts w:cs="Arial"/>
          <w:bCs/>
          <w:sz w:val="22"/>
          <w:szCs w:val="22"/>
        </w:rPr>
        <w:t>a</w:t>
      </w:r>
      <w:r>
        <w:rPr>
          <w:rFonts w:cs="Arial"/>
          <w:bCs/>
          <w:sz w:val="22"/>
          <w:szCs w:val="22"/>
        </w:rPr>
        <w:t xml:space="preserve"> Strategic Review </w:t>
      </w:r>
      <w:r w:rsidR="00AE6EE3">
        <w:rPr>
          <w:rFonts w:cs="Arial"/>
          <w:bCs/>
          <w:sz w:val="22"/>
          <w:szCs w:val="22"/>
        </w:rPr>
        <w:t xml:space="preserve">of the programme </w:t>
      </w:r>
      <w:r w:rsidR="00860EDB">
        <w:rPr>
          <w:rFonts w:cs="Arial"/>
          <w:bCs/>
          <w:sz w:val="22"/>
          <w:szCs w:val="22"/>
        </w:rPr>
        <w:t xml:space="preserve">at the end of 2019. </w:t>
      </w:r>
      <w:r w:rsidR="006220AE">
        <w:rPr>
          <w:rFonts w:cs="Arial"/>
          <w:bCs/>
          <w:sz w:val="22"/>
          <w:szCs w:val="22"/>
        </w:rPr>
        <w:t xml:space="preserve">The Strategic Review was undertaken to address </w:t>
      </w:r>
      <w:r w:rsidR="00F25E20">
        <w:rPr>
          <w:rFonts w:cs="Arial"/>
          <w:bCs/>
          <w:sz w:val="22"/>
          <w:szCs w:val="22"/>
        </w:rPr>
        <w:t>a</w:t>
      </w:r>
      <w:r w:rsidR="00BF7314">
        <w:rPr>
          <w:rFonts w:cs="Arial"/>
          <w:bCs/>
          <w:sz w:val="22"/>
          <w:szCs w:val="22"/>
        </w:rPr>
        <w:t xml:space="preserve"> risk</w:t>
      </w:r>
      <w:r w:rsidR="00860EDB">
        <w:rPr>
          <w:rFonts w:cs="Arial"/>
          <w:bCs/>
          <w:sz w:val="22"/>
          <w:szCs w:val="22"/>
        </w:rPr>
        <w:t xml:space="preserve"> </w:t>
      </w:r>
      <w:r w:rsidR="000D054D">
        <w:rPr>
          <w:rFonts w:cs="Arial"/>
          <w:bCs/>
          <w:sz w:val="22"/>
          <w:szCs w:val="22"/>
        </w:rPr>
        <w:t xml:space="preserve">that the </w:t>
      </w:r>
      <w:r w:rsidR="00F25E20">
        <w:rPr>
          <w:rFonts w:cs="Arial"/>
          <w:bCs/>
          <w:sz w:val="22"/>
          <w:szCs w:val="22"/>
        </w:rPr>
        <w:t>SIP-LA’s</w:t>
      </w:r>
      <w:r w:rsidR="000D054D">
        <w:rPr>
          <w:rFonts w:cs="Arial"/>
          <w:bCs/>
          <w:sz w:val="22"/>
          <w:szCs w:val="22"/>
        </w:rPr>
        <w:t xml:space="preserve"> governance and MEL </w:t>
      </w:r>
      <w:r w:rsidR="006220AE">
        <w:rPr>
          <w:rFonts w:cs="Arial"/>
          <w:bCs/>
          <w:sz w:val="22"/>
          <w:szCs w:val="22"/>
        </w:rPr>
        <w:t xml:space="preserve">processes were insufficient </w:t>
      </w:r>
      <w:r w:rsidR="00BF7314">
        <w:rPr>
          <w:rFonts w:cs="Arial"/>
          <w:bCs/>
          <w:sz w:val="22"/>
          <w:szCs w:val="22"/>
        </w:rPr>
        <w:t xml:space="preserve">to deliver </w:t>
      </w:r>
      <w:r w:rsidR="00F25E20">
        <w:rPr>
          <w:rFonts w:cs="Arial"/>
          <w:bCs/>
          <w:sz w:val="22"/>
          <w:szCs w:val="22"/>
        </w:rPr>
        <w:t>its</w:t>
      </w:r>
      <w:r w:rsidR="00BF7314">
        <w:rPr>
          <w:rFonts w:cs="Arial"/>
          <w:bCs/>
          <w:sz w:val="22"/>
          <w:szCs w:val="22"/>
        </w:rPr>
        <w:t xml:space="preserve"> business case expectations and VFM. Specifically, </w:t>
      </w:r>
      <w:r w:rsidR="00D319EC">
        <w:rPr>
          <w:rFonts w:cs="Arial"/>
          <w:bCs/>
          <w:sz w:val="22"/>
          <w:szCs w:val="22"/>
        </w:rPr>
        <w:t xml:space="preserve">whilst SIP-LA had developed a promising pipeline of technical assistance and investment proposals, </w:t>
      </w:r>
      <w:r w:rsidR="00DD2211">
        <w:rPr>
          <w:rFonts w:cs="Arial"/>
          <w:bCs/>
          <w:sz w:val="22"/>
          <w:szCs w:val="22"/>
        </w:rPr>
        <w:t xml:space="preserve">there was a risk that </w:t>
      </w:r>
      <w:r w:rsidR="00034B4B">
        <w:rPr>
          <w:rFonts w:cs="Arial"/>
          <w:bCs/>
          <w:sz w:val="22"/>
          <w:szCs w:val="22"/>
        </w:rPr>
        <w:t>this</w:t>
      </w:r>
      <w:r w:rsidR="00DD2211">
        <w:rPr>
          <w:rFonts w:cs="Arial"/>
          <w:bCs/>
          <w:sz w:val="22"/>
          <w:szCs w:val="22"/>
        </w:rPr>
        <w:t xml:space="preserve"> </w:t>
      </w:r>
      <w:r w:rsidR="00E33576">
        <w:rPr>
          <w:rFonts w:cs="Arial"/>
          <w:bCs/>
          <w:sz w:val="22"/>
          <w:szCs w:val="22"/>
        </w:rPr>
        <w:t xml:space="preserve">pipeline might not </w:t>
      </w:r>
      <w:r w:rsidR="00E5528F">
        <w:rPr>
          <w:rFonts w:cs="Arial"/>
          <w:bCs/>
          <w:sz w:val="22"/>
          <w:szCs w:val="22"/>
        </w:rPr>
        <w:t xml:space="preserve">fully </w:t>
      </w:r>
      <w:r w:rsidR="003E7C8C" w:rsidRPr="005B5A14">
        <w:rPr>
          <w:rFonts w:cs="Arial"/>
          <w:bCs/>
          <w:sz w:val="22"/>
          <w:szCs w:val="22"/>
        </w:rPr>
        <w:t xml:space="preserve">reflect SIP-LA’s </w:t>
      </w:r>
      <w:r w:rsidR="000457B0" w:rsidRPr="005A5B01">
        <w:rPr>
          <w:rFonts w:cs="Arial"/>
          <w:bCs/>
          <w:sz w:val="22"/>
          <w:szCs w:val="22"/>
        </w:rPr>
        <w:t>low</w:t>
      </w:r>
      <w:r w:rsidR="000457B0" w:rsidRPr="005B5A14">
        <w:rPr>
          <w:rFonts w:cs="Arial"/>
          <w:bCs/>
          <w:sz w:val="22"/>
          <w:szCs w:val="22"/>
        </w:rPr>
        <w:t xml:space="preserve"> carbon objectives</w:t>
      </w:r>
      <w:r w:rsidR="005B5A14" w:rsidRPr="00BB17B3">
        <w:rPr>
          <w:rFonts w:cs="Arial"/>
          <w:bCs/>
          <w:sz w:val="22"/>
          <w:szCs w:val="22"/>
        </w:rPr>
        <w:t xml:space="preserve">, </w:t>
      </w:r>
      <w:r w:rsidR="003E7C8C" w:rsidRPr="005B5A14">
        <w:rPr>
          <w:rFonts w:cs="Arial"/>
          <w:bCs/>
          <w:sz w:val="22"/>
          <w:szCs w:val="22"/>
        </w:rPr>
        <w:t>transformational aspirations</w:t>
      </w:r>
      <w:r w:rsidR="00907206" w:rsidRPr="00BB17B3">
        <w:rPr>
          <w:rFonts w:cs="Arial"/>
          <w:bCs/>
          <w:sz w:val="22"/>
          <w:szCs w:val="22"/>
        </w:rPr>
        <w:t xml:space="preserve">, </w:t>
      </w:r>
      <w:r w:rsidR="0025642C">
        <w:rPr>
          <w:rFonts w:cs="Arial"/>
          <w:bCs/>
          <w:sz w:val="22"/>
          <w:szCs w:val="22"/>
        </w:rPr>
        <w:t>or</w:t>
      </w:r>
      <w:r w:rsidR="008D21D5">
        <w:rPr>
          <w:rFonts w:cs="Arial"/>
          <w:bCs/>
          <w:sz w:val="22"/>
          <w:szCs w:val="22"/>
        </w:rPr>
        <w:t xml:space="preserve"> </w:t>
      </w:r>
      <w:r w:rsidR="00E36B07" w:rsidRPr="00BB17B3">
        <w:rPr>
          <w:rFonts w:cs="Arial"/>
          <w:bCs/>
          <w:sz w:val="22"/>
          <w:szCs w:val="22"/>
        </w:rPr>
        <w:t>countr</w:t>
      </w:r>
      <w:r w:rsidR="005B5A14" w:rsidRPr="00BB17B3">
        <w:rPr>
          <w:rFonts w:cs="Arial"/>
          <w:bCs/>
          <w:sz w:val="22"/>
          <w:szCs w:val="22"/>
        </w:rPr>
        <w:t>y spread</w:t>
      </w:r>
      <w:r w:rsidR="003E7C8C" w:rsidRPr="005B5A14">
        <w:rPr>
          <w:rFonts w:cs="Arial"/>
          <w:bCs/>
          <w:sz w:val="22"/>
          <w:szCs w:val="22"/>
        </w:rPr>
        <w:t xml:space="preserve">. </w:t>
      </w:r>
      <w:r w:rsidR="00A56D65" w:rsidRPr="005A5B01">
        <w:rPr>
          <w:rFonts w:cs="Arial"/>
          <w:bCs/>
          <w:sz w:val="22"/>
          <w:szCs w:val="22"/>
        </w:rPr>
        <w:t>There</w:t>
      </w:r>
      <w:r w:rsidR="00A56D65" w:rsidRPr="00511172">
        <w:rPr>
          <w:rFonts w:cs="Arial"/>
          <w:bCs/>
          <w:sz w:val="22"/>
          <w:szCs w:val="22"/>
        </w:rPr>
        <w:t xml:space="preserve"> were</w:t>
      </w:r>
      <w:r w:rsidR="00A56D65">
        <w:rPr>
          <w:rFonts w:cs="Arial"/>
          <w:bCs/>
          <w:sz w:val="22"/>
          <w:szCs w:val="22"/>
        </w:rPr>
        <w:t xml:space="preserve"> associated risks that the log frame did not fully </w:t>
      </w:r>
      <w:r w:rsidR="006B2D8D">
        <w:rPr>
          <w:rFonts w:cs="Arial"/>
          <w:bCs/>
          <w:sz w:val="22"/>
          <w:szCs w:val="22"/>
        </w:rPr>
        <w:t xml:space="preserve">capture these transformation objectives, nor include information that would allow </w:t>
      </w:r>
      <w:r w:rsidR="009661BE">
        <w:rPr>
          <w:rFonts w:cs="Arial"/>
          <w:bCs/>
          <w:sz w:val="22"/>
          <w:szCs w:val="22"/>
        </w:rPr>
        <w:t>a thorough assessment of VFM.</w:t>
      </w:r>
      <w:r w:rsidR="00707759">
        <w:rPr>
          <w:rFonts w:cs="Arial"/>
          <w:bCs/>
          <w:sz w:val="22"/>
          <w:szCs w:val="22"/>
        </w:rPr>
        <w:t xml:space="preserve"> </w:t>
      </w:r>
    </w:p>
    <w:p w14:paraId="714AF27F" w14:textId="561D360B" w:rsidR="00F7650F" w:rsidRDefault="00734AFF" w:rsidP="00F41E82">
      <w:pPr>
        <w:tabs>
          <w:tab w:val="left" w:pos="6915"/>
          <w:tab w:val="left" w:pos="9495"/>
        </w:tabs>
        <w:spacing w:before="120" w:after="120"/>
        <w:jc w:val="both"/>
        <w:rPr>
          <w:rFonts w:cs="Arial"/>
          <w:bCs/>
          <w:sz w:val="22"/>
          <w:szCs w:val="22"/>
        </w:rPr>
      </w:pPr>
      <w:r>
        <w:rPr>
          <w:rFonts w:cs="Arial"/>
          <w:bCs/>
          <w:sz w:val="22"/>
          <w:szCs w:val="22"/>
        </w:rPr>
        <w:t xml:space="preserve">BEIS and IDB </w:t>
      </w:r>
      <w:r w:rsidR="00562CF8">
        <w:rPr>
          <w:rFonts w:cs="Arial"/>
          <w:bCs/>
          <w:sz w:val="22"/>
          <w:szCs w:val="22"/>
        </w:rPr>
        <w:t xml:space="preserve">initiated </w:t>
      </w:r>
      <w:r>
        <w:rPr>
          <w:rFonts w:cs="Arial"/>
          <w:bCs/>
          <w:sz w:val="22"/>
          <w:szCs w:val="22"/>
        </w:rPr>
        <w:t>the Strategic Review t</w:t>
      </w:r>
      <w:r w:rsidR="00606A51">
        <w:rPr>
          <w:rFonts w:cs="Arial"/>
          <w:bCs/>
          <w:sz w:val="22"/>
          <w:szCs w:val="22"/>
        </w:rPr>
        <w:t>o address these risks</w:t>
      </w:r>
      <w:r w:rsidR="00C452FD">
        <w:rPr>
          <w:rFonts w:cs="Arial"/>
          <w:bCs/>
          <w:sz w:val="22"/>
          <w:szCs w:val="22"/>
        </w:rPr>
        <w:t>.</w:t>
      </w:r>
      <w:r w:rsidR="009C2910">
        <w:rPr>
          <w:rFonts w:cs="Arial"/>
          <w:bCs/>
          <w:sz w:val="22"/>
          <w:szCs w:val="22"/>
        </w:rPr>
        <w:t xml:space="preserve"> </w:t>
      </w:r>
      <w:r w:rsidR="002D6EC7">
        <w:rPr>
          <w:rFonts w:cs="Arial"/>
          <w:bCs/>
          <w:sz w:val="22"/>
          <w:szCs w:val="22"/>
        </w:rPr>
        <w:t>Measures taken</w:t>
      </w:r>
      <w:r w:rsidR="00C452FD">
        <w:rPr>
          <w:rFonts w:cs="Arial"/>
          <w:bCs/>
          <w:sz w:val="22"/>
          <w:szCs w:val="22"/>
        </w:rPr>
        <w:t xml:space="preserve"> included the co-development of </w:t>
      </w:r>
      <w:r w:rsidR="00172649">
        <w:rPr>
          <w:rFonts w:cs="Arial"/>
          <w:bCs/>
          <w:sz w:val="22"/>
          <w:szCs w:val="22"/>
        </w:rPr>
        <w:t xml:space="preserve">several products to improve programme </w:t>
      </w:r>
      <w:r w:rsidR="004164F3">
        <w:rPr>
          <w:rFonts w:cs="Arial"/>
          <w:bCs/>
          <w:sz w:val="22"/>
          <w:szCs w:val="22"/>
        </w:rPr>
        <w:t xml:space="preserve">MEL reporting and </w:t>
      </w:r>
      <w:r w:rsidR="007C5D67">
        <w:rPr>
          <w:rFonts w:cs="Arial"/>
          <w:bCs/>
          <w:sz w:val="22"/>
          <w:szCs w:val="22"/>
        </w:rPr>
        <w:t>strategic</w:t>
      </w:r>
      <w:r w:rsidR="001C3004">
        <w:rPr>
          <w:rFonts w:cs="Arial"/>
          <w:bCs/>
          <w:sz w:val="22"/>
          <w:szCs w:val="22"/>
        </w:rPr>
        <w:t xml:space="preserve"> governance</w:t>
      </w:r>
      <w:r w:rsidR="00D91280">
        <w:rPr>
          <w:rFonts w:cs="Arial"/>
          <w:bCs/>
          <w:sz w:val="22"/>
          <w:szCs w:val="22"/>
        </w:rPr>
        <w:t xml:space="preserve">. </w:t>
      </w:r>
      <w:r w:rsidR="009C2910">
        <w:rPr>
          <w:rFonts w:cs="Arial"/>
          <w:bCs/>
          <w:sz w:val="22"/>
          <w:szCs w:val="22"/>
        </w:rPr>
        <w:t xml:space="preserve">The key </w:t>
      </w:r>
      <w:r w:rsidR="00911514">
        <w:rPr>
          <w:rFonts w:cs="Arial"/>
          <w:bCs/>
          <w:sz w:val="22"/>
          <w:szCs w:val="22"/>
        </w:rPr>
        <w:t>outputs</w:t>
      </w:r>
      <w:r w:rsidR="009C2910">
        <w:rPr>
          <w:rFonts w:cs="Arial"/>
          <w:bCs/>
          <w:sz w:val="22"/>
          <w:szCs w:val="22"/>
        </w:rPr>
        <w:t xml:space="preserve"> of the review </w:t>
      </w:r>
      <w:r w:rsidR="001A66FE">
        <w:rPr>
          <w:rFonts w:cs="Arial"/>
          <w:bCs/>
          <w:sz w:val="22"/>
          <w:szCs w:val="22"/>
        </w:rPr>
        <w:t>are</w:t>
      </w:r>
      <w:r w:rsidR="00562CF8">
        <w:rPr>
          <w:rFonts w:cs="Arial"/>
          <w:bCs/>
          <w:sz w:val="22"/>
          <w:szCs w:val="22"/>
        </w:rPr>
        <w:t>;</w:t>
      </w:r>
    </w:p>
    <w:p w14:paraId="4173E88A" w14:textId="5B7CADB1" w:rsidR="00F7650F" w:rsidRDefault="00EC1A82" w:rsidP="00D93F68">
      <w:pPr>
        <w:pStyle w:val="ListParagraph"/>
        <w:numPr>
          <w:ilvl w:val="0"/>
          <w:numId w:val="10"/>
        </w:numPr>
        <w:tabs>
          <w:tab w:val="left" w:pos="6915"/>
          <w:tab w:val="left" w:pos="9495"/>
        </w:tabs>
        <w:spacing w:after="120"/>
        <w:ind w:left="714" w:hanging="357"/>
        <w:contextualSpacing w:val="0"/>
        <w:jc w:val="both"/>
        <w:rPr>
          <w:rFonts w:cs="Arial"/>
          <w:bCs/>
          <w:sz w:val="22"/>
          <w:szCs w:val="22"/>
        </w:rPr>
      </w:pPr>
      <w:r w:rsidRPr="00EC1A82">
        <w:rPr>
          <w:rFonts w:cs="Arial"/>
          <w:b/>
          <w:sz w:val="22"/>
          <w:szCs w:val="22"/>
        </w:rPr>
        <w:t>Log frame</w:t>
      </w:r>
      <w:r>
        <w:rPr>
          <w:rFonts w:cs="Arial"/>
          <w:bCs/>
          <w:sz w:val="22"/>
          <w:szCs w:val="22"/>
        </w:rPr>
        <w:t xml:space="preserve"> - </w:t>
      </w:r>
      <w:r w:rsidR="00911514" w:rsidRPr="00F7650F">
        <w:rPr>
          <w:rFonts w:cs="Arial"/>
          <w:bCs/>
          <w:sz w:val="22"/>
          <w:szCs w:val="22"/>
        </w:rPr>
        <w:t>a</w:t>
      </w:r>
      <w:r w:rsidR="009C2910" w:rsidRPr="00F7650F">
        <w:rPr>
          <w:rFonts w:cs="Arial"/>
          <w:bCs/>
          <w:sz w:val="22"/>
          <w:szCs w:val="22"/>
        </w:rPr>
        <w:t xml:space="preserve"> revise</w:t>
      </w:r>
      <w:r w:rsidR="00911514" w:rsidRPr="00F7650F">
        <w:rPr>
          <w:rFonts w:cs="Arial"/>
          <w:bCs/>
          <w:sz w:val="22"/>
          <w:szCs w:val="22"/>
        </w:rPr>
        <w:t>d</w:t>
      </w:r>
      <w:r w:rsidR="009C2910" w:rsidRPr="00F7650F">
        <w:rPr>
          <w:rFonts w:cs="Arial"/>
          <w:bCs/>
          <w:sz w:val="22"/>
          <w:szCs w:val="22"/>
        </w:rPr>
        <w:t xml:space="preserve"> programme </w:t>
      </w:r>
      <w:r w:rsidR="00707759" w:rsidRPr="00F7650F">
        <w:rPr>
          <w:rFonts w:cs="Arial"/>
          <w:bCs/>
          <w:sz w:val="22"/>
          <w:szCs w:val="22"/>
        </w:rPr>
        <w:t xml:space="preserve">log frame </w:t>
      </w:r>
      <w:r w:rsidR="00911514" w:rsidRPr="00F7650F">
        <w:rPr>
          <w:rFonts w:cs="Arial"/>
          <w:bCs/>
          <w:sz w:val="22"/>
          <w:szCs w:val="22"/>
        </w:rPr>
        <w:t>that has</w:t>
      </w:r>
      <w:r w:rsidR="00707759" w:rsidRPr="00F7650F">
        <w:rPr>
          <w:rFonts w:cs="Arial"/>
          <w:bCs/>
          <w:sz w:val="22"/>
          <w:szCs w:val="22"/>
        </w:rPr>
        <w:t xml:space="preserve"> improve</w:t>
      </w:r>
      <w:r w:rsidR="00911514" w:rsidRPr="00F7650F">
        <w:rPr>
          <w:rFonts w:cs="Arial"/>
          <w:bCs/>
          <w:sz w:val="22"/>
          <w:szCs w:val="22"/>
        </w:rPr>
        <w:t>d</w:t>
      </w:r>
      <w:r w:rsidR="00707759" w:rsidRPr="00F7650F">
        <w:rPr>
          <w:rFonts w:cs="Arial"/>
          <w:bCs/>
          <w:sz w:val="22"/>
          <w:szCs w:val="22"/>
        </w:rPr>
        <w:t xml:space="preserve"> programme </w:t>
      </w:r>
      <w:r w:rsidR="007A6A42" w:rsidRPr="00F7650F">
        <w:rPr>
          <w:rFonts w:cs="Arial"/>
          <w:bCs/>
          <w:sz w:val="22"/>
          <w:szCs w:val="22"/>
        </w:rPr>
        <w:t>monitoring</w:t>
      </w:r>
      <w:r w:rsidR="00911514" w:rsidRPr="00F7650F">
        <w:rPr>
          <w:rFonts w:cs="Arial"/>
          <w:bCs/>
          <w:sz w:val="22"/>
          <w:szCs w:val="22"/>
        </w:rPr>
        <w:t xml:space="preserve"> and </w:t>
      </w:r>
      <w:r w:rsidR="00632755" w:rsidRPr="00F7650F">
        <w:rPr>
          <w:rFonts w:cs="Arial"/>
          <w:bCs/>
          <w:sz w:val="22"/>
          <w:szCs w:val="22"/>
        </w:rPr>
        <w:t>better incentivises delivery of business case expectations</w:t>
      </w:r>
      <w:r w:rsidR="007A6A42" w:rsidRPr="00F7650F">
        <w:rPr>
          <w:rFonts w:cs="Arial"/>
          <w:bCs/>
          <w:sz w:val="22"/>
          <w:szCs w:val="22"/>
        </w:rPr>
        <w:t xml:space="preserve">, </w:t>
      </w:r>
    </w:p>
    <w:p w14:paraId="7C5D7006" w14:textId="022D620A" w:rsidR="00F7650F" w:rsidRDefault="00EC1A82" w:rsidP="00D93F68">
      <w:pPr>
        <w:pStyle w:val="ListParagraph"/>
        <w:numPr>
          <w:ilvl w:val="0"/>
          <w:numId w:val="10"/>
        </w:numPr>
        <w:tabs>
          <w:tab w:val="left" w:pos="6915"/>
          <w:tab w:val="left" w:pos="9495"/>
        </w:tabs>
        <w:spacing w:after="120"/>
        <w:ind w:left="714" w:hanging="357"/>
        <w:contextualSpacing w:val="0"/>
        <w:jc w:val="both"/>
        <w:rPr>
          <w:rFonts w:cs="Arial"/>
          <w:bCs/>
          <w:sz w:val="22"/>
          <w:szCs w:val="22"/>
        </w:rPr>
      </w:pPr>
      <w:r w:rsidRPr="00EC1A82">
        <w:rPr>
          <w:rFonts w:cs="Arial"/>
          <w:b/>
          <w:sz w:val="22"/>
          <w:szCs w:val="22"/>
        </w:rPr>
        <w:t>VFM Framework</w:t>
      </w:r>
      <w:r>
        <w:rPr>
          <w:rFonts w:cs="Arial"/>
          <w:bCs/>
          <w:sz w:val="22"/>
          <w:szCs w:val="22"/>
        </w:rPr>
        <w:t xml:space="preserve"> </w:t>
      </w:r>
      <w:r w:rsidR="00DC0719">
        <w:rPr>
          <w:rFonts w:cs="Arial"/>
          <w:bCs/>
          <w:sz w:val="22"/>
          <w:szCs w:val="22"/>
        </w:rPr>
        <w:t>–</w:t>
      </w:r>
      <w:r>
        <w:rPr>
          <w:rFonts w:cs="Arial"/>
          <w:bCs/>
          <w:sz w:val="22"/>
          <w:szCs w:val="22"/>
        </w:rPr>
        <w:t xml:space="preserve"> </w:t>
      </w:r>
      <w:r w:rsidR="00DC0719">
        <w:rPr>
          <w:rFonts w:cs="Arial"/>
          <w:bCs/>
          <w:sz w:val="22"/>
          <w:szCs w:val="22"/>
        </w:rPr>
        <w:t xml:space="preserve">an agreed </w:t>
      </w:r>
      <w:r w:rsidR="00632755" w:rsidRPr="00F7650F">
        <w:rPr>
          <w:rFonts w:cs="Arial"/>
          <w:bCs/>
          <w:sz w:val="22"/>
          <w:szCs w:val="22"/>
        </w:rPr>
        <w:t xml:space="preserve">annual </w:t>
      </w:r>
      <w:r w:rsidR="007A6A42" w:rsidRPr="00F7650F">
        <w:rPr>
          <w:rFonts w:cs="Arial"/>
          <w:bCs/>
          <w:sz w:val="22"/>
          <w:szCs w:val="22"/>
        </w:rPr>
        <w:t xml:space="preserve">VFM </w:t>
      </w:r>
      <w:r w:rsidR="003E2866" w:rsidRPr="00F7650F">
        <w:rPr>
          <w:rFonts w:cs="Arial"/>
          <w:bCs/>
          <w:sz w:val="22"/>
          <w:szCs w:val="22"/>
        </w:rPr>
        <w:t xml:space="preserve">reporting </w:t>
      </w:r>
      <w:r w:rsidR="007A6A42" w:rsidRPr="00F7650F">
        <w:rPr>
          <w:rFonts w:cs="Arial"/>
          <w:bCs/>
          <w:sz w:val="22"/>
          <w:szCs w:val="22"/>
        </w:rPr>
        <w:t>metrics</w:t>
      </w:r>
      <w:r w:rsidR="003E2866" w:rsidRPr="00F7650F">
        <w:rPr>
          <w:rFonts w:cs="Arial"/>
          <w:bCs/>
          <w:sz w:val="22"/>
          <w:szCs w:val="22"/>
        </w:rPr>
        <w:t xml:space="preserve"> </w:t>
      </w:r>
      <w:r w:rsidR="0034110C">
        <w:rPr>
          <w:rFonts w:cs="Arial"/>
          <w:bCs/>
          <w:sz w:val="22"/>
          <w:szCs w:val="22"/>
        </w:rPr>
        <w:t xml:space="preserve">framework </w:t>
      </w:r>
      <w:r w:rsidR="003E2866" w:rsidRPr="00F7650F">
        <w:rPr>
          <w:rFonts w:cs="Arial"/>
          <w:bCs/>
          <w:sz w:val="22"/>
          <w:szCs w:val="22"/>
        </w:rPr>
        <w:t xml:space="preserve">to </w:t>
      </w:r>
      <w:r w:rsidR="00632755" w:rsidRPr="00F7650F">
        <w:rPr>
          <w:rFonts w:cs="Arial"/>
          <w:bCs/>
          <w:sz w:val="22"/>
          <w:szCs w:val="22"/>
        </w:rPr>
        <w:t>improve</w:t>
      </w:r>
      <w:r w:rsidR="00F7650F" w:rsidRPr="00F7650F">
        <w:rPr>
          <w:rFonts w:cs="Arial"/>
          <w:bCs/>
          <w:sz w:val="22"/>
          <w:szCs w:val="22"/>
        </w:rPr>
        <w:t xml:space="preserve"> project and programme</w:t>
      </w:r>
      <w:r w:rsidR="003E2866" w:rsidRPr="00F7650F">
        <w:rPr>
          <w:rFonts w:cs="Arial"/>
          <w:bCs/>
          <w:sz w:val="22"/>
          <w:szCs w:val="22"/>
        </w:rPr>
        <w:t xml:space="preserve"> VFM </w:t>
      </w:r>
      <w:r w:rsidR="00632755" w:rsidRPr="00F7650F">
        <w:rPr>
          <w:rFonts w:cs="Arial"/>
          <w:bCs/>
          <w:sz w:val="22"/>
          <w:szCs w:val="22"/>
        </w:rPr>
        <w:t>monitoring</w:t>
      </w:r>
      <w:r w:rsidR="00562CF8">
        <w:rPr>
          <w:rFonts w:cs="Arial"/>
          <w:bCs/>
          <w:sz w:val="22"/>
          <w:szCs w:val="22"/>
        </w:rPr>
        <w:t xml:space="preserve">, </w:t>
      </w:r>
    </w:p>
    <w:p w14:paraId="014BD66A" w14:textId="6DE65EC9" w:rsidR="00E72EB5" w:rsidRDefault="00EC1A82" w:rsidP="00D93F68">
      <w:pPr>
        <w:pStyle w:val="ListParagraph"/>
        <w:numPr>
          <w:ilvl w:val="0"/>
          <w:numId w:val="10"/>
        </w:numPr>
        <w:tabs>
          <w:tab w:val="left" w:pos="6915"/>
          <w:tab w:val="left" w:pos="9495"/>
        </w:tabs>
        <w:spacing w:after="120"/>
        <w:ind w:left="714" w:hanging="357"/>
        <w:contextualSpacing w:val="0"/>
        <w:jc w:val="both"/>
        <w:rPr>
          <w:rFonts w:cs="Arial"/>
          <w:bCs/>
          <w:sz w:val="22"/>
          <w:szCs w:val="22"/>
        </w:rPr>
      </w:pPr>
      <w:r w:rsidRPr="00EC1A82">
        <w:rPr>
          <w:rFonts w:cs="Arial"/>
          <w:b/>
          <w:sz w:val="22"/>
          <w:szCs w:val="22"/>
        </w:rPr>
        <w:t>Strategic principles</w:t>
      </w:r>
      <w:r>
        <w:rPr>
          <w:rFonts w:cs="Arial"/>
          <w:bCs/>
          <w:sz w:val="22"/>
          <w:szCs w:val="22"/>
        </w:rPr>
        <w:t xml:space="preserve"> </w:t>
      </w:r>
      <w:r w:rsidR="0034110C">
        <w:rPr>
          <w:rFonts w:cs="Arial"/>
          <w:bCs/>
          <w:sz w:val="22"/>
          <w:szCs w:val="22"/>
        </w:rPr>
        <w:t>–</w:t>
      </w:r>
      <w:r>
        <w:rPr>
          <w:rFonts w:cs="Arial"/>
          <w:bCs/>
          <w:sz w:val="22"/>
          <w:szCs w:val="22"/>
        </w:rPr>
        <w:t xml:space="preserve"> </w:t>
      </w:r>
      <w:r w:rsidR="0034110C">
        <w:rPr>
          <w:rFonts w:cs="Arial"/>
          <w:bCs/>
          <w:sz w:val="22"/>
          <w:szCs w:val="22"/>
        </w:rPr>
        <w:t xml:space="preserve">an </w:t>
      </w:r>
      <w:r w:rsidR="003154E3" w:rsidRPr="00F7650F">
        <w:rPr>
          <w:rFonts w:cs="Arial"/>
          <w:bCs/>
          <w:sz w:val="22"/>
          <w:szCs w:val="22"/>
        </w:rPr>
        <w:t xml:space="preserve">agreed </w:t>
      </w:r>
      <w:r w:rsidR="00077BB5">
        <w:rPr>
          <w:rFonts w:cs="Arial"/>
          <w:bCs/>
          <w:sz w:val="22"/>
          <w:szCs w:val="22"/>
        </w:rPr>
        <w:t>SIP</w:t>
      </w:r>
      <w:r w:rsidR="00902498">
        <w:rPr>
          <w:rFonts w:cs="Arial"/>
          <w:bCs/>
          <w:sz w:val="22"/>
          <w:szCs w:val="22"/>
        </w:rPr>
        <w:t>-LA</w:t>
      </w:r>
      <w:r w:rsidR="00077BB5">
        <w:rPr>
          <w:rFonts w:cs="Arial"/>
          <w:bCs/>
          <w:sz w:val="22"/>
          <w:szCs w:val="22"/>
        </w:rPr>
        <w:t xml:space="preserve"> Principles Document </w:t>
      </w:r>
      <w:r w:rsidR="00632755" w:rsidRPr="00F7650F">
        <w:rPr>
          <w:rFonts w:cs="Arial"/>
          <w:bCs/>
          <w:sz w:val="22"/>
          <w:szCs w:val="22"/>
        </w:rPr>
        <w:t xml:space="preserve">that </w:t>
      </w:r>
      <w:r w:rsidR="009C194E">
        <w:rPr>
          <w:rFonts w:cs="Arial"/>
          <w:bCs/>
          <w:sz w:val="22"/>
          <w:szCs w:val="22"/>
        </w:rPr>
        <w:t xml:space="preserve">refines the key criteria and transformative expectations for SIP LA and </w:t>
      </w:r>
      <w:r w:rsidR="00E54B56" w:rsidRPr="00F7650F">
        <w:rPr>
          <w:rFonts w:cs="Arial"/>
          <w:bCs/>
          <w:sz w:val="22"/>
          <w:szCs w:val="22"/>
        </w:rPr>
        <w:t xml:space="preserve">will improve </w:t>
      </w:r>
      <w:r w:rsidR="00A975FF" w:rsidRPr="00F7650F">
        <w:rPr>
          <w:rFonts w:cs="Arial"/>
          <w:bCs/>
          <w:sz w:val="22"/>
          <w:szCs w:val="22"/>
        </w:rPr>
        <w:t xml:space="preserve">the coherence of </w:t>
      </w:r>
      <w:r w:rsidR="00E54B56" w:rsidRPr="00F7650F">
        <w:rPr>
          <w:rFonts w:cs="Arial"/>
          <w:bCs/>
          <w:sz w:val="22"/>
          <w:szCs w:val="22"/>
        </w:rPr>
        <w:t>SIP-LA’s</w:t>
      </w:r>
      <w:r w:rsidR="00A975FF" w:rsidRPr="00F7650F">
        <w:rPr>
          <w:rFonts w:cs="Arial"/>
          <w:bCs/>
          <w:sz w:val="22"/>
          <w:szCs w:val="22"/>
        </w:rPr>
        <w:t xml:space="preserve"> portfolio </w:t>
      </w:r>
      <w:r w:rsidR="00F51B40" w:rsidRPr="00F7650F">
        <w:rPr>
          <w:rFonts w:cs="Arial"/>
          <w:bCs/>
          <w:sz w:val="22"/>
          <w:szCs w:val="22"/>
        </w:rPr>
        <w:t>towards its transformational objectives</w:t>
      </w:r>
      <w:r w:rsidR="00531509">
        <w:rPr>
          <w:rFonts w:cs="Arial"/>
          <w:bCs/>
          <w:sz w:val="22"/>
          <w:szCs w:val="22"/>
        </w:rPr>
        <w:t>, and</w:t>
      </w:r>
      <w:r w:rsidR="00531509" w:rsidRPr="00F7650F" w:rsidDel="00531509">
        <w:rPr>
          <w:rFonts w:cs="Arial"/>
          <w:bCs/>
          <w:sz w:val="22"/>
          <w:szCs w:val="22"/>
        </w:rPr>
        <w:t xml:space="preserve"> </w:t>
      </w:r>
    </w:p>
    <w:p w14:paraId="2EAF3009" w14:textId="015A8C67" w:rsidR="005E04A3" w:rsidRPr="00F7650F" w:rsidRDefault="005E04A3" w:rsidP="00D93F68">
      <w:pPr>
        <w:pStyle w:val="ListParagraph"/>
        <w:numPr>
          <w:ilvl w:val="0"/>
          <w:numId w:val="10"/>
        </w:numPr>
        <w:tabs>
          <w:tab w:val="left" w:pos="6915"/>
          <w:tab w:val="left" w:pos="9495"/>
        </w:tabs>
        <w:spacing w:after="120"/>
        <w:ind w:left="714" w:hanging="357"/>
        <w:contextualSpacing w:val="0"/>
        <w:jc w:val="both"/>
        <w:rPr>
          <w:rFonts w:cs="Arial"/>
          <w:bCs/>
          <w:sz w:val="22"/>
          <w:szCs w:val="22"/>
        </w:rPr>
      </w:pPr>
      <w:r>
        <w:rPr>
          <w:rFonts w:cs="Arial"/>
          <w:b/>
          <w:sz w:val="22"/>
          <w:szCs w:val="22"/>
        </w:rPr>
        <w:t xml:space="preserve">Country Frameworks </w:t>
      </w:r>
      <w:r w:rsidR="00902498">
        <w:rPr>
          <w:rFonts w:cs="Arial"/>
          <w:bCs/>
          <w:sz w:val="22"/>
          <w:szCs w:val="22"/>
        </w:rPr>
        <w:t>–</w:t>
      </w:r>
      <w:r w:rsidR="006D5BB4">
        <w:rPr>
          <w:rFonts w:cs="Arial"/>
          <w:bCs/>
          <w:sz w:val="22"/>
          <w:szCs w:val="22"/>
        </w:rPr>
        <w:t xml:space="preserve"> </w:t>
      </w:r>
      <w:r w:rsidR="00B06FDF">
        <w:rPr>
          <w:rFonts w:cs="Arial"/>
          <w:bCs/>
          <w:sz w:val="22"/>
          <w:szCs w:val="22"/>
        </w:rPr>
        <w:t>evidence-based</w:t>
      </w:r>
      <w:r w:rsidR="00ED5204">
        <w:rPr>
          <w:rFonts w:cs="Arial"/>
          <w:bCs/>
          <w:sz w:val="22"/>
          <w:szCs w:val="22"/>
        </w:rPr>
        <w:t xml:space="preserve"> </w:t>
      </w:r>
      <w:r w:rsidR="0015783A">
        <w:rPr>
          <w:rFonts w:cs="Arial"/>
          <w:bCs/>
          <w:sz w:val="22"/>
          <w:szCs w:val="22"/>
        </w:rPr>
        <w:t xml:space="preserve">programme </w:t>
      </w:r>
      <w:r w:rsidR="00B06FDF">
        <w:rPr>
          <w:rFonts w:cs="Arial"/>
          <w:bCs/>
          <w:sz w:val="22"/>
          <w:szCs w:val="22"/>
        </w:rPr>
        <w:t xml:space="preserve">strategy </w:t>
      </w:r>
      <w:r w:rsidR="0015783A">
        <w:rPr>
          <w:rFonts w:cs="Arial"/>
          <w:bCs/>
          <w:sz w:val="22"/>
          <w:szCs w:val="22"/>
        </w:rPr>
        <w:t xml:space="preserve">documents </w:t>
      </w:r>
      <w:r w:rsidR="006D5BB4">
        <w:rPr>
          <w:rFonts w:cs="Arial"/>
          <w:bCs/>
          <w:sz w:val="22"/>
          <w:szCs w:val="22"/>
        </w:rPr>
        <w:t>outlin</w:t>
      </w:r>
      <w:r w:rsidR="005007A3">
        <w:rPr>
          <w:rFonts w:cs="Arial"/>
          <w:bCs/>
          <w:sz w:val="22"/>
          <w:szCs w:val="22"/>
        </w:rPr>
        <w:t>ing</w:t>
      </w:r>
      <w:r w:rsidR="00C214FB">
        <w:rPr>
          <w:rFonts w:cs="Arial"/>
          <w:bCs/>
          <w:sz w:val="22"/>
          <w:szCs w:val="22"/>
        </w:rPr>
        <w:t xml:space="preserve"> </w:t>
      </w:r>
      <w:r w:rsidR="006D5BB4">
        <w:rPr>
          <w:rFonts w:cs="Arial"/>
          <w:bCs/>
          <w:sz w:val="22"/>
          <w:szCs w:val="22"/>
        </w:rPr>
        <w:t xml:space="preserve">the </w:t>
      </w:r>
      <w:r w:rsidR="006B207B">
        <w:rPr>
          <w:rFonts w:cs="Arial"/>
          <w:bCs/>
          <w:sz w:val="22"/>
          <w:szCs w:val="22"/>
        </w:rPr>
        <w:t xml:space="preserve">low carbon </w:t>
      </w:r>
      <w:r w:rsidR="006D5BB4">
        <w:rPr>
          <w:rFonts w:cs="Arial"/>
          <w:bCs/>
          <w:sz w:val="22"/>
          <w:szCs w:val="22"/>
        </w:rPr>
        <w:t xml:space="preserve">mitigation priorities </w:t>
      </w:r>
      <w:r w:rsidR="006B207B">
        <w:rPr>
          <w:rFonts w:cs="Arial"/>
          <w:bCs/>
          <w:sz w:val="22"/>
          <w:szCs w:val="22"/>
        </w:rPr>
        <w:t>in</w:t>
      </w:r>
      <w:r w:rsidR="006D5BB4">
        <w:rPr>
          <w:rFonts w:cs="Arial"/>
          <w:bCs/>
          <w:sz w:val="22"/>
          <w:szCs w:val="22"/>
        </w:rPr>
        <w:t xml:space="preserve"> each of SIP-LA’s partner countries. </w:t>
      </w:r>
    </w:p>
    <w:p w14:paraId="2AE10C88" w14:textId="56F213AB" w:rsidR="00DA6B40" w:rsidRDefault="003D222C" w:rsidP="00513E41">
      <w:pPr>
        <w:keepNext/>
        <w:tabs>
          <w:tab w:val="left" w:pos="6915"/>
          <w:tab w:val="left" w:pos="9495"/>
        </w:tabs>
        <w:spacing w:before="120" w:after="120"/>
        <w:rPr>
          <w:rFonts w:cs="Arial"/>
          <w:b/>
          <w:sz w:val="22"/>
          <w:szCs w:val="22"/>
        </w:rPr>
      </w:pPr>
      <w:r w:rsidRPr="006778A3">
        <w:rPr>
          <w:rFonts w:cs="Arial"/>
          <w:b/>
          <w:sz w:val="22"/>
          <w:szCs w:val="22"/>
        </w:rPr>
        <w:t xml:space="preserve">Major lessons and recommendations for the year ahead </w:t>
      </w:r>
    </w:p>
    <w:p w14:paraId="56117EA5" w14:textId="686AA4DF" w:rsidR="00E65CFC" w:rsidRPr="00513E41" w:rsidRDefault="00DA510F" w:rsidP="00513E41">
      <w:pPr>
        <w:spacing w:after="120"/>
      </w:pPr>
      <w:r>
        <w:rPr>
          <w:rFonts w:cs="Arial"/>
          <w:bCs/>
          <w:sz w:val="22"/>
          <w:szCs w:val="22"/>
        </w:rPr>
        <w:t>There are several key learnings from 2020:</w:t>
      </w:r>
    </w:p>
    <w:p w14:paraId="7439A07A" w14:textId="1766C262" w:rsidR="00F55940" w:rsidRPr="003E2CF6" w:rsidRDefault="00EA05C7" w:rsidP="00D93F68">
      <w:pPr>
        <w:pStyle w:val="ListParagraph"/>
        <w:numPr>
          <w:ilvl w:val="0"/>
          <w:numId w:val="11"/>
        </w:numPr>
        <w:spacing w:after="120"/>
        <w:contextualSpacing w:val="0"/>
        <w:jc w:val="both"/>
      </w:pPr>
      <w:r w:rsidRPr="00513E41">
        <w:rPr>
          <w:rFonts w:cs="Arial"/>
          <w:b/>
          <w:sz w:val="22"/>
          <w:szCs w:val="22"/>
        </w:rPr>
        <w:lastRenderedPageBreak/>
        <w:t xml:space="preserve">The effectiveness of SIP-LA technical </w:t>
      </w:r>
      <w:r w:rsidR="002F6E86">
        <w:rPr>
          <w:rFonts w:cs="Arial"/>
          <w:b/>
          <w:sz w:val="22"/>
          <w:szCs w:val="22"/>
        </w:rPr>
        <w:t>a</w:t>
      </w:r>
      <w:r w:rsidRPr="00513E41">
        <w:rPr>
          <w:rFonts w:cs="Arial"/>
          <w:b/>
          <w:sz w:val="22"/>
          <w:szCs w:val="22"/>
        </w:rPr>
        <w:t>ssistance to unlock investments</w:t>
      </w:r>
      <w:r w:rsidRPr="00513E41">
        <w:rPr>
          <w:rFonts w:cs="Arial"/>
          <w:bCs/>
          <w:sz w:val="22"/>
          <w:szCs w:val="22"/>
        </w:rPr>
        <w:t xml:space="preserve"> </w:t>
      </w:r>
      <w:r w:rsidR="008156E6" w:rsidRPr="00513E41">
        <w:rPr>
          <w:rFonts w:cs="Arial"/>
          <w:bCs/>
          <w:sz w:val="22"/>
          <w:szCs w:val="22"/>
        </w:rPr>
        <w:t>–</w:t>
      </w:r>
      <w:r w:rsidR="00E65CFC" w:rsidRPr="00513E41">
        <w:rPr>
          <w:rFonts w:cs="Arial"/>
          <w:bCs/>
          <w:sz w:val="22"/>
          <w:szCs w:val="22"/>
        </w:rPr>
        <w:t xml:space="preserve"> SIP-LA technical </w:t>
      </w:r>
      <w:r w:rsidR="00252761">
        <w:rPr>
          <w:rFonts w:cs="Arial"/>
          <w:bCs/>
          <w:sz w:val="22"/>
          <w:szCs w:val="22"/>
        </w:rPr>
        <w:t>a</w:t>
      </w:r>
      <w:r w:rsidR="00E65CFC" w:rsidRPr="00513E41">
        <w:rPr>
          <w:rFonts w:cs="Arial"/>
          <w:bCs/>
          <w:sz w:val="22"/>
          <w:szCs w:val="22"/>
        </w:rPr>
        <w:t>ssistance</w:t>
      </w:r>
      <w:r w:rsidR="00252761">
        <w:rPr>
          <w:rFonts w:cs="Arial"/>
          <w:bCs/>
          <w:sz w:val="22"/>
          <w:szCs w:val="22"/>
        </w:rPr>
        <w:t xml:space="preserve"> has</w:t>
      </w:r>
      <w:r w:rsidR="002F6E86">
        <w:rPr>
          <w:rFonts w:cs="Arial"/>
          <w:bCs/>
          <w:sz w:val="22"/>
          <w:szCs w:val="22"/>
        </w:rPr>
        <w:t xml:space="preserve"> directly led to the SIP-LA </w:t>
      </w:r>
      <w:r w:rsidR="00F232EA">
        <w:rPr>
          <w:rFonts w:cs="Arial"/>
          <w:bCs/>
          <w:sz w:val="22"/>
          <w:szCs w:val="22"/>
        </w:rPr>
        <w:t>investment proposals, demonstrating how SIP-LA technical assistance can address market barriers to investment</w:t>
      </w:r>
      <w:r w:rsidR="00E65CFC" w:rsidRPr="00513E41">
        <w:rPr>
          <w:rFonts w:cs="Arial"/>
          <w:bCs/>
          <w:sz w:val="22"/>
          <w:szCs w:val="22"/>
        </w:rPr>
        <w:t>.</w:t>
      </w:r>
      <w:r w:rsidR="00E16BFE">
        <w:rPr>
          <w:rStyle w:val="FootnoteReference"/>
          <w:rFonts w:cs="Arial"/>
          <w:bCs/>
          <w:sz w:val="22"/>
          <w:szCs w:val="22"/>
        </w:rPr>
        <w:footnoteReference w:id="2"/>
      </w:r>
      <w:r w:rsidR="00E65CFC" w:rsidRPr="00513E41">
        <w:rPr>
          <w:rFonts w:cs="Arial"/>
          <w:bCs/>
          <w:sz w:val="22"/>
          <w:szCs w:val="22"/>
        </w:rPr>
        <w:t xml:space="preserve"> </w:t>
      </w:r>
      <w:r w:rsidR="004B05D7" w:rsidRPr="00513E41">
        <w:rPr>
          <w:rFonts w:cs="Arial"/>
          <w:bCs/>
          <w:sz w:val="22"/>
          <w:szCs w:val="22"/>
        </w:rPr>
        <w:t xml:space="preserve">SIP-LA should </w:t>
      </w:r>
      <w:r w:rsidR="00420171" w:rsidRPr="00513E41">
        <w:rPr>
          <w:rFonts w:cs="Arial"/>
          <w:bCs/>
          <w:sz w:val="22"/>
          <w:szCs w:val="22"/>
        </w:rPr>
        <w:t>build on this early work by identifying public sector technical assistance that can facilitate private sector investment</w:t>
      </w:r>
      <w:r w:rsidR="000C0BF1">
        <w:rPr>
          <w:rFonts w:cs="Arial"/>
          <w:bCs/>
          <w:sz w:val="22"/>
          <w:szCs w:val="22"/>
        </w:rPr>
        <w:t>, particularly</w:t>
      </w:r>
      <w:r w:rsidR="00C21A42">
        <w:rPr>
          <w:rFonts w:cs="Arial"/>
          <w:bCs/>
          <w:sz w:val="22"/>
          <w:szCs w:val="22"/>
        </w:rPr>
        <w:t xml:space="preserve"> in SIP-LA’s </w:t>
      </w:r>
      <w:r w:rsidR="000C0BF1">
        <w:rPr>
          <w:rFonts w:cs="Arial"/>
          <w:bCs/>
          <w:sz w:val="22"/>
          <w:szCs w:val="22"/>
        </w:rPr>
        <w:t>more challenging investment markets</w:t>
      </w:r>
      <w:r w:rsidR="00420171" w:rsidRPr="00513E41">
        <w:rPr>
          <w:rFonts w:cs="Arial"/>
          <w:bCs/>
          <w:sz w:val="22"/>
          <w:szCs w:val="22"/>
        </w:rPr>
        <w:t>.</w:t>
      </w:r>
    </w:p>
    <w:p w14:paraId="0F35B8E7" w14:textId="46187A8D" w:rsidR="00F55940" w:rsidRPr="00513E41" w:rsidRDefault="00E616AF" w:rsidP="00D93F68">
      <w:pPr>
        <w:pStyle w:val="ListParagraph"/>
        <w:numPr>
          <w:ilvl w:val="0"/>
          <w:numId w:val="11"/>
        </w:numPr>
        <w:tabs>
          <w:tab w:val="left" w:pos="6915"/>
          <w:tab w:val="left" w:pos="9495"/>
        </w:tabs>
        <w:spacing w:after="120"/>
        <w:ind w:left="714" w:hanging="357"/>
        <w:contextualSpacing w:val="0"/>
        <w:jc w:val="both"/>
        <w:rPr>
          <w:rFonts w:cs="Arial"/>
          <w:bCs/>
          <w:sz w:val="22"/>
          <w:szCs w:val="22"/>
        </w:rPr>
      </w:pPr>
      <w:r>
        <w:rPr>
          <w:rFonts w:cs="Arial"/>
          <w:b/>
          <w:sz w:val="22"/>
          <w:szCs w:val="22"/>
        </w:rPr>
        <w:t>C</w:t>
      </w:r>
      <w:r w:rsidR="00220BC8" w:rsidRPr="00513E41">
        <w:rPr>
          <w:rFonts w:cs="Arial"/>
          <w:b/>
          <w:sz w:val="22"/>
          <w:szCs w:val="22"/>
        </w:rPr>
        <w:t xml:space="preserve">apturing SIP-LA’s </w:t>
      </w:r>
      <w:r>
        <w:rPr>
          <w:rFonts w:cs="Arial"/>
          <w:b/>
          <w:sz w:val="22"/>
          <w:szCs w:val="22"/>
        </w:rPr>
        <w:t>full</w:t>
      </w:r>
      <w:r w:rsidRPr="00513E41">
        <w:rPr>
          <w:rFonts w:cs="Arial"/>
          <w:b/>
          <w:sz w:val="22"/>
          <w:szCs w:val="22"/>
        </w:rPr>
        <w:t xml:space="preserve"> </w:t>
      </w:r>
      <w:r w:rsidR="00220BC8" w:rsidRPr="00513E41">
        <w:rPr>
          <w:rFonts w:cs="Arial"/>
          <w:b/>
          <w:sz w:val="22"/>
          <w:szCs w:val="22"/>
        </w:rPr>
        <w:t>benefits</w:t>
      </w:r>
      <w:r w:rsidR="007F32FA">
        <w:rPr>
          <w:rFonts w:cs="Arial"/>
          <w:bCs/>
          <w:sz w:val="22"/>
          <w:szCs w:val="22"/>
        </w:rPr>
        <w:t xml:space="preserve"> –</w:t>
      </w:r>
      <w:r w:rsidR="008C0AA8" w:rsidRPr="00513E41">
        <w:rPr>
          <w:rFonts w:cs="Arial"/>
          <w:bCs/>
          <w:sz w:val="22"/>
          <w:szCs w:val="22"/>
        </w:rPr>
        <w:t xml:space="preserve"> </w:t>
      </w:r>
      <w:r w:rsidR="007F32FA">
        <w:rPr>
          <w:rFonts w:cs="Arial"/>
          <w:bCs/>
          <w:sz w:val="22"/>
          <w:szCs w:val="22"/>
        </w:rPr>
        <w:t xml:space="preserve">SIP-LA achieved much </w:t>
      </w:r>
      <w:r w:rsidR="002D5695">
        <w:rPr>
          <w:rFonts w:cs="Arial"/>
          <w:bCs/>
          <w:sz w:val="22"/>
          <w:szCs w:val="22"/>
        </w:rPr>
        <w:t xml:space="preserve">in 2020 that is not formally captured in the programme log frame or Annual Review process, including work to support </w:t>
      </w:r>
      <w:r w:rsidR="008C0AA8" w:rsidRPr="00513E41">
        <w:rPr>
          <w:rFonts w:cs="Arial"/>
          <w:bCs/>
          <w:sz w:val="22"/>
          <w:szCs w:val="22"/>
        </w:rPr>
        <w:t xml:space="preserve">UK </w:t>
      </w:r>
      <w:r w:rsidR="008F13A4" w:rsidRPr="00513E41">
        <w:rPr>
          <w:rFonts w:cs="Arial"/>
          <w:bCs/>
          <w:sz w:val="22"/>
          <w:szCs w:val="22"/>
        </w:rPr>
        <w:t xml:space="preserve">international </w:t>
      </w:r>
      <w:r w:rsidR="008C0AA8" w:rsidRPr="00513E41">
        <w:rPr>
          <w:rFonts w:cs="Arial"/>
          <w:bCs/>
          <w:sz w:val="22"/>
          <w:szCs w:val="22"/>
        </w:rPr>
        <w:t>climate objectives</w:t>
      </w:r>
      <w:r w:rsidR="008F13A4" w:rsidRPr="00513E41">
        <w:rPr>
          <w:rFonts w:cs="Arial"/>
          <w:bCs/>
          <w:sz w:val="22"/>
          <w:szCs w:val="22"/>
        </w:rPr>
        <w:t xml:space="preserve"> in Latin America</w:t>
      </w:r>
      <w:r w:rsidR="002D5695">
        <w:rPr>
          <w:rFonts w:cs="Arial"/>
          <w:bCs/>
          <w:sz w:val="22"/>
          <w:szCs w:val="22"/>
        </w:rPr>
        <w:t xml:space="preserve"> and wider </w:t>
      </w:r>
      <w:r w:rsidR="007E13C8">
        <w:rPr>
          <w:rFonts w:cs="Arial"/>
          <w:bCs/>
          <w:sz w:val="22"/>
          <w:szCs w:val="22"/>
        </w:rPr>
        <w:t xml:space="preserve">support to IDB climate activities. </w:t>
      </w:r>
      <w:r w:rsidR="00BC77D9" w:rsidRPr="00513E41">
        <w:rPr>
          <w:rFonts w:cs="Arial"/>
          <w:bCs/>
          <w:sz w:val="22"/>
          <w:szCs w:val="22"/>
        </w:rPr>
        <w:t xml:space="preserve">These activities are not systematically </w:t>
      </w:r>
      <w:r w:rsidR="009848D4">
        <w:rPr>
          <w:rFonts w:cs="Arial"/>
          <w:bCs/>
          <w:sz w:val="22"/>
          <w:szCs w:val="22"/>
        </w:rPr>
        <w:t>reported</w:t>
      </w:r>
      <w:r w:rsidR="009848D4" w:rsidRPr="00513E41">
        <w:rPr>
          <w:rFonts w:cs="Arial"/>
          <w:bCs/>
          <w:sz w:val="22"/>
          <w:szCs w:val="22"/>
        </w:rPr>
        <w:t xml:space="preserve"> </w:t>
      </w:r>
      <w:r w:rsidR="00BC77D9" w:rsidRPr="00513E41">
        <w:rPr>
          <w:rFonts w:cs="Arial"/>
          <w:bCs/>
          <w:sz w:val="22"/>
          <w:szCs w:val="22"/>
        </w:rPr>
        <w:t xml:space="preserve">or measured and there is a risk that </w:t>
      </w:r>
      <w:r w:rsidR="00625995" w:rsidRPr="00513E41">
        <w:rPr>
          <w:rFonts w:cs="Arial"/>
          <w:bCs/>
          <w:sz w:val="22"/>
          <w:szCs w:val="22"/>
        </w:rPr>
        <w:t xml:space="preserve">SIP-LA is not fully capturing its </w:t>
      </w:r>
      <w:r w:rsidR="00BC77D9" w:rsidRPr="00513E41">
        <w:rPr>
          <w:rFonts w:cs="Arial"/>
          <w:bCs/>
          <w:sz w:val="22"/>
          <w:szCs w:val="22"/>
        </w:rPr>
        <w:t>full value in supporting UK climate objectives</w:t>
      </w:r>
      <w:r w:rsidR="00625995" w:rsidRPr="00513E41">
        <w:rPr>
          <w:rFonts w:cs="Arial"/>
          <w:bCs/>
          <w:sz w:val="22"/>
          <w:szCs w:val="22"/>
        </w:rPr>
        <w:t xml:space="preserve">, enabling wider emissions, or </w:t>
      </w:r>
      <w:r w:rsidR="000841F1" w:rsidRPr="00513E41">
        <w:rPr>
          <w:rFonts w:cs="Arial"/>
          <w:bCs/>
          <w:sz w:val="22"/>
          <w:szCs w:val="22"/>
        </w:rPr>
        <w:t>achieving broader development benefits.</w:t>
      </w:r>
      <w:r w:rsidR="00DB2BB0">
        <w:rPr>
          <w:rFonts w:cs="Arial"/>
          <w:bCs/>
          <w:sz w:val="22"/>
          <w:szCs w:val="22"/>
        </w:rPr>
        <w:t xml:space="preserve"> The BEIS team will review the extent to which valuable activities are key to the programme’s theory of change and reflect in any review of the log</w:t>
      </w:r>
      <w:r w:rsidR="00DE66D5">
        <w:rPr>
          <w:rFonts w:cs="Arial"/>
          <w:bCs/>
          <w:sz w:val="22"/>
          <w:szCs w:val="22"/>
        </w:rPr>
        <w:t xml:space="preserve"> </w:t>
      </w:r>
      <w:r w:rsidR="00DB2BB0">
        <w:rPr>
          <w:rFonts w:cs="Arial"/>
          <w:bCs/>
          <w:sz w:val="22"/>
          <w:szCs w:val="22"/>
        </w:rPr>
        <w:t>frame.</w:t>
      </w:r>
    </w:p>
    <w:p w14:paraId="619307F5" w14:textId="33C8791C" w:rsidR="0031437E" w:rsidRPr="0074523A" w:rsidRDefault="003D5BD6" w:rsidP="0074523A">
      <w:pPr>
        <w:tabs>
          <w:tab w:val="left" w:pos="6915"/>
          <w:tab w:val="left" w:pos="9495"/>
        </w:tabs>
        <w:spacing w:before="120" w:after="120"/>
        <w:jc w:val="both"/>
        <w:rPr>
          <w:rFonts w:cs="Arial"/>
          <w:sz w:val="22"/>
          <w:szCs w:val="22"/>
        </w:rPr>
      </w:pPr>
      <w:r w:rsidRPr="0074523A">
        <w:rPr>
          <w:rFonts w:cs="Arial"/>
          <w:b/>
          <w:sz w:val="22"/>
          <w:szCs w:val="22"/>
        </w:rPr>
        <w:t>Disseminating SIP-LA publication and results</w:t>
      </w:r>
      <w:r w:rsidRPr="0074523A">
        <w:rPr>
          <w:rFonts w:cs="Arial"/>
          <w:bCs/>
          <w:sz w:val="22"/>
          <w:szCs w:val="22"/>
        </w:rPr>
        <w:t xml:space="preserve"> </w:t>
      </w:r>
      <w:r w:rsidR="005062F5" w:rsidRPr="0074523A">
        <w:rPr>
          <w:rFonts w:cs="Arial"/>
          <w:bCs/>
          <w:sz w:val="22"/>
          <w:szCs w:val="22"/>
        </w:rPr>
        <w:t>–</w:t>
      </w:r>
      <w:r w:rsidRPr="0074523A">
        <w:rPr>
          <w:rFonts w:cs="Arial"/>
          <w:bCs/>
          <w:sz w:val="22"/>
          <w:szCs w:val="22"/>
        </w:rPr>
        <w:t xml:space="preserve"> </w:t>
      </w:r>
      <w:r w:rsidR="005062F5" w:rsidRPr="0074523A">
        <w:rPr>
          <w:rFonts w:cs="Arial"/>
          <w:bCs/>
          <w:sz w:val="22"/>
          <w:szCs w:val="22"/>
        </w:rPr>
        <w:t xml:space="preserve">in 2020 </w:t>
      </w:r>
      <w:r w:rsidR="000D1961" w:rsidRPr="0074523A">
        <w:rPr>
          <w:rFonts w:cs="Arial"/>
          <w:bCs/>
          <w:sz w:val="22"/>
          <w:szCs w:val="22"/>
        </w:rPr>
        <w:t xml:space="preserve">SIP-LA has </w:t>
      </w:r>
      <w:r w:rsidR="0047497D" w:rsidRPr="0074523A">
        <w:rPr>
          <w:rFonts w:cs="Arial"/>
          <w:bCs/>
          <w:sz w:val="22"/>
          <w:szCs w:val="22"/>
        </w:rPr>
        <w:t xml:space="preserve">delivered </w:t>
      </w:r>
      <w:r w:rsidR="005062F5" w:rsidRPr="0074523A">
        <w:rPr>
          <w:rFonts w:cs="Arial"/>
          <w:bCs/>
          <w:sz w:val="22"/>
          <w:szCs w:val="22"/>
        </w:rPr>
        <w:t xml:space="preserve">a number of </w:t>
      </w:r>
      <w:r w:rsidR="0047497D" w:rsidRPr="0074523A">
        <w:rPr>
          <w:rFonts w:cs="Arial"/>
          <w:bCs/>
          <w:sz w:val="22"/>
          <w:szCs w:val="22"/>
        </w:rPr>
        <w:t>studies and publications</w:t>
      </w:r>
      <w:r w:rsidR="009D0D10" w:rsidRPr="0074523A">
        <w:rPr>
          <w:rFonts w:cs="Arial"/>
          <w:bCs/>
          <w:sz w:val="22"/>
          <w:szCs w:val="22"/>
        </w:rPr>
        <w:t xml:space="preserve">, </w:t>
      </w:r>
      <w:r w:rsidR="005062F5" w:rsidRPr="0074523A">
        <w:rPr>
          <w:rFonts w:cs="Arial"/>
          <w:bCs/>
          <w:sz w:val="22"/>
          <w:szCs w:val="22"/>
        </w:rPr>
        <w:t xml:space="preserve">building on its learnings and early findings. </w:t>
      </w:r>
      <w:r w:rsidR="00D672E9" w:rsidRPr="0074523A">
        <w:rPr>
          <w:rFonts w:cs="Arial"/>
          <w:bCs/>
          <w:sz w:val="22"/>
          <w:szCs w:val="22"/>
        </w:rPr>
        <w:t>T</w:t>
      </w:r>
      <w:r w:rsidR="00236744" w:rsidRPr="0074523A">
        <w:rPr>
          <w:rFonts w:cs="Arial"/>
          <w:bCs/>
          <w:sz w:val="22"/>
          <w:szCs w:val="22"/>
        </w:rPr>
        <w:t>here might be opportunities to better leverage SIP-LA’s achievements</w:t>
      </w:r>
      <w:r w:rsidR="00E1110E" w:rsidRPr="0074523A">
        <w:rPr>
          <w:rFonts w:cs="Arial"/>
          <w:bCs/>
          <w:sz w:val="22"/>
          <w:szCs w:val="22"/>
        </w:rPr>
        <w:t xml:space="preserve">, including its publications, to improve </w:t>
      </w:r>
      <w:r w:rsidR="009832C3" w:rsidRPr="0074523A">
        <w:rPr>
          <w:rFonts w:cs="Arial"/>
          <w:sz w:val="22"/>
          <w:szCs w:val="22"/>
        </w:rPr>
        <w:t>dissemination of programme learning</w:t>
      </w:r>
      <w:r w:rsidR="00E1110E" w:rsidRPr="0074523A">
        <w:rPr>
          <w:rFonts w:cs="Arial"/>
          <w:bCs/>
          <w:sz w:val="22"/>
          <w:szCs w:val="22"/>
        </w:rPr>
        <w:t>.</w:t>
      </w:r>
      <w:r w:rsidR="001E16D3" w:rsidRPr="0074523A">
        <w:rPr>
          <w:rFonts w:cs="Arial"/>
          <w:bCs/>
          <w:sz w:val="22"/>
          <w:szCs w:val="22"/>
        </w:rPr>
        <w:t xml:space="preserve"> </w:t>
      </w:r>
      <w:r w:rsidR="00E245E6" w:rsidRPr="0074523A">
        <w:rPr>
          <w:rFonts w:cs="Arial"/>
          <w:sz w:val="22"/>
          <w:szCs w:val="22"/>
        </w:rPr>
        <w:t>Drawing on these lessons, the</w:t>
      </w:r>
      <w:r w:rsidR="0031437E" w:rsidRPr="0074523A">
        <w:rPr>
          <w:rFonts w:cs="Arial"/>
          <w:sz w:val="22"/>
          <w:szCs w:val="22"/>
        </w:rPr>
        <w:t xml:space="preserve"> remainder of 2021 should focus on </w:t>
      </w:r>
      <w:r w:rsidR="00F3414E" w:rsidRPr="0074523A">
        <w:rPr>
          <w:rFonts w:cs="Arial"/>
          <w:sz w:val="22"/>
          <w:szCs w:val="22"/>
        </w:rPr>
        <w:t>the implementation of the Strategic Review, the development of technical assistance programming proposals</w:t>
      </w:r>
      <w:r w:rsidR="00FD497F" w:rsidRPr="00AB523B">
        <w:rPr>
          <w:rFonts w:cs="Arial"/>
          <w:sz w:val="22"/>
          <w:szCs w:val="22"/>
        </w:rPr>
        <w:t xml:space="preserve">, </w:t>
      </w:r>
      <w:r w:rsidR="00F3414E" w:rsidRPr="006600D8">
        <w:rPr>
          <w:rFonts w:cs="Arial"/>
          <w:sz w:val="22"/>
          <w:szCs w:val="22"/>
        </w:rPr>
        <w:t xml:space="preserve">and the </w:t>
      </w:r>
      <w:r w:rsidR="0014166A" w:rsidRPr="0074523A">
        <w:rPr>
          <w:rFonts w:cs="Arial"/>
          <w:sz w:val="22"/>
          <w:szCs w:val="22"/>
        </w:rPr>
        <w:t>deliver</w:t>
      </w:r>
      <w:r w:rsidR="00F3414E" w:rsidRPr="0074523A">
        <w:rPr>
          <w:rFonts w:cs="Arial"/>
          <w:sz w:val="22"/>
          <w:szCs w:val="22"/>
        </w:rPr>
        <w:t>y</w:t>
      </w:r>
      <w:r w:rsidR="0014166A" w:rsidRPr="0074523A">
        <w:rPr>
          <w:rFonts w:cs="Arial"/>
          <w:sz w:val="22"/>
          <w:szCs w:val="22"/>
        </w:rPr>
        <w:t xml:space="preserve"> </w:t>
      </w:r>
      <w:r w:rsidR="00F3414E" w:rsidRPr="0074523A">
        <w:rPr>
          <w:rFonts w:cs="Arial"/>
          <w:sz w:val="22"/>
          <w:szCs w:val="22"/>
        </w:rPr>
        <w:t>SIP-LA’s investment</w:t>
      </w:r>
      <w:r w:rsidR="00E62ECC" w:rsidRPr="0074523A">
        <w:rPr>
          <w:rFonts w:cs="Arial"/>
          <w:sz w:val="22"/>
          <w:szCs w:val="22"/>
        </w:rPr>
        <w:t xml:space="preserve"> </w:t>
      </w:r>
      <w:r w:rsidR="00F3414E" w:rsidRPr="0074523A">
        <w:rPr>
          <w:rFonts w:cs="Arial"/>
          <w:sz w:val="22"/>
          <w:szCs w:val="22"/>
        </w:rPr>
        <w:t>activities</w:t>
      </w:r>
      <w:r w:rsidR="00362E00" w:rsidRPr="0074523A">
        <w:rPr>
          <w:rFonts w:cs="Arial"/>
          <w:sz w:val="22"/>
          <w:szCs w:val="22"/>
        </w:rPr>
        <w:t xml:space="preserve">. </w:t>
      </w:r>
      <w:r w:rsidR="009E3C83" w:rsidRPr="0074523A">
        <w:rPr>
          <w:rFonts w:cs="Arial"/>
          <w:sz w:val="22"/>
          <w:szCs w:val="22"/>
        </w:rPr>
        <w:t xml:space="preserve">SIP-LA should focus on the following priorities </w:t>
      </w:r>
      <w:r w:rsidR="00D90E51" w:rsidRPr="0074523A">
        <w:rPr>
          <w:rFonts w:cs="Arial"/>
          <w:sz w:val="22"/>
          <w:szCs w:val="22"/>
        </w:rPr>
        <w:t>in</w:t>
      </w:r>
      <w:r w:rsidR="009E3C83" w:rsidRPr="0074523A">
        <w:rPr>
          <w:rFonts w:cs="Arial"/>
          <w:sz w:val="22"/>
          <w:szCs w:val="22"/>
        </w:rPr>
        <w:t xml:space="preserve"> 2021</w:t>
      </w:r>
      <w:r w:rsidR="00EF3CFA" w:rsidRPr="0074523A">
        <w:rPr>
          <w:rFonts w:cs="Arial"/>
          <w:sz w:val="22"/>
          <w:szCs w:val="22"/>
        </w:rPr>
        <w:t>:</w:t>
      </w:r>
    </w:p>
    <w:p w14:paraId="5C0A3E23" w14:textId="67279441" w:rsidR="00E62ECC" w:rsidRPr="004C7474" w:rsidRDefault="00990D99" w:rsidP="00D93F68">
      <w:pPr>
        <w:pStyle w:val="ListParagraph"/>
        <w:numPr>
          <w:ilvl w:val="0"/>
          <w:numId w:val="5"/>
        </w:numPr>
        <w:tabs>
          <w:tab w:val="left" w:pos="6915"/>
          <w:tab w:val="left" w:pos="9495"/>
        </w:tabs>
        <w:spacing w:after="120"/>
        <w:ind w:left="714" w:hanging="357"/>
        <w:contextualSpacing w:val="0"/>
        <w:jc w:val="both"/>
        <w:rPr>
          <w:rFonts w:cs="Arial"/>
          <w:b/>
          <w:sz w:val="22"/>
          <w:szCs w:val="22"/>
        </w:rPr>
      </w:pPr>
      <w:r w:rsidRPr="004C7474">
        <w:rPr>
          <w:rFonts w:cs="Arial"/>
          <w:b/>
          <w:sz w:val="22"/>
          <w:szCs w:val="22"/>
        </w:rPr>
        <w:t>Blended finance</w:t>
      </w:r>
      <w:r w:rsidR="00E62ECC" w:rsidRPr="004C7474">
        <w:rPr>
          <w:rFonts w:cs="Arial"/>
          <w:b/>
          <w:sz w:val="22"/>
          <w:szCs w:val="22"/>
        </w:rPr>
        <w:t xml:space="preserve"> </w:t>
      </w:r>
      <w:r w:rsidR="007C123B" w:rsidRPr="004C7474">
        <w:rPr>
          <w:rFonts w:cs="Arial"/>
          <w:sz w:val="22"/>
          <w:szCs w:val="22"/>
        </w:rPr>
        <w:t>-</w:t>
      </w:r>
      <w:r w:rsidR="00FD497F" w:rsidRPr="004C7474">
        <w:rPr>
          <w:rFonts w:cs="Arial"/>
          <w:sz w:val="22"/>
          <w:szCs w:val="22"/>
        </w:rPr>
        <w:t xml:space="preserve"> </w:t>
      </w:r>
      <w:r w:rsidR="00111808" w:rsidRPr="004C7474">
        <w:rPr>
          <w:rFonts w:cs="Arial"/>
          <w:sz w:val="22"/>
          <w:szCs w:val="22"/>
        </w:rPr>
        <w:t>IDB</w:t>
      </w:r>
      <w:r w:rsidR="00420171" w:rsidRPr="004C7474">
        <w:rPr>
          <w:rFonts w:cs="Arial"/>
          <w:sz w:val="22"/>
          <w:szCs w:val="22"/>
        </w:rPr>
        <w:t xml:space="preserve"> </w:t>
      </w:r>
      <w:r w:rsidR="005A468C" w:rsidRPr="004C7474">
        <w:rPr>
          <w:rFonts w:cs="Arial"/>
          <w:sz w:val="22"/>
          <w:szCs w:val="22"/>
        </w:rPr>
        <w:t xml:space="preserve">should </w:t>
      </w:r>
      <w:r w:rsidR="00B710DA">
        <w:rPr>
          <w:rFonts w:cs="Arial"/>
          <w:sz w:val="22"/>
          <w:szCs w:val="22"/>
        </w:rPr>
        <w:t xml:space="preserve">continue to build </w:t>
      </w:r>
      <w:r w:rsidR="00AC0798" w:rsidRPr="004C7474">
        <w:rPr>
          <w:rFonts w:cs="Arial"/>
          <w:sz w:val="22"/>
          <w:szCs w:val="22"/>
        </w:rPr>
        <w:t xml:space="preserve">a robust </w:t>
      </w:r>
      <w:r w:rsidR="005A468C" w:rsidRPr="004C7474">
        <w:rPr>
          <w:rFonts w:cs="Arial"/>
          <w:sz w:val="22"/>
          <w:szCs w:val="22"/>
        </w:rPr>
        <w:t>investment</w:t>
      </w:r>
      <w:r w:rsidR="00DC3055" w:rsidRPr="004C7474">
        <w:rPr>
          <w:rFonts w:cs="Arial"/>
          <w:sz w:val="22"/>
          <w:szCs w:val="22"/>
        </w:rPr>
        <w:t xml:space="preserve"> pipeline</w:t>
      </w:r>
      <w:r w:rsidR="00A31B94" w:rsidRPr="004C7474">
        <w:rPr>
          <w:rFonts w:cs="Arial"/>
          <w:sz w:val="22"/>
          <w:szCs w:val="22"/>
        </w:rPr>
        <w:t xml:space="preserve"> that demonstrates</w:t>
      </w:r>
      <w:r w:rsidR="00F426E7" w:rsidRPr="004C7474">
        <w:rPr>
          <w:rFonts w:cs="Arial"/>
          <w:sz w:val="22"/>
          <w:szCs w:val="22"/>
        </w:rPr>
        <w:t>:</w:t>
      </w:r>
      <w:r w:rsidR="00A31B94" w:rsidRPr="004C7474">
        <w:rPr>
          <w:rFonts w:cs="Arial"/>
          <w:sz w:val="22"/>
          <w:szCs w:val="22"/>
        </w:rPr>
        <w:t xml:space="preserve"> </w:t>
      </w:r>
      <w:r w:rsidR="007E1047" w:rsidRPr="004C7474">
        <w:rPr>
          <w:rFonts w:cs="Arial"/>
          <w:sz w:val="22"/>
          <w:szCs w:val="22"/>
        </w:rPr>
        <w:t xml:space="preserve">1) </w:t>
      </w:r>
      <w:r w:rsidR="00A31B94" w:rsidRPr="004C7474">
        <w:rPr>
          <w:rFonts w:cs="Arial"/>
          <w:sz w:val="22"/>
          <w:szCs w:val="22"/>
        </w:rPr>
        <w:t xml:space="preserve">a </w:t>
      </w:r>
      <w:r w:rsidR="0014166A" w:rsidRPr="004C7474">
        <w:rPr>
          <w:rFonts w:cs="Arial"/>
          <w:sz w:val="22"/>
          <w:szCs w:val="22"/>
        </w:rPr>
        <w:t xml:space="preserve">clear </w:t>
      </w:r>
      <w:r w:rsidR="00A31B94" w:rsidRPr="004C7474">
        <w:rPr>
          <w:rFonts w:cs="Arial"/>
          <w:sz w:val="22"/>
          <w:szCs w:val="22"/>
        </w:rPr>
        <w:t>commitment to</w:t>
      </w:r>
      <w:r w:rsidR="00B43BD8" w:rsidRPr="004C7474">
        <w:rPr>
          <w:rFonts w:cs="Arial"/>
          <w:sz w:val="22"/>
          <w:szCs w:val="22"/>
        </w:rPr>
        <w:t xml:space="preserve"> low carbon</w:t>
      </w:r>
      <w:r w:rsidR="00A31B94" w:rsidRPr="004C7474">
        <w:rPr>
          <w:rFonts w:cs="Arial"/>
          <w:sz w:val="22"/>
          <w:szCs w:val="22"/>
        </w:rPr>
        <w:t xml:space="preserve"> transformational opportunities</w:t>
      </w:r>
      <w:r w:rsidR="00CC5A16" w:rsidRPr="004C7474">
        <w:rPr>
          <w:rFonts w:cs="Arial"/>
          <w:sz w:val="22"/>
          <w:szCs w:val="22"/>
        </w:rPr>
        <w:t xml:space="preserve">, </w:t>
      </w:r>
      <w:r w:rsidR="007E1047" w:rsidRPr="004C7474">
        <w:rPr>
          <w:rFonts w:cs="Arial"/>
          <w:sz w:val="22"/>
          <w:szCs w:val="22"/>
        </w:rPr>
        <w:t xml:space="preserve">2) </w:t>
      </w:r>
      <w:r w:rsidR="00F426E7" w:rsidRPr="004C7474">
        <w:rPr>
          <w:rFonts w:cs="Arial"/>
          <w:sz w:val="22"/>
          <w:szCs w:val="22"/>
        </w:rPr>
        <w:t xml:space="preserve">sufficient diversity to respond to changing political contexts, </w:t>
      </w:r>
      <w:r w:rsidR="00A31B94" w:rsidRPr="004C7474">
        <w:rPr>
          <w:rFonts w:cs="Arial"/>
          <w:sz w:val="22"/>
          <w:szCs w:val="22"/>
        </w:rPr>
        <w:t xml:space="preserve">and </w:t>
      </w:r>
      <w:r w:rsidR="007E1047" w:rsidRPr="004C7474">
        <w:rPr>
          <w:rFonts w:cs="Arial"/>
          <w:sz w:val="22"/>
          <w:szCs w:val="22"/>
        </w:rPr>
        <w:t xml:space="preserve">3) </w:t>
      </w:r>
      <w:r w:rsidR="00B43BD8" w:rsidRPr="004C7474">
        <w:rPr>
          <w:rFonts w:cs="Arial"/>
          <w:sz w:val="22"/>
          <w:szCs w:val="22"/>
        </w:rPr>
        <w:t>evidenc</w:t>
      </w:r>
      <w:r w:rsidR="00991EDA" w:rsidRPr="004C7474">
        <w:rPr>
          <w:rFonts w:cs="Arial"/>
          <w:sz w:val="22"/>
          <w:szCs w:val="22"/>
        </w:rPr>
        <w:t xml:space="preserve">e </w:t>
      </w:r>
      <w:r w:rsidR="00F426E7" w:rsidRPr="004C7474">
        <w:rPr>
          <w:rFonts w:cs="Arial"/>
          <w:sz w:val="22"/>
          <w:szCs w:val="22"/>
        </w:rPr>
        <w:t xml:space="preserve">of </w:t>
      </w:r>
      <w:r w:rsidR="00991EDA" w:rsidRPr="004C7474">
        <w:rPr>
          <w:rFonts w:cs="Arial"/>
          <w:sz w:val="22"/>
          <w:szCs w:val="22"/>
        </w:rPr>
        <w:t>work to identify projects in</w:t>
      </w:r>
      <w:r w:rsidR="009C5BD7" w:rsidRPr="004C7474">
        <w:rPr>
          <w:rFonts w:cs="Arial"/>
          <w:sz w:val="22"/>
          <w:szCs w:val="22"/>
        </w:rPr>
        <w:t xml:space="preserve"> all </w:t>
      </w:r>
      <w:r w:rsidR="00991EDA" w:rsidRPr="004C7474">
        <w:rPr>
          <w:rFonts w:cs="Arial"/>
          <w:sz w:val="22"/>
          <w:szCs w:val="22"/>
        </w:rPr>
        <w:t>SIP-LA</w:t>
      </w:r>
      <w:r w:rsidR="009C5BD7" w:rsidRPr="004C7474">
        <w:rPr>
          <w:rFonts w:cs="Arial"/>
          <w:sz w:val="22"/>
          <w:szCs w:val="22"/>
        </w:rPr>
        <w:t xml:space="preserve"> countries</w:t>
      </w:r>
      <w:r w:rsidR="00542880">
        <w:rPr>
          <w:rFonts w:cs="Arial"/>
          <w:sz w:val="22"/>
          <w:szCs w:val="22"/>
        </w:rPr>
        <w:t>, including Peru</w:t>
      </w:r>
      <w:r w:rsidR="009C5BD7" w:rsidRPr="004C7474">
        <w:rPr>
          <w:rFonts w:cs="Arial"/>
          <w:sz w:val="22"/>
          <w:szCs w:val="22"/>
        </w:rPr>
        <w:t xml:space="preserve">. </w:t>
      </w:r>
      <w:r w:rsidR="00DC3055" w:rsidRPr="004C7474">
        <w:rPr>
          <w:rFonts w:cs="Arial"/>
          <w:sz w:val="22"/>
          <w:szCs w:val="22"/>
        </w:rPr>
        <w:t xml:space="preserve"> </w:t>
      </w:r>
    </w:p>
    <w:p w14:paraId="45EE6148" w14:textId="056E6D49" w:rsidR="000F3B6A" w:rsidRPr="004C7474" w:rsidRDefault="000D1665" w:rsidP="00D93F68">
      <w:pPr>
        <w:pStyle w:val="ListParagraph"/>
        <w:numPr>
          <w:ilvl w:val="0"/>
          <w:numId w:val="5"/>
        </w:numPr>
        <w:tabs>
          <w:tab w:val="left" w:pos="6915"/>
          <w:tab w:val="left" w:pos="9495"/>
        </w:tabs>
        <w:spacing w:after="120"/>
        <w:ind w:left="714" w:hanging="357"/>
        <w:contextualSpacing w:val="0"/>
        <w:jc w:val="both"/>
        <w:rPr>
          <w:rFonts w:cs="Arial"/>
          <w:sz w:val="22"/>
          <w:szCs w:val="22"/>
        </w:rPr>
      </w:pPr>
      <w:r w:rsidRPr="004C7474">
        <w:rPr>
          <w:rFonts w:cs="Arial"/>
          <w:b/>
          <w:sz w:val="22"/>
          <w:szCs w:val="22"/>
        </w:rPr>
        <w:t xml:space="preserve">Technical Assistance </w:t>
      </w:r>
      <w:r w:rsidR="007C123B" w:rsidRPr="004C7474">
        <w:rPr>
          <w:rFonts w:cs="Arial"/>
          <w:sz w:val="22"/>
          <w:szCs w:val="22"/>
        </w:rPr>
        <w:t xml:space="preserve">- </w:t>
      </w:r>
      <w:r w:rsidR="00111808" w:rsidRPr="00513E41">
        <w:rPr>
          <w:rFonts w:cs="Arial"/>
          <w:bCs/>
          <w:sz w:val="22"/>
          <w:szCs w:val="22"/>
        </w:rPr>
        <w:t>IDB</w:t>
      </w:r>
      <w:r w:rsidR="00D925ED" w:rsidRPr="004C7474">
        <w:rPr>
          <w:rFonts w:cs="Arial"/>
          <w:sz w:val="22"/>
          <w:szCs w:val="22"/>
        </w:rPr>
        <w:t xml:space="preserve"> should build on </w:t>
      </w:r>
      <w:r w:rsidR="00391405" w:rsidRPr="004C7474">
        <w:rPr>
          <w:rFonts w:cs="Arial"/>
          <w:sz w:val="22"/>
          <w:szCs w:val="22"/>
        </w:rPr>
        <w:t xml:space="preserve">its existing technical assistance support to </w:t>
      </w:r>
      <w:r w:rsidR="00A0429F" w:rsidRPr="004C7474">
        <w:rPr>
          <w:rFonts w:cs="Arial"/>
          <w:sz w:val="22"/>
          <w:szCs w:val="22"/>
        </w:rPr>
        <w:t>deliver</w:t>
      </w:r>
      <w:r w:rsidR="00A0125B" w:rsidRPr="004C7474">
        <w:rPr>
          <w:rFonts w:cs="Arial"/>
          <w:sz w:val="22"/>
          <w:szCs w:val="22"/>
        </w:rPr>
        <w:t xml:space="preserve"> </w:t>
      </w:r>
      <w:r w:rsidR="004A3F5C" w:rsidRPr="00513E41">
        <w:rPr>
          <w:rFonts w:cs="Arial"/>
          <w:bCs/>
          <w:sz w:val="22"/>
          <w:szCs w:val="22"/>
        </w:rPr>
        <w:t xml:space="preserve">technical assistance </w:t>
      </w:r>
      <w:r w:rsidR="00A0125B" w:rsidRPr="004C7474">
        <w:rPr>
          <w:rFonts w:cs="Arial"/>
          <w:sz w:val="22"/>
          <w:szCs w:val="22"/>
        </w:rPr>
        <w:t xml:space="preserve">programming </w:t>
      </w:r>
      <w:r w:rsidR="00111808" w:rsidRPr="00513E41">
        <w:rPr>
          <w:rFonts w:cs="Arial"/>
          <w:bCs/>
          <w:sz w:val="22"/>
          <w:szCs w:val="22"/>
        </w:rPr>
        <w:t>that</w:t>
      </w:r>
      <w:r w:rsidR="004A3F5C" w:rsidRPr="00513E41">
        <w:rPr>
          <w:rFonts w:cs="Arial"/>
          <w:bCs/>
          <w:sz w:val="22"/>
          <w:szCs w:val="22"/>
        </w:rPr>
        <w:t xml:space="preserve"> specifically </w:t>
      </w:r>
      <w:r w:rsidR="007E1047" w:rsidRPr="00513E41">
        <w:rPr>
          <w:rFonts w:cs="Arial"/>
          <w:bCs/>
          <w:sz w:val="22"/>
          <w:szCs w:val="22"/>
        </w:rPr>
        <w:t>enables</w:t>
      </w:r>
      <w:r w:rsidR="004A3F5C" w:rsidRPr="00513E41">
        <w:rPr>
          <w:rFonts w:cs="Arial"/>
          <w:bCs/>
          <w:sz w:val="22"/>
          <w:szCs w:val="22"/>
        </w:rPr>
        <w:t xml:space="preserve"> </w:t>
      </w:r>
      <w:r w:rsidR="00111808" w:rsidRPr="00513E41">
        <w:rPr>
          <w:rFonts w:cs="Arial"/>
          <w:bCs/>
          <w:sz w:val="22"/>
          <w:szCs w:val="22"/>
        </w:rPr>
        <w:t xml:space="preserve">SIP-LA </w:t>
      </w:r>
      <w:r w:rsidR="000D1712">
        <w:rPr>
          <w:rFonts w:cs="Arial"/>
          <w:sz w:val="22"/>
          <w:szCs w:val="22"/>
        </w:rPr>
        <w:t>blended finance</w:t>
      </w:r>
      <w:r w:rsidR="000D1712" w:rsidRPr="004C7474">
        <w:rPr>
          <w:rFonts w:cs="Arial"/>
          <w:sz w:val="22"/>
          <w:szCs w:val="22"/>
        </w:rPr>
        <w:t xml:space="preserve"> </w:t>
      </w:r>
      <w:r w:rsidR="00A0125B" w:rsidRPr="004C7474">
        <w:rPr>
          <w:rFonts w:cs="Arial"/>
          <w:sz w:val="22"/>
          <w:szCs w:val="22"/>
        </w:rPr>
        <w:t>investments</w:t>
      </w:r>
      <w:r w:rsidR="00111808" w:rsidRPr="00513E41">
        <w:rPr>
          <w:rFonts w:cs="Arial"/>
          <w:bCs/>
          <w:sz w:val="22"/>
          <w:szCs w:val="22"/>
        </w:rPr>
        <w:t xml:space="preserve"> in all </w:t>
      </w:r>
      <w:r w:rsidR="00A00CB6" w:rsidRPr="004C7474">
        <w:rPr>
          <w:rFonts w:cs="Arial"/>
          <w:sz w:val="22"/>
          <w:szCs w:val="22"/>
        </w:rPr>
        <w:t xml:space="preserve">SIP-LA markets. </w:t>
      </w:r>
    </w:p>
    <w:p w14:paraId="660F616A" w14:textId="148EF8A3" w:rsidR="00F65517" w:rsidRPr="004C7474" w:rsidRDefault="00F65517" w:rsidP="00D93F68">
      <w:pPr>
        <w:pStyle w:val="ListParagraph"/>
        <w:numPr>
          <w:ilvl w:val="0"/>
          <w:numId w:val="5"/>
        </w:numPr>
        <w:tabs>
          <w:tab w:val="left" w:pos="6915"/>
          <w:tab w:val="left" w:pos="9495"/>
        </w:tabs>
        <w:spacing w:after="120"/>
        <w:ind w:left="714" w:hanging="357"/>
        <w:contextualSpacing w:val="0"/>
        <w:jc w:val="both"/>
        <w:rPr>
          <w:rFonts w:cs="Arial"/>
          <w:sz w:val="22"/>
          <w:szCs w:val="22"/>
        </w:rPr>
      </w:pPr>
      <w:r w:rsidRPr="004C7474">
        <w:rPr>
          <w:rFonts w:cs="Arial"/>
          <w:b/>
          <w:sz w:val="22"/>
          <w:szCs w:val="22"/>
        </w:rPr>
        <w:t>Milestones and extension</w:t>
      </w:r>
      <w:r w:rsidR="00271BBD" w:rsidRPr="004C7474">
        <w:rPr>
          <w:rFonts w:cs="Arial"/>
          <w:b/>
          <w:sz w:val="22"/>
          <w:szCs w:val="22"/>
        </w:rPr>
        <w:t xml:space="preserve"> </w:t>
      </w:r>
      <w:r w:rsidR="007C123B" w:rsidRPr="004C7474">
        <w:rPr>
          <w:rFonts w:cs="Arial"/>
          <w:sz w:val="22"/>
          <w:szCs w:val="22"/>
        </w:rPr>
        <w:t xml:space="preserve">- </w:t>
      </w:r>
      <w:r w:rsidR="004E0724" w:rsidRPr="004C7474">
        <w:rPr>
          <w:rFonts w:cs="Arial"/>
          <w:sz w:val="22"/>
          <w:szCs w:val="22"/>
        </w:rPr>
        <w:t xml:space="preserve">BEIS and IDB </w:t>
      </w:r>
      <w:r w:rsidR="00A00CB6" w:rsidRPr="004C7474">
        <w:rPr>
          <w:rFonts w:cs="Arial"/>
          <w:sz w:val="22"/>
          <w:szCs w:val="22"/>
        </w:rPr>
        <w:t>should complete discussions concerning</w:t>
      </w:r>
      <w:r w:rsidR="004E0724" w:rsidRPr="004C7474">
        <w:rPr>
          <w:rFonts w:cs="Arial"/>
          <w:sz w:val="22"/>
          <w:szCs w:val="22"/>
        </w:rPr>
        <w:t xml:space="preserve"> SIP-LA’s milestones</w:t>
      </w:r>
      <w:r w:rsidR="003C0C9A" w:rsidRPr="004C7474">
        <w:rPr>
          <w:rFonts w:cs="Arial"/>
          <w:sz w:val="22"/>
          <w:szCs w:val="22"/>
        </w:rPr>
        <w:t xml:space="preserve"> </w:t>
      </w:r>
      <w:r w:rsidR="00C21A42" w:rsidRPr="00513E41">
        <w:rPr>
          <w:rFonts w:cs="Arial"/>
          <w:bCs/>
          <w:sz w:val="22"/>
          <w:szCs w:val="22"/>
        </w:rPr>
        <w:t>and the future of the programme</w:t>
      </w:r>
      <w:r w:rsidR="003C0C9A" w:rsidRPr="004C7474">
        <w:rPr>
          <w:rFonts w:cs="Arial"/>
          <w:sz w:val="22"/>
          <w:szCs w:val="22"/>
        </w:rPr>
        <w:t xml:space="preserve">, which should include a review of the programme’s </w:t>
      </w:r>
      <w:r w:rsidR="00271BBD" w:rsidRPr="004C7474">
        <w:rPr>
          <w:rFonts w:cs="Arial"/>
          <w:sz w:val="22"/>
          <w:szCs w:val="22"/>
        </w:rPr>
        <w:t>finance</w:t>
      </w:r>
      <w:r w:rsidR="003C0C9A" w:rsidRPr="004C7474">
        <w:rPr>
          <w:rFonts w:cs="Arial"/>
          <w:sz w:val="22"/>
          <w:szCs w:val="22"/>
        </w:rPr>
        <w:t xml:space="preserve"> and </w:t>
      </w:r>
      <w:r w:rsidR="008D46FA" w:rsidRPr="004C7474">
        <w:rPr>
          <w:rFonts w:cs="Arial"/>
          <w:sz w:val="22"/>
          <w:szCs w:val="22"/>
        </w:rPr>
        <w:t>payment</w:t>
      </w:r>
      <w:r w:rsidR="00271BBD" w:rsidRPr="004C7474">
        <w:rPr>
          <w:rFonts w:cs="Arial"/>
          <w:sz w:val="22"/>
          <w:szCs w:val="22"/>
        </w:rPr>
        <w:t xml:space="preserve"> schedule</w:t>
      </w:r>
      <w:r w:rsidR="008D46FA" w:rsidRPr="004C7474">
        <w:rPr>
          <w:rFonts w:cs="Arial"/>
          <w:sz w:val="22"/>
          <w:szCs w:val="22"/>
        </w:rPr>
        <w:t>.</w:t>
      </w:r>
    </w:p>
    <w:p w14:paraId="587CF3EC" w14:textId="4E133F00" w:rsidR="006F3C23" w:rsidRDefault="007C123B" w:rsidP="00D93F68">
      <w:pPr>
        <w:pStyle w:val="ListParagraph"/>
        <w:numPr>
          <w:ilvl w:val="0"/>
          <w:numId w:val="5"/>
        </w:numPr>
        <w:tabs>
          <w:tab w:val="left" w:pos="6915"/>
          <w:tab w:val="left" w:pos="9495"/>
        </w:tabs>
        <w:spacing w:after="120"/>
        <w:ind w:left="714" w:hanging="357"/>
        <w:contextualSpacing w:val="0"/>
        <w:jc w:val="both"/>
        <w:rPr>
          <w:rFonts w:cs="Arial"/>
          <w:bCs/>
          <w:sz w:val="22"/>
          <w:szCs w:val="22"/>
        </w:rPr>
      </w:pPr>
      <w:r w:rsidRPr="004C7474">
        <w:rPr>
          <w:rFonts w:cs="Arial"/>
          <w:b/>
          <w:sz w:val="22"/>
          <w:szCs w:val="22"/>
        </w:rPr>
        <w:t>Monitoring, Evaluation and learning</w:t>
      </w:r>
      <w:r w:rsidR="008D46FA" w:rsidRPr="004C7474">
        <w:rPr>
          <w:rFonts w:cs="Arial"/>
          <w:b/>
          <w:sz w:val="22"/>
          <w:szCs w:val="22"/>
        </w:rPr>
        <w:t xml:space="preserve"> </w:t>
      </w:r>
      <w:r w:rsidRPr="004C7474">
        <w:rPr>
          <w:rFonts w:cs="Arial"/>
          <w:sz w:val="22"/>
          <w:szCs w:val="22"/>
        </w:rPr>
        <w:t xml:space="preserve">- </w:t>
      </w:r>
      <w:r w:rsidR="00DC7CE3" w:rsidRPr="004C7474">
        <w:rPr>
          <w:rFonts w:cs="Arial"/>
          <w:sz w:val="22"/>
          <w:szCs w:val="22"/>
        </w:rPr>
        <w:t>BEIS and IDB</w:t>
      </w:r>
      <w:r w:rsidR="003C0C9A">
        <w:rPr>
          <w:rFonts w:cs="Arial"/>
          <w:bCs/>
          <w:sz w:val="22"/>
          <w:szCs w:val="22"/>
        </w:rPr>
        <w:t xml:space="preserve"> should </w:t>
      </w:r>
      <w:r w:rsidR="008D46FA">
        <w:rPr>
          <w:rFonts w:cs="Arial"/>
          <w:bCs/>
          <w:sz w:val="22"/>
          <w:szCs w:val="22"/>
        </w:rPr>
        <w:t xml:space="preserve">consider how to </w:t>
      </w:r>
      <w:r w:rsidR="00DC7CE3">
        <w:rPr>
          <w:rFonts w:cs="Arial"/>
          <w:bCs/>
          <w:sz w:val="22"/>
          <w:szCs w:val="22"/>
        </w:rPr>
        <w:t>better capture SIP-LA’s full value</w:t>
      </w:r>
      <w:r w:rsidR="00426242">
        <w:rPr>
          <w:rFonts w:cs="Arial"/>
          <w:bCs/>
          <w:sz w:val="22"/>
          <w:szCs w:val="22"/>
        </w:rPr>
        <w:t>,</w:t>
      </w:r>
      <w:r w:rsidR="00DC7CE3">
        <w:rPr>
          <w:rFonts w:cs="Arial"/>
          <w:bCs/>
          <w:sz w:val="22"/>
          <w:szCs w:val="22"/>
        </w:rPr>
        <w:t xml:space="preserve"> including</w:t>
      </w:r>
      <w:r w:rsidR="000D1961">
        <w:rPr>
          <w:rFonts w:cs="Arial"/>
          <w:bCs/>
          <w:sz w:val="22"/>
          <w:szCs w:val="22"/>
        </w:rPr>
        <w:t xml:space="preserve"> how SIP-LA</w:t>
      </w:r>
      <w:r w:rsidR="00DC7CE3">
        <w:rPr>
          <w:rFonts w:cs="Arial"/>
          <w:bCs/>
          <w:sz w:val="22"/>
          <w:szCs w:val="22"/>
        </w:rPr>
        <w:t xml:space="preserve"> deliver</w:t>
      </w:r>
      <w:r w:rsidR="000D1961">
        <w:rPr>
          <w:rFonts w:cs="Arial"/>
          <w:bCs/>
          <w:sz w:val="22"/>
          <w:szCs w:val="22"/>
        </w:rPr>
        <w:t>s</w:t>
      </w:r>
      <w:r w:rsidR="00DC7CE3">
        <w:rPr>
          <w:rFonts w:cs="Arial"/>
          <w:bCs/>
          <w:sz w:val="22"/>
          <w:szCs w:val="22"/>
        </w:rPr>
        <w:t xml:space="preserve"> </w:t>
      </w:r>
      <w:r w:rsidR="008D46FA">
        <w:rPr>
          <w:rFonts w:cs="Arial"/>
          <w:bCs/>
          <w:sz w:val="22"/>
          <w:szCs w:val="22"/>
        </w:rPr>
        <w:t>improve</w:t>
      </w:r>
      <w:r w:rsidR="00DC7CE3">
        <w:rPr>
          <w:rFonts w:cs="Arial"/>
          <w:bCs/>
          <w:sz w:val="22"/>
          <w:szCs w:val="22"/>
        </w:rPr>
        <w:t>d</w:t>
      </w:r>
      <w:r w:rsidR="008D46FA">
        <w:rPr>
          <w:rFonts w:cs="Arial"/>
          <w:bCs/>
          <w:sz w:val="22"/>
          <w:szCs w:val="22"/>
        </w:rPr>
        <w:t xml:space="preserve"> gender outcomes</w:t>
      </w:r>
      <w:r w:rsidR="00DC7CE3">
        <w:rPr>
          <w:rFonts w:cs="Arial"/>
          <w:bCs/>
          <w:sz w:val="22"/>
          <w:szCs w:val="22"/>
        </w:rPr>
        <w:t xml:space="preserve">, </w:t>
      </w:r>
      <w:r w:rsidR="000D1961">
        <w:rPr>
          <w:rFonts w:cs="Arial"/>
          <w:bCs/>
          <w:sz w:val="22"/>
          <w:szCs w:val="22"/>
        </w:rPr>
        <w:t>supports UK climate objectives, and enables low carbon activity in other areas of IDB.</w:t>
      </w:r>
      <w:r w:rsidR="45A1BD17" w:rsidRPr="178D3ACD">
        <w:rPr>
          <w:rFonts w:cs="Arial"/>
          <w:sz w:val="22"/>
          <w:szCs w:val="22"/>
        </w:rPr>
        <w:t xml:space="preserve"> </w:t>
      </w:r>
    </w:p>
    <w:p w14:paraId="7400D786" w14:textId="1EE3996B" w:rsidR="00636B49" w:rsidRPr="00636B49" w:rsidRDefault="00125C2F" w:rsidP="00D93F68">
      <w:pPr>
        <w:pStyle w:val="ListParagraph"/>
        <w:numPr>
          <w:ilvl w:val="0"/>
          <w:numId w:val="5"/>
        </w:numPr>
        <w:tabs>
          <w:tab w:val="left" w:pos="6915"/>
          <w:tab w:val="left" w:pos="9495"/>
        </w:tabs>
        <w:spacing w:after="120"/>
        <w:ind w:left="714" w:hanging="357"/>
        <w:contextualSpacing w:val="0"/>
        <w:jc w:val="both"/>
        <w:rPr>
          <w:rFonts w:cs="Arial"/>
          <w:bCs/>
          <w:sz w:val="22"/>
          <w:szCs w:val="22"/>
        </w:rPr>
      </w:pPr>
      <w:r>
        <w:rPr>
          <w:rFonts w:cs="Arial"/>
          <w:b/>
          <w:sz w:val="22"/>
          <w:szCs w:val="22"/>
        </w:rPr>
        <w:t xml:space="preserve">COP26 </w:t>
      </w:r>
      <w:r w:rsidR="000D1961">
        <w:rPr>
          <w:rFonts w:cs="Arial"/>
          <w:b/>
          <w:sz w:val="22"/>
          <w:szCs w:val="22"/>
        </w:rPr>
        <w:t>and</w:t>
      </w:r>
      <w:r w:rsidR="000F1512">
        <w:rPr>
          <w:rFonts w:cs="Arial"/>
          <w:b/>
          <w:sz w:val="22"/>
          <w:szCs w:val="22"/>
        </w:rPr>
        <w:t xml:space="preserve"> communications</w:t>
      </w:r>
      <w:r w:rsidR="00EA7AB1">
        <w:rPr>
          <w:rFonts w:cs="Arial"/>
          <w:b/>
          <w:sz w:val="22"/>
          <w:szCs w:val="22"/>
        </w:rPr>
        <w:t xml:space="preserve"> </w:t>
      </w:r>
      <w:r w:rsidR="00497757">
        <w:rPr>
          <w:rFonts w:cs="Arial"/>
          <w:bCs/>
          <w:sz w:val="22"/>
          <w:szCs w:val="22"/>
        </w:rPr>
        <w:t>-</w:t>
      </w:r>
      <w:r w:rsidR="007C123B" w:rsidRPr="00EF3CFA">
        <w:rPr>
          <w:rFonts w:cs="Arial"/>
          <w:bCs/>
          <w:sz w:val="22"/>
          <w:szCs w:val="22"/>
        </w:rPr>
        <w:t xml:space="preserve"> </w:t>
      </w:r>
      <w:r w:rsidR="00D873AA">
        <w:rPr>
          <w:rFonts w:cs="Arial"/>
          <w:bCs/>
          <w:sz w:val="22"/>
          <w:szCs w:val="22"/>
        </w:rPr>
        <w:t>BEIS and IDB</w:t>
      </w:r>
      <w:r w:rsidR="00E1110E">
        <w:rPr>
          <w:rFonts w:cs="Arial"/>
          <w:bCs/>
          <w:sz w:val="22"/>
          <w:szCs w:val="22"/>
        </w:rPr>
        <w:t xml:space="preserve"> should </w:t>
      </w:r>
      <w:r w:rsidR="00EA7AB1">
        <w:rPr>
          <w:rFonts w:cs="Arial"/>
          <w:bCs/>
          <w:sz w:val="22"/>
          <w:szCs w:val="22"/>
        </w:rPr>
        <w:t xml:space="preserve">implement </w:t>
      </w:r>
      <w:r w:rsidR="00D873AA">
        <w:rPr>
          <w:rFonts w:cs="Arial"/>
          <w:bCs/>
          <w:sz w:val="22"/>
          <w:szCs w:val="22"/>
        </w:rPr>
        <w:t xml:space="preserve">SIP-LA’s </w:t>
      </w:r>
      <w:r w:rsidR="00EA7AB1">
        <w:rPr>
          <w:rFonts w:cs="Arial"/>
          <w:bCs/>
          <w:sz w:val="22"/>
          <w:szCs w:val="22"/>
        </w:rPr>
        <w:t xml:space="preserve">communications strategy and </w:t>
      </w:r>
      <w:r w:rsidR="00076025">
        <w:rPr>
          <w:rFonts w:cs="Arial"/>
          <w:bCs/>
          <w:sz w:val="22"/>
          <w:szCs w:val="22"/>
        </w:rPr>
        <w:t xml:space="preserve">better </w:t>
      </w:r>
      <w:r w:rsidR="00EA7AB1">
        <w:rPr>
          <w:rFonts w:cs="Arial"/>
          <w:bCs/>
          <w:sz w:val="22"/>
          <w:szCs w:val="22"/>
        </w:rPr>
        <w:t>disseminat</w:t>
      </w:r>
      <w:r w:rsidR="008B2224">
        <w:rPr>
          <w:rFonts w:cs="Arial"/>
          <w:bCs/>
          <w:sz w:val="22"/>
          <w:szCs w:val="22"/>
        </w:rPr>
        <w:t>e</w:t>
      </w:r>
      <w:r w:rsidR="00EA7AB1">
        <w:rPr>
          <w:rFonts w:cs="Arial"/>
          <w:bCs/>
          <w:sz w:val="22"/>
          <w:szCs w:val="22"/>
        </w:rPr>
        <w:t xml:space="preserve"> </w:t>
      </w:r>
      <w:r w:rsidR="00076025">
        <w:rPr>
          <w:rFonts w:cs="Arial"/>
          <w:bCs/>
          <w:sz w:val="22"/>
          <w:szCs w:val="22"/>
        </w:rPr>
        <w:t>programme learnings</w:t>
      </w:r>
      <w:r w:rsidR="0074523A">
        <w:rPr>
          <w:rFonts w:cs="Arial"/>
          <w:bCs/>
          <w:sz w:val="22"/>
          <w:szCs w:val="22"/>
        </w:rPr>
        <w:t xml:space="preserve"> to SIP-LA partner country stakeholders including private sector investors</w:t>
      </w:r>
      <w:r w:rsidR="009F493B">
        <w:rPr>
          <w:rFonts w:cs="Arial"/>
          <w:bCs/>
          <w:sz w:val="22"/>
          <w:szCs w:val="22"/>
        </w:rPr>
        <w:t xml:space="preserve"> to </w:t>
      </w:r>
      <w:r w:rsidR="00CD2A26">
        <w:rPr>
          <w:rFonts w:cs="Arial"/>
          <w:bCs/>
          <w:sz w:val="22"/>
          <w:szCs w:val="22"/>
        </w:rPr>
        <w:t xml:space="preserve">support </w:t>
      </w:r>
      <w:r w:rsidR="002E0999">
        <w:rPr>
          <w:rFonts w:cs="Arial"/>
          <w:bCs/>
          <w:sz w:val="22"/>
          <w:szCs w:val="22"/>
        </w:rPr>
        <w:t xml:space="preserve">SIP-LA’s </w:t>
      </w:r>
      <w:r w:rsidR="006600D8">
        <w:rPr>
          <w:rFonts w:cs="Arial"/>
          <w:bCs/>
          <w:sz w:val="22"/>
          <w:szCs w:val="22"/>
        </w:rPr>
        <w:t>transformational objectives and improve UK visibility.</w:t>
      </w:r>
      <w:r w:rsidR="008B2224">
        <w:rPr>
          <w:rFonts w:cs="Arial"/>
          <w:bCs/>
          <w:sz w:val="22"/>
          <w:szCs w:val="22"/>
        </w:rPr>
        <w:t xml:space="preserve"> </w:t>
      </w:r>
      <w:r w:rsidR="006600D8">
        <w:rPr>
          <w:rFonts w:cs="Arial"/>
          <w:bCs/>
          <w:sz w:val="22"/>
          <w:szCs w:val="22"/>
        </w:rPr>
        <w:t xml:space="preserve">This should include SIP-LA </w:t>
      </w:r>
      <w:r w:rsidR="008B2224">
        <w:rPr>
          <w:rFonts w:cs="Arial"/>
          <w:bCs/>
          <w:sz w:val="22"/>
          <w:szCs w:val="22"/>
        </w:rPr>
        <w:t>participation and involvement at COP26</w:t>
      </w:r>
      <w:r w:rsidR="00076025">
        <w:rPr>
          <w:rFonts w:cs="Arial"/>
          <w:bCs/>
          <w:sz w:val="22"/>
          <w:szCs w:val="22"/>
        </w:rPr>
        <w:t>.</w:t>
      </w:r>
    </w:p>
    <w:tbl>
      <w:tblPr>
        <w:tblStyle w:val="TableGrid"/>
        <w:tblW w:w="5000" w:type="pct"/>
        <w:tblLook w:val="04A0" w:firstRow="1" w:lastRow="0" w:firstColumn="1" w:lastColumn="0" w:noHBand="0" w:noVBand="1"/>
      </w:tblPr>
      <w:tblGrid>
        <w:gridCol w:w="7366"/>
        <w:gridCol w:w="1650"/>
      </w:tblGrid>
      <w:tr w:rsidR="00E328A3" w:rsidRPr="00047311" w14:paraId="262BE877" w14:textId="77777777" w:rsidTr="007C123B">
        <w:tc>
          <w:tcPr>
            <w:tcW w:w="408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9E4AC5" w14:textId="25DA5CB0" w:rsidR="00E328A3" w:rsidRPr="00047311" w:rsidRDefault="00E328A3" w:rsidP="005B2259">
            <w:pPr>
              <w:tabs>
                <w:tab w:val="left" w:pos="6915"/>
                <w:tab w:val="left" w:pos="9495"/>
              </w:tabs>
              <w:spacing w:after="120"/>
              <w:jc w:val="both"/>
              <w:rPr>
                <w:b/>
                <w:bCs/>
                <w:sz w:val="20"/>
                <w:szCs w:val="20"/>
              </w:rPr>
            </w:pPr>
            <w:r>
              <w:rPr>
                <w:rFonts w:cs="Arial"/>
                <w:b/>
                <w:sz w:val="20"/>
                <w:szCs w:val="20"/>
              </w:rPr>
              <w:t xml:space="preserve">2021 </w:t>
            </w:r>
            <w:r w:rsidRPr="00047311">
              <w:rPr>
                <w:rFonts w:cs="Arial"/>
                <w:b/>
                <w:sz w:val="20"/>
                <w:szCs w:val="20"/>
              </w:rPr>
              <w:t>Recommendation</w:t>
            </w:r>
            <w:r>
              <w:rPr>
                <w:rFonts w:cs="Arial"/>
                <w:b/>
                <w:sz w:val="20"/>
                <w:szCs w:val="20"/>
              </w:rPr>
              <w:t>s</w:t>
            </w:r>
          </w:p>
        </w:tc>
        <w:tc>
          <w:tcPr>
            <w:tcW w:w="915"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A73F15" w14:textId="028352EC" w:rsidR="00E328A3" w:rsidRPr="00047311" w:rsidRDefault="00E328A3" w:rsidP="005B2259">
            <w:pPr>
              <w:tabs>
                <w:tab w:val="left" w:pos="6915"/>
                <w:tab w:val="left" w:pos="9495"/>
              </w:tabs>
              <w:spacing w:after="120"/>
              <w:jc w:val="both"/>
              <w:rPr>
                <w:b/>
                <w:bCs/>
                <w:sz w:val="20"/>
                <w:szCs w:val="20"/>
              </w:rPr>
            </w:pPr>
            <w:r>
              <w:rPr>
                <w:rFonts w:cs="Arial"/>
                <w:b/>
                <w:sz w:val="20"/>
                <w:szCs w:val="20"/>
              </w:rPr>
              <w:t>Delivery date</w:t>
            </w:r>
          </w:p>
        </w:tc>
      </w:tr>
      <w:tr w:rsidR="00E328A3" w:rsidRPr="00047311" w14:paraId="621AF060" w14:textId="77777777" w:rsidTr="007C123B">
        <w:tc>
          <w:tcPr>
            <w:tcW w:w="4085" w:type="pct"/>
            <w:tcBorders>
              <w:top w:val="single" w:sz="4" w:space="0" w:color="auto"/>
              <w:left w:val="single" w:sz="4" w:space="0" w:color="auto"/>
              <w:bottom w:val="single" w:sz="4" w:space="0" w:color="auto"/>
              <w:right w:val="single" w:sz="4" w:space="0" w:color="auto"/>
            </w:tcBorders>
            <w:hideMark/>
          </w:tcPr>
          <w:p w14:paraId="5AEC3D23" w14:textId="77777777" w:rsidR="002160FF" w:rsidRPr="00F658A9" w:rsidRDefault="00E328A3" w:rsidP="00297EBA">
            <w:pPr>
              <w:tabs>
                <w:tab w:val="left" w:pos="6915"/>
                <w:tab w:val="left" w:pos="9495"/>
              </w:tabs>
              <w:rPr>
                <w:b/>
                <w:bCs/>
                <w:sz w:val="20"/>
                <w:szCs w:val="20"/>
              </w:rPr>
            </w:pPr>
            <w:r w:rsidRPr="00F658A9">
              <w:rPr>
                <w:b/>
                <w:bCs/>
                <w:sz w:val="20"/>
                <w:szCs w:val="20"/>
              </w:rPr>
              <w:t>R1 –</w:t>
            </w:r>
            <w:r w:rsidR="001E24FF" w:rsidRPr="00F658A9">
              <w:rPr>
                <w:b/>
                <w:bCs/>
                <w:sz w:val="20"/>
                <w:szCs w:val="20"/>
              </w:rPr>
              <w:t xml:space="preserve"> </w:t>
            </w:r>
            <w:r w:rsidRPr="00F658A9">
              <w:rPr>
                <w:b/>
                <w:bCs/>
                <w:sz w:val="20"/>
                <w:szCs w:val="20"/>
              </w:rPr>
              <w:t xml:space="preserve">Delivery: </w:t>
            </w:r>
          </w:p>
          <w:p w14:paraId="7A050C58" w14:textId="5C25E4D6" w:rsidR="00E328A3" w:rsidRPr="00F658A9" w:rsidRDefault="00810614" w:rsidP="00F43371">
            <w:pPr>
              <w:tabs>
                <w:tab w:val="left" w:pos="6915"/>
                <w:tab w:val="left" w:pos="9495"/>
              </w:tabs>
              <w:spacing w:after="120"/>
              <w:rPr>
                <w:b/>
                <w:bCs/>
                <w:sz w:val="20"/>
                <w:szCs w:val="20"/>
              </w:rPr>
            </w:pPr>
            <w:r w:rsidRPr="00F658A9">
              <w:rPr>
                <w:sz w:val="20"/>
                <w:szCs w:val="20"/>
              </w:rPr>
              <w:t xml:space="preserve">IDB to </w:t>
            </w:r>
            <w:r w:rsidR="0076512C" w:rsidRPr="00F658A9">
              <w:rPr>
                <w:sz w:val="20"/>
                <w:szCs w:val="20"/>
              </w:rPr>
              <w:t>regularly present</w:t>
            </w:r>
            <w:r w:rsidR="0092257E" w:rsidRPr="00F658A9">
              <w:rPr>
                <w:sz w:val="20"/>
                <w:szCs w:val="20"/>
              </w:rPr>
              <w:t xml:space="preserve"> investment pipeline </w:t>
            </w:r>
            <w:r w:rsidR="0076512C" w:rsidRPr="00F658A9">
              <w:rPr>
                <w:sz w:val="20"/>
                <w:szCs w:val="20"/>
              </w:rPr>
              <w:t>(resumed sourcing from November 2020)</w:t>
            </w:r>
            <w:r w:rsidR="00BC57D5" w:rsidRPr="00F658A9">
              <w:rPr>
                <w:sz w:val="20"/>
                <w:szCs w:val="20"/>
              </w:rPr>
              <w:t xml:space="preserve"> </w:t>
            </w:r>
            <w:r w:rsidR="0076512C" w:rsidRPr="00F658A9">
              <w:rPr>
                <w:sz w:val="20"/>
                <w:szCs w:val="20"/>
              </w:rPr>
              <w:t xml:space="preserve">- </w:t>
            </w:r>
            <w:r w:rsidR="0092257E" w:rsidRPr="00F658A9">
              <w:rPr>
                <w:sz w:val="20"/>
                <w:szCs w:val="20"/>
              </w:rPr>
              <w:t>linked to SIP-LA technical assistance</w:t>
            </w:r>
            <w:r w:rsidR="00513E41" w:rsidRPr="00F658A9">
              <w:rPr>
                <w:sz w:val="20"/>
                <w:szCs w:val="20"/>
              </w:rPr>
              <w:t xml:space="preserve"> </w:t>
            </w:r>
            <w:r w:rsidR="0076512C" w:rsidRPr="00F658A9">
              <w:rPr>
                <w:sz w:val="20"/>
                <w:szCs w:val="20"/>
              </w:rPr>
              <w:t xml:space="preserve">- </w:t>
            </w:r>
            <w:r w:rsidR="0092257E" w:rsidRPr="00F658A9">
              <w:rPr>
                <w:sz w:val="20"/>
                <w:szCs w:val="20"/>
              </w:rPr>
              <w:t xml:space="preserve">and </w:t>
            </w:r>
            <w:r w:rsidR="00CF4E51" w:rsidRPr="00F658A9">
              <w:rPr>
                <w:sz w:val="20"/>
                <w:szCs w:val="20"/>
              </w:rPr>
              <w:t>demonstrat</w:t>
            </w:r>
            <w:r w:rsidR="00C74FB7" w:rsidRPr="00F658A9">
              <w:rPr>
                <w:sz w:val="20"/>
                <w:szCs w:val="20"/>
              </w:rPr>
              <w:t xml:space="preserve">e evidence of work to </w:t>
            </w:r>
            <w:r w:rsidR="002160FF" w:rsidRPr="00F658A9">
              <w:rPr>
                <w:sz w:val="20"/>
                <w:szCs w:val="20"/>
              </w:rPr>
              <w:t xml:space="preserve">identify investments </w:t>
            </w:r>
            <w:r w:rsidR="00F43371" w:rsidRPr="00F658A9">
              <w:rPr>
                <w:sz w:val="20"/>
                <w:szCs w:val="20"/>
              </w:rPr>
              <w:t>in all of SIP-LA’s countries</w:t>
            </w:r>
            <w:r w:rsidR="00542880">
              <w:rPr>
                <w:sz w:val="20"/>
                <w:szCs w:val="20"/>
              </w:rPr>
              <w:t xml:space="preserve">, including Peru, </w:t>
            </w:r>
            <w:r w:rsidR="00C74FB7" w:rsidRPr="00F658A9">
              <w:rPr>
                <w:sz w:val="20"/>
                <w:szCs w:val="20"/>
              </w:rPr>
              <w:t xml:space="preserve">at </w:t>
            </w:r>
            <w:r w:rsidR="002160FF" w:rsidRPr="00F658A9">
              <w:rPr>
                <w:sz w:val="20"/>
                <w:szCs w:val="20"/>
              </w:rPr>
              <w:t xml:space="preserve">investment </w:t>
            </w:r>
            <w:r w:rsidR="00C74FB7" w:rsidRPr="00F658A9">
              <w:rPr>
                <w:sz w:val="20"/>
                <w:szCs w:val="20"/>
              </w:rPr>
              <w:t>pipeline meetings with BEIS</w:t>
            </w:r>
            <w:r w:rsidR="00F43371" w:rsidRPr="00F658A9">
              <w:rPr>
                <w:sz w:val="20"/>
                <w:szCs w:val="20"/>
              </w:rPr>
              <w:t>.</w:t>
            </w:r>
          </w:p>
        </w:tc>
        <w:tc>
          <w:tcPr>
            <w:tcW w:w="915" w:type="pct"/>
            <w:tcBorders>
              <w:top w:val="single" w:sz="4" w:space="0" w:color="auto"/>
              <w:left w:val="single" w:sz="4" w:space="0" w:color="auto"/>
              <w:bottom w:val="single" w:sz="4" w:space="0" w:color="auto"/>
              <w:right w:val="single" w:sz="4" w:space="0" w:color="auto"/>
            </w:tcBorders>
          </w:tcPr>
          <w:p w14:paraId="4F8CA822" w14:textId="1418EB9D" w:rsidR="00E328A3" w:rsidRPr="002160FF" w:rsidRDefault="002160FF" w:rsidP="005B2259">
            <w:pPr>
              <w:tabs>
                <w:tab w:val="left" w:pos="6915"/>
                <w:tab w:val="left" w:pos="9495"/>
              </w:tabs>
              <w:spacing w:after="120"/>
              <w:rPr>
                <w:sz w:val="20"/>
                <w:szCs w:val="20"/>
              </w:rPr>
            </w:pPr>
            <w:r w:rsidRPr="002160FF">
              <w:rPr>
                <w:sz w:val="20"/>
                <w:szCs w:val="20"/>
              </w:rPr>
              <w:t>31</w:t>
            </w:r>
            <w:r w:rsidRPr="002160FF">
              <w:rPr>
                <w:sz w:val="20"/>
                <w:szCs w:val="20"/>
                <w:vertAlign w:val="superscript"/>
              </w:rPr>
              <w:t>st</w:t>
            </w:r>
            <w:r w:rsidRPr="002160FF">
              <w:rPr>
                <w:sz w:val="20"/>
                <w:szCs w:val="20"/>
              </w:rPr>
              <w:t xml:space="preserve"> Dec 2021</w:t>
            </w:r>
          </w:p>
        </w:tc>
      </w:tr>
      <w:tr w:rsidR="001E24FF" w:rsidRPr="00047311" w14:paraId="349AB175" w14:textId="77777777" w:rsidTr="007C123B">
        <w:tc>
          <w:tcPr>
            <w:tcW w:w="4085" w:type="pct"/>
            <w:tcBorders>
              <w:top w:val="single" w:sz="4" w:space="0" w:color="auto"/>
              <w:left w:val="single" w:sz="4" w:space="0" w:color="auto"/>
              <w:bottom w:val="single" w:sz="4" w:space="0" w:color="auto"/>
              <w:right w:val="single" w:sz="4" w:space="0" w:color="auto"/>
            </w:tcBorders>
          </w:tcPr>
          <w:p w14:paraId="135F3CE8" w14:textId="77777777" w:rsidR="001E24FF" w:rsidRDefault="001E24FF" w:rsidP="005B2259">
            <w:pPr>
              <w:tabs>
                <w:tab w:val="left" w:pos="6915"/>
                <w:tab w:val="left" w:pos="9495"/>
              </w:tabs>
              <w:rPr>
                <w:b/>
                <w:bCs/>
                <w:sz w:val="20"/>
                <w:szCs w:val="20"/>
              </w:rPr>
            </w:pPr>
            <w:r>
              <w:rPr>
                <w:b/>
                <w:bCs/>
                <w:sz w:val="20"/>
                <w:szCs w:val="20"/>
              </w:rPr>
              <w:t xml:space="preserve">R2 </w:t>
            </w:r>
            <w:r w:rsidR="00190B17">
              <w:rPr>
                <w:b/>
                <w:bCs/>
                <w:sz w:val="20"/>
                <w:szCs w:val="20"/>
              </w:rPr>
              <w:t>–</w:t>
            </w:r>
            <w:r>
              <w:rPr>
                <w:b/>
                <w:bCs/>
                <w:sz w:val="20"/>
                <w:szCs w:val="20"/>
              </w:rPr>
              <w:t xml:space="preserve"> </w:t>
            </w:r>
            <w:r w:rsidR="00190B17">
              <w:rPr>
                <w:b/>
                <w:bCs/>
                <w:sz w:val="20"/>
                <w:szCs w:val="20"/>
              </w:rPr>
              <w:t>Delivery:</w:t>
            </w:r>
          </w:p>
          <w:p w14:paraId="321E670A" w14:textId="3EB2C931" w:rsidR="002138B5" w:rsidRPr="00A4739A" w:rsidRDefault="002160FF" w:rsidP="001C35D1">
            <w:pPr>
              <w:tabs>
                <w:tab w:val="left" w:pos="6915"/>
                <w:tab w:val="left" w:pos="9495"/>
              </w:tabs>
              <w:spacing w:after="120"/>
              <w:rPr>
                <w:sz w:val="20"/>
                <w:szCs w:val="20"/>
              </w:rPr>
            </w:pPr>
            <w:r>
              <w:rPr>
                <w:sz w:val="20"/>
                <w:szCs w:val="20"/>
              </w:rPr>
              <w:t xml:space="preserve">IDB to </w:t>
            </w:r>
            <w:r w:rsidR="00A07583">
              <w:rPr>
                <w:sz w:val="20"/>
                <w:szCs w:val="20"/>
              </w:rPr>
              <w:t>produce</w:t>
            </w:r>
            <w:r w:rsidR="006851FC">
              <w:rPr>
                <w:sz w:val="20"/>
                <w:szCs w:val="20"/>
              </w:rPr>
              <w:t xml:space="preserve"> technical assistance programming proposals that </w:t>
            </w:r>
            <w:r w:rsidR="003551BF">
              <w:rPr>
                <w:sz w:val="20"/>
                <w:szCs w:val="20"/>
              </w:rPr>
              <w:t>demonstrate SIP-LA’s</w:t>
            </w:r>
            <w:r w:rsidR="00157CF3">
              <w:rPr>
                <w:sz w:val="20"/>
                <w:szCs w:val="20"/>
              </w:rPr>
              <w:t xml:space="preserve"> </w:t>
            </w:r>
            <w:r w:rsidR="003551BF">
              <w:rPr>
                <w:sz w:val="20"/>
                <w:szCs w:val="20"/>
              </w:rPr>
              <w:t>focus on delivering</w:t>
            </w:r>
            <w:r w:rsidR="00157CF3">
              <w:rPr>
                <w:sz w:val="20"/>
                <w:szCs w:val="20"/>
              </w:rPr>
              <w:t xml:space="preserve"> </w:t>
            </w:r>
            <w:r w:rsidR="003551BF">
              <w:rPr>
                <w:sz w:val="20"/>
                <w:szCs w:val="20"/>
              </w:rPr>
              <w:t xml:space="preserve">emissions reductions and </w:t>
            </w:r>
            <w:r w:rsidR="006851FC">
              <w:rPr>
                <w:sz w:val="20"/>
                <w:szCs w:val="20"/>
              </w:rPr>
              <w:t>address</w:t>
            </w:r>
            <w:r w:rsidR="003551BF">
              <w:rPr>
                <w:sz w:val="20"/>
                <w:szCs w:val="20"/>
              </w:rPr>
              <w:t>ing</w:t>
            </w:r>
            <w:r w:rsidR="006851FC">
              <w:rPr>
                <w:sz w:val="20"/>
                <w:szCs w:val="20"/>
              </w:rPr>
              <w:t xml:space="preserve"> market barriers </w:t>
            </w:r>
            <w:r w:rsidR="00A07583">
              <w:rPr>
                <w:sz w:val="20"/>
                <w:szCs w:val="20"/>
              </w:rPr>
              <w:t>in</w:t>
            </w:r>
            <w:r w:rsidR="006851FC">
              <w:rPr>
                <w:sz w:val="20"/>
                <w:szCs w:val="20"/>
              </w:rPr>
              <w:t xml:space="preserve"> SIP-LA</w:t>
            </w:r>
            <w:r w:rsidR="00A07583">
              <w:rPr>
                <w:sz w:val="20"/>
                <w:szCs w:val="20"/>
              </w:rPr>
              <w:t>’s more challenging investment markets</w:t>
            </w:r>
            <w:r w:rsidR="00040389">
              <w:rPr>
                <w:sz w:val="20"/>
                <w:szCs w:val="20"/>
              </w:rPr>
              <w:t>.</w:t>
            </w:r>
          </w:p>
        </w:tc>
        <w:tc>
          <w:tcPr>
            <w:tcW w:w="915" w:type="pct"/>
            <w:tcBorders>
              <w:top w:val="single" w:sz="4" w:space="0" w:color="auto"/>
              <w:left w:val="single" w:sz="4" w:space="0" w:color="auto"/>
              <w:bottom w:val="single" w:sz="4" w:space="0" w:color="auto"/>
              <w:right w:val="single" w:sz="4" w:space="0" w:color="auto"/>
            </w:tcBorders>
          </w:tcPr>
          <w:p w14:paraId="5363BEC7" w14:textId="024FB09E" w:rsidR="001E24FF" w:rsidRPr="002160FF" w:rsidRDefault="00844355" w:rsidP="005B2259">
            <w:pPr>
              <w:tabs>
                <w:tab w:val="left" w:pos="6915"/>
                <w:tab w:val="left" w:pos="9495"/>
              </w:tabs>
              <w:spacing w:after="120"/>
              <w:rPr>
                <w:sz w:val="20"/>
                <w:szCs w:val="20"/>
              </w:rPr>
            </w:pPr>
            <w:r w:rsidRPr="002160FF">
              <w:rPr>
                <w:sz w:val="20"/>
                <w:szCs w:val="20"/>
              </w:rPr>
              <w:t>31</w:t>
            </w:r>
            <w:r w:rsidRPr="002160FF">
              <w:rPr>
                <w:sz w:val="20"/>
                <w:szCs w:val="20"/>
                <w:vertAlign w:val="superscript"/>
              </w:rPr>
              <w:t>st</w:t>
            </w:r>
            <w:r w:rsidRPr="002160FF">
              <w:rPr>
                <w:sz w:val="20"/>
                <w:szCs w:val="20"/>
              </w:rPr>
              <w:t xml:space="preserve"> Dec 2021</w:t>
            </w:r>
          </w:p>
        </w:tc>
      </w:tr>
      <w:tr w:rsidR="00190B17" w:rsidRPr="00047311" w14:paraId="5C0864AB" w14:textId="77777777" w:rsidTr="007C123B">
        <w:tc>
          <w:tcPr>
            <w:tcW w:w="4085" w:type="pct"/>
            <w:tcBorders>
              <w:top w:val="single" w:sz="4" w:space="0" w:color="auto"/>
              <w:left w:val="single" w:sz="4" w:space="0" w:color="auto"/>
              <w:bottom w:val="single" w:sz="4" w:space="0" w:color="auto"/>
              <w:right w:val="single" w:sz="4" w:space="0" w:color="auto"/>
            </w:tcBorders>
          </w:tcPr>
          <w:p w14:paraId="6BFBA7E0" w14:textId="2D20C74A" w:rsidR="00190B17" w:rsidRDefault="00190B17" w:rsidP="00513E41">
            <w:pPr>
              <w:keepNext/>
              <w:tabs>
                <w:tab w:val="left" w:pos="6915"/>
                <w:tab w:val="left" w:pos="9495"/>
              </w:tabs>
              <w:rPr>
                <w:b/>
                <w:bCs/>
                <w:sz w:val="20"/>
                <w:szCs w:val="20"/>
              </w:rPr>
            </w:pPr>
            <w:r>
              <w:rPr>
                <w:b/>
                <w:bCs/>
                <w:sz w:val="20"/>
                <w:szCs w:val="20"/>
              </w:rPr>
              <w:lastRenderedPageBreak/>
              <w:t xml:space="preserve">R3 </w:t>
            </w:r>
            <w:r w:rsidR="00D13077">
              <w:rPr>
                <w:b/>
                <w:bCs/>
                <w:sz w:val="20"/>
                <w:szCs w:val="20"/>
              </w:rPr>
              <w:t>–</w:t>
            </w:r>
            <w:r>
              <w:rPr>
                <w:b/>
                <w:bCs/>
                <w:sz w:val="20"/>
                <w:szCs w:val="20"/>
              </w:rPr>
              <w:t xml:space="preserve"> </w:t>
            </w:r>
            <w:r w:rsidR="00D13077">
              <w:rPr>
                <w:b/>
                <w:bCs/>
                <w:sz w:val="20"/>
                <w:szCs w:val="20"/>
              </w:rPr>
              <w:t>Governance</w:t>
            </w:r>
            <w:r w:rsidRPr="00501533">
              <w:rPr>
                <w:b/>
                <w:bCs/>
                <w:sz w:val="20"/>
                <w:szCs w:val="20"/>
              </w:rPr>
              <w:t xml:space="preserve"> </w:t>
            </w:r>
          </w:p>
          <w:p w14:paraId="42C61883" w14:textId="1194317E" w:rsidR="00D13077" w:rsidRPr="00A4739A" w:rsidRDefault="00040389" w:rsidP="00EA771E">
            <w:pPr>
              <w:tabs>
                <w:tab w:val="left" w:pos="6915"/>
                <w:tab w:val="left" w:pos="9495"/>
              </w:tabs>
              <w:spacing w:after="120"/>
              <w:rPr>
                <w:sz w:val="20"/>
                <w:szCs w:val="20"/>
              </w:rPr>
            </w:pPr>
            <w:r>
              <w:rPr>
                <w:sz w:val="20"/>
                <w:szCs w:val="20"/>
              </w:rPr>
              <w:t xml:space="preserve">BEIS and IDB to finalise discussions on SIP-LA milestones for the remainder of the programme, </w:t>
            </w:r>
            <w:r w:rsidR="006A6E05">
              <w:rPr>
                <w:sz w:val="20"/>
                <w:szCs w:val="20"/>
              </w:rPr>
              <w:t xml:space="preserve">and to update the programme financial and payment schedules. </w:t>
            </w:r>
          </w:p>
        </w:tc>
        <w:tc>
          <w:tcPr>
            <w:tcW w:w="915" w:type="pct"/>
            <w:tcBorders>
              <w:top w:val="single" w:sz="4" w:space="0" w:color="auto"/>
              <w:left w:val="single" w:sz="4" w:space="0" w:color="auto"/>
              <w:bottom w:val="single" w:sz="4" w:space="0" w:color="auto"/>
              <w:right w:val="single" w:sz="4" w:space="0" w:color="auto"/>
            </w:tcBorders>
          </w:tcPr>
          <w:p w14:paraId="44A72A23" w14:textId="274C3598" w:rsidR="00190B17" w:rsidRPr="002160FF" w:rsidRDefault="0016013A" w:rsidP="005B2259">
            <w:pPr>
              <w:tabs>
                <w:tab w:val="left" w:pos="6915"/>
                <w:tab w:val="left" w:pos="9495"/>
              </w:tabs>
              <w:spacing w:after="120"/>
              <w:rPr>
                <w:sz w:val="20"/>
                <w:szCs w:val="20"/>
              </w:rPr>
            </w:pPr>
            <w:r w:rsidRPr="002160FF">
              <w:rPr>
                <w:sz w:val="20"/>
                <w:szCs w:val="20"/>
              </w:rPr>
              <w:t>31</w:t>
            </w:r>
            <w:r w:rsidRPr="002160FF">
              <w:rPr>
                <w:sz w:val="20"/>
                <w:szCs w:val="20"/>
                <w:vertAlign w:val="superscript"/>
              </w:rPr>
              <w:t>st</w:t>
            </w:r>
            <w:r w:rsidRPr="002160FF">
              <w:rPr>
                <w:sz w:val="20"/>
                <w:szCs w:val="20"/>
              </w:rPr>
              <w:t xml:space="preserve"> Dec 2021</w:t>
            </w:r>
          </w:p>
        </w:tc>
      </w:tr>
      <w:tr w:rsidR="00A4739A" w:rsidRPr="00047311" w14:paraId="7797B0FB" w14:textId="77777777" w:rsidTr="007C123B">
        <w:tc>
          <w:tcPr>
            <w:tcW w:w="4085" w:type="pct"/>
            <w:tcBorders>
              <w:top w:val="single" w:sz="4" w:space="0" w:color="auto"/>
              <w:left w:val="single" w:sz="4" w:space="0" w:color="auto"/>
              <w:bottom w:val="single" w:sz="4" w:space="0" w:color="auto"/>
              <w:right w:val="single" w:sz="4" w:space="0" w:color="auto"/>
            </w:tcBorders>
          </w:tcPr>
          <w:p w14:paraId="0FDC7272" w14:textId="77777777" w:rsidR="00A4739A" w:rsidRDefault="00A4739A" w:rsidP="00D90E51">
            <w:pPr>
              <w:keepNext/>
              <w:tabs>
                <w:tab w:val="left" w:pos="6915"/>
                <w:tab w:val="left" w:pos="9495"/>
              </w:tabs>
              <w:rPr>
                <w:b/>
                <w:bCs/>
                <w:sz w:val="20"/>
                <w:szCs w:val="20"/>
              </w:rPr>
            </w:pPr>
            <w:r>
              <w:rPr>
                <w:b/>
                <w:bCs/>
                <w:sz w:val="20"/>
                <w:szCs w:val="20"/>
              </w:rPr>
              <w:t xml:space="preserve">R4 </w:t>
            </w:r>
            <w:r w:rsidR="00806AB5">
              <w:rPr>
                <w:b/>
                <w:bCs/>
                <w:sz w:val="20"/>
                <w:szCs w:val="20"/>
              </w:rPr>
              <w:t>–</w:t>
            </w:r>
            <w:r>
              <w:rPr>
                <w:b/>
                <w:bCs/>
                <w:sz w:val="20"/>
                <w:szCs w:val="20"/>
              </w:rPr>
              <w:t xml:space="preserve"> </w:t>
            </w:r>
            <w:r w:rsidR="00806AB5">
              <w:rPr>
                <w:b/>
                <w:bCs/>
                <w:sz w:val="20"/>
                <w:szCs w:val="20"/>
              </w:rPr>
              <w:t>Monitoring and Evaluation</w:t>
            </w:r>
          </w:p>
          <w:p w14:paraId="01083E59" w14:textId="5770322B" w:rsidR="001C35D1" w:rsidRPr="001C35D1" w:rsidRDefault="006A6E05" w:rsidP="001C35D1">
            <w:pPr>
              <w:tabs>
                <w:tab w:val="left" w:pos="6915"/>
                <w:tab w:val="left" w:pos="9495"/>
              </w:tabs>
              <w:spacing w:after="120"/>
              <w:rPr>
                <w:sz w:val="20"/>
                <w:szCs w:val="20"/>
              </w:rPr>
            </w:pPr>
            <w:r>
              <w:rPr>
                <w:sz w:val="20"/>
                <w:szCs w:val="20"/>
              </w:rPr>
              <w:t xml:space="preserve">BEIS and IDB to </w:t>
            </w:r>
            <w:r w:rsidR="00925018">
              <w:rPr>
                <w:sz w:val="20"/>
                <w:szCs w:val="20"/>
              </w:rPr>
              <w:t xml:space="preserve">agree </w:t>
            </w:r>
            <w:r w:rsidR="009B16BE">
              <w:rPr>
                <w:sz w:val="20"/>
                <w:szCs w:val="20"/>
              </w:rPr>
              <w:t xml:space="preserve">additional </w:t>
            </w:r>
            <w:r w:rsidR="00925018">
              <w:rPr>
                <w:sz w:val="20"/>
                <w:szCs w:val="20"/>
              </w:rPr>
              <w:t xml:space="preserve">reporting metrics </w:t>
            </w:r>
            <w:r w:rsidR="009B16BE">
              <w:rPr>
                <w:sz w:val="20"/>
                <w:szCs w:val="20"/>
              </w:rPr>
              <w:t xml:space="preserve">for SIP-LA’s Annual Report that </w:t>
            </w:r>
            <w:r w:rsidR="00925018">
              <w:rPr>
                <w:sz w:val="20"/>
                <w:szCs w:val="20"/>
              </w:rPr>
              <w:t>better captur</w:t>
            </w:r>
            <w:r w:rsidR="009B16BE">
              <w:rPr>
                <w:sz w:val="20"/>
                <w:szCs w:val="20"/>
              </w:rPr>
              <w:t>e</w:t>
            </w:r>
            <w:r w:rsidR="00925018">
              <w:rPr>
                <w:sz w:val="20"/>
                <w:szCs w:val="20"/>
              </w:rPr>
              <w:t xml:space="preserve"> SIP-LA’s full value, including its </w:t>
            </w:r>
            <w:r w:rsidR="00D74E39">
              <w:rPr>
                <w:sz w:val="20"/>
                <w:szCs w:val="20"/>
              </w:rPr>
              <w:t>role in delivering UK climate objectives, enabling wider IDB climate work, and improv</w:t>
            </w:r>
            <w:r w:rsidR="009B16BE">
              <w:rPr>
                <w:sz w:val="20"/>
                <w:szCs w:val="20"/>
              </w:rPr>
              <w:t>ing</w:t>
            </w:r>
            <w:r w:rsidR="00D74E39">
              <w:rPr>
                <w:sz w:val="20"/>
                <w:szCs w:val="20"/>
              </w:rPr>
              <w:t xml:space="preserve"> gender outcomes.</w:t>
            </w:r>
          </w:p>
        </w:tc>
        <w:tc>
          <w:tcPr>
            <w:tcW w:w="915" w:type="pct"/>
            <w:tcBorders>
              <w:top w:val="single" w:sz="4" w:space="0" w:color="auto"/>
              <w:left w:val="single" w:sz="4" w:space="0" w:color="auto"/>
              <w:bottom w:val="single" w:sz="4" w:space="0" w:color="auto"/>
              <w:right w:val="single" w:sz="4" w:space="0" w:color="auto"/>
            </w:tcBorders>
          </w:tcPr>
          <w:p w14:paraId="344C8BB0" w14:textId="22DD00A2" w:rsidR="00A4739A" w:rsidRPr="004E4E90" w:rsidRDefault="004E4E90" w:rsidP="005B2259">
            <w:pPr>
              <w:tabs>
                <w:tab w:val="left" w:pos="6915"/>
                <w:tab w:val="left" w:pos="9495"/>
              </w:tabs>
              <w:spacing w:after="120"/>
              <w:rPr>
                <w:sz w:val="20"/>
                <w:szCs w:val="20"/>
              </w:rPr>
            </w:pPr>
            <w:r w:rsidRPr="004E4E90">
              <w:rPr>
                <w:sz w:val="20"/>
                <w:szCs w:val="20"/>
              </w:rPr>
              <w:t>31</w:t>
            </w:r>
            <w:r w:rsidRPr="004E4E90">
              <w:rPr>
                <w:sz w:val="20"/>
                <w:szCs w:val="20"/>
                <w:vertAlign w:val="superscript"/>
              </w:rPr>
              <w:t>st</w:t>
            </w:r>
            <w:r w:rsidRPr="004E4E90">
              <w:rPr>
                <w:sz w:val="20"/>
                <w:szCs w:val="20"/>
              </w:rPr>
              <w:t xml:space="preserve"> Dec 2021</w:t>
            </w:r>
          </w:p>
        </w:tc>
      </w:tr>
      <w:tr w:rsidR="004E4E90" w:rsidRPr="00047311" w14:paraId="160C4191" w14:textId="77777777" w:rsidTr="007C123B">
        <w:tc>
          <w:tcPr>
            <w:tcW w:w="4085" w:type="pct"/>
            <w:tcBorders>
              <w:top w:val="single" w:sz="4" w:space="0" w:color="auto"/>
              <w:left w:val="single" w:sz="4" w:space="0" w:color="auto"/>
              <w:bottom w:val="single" w:sz="4" w:space="0" w:color="auto"/>
              <w:right w:val="single" w:sz="4" w:space="0" w:color="auto"/>
            </w:tcBorders>
          </w:tcPr>
          <w:p w14:paraId="23324387" w14:textId="0C968653" w:rsidR="004E4E90" w:rsidRDefault="004E4E90" w:rsidP="004E4E90">
            <w:pPr>
              <w:tabs>
                <w:tab w:val="left" w:pos="6915"/>
                <w:tab w:val="left" w:pos="9495"/>
              </w:tabs>
              <w:rPr>
                <w:b/>
                <w:bCs/>
                <w:sz w:val="20"/>
                <w:szCs w:val="20"/>
              </w:rPr>
            </w:pPr>
            <w:r>
              <w:rPr>
                <w:b/>
                <w:bCs/>
                <w:sz w:val="20"/>
                <w:szCs w:val="20"/>
              </w:rPr>
              <w:t>R5 – Communications</w:t>
            </w:r>
          </w:p>
          <w:p w14:paraId="0A548AEB" w14:textId="40E13268" w:rsidR="004E4E90" w:rsidRPr="001A1E78" w:rsidRDefault="004E4E90" w:rsidP="004E4E90">
            <w:pPr>
              <w:tabs>
                <w:tab w:val="left" w:pos="6915"/>
                <w:tab w:val="left" w:pos="9495"/>
              </w:tabs>
              <w:spacing w:after="120"/>
              <w:rPr>
                <w:sz w:val="20"/>
                <w:szCs w:val="20"/>
              </w:rPr>
            </w:pPr>
            <w:r>
              <w:rPr>
                <w:sz w:val="20"/>
                <w:szCs w:val="20"/>
              </w:rPr>
              <w:t xml:space="preserve">BEIS and IDB to agree and implement a SIP-LA communications plan in line with the SIP-LA communication strategy, </w:t>
            </w:r>
            <w:r w:rsidR="00030518">
              <w:rPr>
                <w:sz w:val="20"/>
                <w:szCs w:val="20"/>
              </w:rPr>
              <w:t>to include better</w:t>
            </w:r>
            <w:r>
              <w:rPr>
                <w:sz w:val="20"/>
                <w:szCs w:val="20"/>
              </w:rPr>
              <w:t xml:space="preserve"> disseminat</w:t>
            </w:r>
            <w:r w:rsidR="00030518">
              <w:rPr>
                <w:sz w:val="20"/>
                <w:szCs w:val="20"/>
              </w:rPr>
              <w:t xml:space="preserve">ion of SIP-LA outputs (incl. publications) and </w:t>
            </w:r>
            <w:r w:rsidR="00005C1B">
              <w:rPr>
                <w:sz w:val="20"/>
                <w:szCs w:val="20"/>
              </w:rPr>
              <w:t>promotes learning and visibility at COP26</w:t>
            </w:r>
            <w:r w:rsidR="008D0E26">
              <w:rPr>
                <w:sz w:val="20"/>
                <w:szCs w:val="20"/>
              </w:rPr>
              <w:t>.</w:t>
            </w:r>
            <w:r>
              <w:rPr>
                <w:sz w:val="20"/>
                <w:szCs w:val="20"/>
              </w:rPr>
              <w:t xml:space="preserve"> </w:t>
            </w:r>
          </w:p>
        </w:tc>
        <w:tc>
          <w:tcPr>
            <w:tcW w:w="915" w:type="pct"/>
            <w:tcBorders>
              <w:top w:val="single" w:sz="4" w:space="0" w:color="auto"/>
              <w:left w:val="single" w:sz="4" w:space="0" w:color="auto"/>
              <w:bottom w:val="single" w:sz="4" w:space="0" w:color="auto"/>
              <w:right w:val="single" w:sz="4" w:space="0" w:color="auto"/>
            </w:tcBorders>
          </w:tcPr>
          <w:p w14:paraId="686216A9" w14:textId="1D2CAA37" w:rsidR="004E4E90" w:rsidRPr="004E4E90" w:rsidRDefault="004E4E90" w:rsidP="004E4E90">
            <w:pPr>
              <w:tabs>
                <w:tab w:val="left" w:pos="6915"/>
                <w:tab w:val="left" w:pos="9495"/>
              </w:tabs>
              <w:spacing w:after="120"/>
              <w:rPr>
                <w:sz w:val="20"/>
                <w:szCs w:val="20"/>
              </w:rPr>
            </w:pPr>
            <w:r w:rsidRPr="002160FF">
              <w:rPr>
                <w:sz w:val="20"/>
                <w:szCs w:val="20"/>
              </w:rPr>
              <w:t>3</w:t>
            </w:r>
            <w:r w:rsidR="00005C1B">
              <w:rPr>
                <w:sz w:val="20"/>
                <w:szCs w:val="20"/>
              </w:rPr>
              <w:t>0</w:t>
            </w:r>
            <w:r w:rsidR="00005C1B" w:rsidRPr="00005C1B">
              <w:rPr>
                <w:sz w:val="20"/>
                <w:szCs w:val="20"/>
                <w:vertAlign w:val="superscript"/>
              </w:rPr>
              <w:t>th</w:t>
            </w:r>
            <w:r w:rsidR="00005C1B">
              <w:rPr>
                <w:sz w:val="20"/>
                <w:szCs w:val="20"/>
              </w:rPr>
              <w:t xml:space="preserve"> Nov </w:t>
            </w:r>
            <w:r w:rsidRPr="002160FF">
              <w:rPr>
                <w:sz w:val="20"/>
                <w:szCs w:val="20"/>
              </w:rPr>
              <w:t>2021</w:t>
            </w:r>
          </w:p>
        </w:tc>
      </w:tr>
    </w:tbl>
    <w:p w14:paraId="3ECC1C98" w14:textId="77777777" w:rsidR="00362E00" w:rsidRPr="006E0F0D" w:rsidRDefault="00362E00" w:rsidP="00362E00">
      <w:pPr>
        <w:tabs>
          <w:tab w:val="left" w:pos="6915"/>
          <w:tab w:val="left" w:pos="9495"/>
        </w:tabs>
        <w:spacing w:before="120" w:after="120"/>
        <w:jc w:val="both"/>
        <w:rPr>
          <w:rFonts w:cs="Arial"/>
          <w:bCs/>
          <w:sz w:val="2"/>
          <w:szCs w:val="2"/>
        </w:rPr>
      </w:pPr>
    </w:p>
    <w:p w14:paraId="0641B431" w14:textId="6EFA5960" w:rsidR="003D222C" w:rsidRPr="006778A3" w:rsidRDefault="003D222C" w:rsidP="00BC1BCC">
      <w:pPr>
        <w:pStyle w:val="Heading2"/>
        <w:keepNext/>
        <w:pBdr>
          <w:top w:val="single" w:sz="4" w:space="1" w:color="auto"/>
          <w:left w:val="single" w:sz="4" w:space="4" w:color="auto"/>
          <w:bottom w:val="single" w:sz="4" w:space="1" w:color="auto"/>
          <w:right w:val="single" w:sz="4" w:space="4" w:color="auto"/>
        </w:pBdr>
        <w:shd w:val="clear" w:color="auto" w:fill="D9E2F3" w:themeFill="accent1" w:themeFillTint="33"/>
        <w:spacing w:before="0" w:after="120"/>
        <w:rPr>
          <w:rFonts w:cs="Arial"/>
          <w:b w:val="0"/>
          <w:i w:val="0"/>
          <w:sz w:val="22"/>
          <w:szCs w:val="22"/>
        </w:rPr>
      </w:pPr>
      <w:r w:rsidRPr="006778A3">
        <w:rPr>
          <w:rFonts w:cs="Arial"/>
          <w:i w:val="0"/>
          <w:sz w:val="22"/>
          <w:szCs w:val="22"/>
        </w:rPr>
        <w:t xml:space="preserve">B: THEORY OF CHANGE AND PROGRESS TOWARDS OUTCOMES </w:t>
      </w:r>
    </w:p>
    <w:p w14:paraId="6B6F17B2" w14:textId="5DB9EAF9" w:rsidR="00C3402C" w:rsidRPr="00255B32" w:rsidRDefault="00E35609" w:rsidP="00255B32">
      <w:pPr>
        <w:spacing w:after="120"/>
        <w:jc w:val="both"/>
        <w:textAlignment w:val="baseline"/>
        <w:rPr>
          <w:rFonts w:eastAsia="Arial" w:cs="Arial"/>
          <w:sz w:val="22"/>
          <w:szCs w:val="22"/>
          <w:lang w:eastAsia="en-GB"/>
        </w:rPr>
      </w:pPr>
      <w:r w:rsidRPr="00255B32">
        <w:rPr>
          <w:rFonts w:eastAsia="Arial" w:cs="Arial"/>
          <w:sz w:val="22"/>
          <w:szCs w:val="22"/>
          <w:lang w:eastAsia="en-GB"/>
        </w:rPr>
        <w:t xml:space="preserve">SIP-LA </w:t>
      </w:r>
      <w:r w:rsidR="009018A7" w:rsidRPr="00255B32">
        <w:rPr>
          <w:rFonts w:eastAsia="Arial" w:cs="Arial"/>
          <w:sz w:val="22"/>
          <w:szCs w:val="22"/>
          <w:lang w:eastAsia="en-GB"/>
        </w:rPr>
        <w:t>increase</w:t>
      </w:r>
      <w:r w:rsidR="00455C67">
        <w:rPr>
          <w:rFonts w:eastAsia="Arial" w:cs="Arial"/>
          <w:sz w:val="22"/>
          <w:szCs w:val="22"/>
          <w:lang w:eastAsia="en-GB"/>
        </w:rPr>
        <w:t>s</w:t>
      </w:r>
      <w:r w:rsidR="009018A7" w:rsidRPr="00255B32">
        <w:rPr>
          <w:rFonts w:eastAsia="Arial" w:cs="Arial"/>
          <w:sz w:val="22"/>
          <w:szCs w:val="22"/>
          <w:lang w:eastAsia="en-GB"/>
        </w:rPr>
        <w:t xml:space="preserve"> private sector investment in </w:t>
      </w:r>
      <w:r w:rsidR="006E1025" w:rsidRPr="00255B32">
        <w:rPr>
          <w:rFonts w:eastAsia="Arial" w:cs="Arial"/>
          <w:sz w:val="22"/>
          <w:szCs w:val="22"/>
          <w:lang w:eastAsia="en-GB"/>
        </w:rPr>
        <w:t xml:space="preserve">sustainable infrastructure </w:t>
      </w:r>
      <w:r w:rsidR="00960F0C" w:rsidRPr="00255B32">
        <w:rPr>
          <w:rFonts w:eastAsia="Arial" w:cs="Arial"/>
          <w:sz w:val="22"/>
          <w:szCs w:val="22"/>
          <w:lang w:eastAsia="en-GB"/>
        </w:rPr>
        <w:t>projects in Brazil, Colombia, Mexico and Peru</w:t>
      </w:r>
      <w:r w:rsidR="00455C67">
        <w:rPr>
          <w:rFonts w:eastAsia="Arial" w:cs="Arial"/>
          <w:sz w:val="22"/>
          <w:szCs w:val="22"/>
          <w:lang w:eastAsia="en-GB"/>
        </w:rPr>
        <w:t xml:space="preserve"> </w:t>
      </w:r>
      <w:r w:rsidR="00DC4A46" w:rsidRPr="00255B32">
        <w:rPr>
          <w:rFonts w:eastAsia="Arial" w:cs="Arial"/>
          <w:sz w:val="22"/>
          <w:szCs w:val="22"/>
          <w:lang w:eastAsia="en-GB"/>
        </w:rPr>
        <w:t xml:space="preserve">by addressing market barriers that </w:t>
      </w:r>
      <w:r w:rsidR="000E5C2B">
        <w:rPr>
          <w:rFonts w:eastAsia="Arial" w:cs="Arial"/>
          <w:sz w:val="22"/>
          <w:szCs w:val="22"/>
          <w:lang w:eastAsia="en-GB"/>
        </w:rPr>
        <w:t>inhibit</w:t>
      </w:r>
      <w:r w:rsidR="00DC4A46" w:rsidRPr="00255B32">
        <w:rPr>
          <w:rFonts w:eastAsia="Arial" w:cs="Arial"/>
          <w:sz w:val="22"/>
          <w:szCs w:val="22"/>
          <w:lang w:eastAsia="en-GB"/>
        </w:rPr>
        <w:t xml:space="preserve"> access to </w:t>
      </w:r>
      <w:r w:rsidR="000E5C2B">
        <w:rPr>
          <w:rFonts w:eastAsia="Arial" w:cs="Arial"/>
          <w:sz w:val="22"/>
          <w:szCs w:val="22"/>
          <w:lang w:eastAsia="en-GB"/>
        </w:rPr>
        <w:t xml:space="preserve">global </w:t>
      </w:r>
      <w:r w:rsidR="00DC4A46" w:rsidRPr="00255B32">
        <w:rPr>
          <w:rFonts w:eastAsia="Arial" w:cs="Arial"/>
          <w:sz w:val="22"/>
          <w:szCs w:val="22"/>
          <w:lang w:eastAsia="en-GB"/>
        </w:rPr>
        <w:t>capital markets</w:t>
      </w:r>
      <w:r w:rsidR="000E5C2B">
        <w:rPr>
          <w:rFonts w:eastAsia="Arial" w:cs="Arial"/>
          <w:sz w:val="22"/>
          <w:szCs w:val="22"/>
          <w:lang w:eastAsia="en-GB"/>
        </w:rPr>
        <w:t xml:space="preserve"> for sustainable in</w:t>
      </w:r>
      <w:r w:rsidR="00F70EEB">
        <w:rPr>
          <w:rFonts w:eastAsia="Arial" w:cs="Arial"/>
          <w:sz w:val="22"/>
          <w:szCs w:val="22"/>
          <w:lang w:eastAsia="en-GB"/>
        </w:rPr>
        <w:t>frastructure</w:t>
      </w:r>
      <w:r w:rsidR="00455C67">
        <w:rPr>
          <w:rFonts w:eastAsia="Arial" w:cs="Arial"/>
          <w:sz w:val="22"/>
          <w:szCs w:val="22"/>
          <w:lang w:eastAsia="en-GB"/>
        </w:rPr>
        <w:t xml:space="preserve"> projects</w:t>
      </w:r>
      <w:r w:rsidR="00DC4A46" w:rsidRPr="00255B32">
        <w:rPr>
          <w:rFonts w:eastAsia="Arial" w:cs="Arial"/>
          <w:sz w:val="22"/>
          <w:szCs w:val="22"/>
          <w:lang w:eastAsia="en-GB"/>
        </w:rPr>
        <w:t>.</w:t>
      </w:r>
    </w:p>
    <w:p w14:paraId="3EC2529A" w14:textId="457B051C" w:rsidR="006F387F" w:rsidRPr="00255B32" w:rsidRDefault="006F387F" w:rsidP="00255B32">
      <w:pPr>
        <w:spacing w:after="120"/>
        <w:jc w:val="both"/>
        <w:textAlignment w:val="baseline"/>
        <w:rPr>
          <w:rFonts w:eastAsia="Arial" w:cs="Arial"/>
          <w:sz w:val="22"/>
          <w:szCs w:val="22"/>
          <w:lang w:eastAsia="en-GB"/>
        </w:rPr>
      </w:pPr>
      <w:r w:rsidRPr="00255B32">
        <w:rPr>
          <w:rFonts w:eastAsia="Arial" w:cs="Arial"/>
          <w:sz w:val="22"/>
          <w:szCs w:val="22"/>
          <w:lang w:eastAsia="en-GB"/>
        </w:rPr>
        <w:t xml:space="preserve">SIP-LA </w:t>
      </w:r>
      <w:r w:rsidR="00053E62" w:rsidRPr="00255B32">
        <w:rPr>
          <w:rFonts w:eastAsia="Arial" w:cs="Arial"/>
          <w:sz w:val="22"/>
          <w:szCs w:val="22"/>
          <w:lang w:eastAsia="en-GB"/>
        </w:rPr>
        <w:t>has three components:</w:t>
      </w:r>
    </w:p>
    <w:p w14:paraId="132C0F51" w14:textId="4282600F" w:rsidR="00053E62" w:rsidRPr="00255B32" w:rsidRDefault="00053E62" w:rsidP="00D93F68">
      <w:pPr>
        <w:pStyle w:val="ListParagraph"/>
        <w:numPr>
          <w:ilvl w:val="0"/>
          <w:numId w:val="2"/>
        </w:numPr>
        <w:spacing w:after="120"/>
        <w:ind w:left="714" w:hanging="357"/>
        <w:contextualSpacing w:val="0"/>
        <w:jc w:val="both"/>
        <w:textAlignment w:val="baseline"/>
        <w:rPr>
          <w:rFonts w:eastAsia="Arial" w:cs="Arial"/>
          <w:sz w:val="22"/>
          <w:szCs w:val="22"/>
        </w:rPr>
      </w:pPr>
      <w:r w:rsidRPr="00255B32">
        <w:rPr>
          <w:rFonts w:eastAsia="Arial" w:cs="Arial"/>
          <w:i/>
          <w:iCs/>
          <w:sz w:val="22"/>
          <w:szCs w:val="22"/>
        </w:rPr>
        <w:t>Public Sector Technical Assistance</w:t>
      </w:r>
      <w:r w:rsidR="000168B7" w:rsidRPr="00255B32">
        <w:rPr>
          <w:rFonts w:eastAsia="Arial" w:cs="Arial"/>
          <w:sz w:val="22"/>
          <w:szCs w:val="22"/>
        </w:rPr>
        <w:t xml:space="preserve"> </w:t>
      </w:r>
      <w:r w:rsidR="00973280">
        <w:rPr>
          <w:rFonts w:eastAsia="Arial" w:cs="Arial"/>
          <w:sz w:val="22"/>
          <w:szCs w:val="22"/>
        </w:rPr>
        <w:t>-</w:t>
      </w:r>
      <w:r w:rsidR="000168B7" w:rsidRPr="00255B32">
        <w:rPr>
          <w:rFonts w:eastAsia="Arial" w:cs="Arial"/>
          <w:sz w:val="22"/>
          <w:szCs w:val="22"/>
        </w:rPr>
        <w:t xml:space="preserve"> </w:t>
      </w:r>
      <w:r w:rsidR="002E76B9">
        <w:rPr>
          <w:rFonts w:eastAsia="Arial" w:cs="Arial"/>
          <w:sz w:val="22"/>
          <w:szCs w:val="22"/>
        </w:rPr>
        <w:t>to support partner</w:t>
      </w:r>
      <w:r w:rsidR="00A80795">
        <w:rPr>
          <w:rFonts w:eastAsia="Arial" w:cs="Arial"/>
          <w:sz w:val="22"/>
          <w:szCs w:val="22"/>
        </w:rPr>
        <w:t xml:space="preserve"> governments </w:t>
      </w:r>
      <w:r w:rsidR="002E76B9">
        <w:rPr>
          <w:rFonts w:eastAsia="Arial" w:cs="Arial"/>
          <w:sz w:val="22"/>
          <w:szCs w:val="22"/>
        </w:rPr>
        <w:t xml:space="preserve">and local authorities </w:t>
      </w:r>
      <w:r w:rsidR="00B032A1">
        <w:rPr>
          <w:rFonts w:eastAsia="Arial" w:cs="Arial"/>
          <w:sz w:val="22"/>
          <w:szCs w:val="22"/>
        </w:rPr>
        <w:t xml:space="preserve">to </w:t>
      </w:r>
      <w:r w:rsidR="00AC0F40">
        <w:rPr>
          <w:rFonts w:eastAsia="Arial" w:cs="Arial"/>
          <w:sz w:val="22"/>
          <w:szCs w:val="22"/>
        </w:rPr>
        <w:t>improve the</w:t>
      </w:r>
      <w:r w:rsidR="00AC0F40">
        <w:rPr>
          <w:rFonts w:cs="Arial"/>
          <w:color w:val="000000"/>
          <w:sz w:val="22"/>
          <w:szCs w:val="22"/>
        </w:rPr>
        <w:t xml:space="preserve"> enabling environment for private sector investment</w:t>
      </w:r>
      <w:r w:rsidR="00F71189">
        <w:rPr>
          <w:rFonts w:cs="Arial"/>
          <w:color w:val="000000"/>
          <w:sz w:val="22"/>
          <w:szCs w:val="22"/>
        </w:rPr>
        <w:t xml:space="preserve">. This includes </w:t>
      </w:r>
      <w:r w:rsidR="00DA3FB9">
        <w:rPr>
          <w:rFonts w:cs="Arial"/>
          <w:color w:val="000000"/>
          <w:sz w:val="22"/>
          <w:szCs w:val="22"/>
        </w:rPr>
        <w:t xml:space="preserve">measures to </w:t>
      </w:r>
      <w:r w:rsidR="00F71189">
        <w:rPr>
          <w:rFonts w:cs="Arial"/>
          <w:color w:val="000000"/>
          <w:sz w:val="22"/>
          <w:szCs w:val="22"/>
        </w:rPr>
        <w:t xml:space="preserve">support </w:t>
      </w:r>
      <w:r w:rsidR="00DA3FB9">
        <w:rPr>
          <w:rFonts w:cs="Arial"/>
          <w:color w:val="000000"/>
          <w:sz w:val="22"/>
          <w:szCs w:val="22"/>
        </w:rPr>
        <w:t>the</w:t>
      </w:r>
      <w:r w:rsidR="00F71189">
        <w:rPr>
          <w:rFonts w:cs="Arial"/>
          <w:color w:val="000000"/>
          <w:sz w:val="22"/>
          <w:szCs w:val="22"/>
        </w:rPr>
        <w:t xml:space="preserve"> s</w:t>
      </w:r>
      <w:r w:rsidR="000168B7" w:rsidRPr="00255B32">
        <w:rPr>
          <w:rFonts w:cs="Arial"/>
          <w:color w:val="000000"/>
          <w:sz w:val="22"/>
          <w:szCs w:val="22"/>
        </w:rPr>
        <w:t>tandardis</w:t>
      </w:r>
      <w:r w:rsidR="00DA3FB9">
        <w:rPr>
          <w:rFonts w:cs="Arial"/>
          <w:color w:val="000000"/>
          <w:sz w:val="22"/>
          <w:szCs w:val="22"/>
        </w:rPr>
        <w:t>ation of</w:t>
      </w:r>
      <w:r w:rsidR="000168B7" w:rsidRPr="00255B32">
        <w:rPr>
          <w:rFonts w:cs="Arial"/>
          <w:color w:val="000000"/>
          <w:sz w:val="22"/>
          <w:szCs w:val="22"/>
        </w:rPr>
        <w:t xml:space="preserve"> Power Purchase Agreements, to design feed-in tariffs or expertise </w:t>
      </w:r>
      <w:r w:rsidR="00973280">
        <w:rPr>
          <w:rFonts w:cs="Arial"/>
          <w:color w:val="000000"/>
          <w:sz w:val="22"/>
          <w:szCs w:val="22"/>
        </w:rPr>
        <w:t>for improving</w:t>
      </w:r>
      <w:r w:rsidR="000168B7" w:rsidRPr="00255B32">
        <w:rPr>
          <w:rFonts w:cs="Arial"/>
          <w:color w:val="000000"/>
          <w:sz w:val="22"/>
          <w:szCs w:val="22"/>
        </w:rPr>
        <w:t xml:space="preserve"> renewable energy auctions.</w:t>
      </w:r>
    </w:p>
    <w:p w14:paraId="45E6FC6E" w14:textId="4E7C3D4C" w:rsidR="006E0F0D" w:rsidRPr="006E0F0D" w:rsidRDefault="00053E62" w:rsidP="00D93F68">
      <w:pPr>
        <w:pStyle w:val="ListParagraph"/>
        <w:numPr>
          <w:ilvl w:val="0"/>
          <w:numId w:val="2"/>
        </w:numPr>
        <w:spacing w:after="120"/>
        <w:ind w:left="714" w:hanging="357"/>
        <w:contextualSpacing w:val="0"/>
        <w:jc w:val="both"/>
        <w:textAlignment w:val="baseline"/>
        <w:rPr>
          <w:rFonts w:eastAsia="Arial" w:cs="Arial"/>
          <w:sz w:val="22"/>
          <w:szCs w:val="22"/>
        </w:rPr>
      </w:pPr>
      <w:r w:rsidRPr="00255B32">
        <w:rPr>
          <w:rFonts w:eastAsia="Arial" w:cs="Arial"/>
          <w:i/>
          <w:iCs/>
          <w:sz w:val="22"/>
          <w:szCs w:val="22"/>
        </w:rPr>
        <w:t>Private Sector Technical Assistance</w:t>
      </w:r>
      <w:r w:rsidR="000168B7" w:rsidRPr="00255B32">
        <w:rPr>
          <w:rFonts w:eastAsia="Arial" w:cs="Arial"/>
          <w:sz w:val="22"/>
          <w:szCs w:val="22"/>
        </w:rPr>
        <w:t xml:space="preserve"> </w:t>
      </w:r>
      <w:r w:rsidR="00936846">
        <w:rPr>
          <w:rFonts w:eastAsia="Arial" w:cs="Arial"/>
          <w:sz w:val="22"/>
          <w:szCs w:val="22"/>
        </w:rPr>
        <w:t>-</w:t>
      </w:r>
      <w:r w:rsidR="000168B7" w:rsidRPr="00255B32">
        <w:rPr>
          <w:rFonts w:eastAsia="Arial" w:cs="Arial"/>
          <w:sz w:val="22"/>
          <w:szCs w:val="22"/>
        </w:rPr>
        <w:t xml:space="preserve"> </w:t>
      </w:r>
      <w:r w:rsidR="00973280">
        <w:rPr>
          <w:rFonts w:eastAsia="Arial" w:cs="Arial"/>
          <w:sz w:val="22"/>
          <w:szCs w:val="22"/>
        </w:rPr>
        <w:t xml:space="preserve">to work with </w:t>
      </w:r>
      <w:r w:rsidR="003619DF">
        <w:rPr>
          <w:rFonts w:eastAsia="Arial" w:cs="Arial"/>
          <w:sz w:val="22"/>
          <w:szCs w:val="22"/>
        </w:rPr>
        <w:t xml:space="preserve">the </w:t>
      </w:r>
      <w:r w:rsidR="00973280">
        <w:rPr>
          <w:rFonts w:eastAsia="Arial" w:cs="Arial"/>
          <w:sz w:val="22"/>
          <w:szCs w:val="22"/>
        </w:rPr>
        <w:t xml:space="preserve">private </w:t>
      </w:r>
      <w:r w:rsidR="003619DF">
        <w:rPr>
          <w:rFonts w:eastAsia="Arial" w:cs="Arial"/>
          <w:sz w:val="22"/>
          <w:szCs w:val="22"/>
        </w:rPr>
        <w:t xml:space="preserve">sector to improve </w:t>
      </w:r>
      <w:r w:rsidR="000C4CD2">
        <w:rPr>
          <w:rFonts w:eastAsia="Arial" w:cs="Arial"/>
          <w:sz w:val="22"/>
          <w:szCs w:val="22"/>
        </w:rPr>
        <w:t xml:space="preserve">the </w:t>
      </w:r>
      <w:r w:rsidR="003619DF">
        <w:rPr>
          <w:rFonts w:eastAsia="Arial" w:cs="Arial"/>
          <w:sz w:val="22"/>
          <w:szCs w:val="22"/>
        </w:rPr>
        <w:t xml:space="preserve">project </w:t>
      </w:r>
      <w:r w:rsidR="000C4CD2">
        <w:rPr>
          <w:rFonts w:eastAsia="Arial" w:cs="Arial"/>
          <w:sz w:val="22"/>
          <w:szCs w:val="22"/>
        </w:rPr>
        <w:t>pipeline</w:t>
      </w:r>
      <w:r w:rsidR="003619DF">
        <w:rPr>
          <w:rFonts w:eastAsia="Arial" w:cs="Arial"/>
          <w:sz w:val="22"/>
          <w:szCs w:val="22"/>
        </w:rPr>
        <w:t xml:space="preserve"> for </w:t>
      </w:r>
      <w:r w:rsidR="000168B7" w:rsidRPr="00255B32">
        <w:rPr>
          <w:rFonts w:cs="Arial"/>
          <w:color w:val="000000"/>
          <w:sz w:val="22"/>
          <w:szCs w:val="22"/>
        </w:rPr>
        <w:t>sustainable infrastructure</w:t>
      </w:r>
      <w:r w:rsidR="00465C7E">
        <w:rPr>
          <w:rFonts w:cs="Arial"/>
          <w:color w:val="000000"/>
          <w:sz w:val="22"/>
          <w:szCs w:val="22"/>
        </w:rPr>
        <w:t xml:space="preserve">, </w:t>
      </w:r>
      <w:r w:rsidR="0055041D" w:rsidRPr="00255B32">
        <w:rPr>
          <w:rFonts w:cs="Arial"/>
          <w:color w:val="000000"/>
          <w:sz w:val="22"/>
          <w:szCs w:val="22"/>
          <w:lang w:val="en-US"/>
        </w:rPr>
        <w:t>inclu</w:t>
      </w:r>
      <w:r w:rsidR="0055041D">
        <w:rPr>
          <w:rFonts w:cs="Arial"/>
          <w:color w:val="000000"/>
          <w:sz w:val="22"/>
          <w:szCs w:val="22"/>
          <w:lang w:val="en-US"/>
        </w:rPr>
        <w:t>ding</w:t>
      </w:r>
      <w:r w:rsidR="000C4CD2">
        <w:rPr>
          <w:rFonts w:cs="Arial"/>
          <w:color w:val="000000"/>
          <w:sz w:val="22"/>
          <w:szCs w:val="22"/>
          <w:lang w:val="en-US"/>
        </w:rPr>
        <w:t>:</w:t>
      </w:r>
      <w:r w:rsidR="000168B7" w:rsidRPr="00255B32">
        <w:rPr>
          <w:rFonts w:cs="Arial"/>
          <w:color w:val="000000"/>
          <w:sz w:val="22"/>
          <w:szCs w:val="22"/>
          <w:lang w:val="en-US"/>
        </w:rPr>
        <w:t xml:space="preserve"> training for </w:t>
      </w:r>
      <w:r w:rsidR="00F70EEB">
        <w:rPr>
          <w:rFonts w:cs="Arial"/>
          <w:color w:val="000000"/>
          <w:sz w:val="22"/>
          <w:szCs w:val="22"/>
          <w:lang w:val="en-US"/>
        </w:rPr>
        <w:t>financial institutions</w:t>
      </w:r>
      <w:r w:rsidR="000168B7" w:rsidRPr="00255B32">
        <w:rPr>
          <w:rFonts w:cs="Arial"/>
          <w:color w:val="000000"/>
          <w:sz w:val="22"/>
          <w:szCs w:val="22"/>
          <w:lang w:val="en-US"/>
        </w:rPr>
        <w:t xml:space="preserve"> on green bond standards </w:t>
      </w:r>
      <w:r w:rsidR="00F70EEB">
        <w:rPr>
          <w:rFonts w:cs="Arial"/>
          <w:color w:val="000000"/>
          <w:sz w:val="22"/>
          <w:szCs w:val="22"/>
          <w:lang w:val="en-US"/>
        </w:rPr>
        <w:t xml:space="preserve">and </w:t>
      </w:r>
      <w:r w:rsidR="000168B7" w:rsidRPr="00255B32">
        <w:rPr>
          <w:rFonts w:cs="Arial"/>
          <w:color w:val="000000"/>
          <w:sz w:val="22"/>
          <w:szCs w:val="22"/>
          <w:lang w:val="en-US"/>
        </w:rPr>
        <w:t>private sector engagement events.</w:t>
      </w:r>
    </w:p>
    <w:p w14:paraId="0E770E5A" w14:textId="326FBC89" w:rsidR="00053E62" w:rsidRPr="006E0F0D" w:rsidRDefault="00053E62" w:rsidP="00D93F68">
      <w:pPr>
        <w:pStyle w:val="ListParagraph"/>
        <w:numPr>
          <w:ilvl w:val="0"/>
          <w:numId w:val="2"/>
        </w:numPr>
        <w:spacing w:after="120"/>
        <w:ind w:left="714" w:hanging="357"/>
        <w:contextualSpacing w:val="0"/>
        <w:jc w:val="both"/>
        <w:textAlignment w:val="baseline"/>
        <w:rPr>
          <w:rFonts w:eastAsia="Arial" w:cs="Arial"/>
          <w:sz w:val="22"/>
          <w:szCs w:val="22"/>
        </w:rPr>
      </w:pPr>
      <w:r w:rsidRPr="006E0F0D">
        <w:rPr>
          <w:rFonts w:eastAsia="Arial" w:cs="Arial"/>
          <w:i/>
          <w:iCs/>
          <w:sz w:val="22"/>
          <w:szCs w:val="22"/>
        </w:rPr>
        <w:t>Concessional capital investments</w:t>
      </w:r>
      <w:r w:rsidR="00D30553" w:rsidRPr="006E0F0D">
        <w:rPr>
          <w:rFonts w:eastAsia="Arial" w:cs="Arial"/>
          <w:sz w:val="22"/>
          <w:szCs w:val="22"/>
        </w:rPr>
        <w:t xml:space="preserve"> -</w:t>
      </w:r>
      <w:r w:rsidR="000168B7" w:rsidRPr="006E0F0D">
        <w:rPr>
          <w:rFonts w:cs="Arial"/>
          <w:color w:val="000000"/>
          <w:sz w:val="22"/>
          <w:szCs w:val="22"/>
        </w:rPr>
        <w:t xml:space="preserve"> to de-risk </w:t>
      </w:r>
      <w:r w:rsidR="000C4CD2">
        <w:rPr>
          <w:rFonts w:cs="Arial"/>
          <w:color w:val="000000"/>
          <w:sz w:val="22"/>
          <w:szCs w:val="22"/>
        </w:rPr>
        <w:t xml:space="preserve">investments </w:t>
      </w:r>
      <w:r w:rsidR="000168B7" w:rsidRPr="006E0F0D">
        <w:rPr>
          <w:rFonts w:cs="Arial"/>
          <w:color w:val="000000"/>
          <w:sz w:val="22"/>
          <w:szCs w:val="22"/>
        </w:rPr>
        <w:t xml:space="preserve">and attract private </w:t>
      </w:r>
      <w:r w:rsidR="000C4CD2">
        <w:rPr>
          <w:rFonts w:cs="Arial"/>
          <w:color w:val="000000"/>
          <w:sz w:val="22"/>
          <w:szCs w:val="22"/>
        </w:rPr>
        <w:t>capital</w:t>
      </w:r>
      <w:r w:rsidR="000168B7" w:rsidRPr="006E0F0D">
        <w:rPr>
          <w:rFonts w:cs="Arial"/>
          <w:color w:val="000000"/>
          <w:sz w:val="22"/>
          <w:szCs w:val="22"/>
        </w:rPr>
        <w:t xml:space="preserve"> into novel and innovative projects</w:t>
      </w:r>
      <w:r w:rsidR="000C4CD2">
        <w:rPr>
          <w:rFonts w:cs="Arial"/>
          <w:color w:val="000000"/>
          <w:sz w:val="22"/>
          <w:szCs w:val="22"/>
        </w:rPr>
        <w:t xml:space="preserve"> that </w:t>
      </w:r>
      <w:r w:rsidR="000168B7" w:rsidRPr="006E0F0D">
        <w:rPr>
          <w:rFonts w:cs="Arial"/>
          <w:color w:val="000000"/>
          <w:sz w:val="22"/>
          <w:szCs w:val="22"/>
        </w:rPr>
        <w:t>are not being financed by the market.</w:t>
      </w:r>
      <w:r w:rsidR="000C4CD2">
        <w:rPr>
          <w:rFonts w:cs="Arial"/>
          <w:color w:val="000000"/>
          <w:sz w:val="22"/>
          <w:szCs w:val="22"/>
        </w:rPr>
        <w:t xml:space="preserve"> SIP-LA </w:t>
      </w:r>
      <w:r w:rsidR="007865C3">
        <w:rPr>
          <w:rFonts w:cs="Arial"/>
          <w:color w:val="000000"/>
          <w:sz w:val="22"/>
          <w:szCs w:val="22"/>
        </w:rPr>
        <w:t>deploys</w:t>
      </w:r>
      <w:r w:rsidR="000C4CD2">
        <w:rPr>
          <w:rFonts w:cs="Arial"/>
          <w:color w:val="000000"/>
          <w:sz w:val="22"/>
          <w:szCs w:val="22"/>
        </w:rPr>
        <w:t xml:space="preserve"> </w:t>
      </w:r>
      <w:r w:rsidR="000C4CD2">
        <w:rPr>
          <w:rFonts w:cs="Arial"/>
          <w:color w:val="000000"/>
          <w:sz w:val="22"/>
          <w:szCs w:val="22"/>
          <w:lang w:val="en-US"/>
        </w:rPr>
        <w:t>r</w:t>
      </w:r>
      <w:r w:rsidR="000C4CD2" w:rsidRPr="006E0F0D">
        <w:rPr>
          <w:rFonts w:cs="Arial"/>
          <w:color w:val="000000"/>
          <w:sz w:val="22"/>
          <w:szCs w:val="22"/>
          <w:lang w:val="en-US"/>
        </w:rPr>
        <w:t xml:space="preserve">elatively small </w:t>
      </w:r>
      <w:r w:rsidR="000C4CD2">
        <w:rPr>
          <w:rFonts w:cs="Arial"/>
          <w:color w:val="000000"/>
          <w:sz w:val="22"/>
          <w:szCs w:val="22"/>
          <w:lang w:val="en-US"/>
        </w:rPr>
        <w:t>amounts</w:t>
      </w:r>
      <w:r w:rsidR="000C4CD2" w:rsidRPr="006E0F0D">
        <w:rPr>
          <w:rFonts w:cs="Arial"/>
          <w:color w:val="000000"/>
          <w:sz w:val="22"/>
          <w:szCs w:val="22"/>
          <w:lang w:val="en-US"/>
        </w:rPr>
        <w:t xml:space="preserve"> of concessional </w:t>
      </w:r>
      <w:r w:rsidR="007865C3">
        <w:rPr>
          <w:rFonts w:cs="Arial"/>
          <w:color w:val="000000"/>
          <w:sz w:val="22"/>
          <w:szCs w:val="22"/>
          <w:lang w:val="en-US"/>
        </w:rPr>
        <w:t>finance to change the risk profile of investments and</w:t>
      </w:r>
      <w:r w:rsidR="000C4CD2" w:rsidRPr="006E0F0D">
        <w:rPr>
          <w:rFonts w:cs="Arial"/>
          <w:color w:val="000000"/>
          <w:sz w:val="22"/>
          <w:szCs w:val="22"/>
          <w:lang w:val="en-US"/>
        </w:rPr>
        <w:t> leverage larger volumes of private capital</w:t>
      </w:r>
      <w:r w:rsidR="007865C3">
        <w:rPr>
          <w:rFonts w:cs="Arial"/>
          <w:color w:val="000000"/>
          <w:sz w:val="22"/>
          <w:szCs w:val="22"/>
          <w:lang w:val="en-US"/>
        </w:rPr>
        <w:t>.</w:t>
      </w:r>
    </w:p>
    <w:p w14:paraId="6C1F8846" w14:textId="71CEB480" w:rsidR="00F23E0E" w:rsidRPr="00255B32" w:rsidRDefault="00F23E0E" w:rsidP="00255B32">
      <w:pPr>
        <w:spacing w:after="120"/>
        <w:jc w:val="both"/>
        <w:textAlignment w:val="baseline"/>
        <w:rPr>
          <w:rFonts w:cs="Arial"/>
          <w:sz w:val="22"/>
          <w:szCs w:val="22"/>
          <w:lang w:eastAsia="en-GB"/>
        </w:rPr>
      </w:pPr>
      <w:r w:rsidRPr="00255B32">
        <w:rPr>
          <w:rFonts w:cs="Arial"/>
          <w:sz w:val="22"/>
          <w:szCs w:val="22"/>
          <w:lang w:eastAsia="en-GB"/>
        </w:rPr>
        <w:t>The programme works with</w:t>
      </w:r>
      <w:r w:rsidR="00283A24">
        <w:rPr>
          <w:rFonts w:cs="Arial"/>
          <w:sz w:val="22"/>
          <w:szCs w:val="22"/>
          <w:lang w:eastAsia="en-GB"/>
        </w:rPr>
        <w:t xml:space="preserve"> middle-</w:t>
      </w:r>
      <w:r w:rsidR="00F13FDA">
        <w:rPr>
          <w:rFonts w:cs="Arial"/>
          <w:sz w:val="22"/>
          <w:szCs w:val="22"/>
          <w:lang w:eastAsia="en-GB"/>
        </w:rPr>
        <w:t>in</w:t>
      </w:r>
      <w:r w:rsidR="00283A24">
        <w:rPr>
          <w:rFonts w:cs="Arial"/>
          <w:sz w:val="22"/>
          <w:szCs w:val="22"/>
          <w:lang w:eastAsia="en-GB"/>
        </w:rPr>
        <w:t>come</w:t>
      </w:r>
      <w:r w:rsidRPr="00255B32">
        <w:rPr>
          <w:rFonts w:cs="Arial"/>
          <w:sz w:val="22"/>
          <w:szCs w:val="22"/>
          <w:lang w:eastAsia="en-GB"/>
        </w:rPr>
        <w:t xml:space="preserve"> countries experiencing </w:t>
      </w:r>
      <w:r w:rsidRPr="00255B32">
        <w:rPr>
          <w:rFonts w:cs="Arial"/>
          <w:sz w:val="22"/>
          <w:szCs w:val="22"/>
        </w:rPr>
        <w:t>rapid urbanisation and growing industrial activity to demonstrate that growth can be effectively decoupled from emissions.</w:t>
      </w:r>
      <w:r w:rsidRPr="00255B32">
        <w:rPr>
          <w:rFonts w:cs="Arial"/>
          <w:sz w:val="22"/>
          <w:szCs w:val="22"/>
          <w:lang w:eastAsia="en-GB"/>
        </w:rPr>
        <w:t xml:space="preserve"> </w:t>
      </w:r>
      <w:r w:rsidRPr="00255B32">
        <w:rPr>
          <w:rFonts w:cs="Arial"/>
          <w:sz w:val="22"/>
          <w:szCs w:val="22"/>
        </w:rPr>
        <w:t>Partnering with middle-income countries can also provide the necessary conditions for more difficult, complex, and innovative interventions</w:t>
      </w:r>
      <w:r w:rsidR="000168B7" w:rsidRPr="00255B32">
        <w:rPr>
          <w:rFonts w:cs="Arial"/>
          <w:sz w:val="22"/>
          <w:szCs w:val="22"/>
        </w:rPr>
        <w:t xml:space="preserve"> that can be deployed in other regions</w:t>
      </w:r>
      <w:r w:rsidRPr="00255B32">
        <w:rPr>
          <w:rFonts w:cs="Arial"/>
          <w:sz w:val="22"/>
          <w:szCs w:val="22"/>
        </w:rPr>
        <w:t xml:space="preserve">. </w:t>
      </w:r>
      <w:r w:rsidR="00465C7E">
        <w:rPr>
          <w:rFonts w:cs="Arial"/>
          <w:sz w:val="22"/>
          <w:szCs w:val="22"/>
        </w:rPr>
        <w:t>SIP-LA’s geographical remit</w:t>
      </w:r>
      <w:r w:rsidR="00465C7E" w:rsidRPr="00255B32">
        <w:rPr>
          <w:rFonts w:cs="Arial"/>
          <w:sz w:val="22"/>
          <w:szCs w:val="22"/>
        </w:rPr>
        <w:t xml:space="preserve"> </w:t>
      </w:r>
      <w:r w:rsidR="00E2220D">
        <w:rPr>
          <w:rFonts w:cs="Arial"/>
          <w:sz w:val="22"/>
          <w:szCs w:val="22"/>
        </w:rPr>
        <w:t>al</w:t>
      </w:r>
      <w:r w:rsidRPr="00255B32">
        <w:rPr>
          <w:rFonts w:cs="Arial"/>
          <w:sz w:val="22"/>
          <w:szCs w:val="22"/>
        </w:rPr>
        <w:t xml:space="preserve">so presents opportunities for the UK to strengthen the coherence of </w:t>
      </w:r>
      <w:r w:rsidR="00465C7E">
        <w:rPr>
          <w:rFonts w:cs="Arial"/>
          <w:sz w:val="22"/>
          <w:szCs w:val="22"/>
        </w:rPr>
        <w:t>ICF</w:t>
      </w:r>
      <w:r w:rsidR="00465C7E" w:rsidRPr="00255B32">
        <w:rPr>
          <w:rFonts w:cs="Arial"/>
          <w:sz w:val="22"/>
          <w:szCs w:val="22"/>
        </w:rPr>
        <w:t xml:space="preserve"> </w:t>
      </w:r>
      <w:r w:rsidRPr="00255B32">
        <w:rPr>
          <w:rFonts w:cs="Arial"/>
          <w:sz w:val="22"/>
          <w:szCs w:val="22"/>
        </w:rPr>
        <w:t xml:space="preserve">programming and amplify </w:t>
      </w:r>
      <w:r w:rsidR="00465C7E">
        <w:rPr>
          <w:rFonts w:cs="Arial"/>
          <w:sz w:val="22"/>
          <w:szCs w:val="22"/>
        </w:rPr>
        <w:t xml:space="preserve">UK </w:t>
      </w:r>
      <w:r w:rsidRPr="00255B32">
        <w:rPr>
          <w:rFonts w:cs="Arial"/>
          <w:sz w:val="22"/>
          <w:szCs w:val="22"/>
        </w:rPr>
        <w:t>climate diplomacy efforts</w:t>
      </w:r>
      <w:r w:rsidR="00283A24">
        <w:rPr>
          <w:rFonts w:cs="Arial"/>
          <w:sz w:val="22"/>
          <w:szCs w:val="22"/>
        </w:rPr>
        <w:t>.</w:t>
      </w:r>
      <w:r w:rsidR="00C6674B">
        <w:rPr>
          <w:rStyle w:val="FootnoteReference"/>
          <w:rFonts w:cs="Arial"/>
          <w:sz w:val="22"/>
          <w:szCs w:val="22"/>
        </w:rPr>
        <w:footnoteReference w:id="3"/>
      </w:r>
    </w:p>
    <w:p w14:paraId="2CD32D10" w14:textId="1BF4CFD2" w:rsidR="00666EB8" w:rsidRDefault="003D222C" w:rsidP="006778A3">
      <w:pPr>
        <w:spacing w:after="120"/>
        <w:rPr>
          <w:rFonts w:cs="Arial"/>
          <w:b/>
          <w:bCs/>
          <w:sz w:val="22"/>
          <w:szCs w:val="22"/>
        </w:rPr>
      </w:pPr>
      <w:r w:rsidRPr="006778A3">
        <w:rPr>
          <w:rFonts w:cs="Arial"/>
          <w:b/>
          <w:bCs/>
          <w:sz w:val="22"/>
          <w:szCs w:val="22"/>
        </w:rPr>
        <w:t>Describe where the programme is on/off track to contribute to the expected outcomes and impact</w:t>
      </w:r>
    </w:p>
    <w:p w14:paraId="14FEAC88" w14:textId="039B94B7" w:rsidR="007506DC" w:rsidRPr="006A6DD4" w:rsidRDefault="008D12B0" w:rsidP="006A6DD4">
      <w:pPr>
        <w:spacing w:after="120"/>
        <w:jc w:val="both"/>
        <w:rPr>
          <w:rFonts w:cs="Arial"/>
          <w:sz w:val="22"/>
          <w:szCs w:val="22"/>
        </w:rPr>
      </w:pPr>
      <w:r>
        <w:rPr>
          <w:rFonts w:cs="Arial"/>
          <w:sz w:val="22"/>
          <w:szCs w:val="22"/>
        </w:rPr>
        <w:t>SIP</w:t>
      </w:r>
      <w:r w:rsidR="00F94DD7">
        <w:rPr>
          <w:rFonts w:cs="Arial"/>
          <w:sz w:val="22"/>
          <w:szCs w:val="22"/>
        </w:rPr>
        <w:t>-LA</w:t>
      </w:r>
      <w:r>
        <w:rPr>
          <w:rFonts w:cs="Arial"/>
          <w:sz w:val="22"/>
          <w:szCs w:val="22"/>
        </w:rPr>
        <w:t xml:space="preserve"> is starting to show </w:t>
      </w:r>
      <w:r w:rsidR="00F94DD7">
        <w:rPr>
          <w:rFonts w:cs="Arial"/>
          <w:sz w:val="22"/>
          <w:szCs w:val="22"/>
        </w:rPr>
        <w:t xml:space="preserve">some </w:t>
      </w:r>
      <w:r>
        <w:rPr>
          <w:rFonts w:cs="Arial"/>
          <w:sz w:val="22"/>
          <w:szCs w:val="22"/>
        </w:rPr>
        <w:t xml:space="preserve">progress </w:t>
      </w:r>
      <w:r w:rsidR="00645C17">
        <w:rPr>
          <w:rFonts w:cs="Arial"/>
          <w:sz w:val="22"/>
          <w:szCs w:val="22"/>
        </w:rPr>
        <w:t>in increasing low carbon infrastructure projects by strengthening public capability and providing new finance for sustainable infrastructure</w:t>
      </w:r>
      <w:r>
        <w:rPr>
          <w:rFonts w:cs="Arial"/>
          <w:sz w:val="22"/>
          <w:szCs w:val="22"/>
        </w:rPr>
        <w:t xml:space="preserve">. </w:t>
      </w:r>
      <w:r w:rsidR="00BF2028">
        <w:rPr>
          <w:rFonts w:cs="Arial"/>
          <w:sz w:val="22"/>
          <w:szCs w:val="22"/>
        </w:rPr>
        <w:t xml:space="preserve">The programme met its </w:t>
      </w:r>
      <w:r w:rsidR="00C07FE1">
        <w:rPr>
          <w:rFonts w:cs="Arial"/>
          <w:sz w:val="22"/>
          <w:szCs w:val="22"/>
        </w:rPr>
        <w:t xml:space="preserve">2020 </w:t>
      </w:r>
      <w:r w:rsidR="00BF2028">
        <w:rPr>
          <w:rFonts w:cs="Arial"/>
          <w:sz w:val="22"/>
          <w:szCs w:val="22"/>
        </w:rPr>
        <w:t>milestone for outcome indicator 1</w:t>
      </w:r>
      <w:r w:rsidR="003F0247">
        <w:rPr>
          <w:rFonts w:cs="Arial"/>
          <w:sz w:val="22"/>
          <w:szCs w:val="22"/>
        </w:rPr>
        <w:t xml:space="preserve"> and SIP-LA public sector t</w:t>
      </w:r>
      <w:r w:rsidR="006E1398">
        <w:rPr>
          <w:rFonts w:cs="Arial"/>
          <w:sz w:val="22"/>
          <w:szCs w:val="22"/>
        </w:rPr>
        <w:t xml:space="preserve">echnical assistance projects have started to demonstrate progress in strengthening public planning capability and execution. </w:t>
      </w:r>
      <w:r w:rsidR="00BF2028">
        <w:rPr>
          <w:rFonts w:cs="Arial"/>
          <w:sz w:val="22"/>
          <w:szCs w:val="22"/>
        </w:rPr>
        <w:t>SIP</w:t>
      </w:r>
      <w:r w:rsidR="00C07FE1">
        <w:rPr>
          <w:rFonts w:cs="Arial"/>
          <w:sz w:val="22"/>
          <w:szCs w:val="22"/>
        </w:rPr>
        <w:t>-LA</w:t>
      </w:r>
      <w:r w:rsidR="00BF2028">
        <w:rPr>
          <w:rFonts w:cs="Arial"/>
          <w:sz w:val="22"/>
          <w:szCs w:val="22"/>
        </w:rPr>
        <w:t xml:space="preserve"> did not </w:t>
      </w:r>
      <w:r w:rsidR="003F0247">
        <w:rPr>
          <w:rFonts w:cs="Arial"/>
          <w:sz w:val="22"/>
          <w:szCs w:val="22"/>
        </w:rPr>
        <w:t xml:space="preserve">achieve </w:t>
      </w:r>
      <w:r w:rsidR="00BF2028">
        <w:rPr>
          <w:rFonts w:cs="Arial"/>
          <w:sz w:val="22"/>
          <w:szCs w:val="22"/>
        </w:rPr>
        <w:t xml:space="preserve">its </w:t>
      </w:r>
      <w:r w:rsidR="00C07FE1">
        <w:rPr>
          <w:rFonts w:cs="Arial"/>
          <w:sz w:val="22"/>
          <w:szCs w:val="22"/>
        </w:rPr>
        <w:t xml:space="preserve">2020 </w:t>
      </w:r>
      <w:r w:rsidR="00BF2028">
        <w:rPr>
          <w:rFonts w:cs="Arial"/>
          <w:sz w:val="22"/>
          <w:szCs w:val="22"/>
        </w:rPr>
        <w:t>milestone for outcome indicator 2</w:t>
      </w:r>
      <w:r w:rsidR="006E1398">
        <w:rPr>
          <w:rFonts w:cs="Arial"/>
          <w:sz w:val="22"/>
          <w:szCs w:val="22"/>
        </w:rPr>
        <w:t xml:space="preserve">, which </w:t>
      </w:r>
      <w:r w:rsidR="00C17609">
        <w:rPr>
          <w:rFonts w:cs="Arial"/>
          <w:sz w:val="22"/>
          <w:szCs w:val="22"/>
        </w:rPr>
        <w:t xml:space="preserve">is dependent on SIP-LA </w:t>
      </w:r>
      <w:r w:rsidR="005157AC">
        <w:rPr>
          <w:rFonts w:cs="Arial"/>
          <w:sz w:val="22"/>
          <w:szCs w:val="22"/>
        </w:rPr>
        <w:t xml:space="preserve">investments </w:t>
      </w:r>
      <w:r w:rsidR="00C17609">
        <w:rPr>
          <w:rFonts w:cs="Arial"/>
          <w:sz w:val="22"/>
          <w:szCs w:val="22"/>
        </w:rPr>
        <w:t>reaching financial</w:t>
      </w:r>
      <w:r w:rsidR="005157AC">
        <w:rPr>
          <w:rFonts w:cs="Arial"/>
          <w:sz w:val="22"/>
          <w:szCs w:val="22"/>
        </w:rPr>
        <w:t xml:space="preserve"> close</w:t>
      </w:r>
      <w:r w:rsidR="00C17609">
        <w:rPr>
          <w:rFonts w:cs="Arial"/>
          <w:sz w:val="22"/>
          <w:szCs w:val="22"/>
        </w:rPr>
        <w:t>.</w:t>
      </w:r>
      <w:r w:rsidR="00F34186">
        <w:rPr>
          <w:rFonts w:cs="Arial"/>
          <w:sz w:val="22"/>
          <w:szCs w:val="22"/>
        </w:rPr>
        <w:t xml:space="preserve"> SIP-LA has shown good progress since the completion of the Strategic Review in 2020, </w:t>
      </w:r>
      <w:r w:rsidR="00127465">
        <w:rPr>
          <w:rFonts w:cs="Arial"/>
          <w:sz w:val="22"/>
          <w:szCs w:val="22"/>
        </w:rPr>
        <w:t>by rebuilding a pipeline of investments and agreeing technical assistance support in Brazil and Colombia.</w:t>
      </w:r>
    </w:p>
    <w:tbl>
      <w:tblPr>
        <w:tblStyle w:val="TableGrid"/>
        <w:tblpPr w:leftFromText="180" w:rightFromText="180" w:vertAnchor="text" w:horzAnchor="page" w:tblpX="1462" w:tblpY="-10"/>
        <w:tblOverlap w:val="never"/>
        <w:tblW w:w="9072" w:type="dxa"/>
        <w:tblLook w:val="04A0" w:firstRow="1" w:lastRow="0" w:firstColumn="1" w:lastColumn="0" w:noHBand="0" w:noVBand="1"/>
      </w:tblPr>
      <w:tblGrid>
        <w:gridCol w:w="4106"/>
        <w:gridCol w:w="1276"/>
        <w:gridCol w:w="3690"/>
      </w:tblGrid>
      <w:tr w:rsidR="007506DC" w:rsidRPr="006778A3" w14:paraId="50601B26" w14:textId="77777777" w:rsidTr="00C7784A">
        <w:trPr>
          <w:trHeight w:val="273"/>
        </w:trPr>
        <w:tc>
          <w:tcPr>
            <w:tcW w:w="410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92D8F16" w14:textId="2B14BAF2" w:rsidR="007506DC" w:rsidRPr="00EA696A" w:rsidRDefault="00110013" w:rsidP="00C7784A">
            <w:pPr>
              <w:rPr>
                <w:rFonts w:cs="Arial"/>
                <w:b/>
                <w:bCs/>
                <w:sz w:val="20"/>
                <w:szCs w:val="20"/>
              </w:rPr>
            </w:pPr>
            <w:r w:rsidRPr="00EA696A">
              <w:rPr>
                <w:rFonts w:cs="Arial"/>
                <w:b/>
                <w:bCs/>
                <w:sz w:val="20"/>
                <w:szCs w:val="20"/>
              </w:rPr>
              <w:lastRenderedPageBreak/>
              <w:t>Outcome i</w:t>
            </w:r>
            <w:r w:rsidR="007506DC" w:rsidRPr="00EA696A">
              <w:rPr>
                <w:rFonts w:cs="Arial"/>
                <w:b/>
                <w:bCs/>
                <w:sz w:val="20"/>
                <w:szCs w:val="20"/>
              </w:rPr>
              <w:t>ndicators</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3D702E1" w14:textId="47E79704" w:rsidR="007506DC" w:rsidRPr="00EA696A" w:rsidRDefault="007506DC" w:rsidP="00C7784A">
            <w:pPr>
              <w:rPr>
                <w:rFonts w:cs="Arial"/>
                <w:b/>
                <w:bCs/>
                <w:sz w:val="20"/>
                <w:szCs w:val="20"/>
              </w:rPr>
            </w:pPr>
            <w:r w:rsidRPr="00EA696A">
              <w:rPr>
                <w:rFonts w:cs="Arial"/>
                <w:b/>
                <w:bCs/>
                <w:sz w:val="20"/>
                <w:szCs w:val="20"/>
              </w:rPr>
              <w:t>Milestone</w:t>
            </w:r>
          </w:p>
        </w:tc>
        <w:tc>
          <w:tcPr>
            <w:tcW w:w="36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A963AF1" w14:textId="1A995557" w:rsidR="007506DC" w:rsidRPr="00EA696A" w:rsidRDefault="007506DC" w:rsidP="00C7784A">
            <w:pPr>
              <w:rPr>
                <w:rFonts w:cs="Arial"/>
                <w:b/>
                <w:bCs/>
                <w:sz w:val="20"/>
                <w:szCs w:val="20"/>
              </w:rPr>
            </w:pPr>
            <w:r w:rsidRPr="00EA696A">
              <w:rPr>
                <w:rFonts w:cs="Arial"/>
                <w:b/>
                <w:bCs/>
                <w:sz w:val="20"/>
                <w:szCs w:val="20"/>
              </w:rPr>
              <w:t xml:space="preserve">Progress </w:t>
            </w:r>
          </w:p>
        </w:tc>
      </w:tr>
      <w:tr w:rsidR="007506DC" w:rsidRPr="006778A3" w14:paraId="43EA97CA" w14:textId="77777777" w:rsidTr="00E95D89">
        <w:tc>
          <w:tcPr>
            <w:tcW w:w="4106" w:type="dxa"/>
            <w:tcBorders>
              <w:top w:val="single" w:sz="4" w:space="0" w:color="auto"/>
              <w:left w:val="single" w:sz="4" w:space="0" w:color="auto"/>
              <w:bottom w:val="single" w:sz="4" w:space="0" w:color="auto"/>
              <w:right w:val="single" w:sz="4" w:space="0" w:color="auto"/>
            </w:tcBorders>
          </w:tcPr>
          <w:p w14:paraId="11FE545A" w14:textId="1AA76C8E" w:rsidR="007506DC" w:rsidRPr="00EA696A" w:rsidRDefault="00E95D89" w:rsidP="002C7D2C">
            <w:pPr>
              <w:spacing w:after="120"/>
              <w:rPr>
                <w:rFonts w:cs="Arial"/>
                <w:bCs/>
                <w:iCs/>
                <w:sz w:val="20"/>
                <w:szCs w:val="20"/>
              </w:rPr>
            </w:pPr>
            <w:r w:rsidRPr="00EA696A">
              <w:rPr>
                <w:rFonts w:cs="Arial"/>
                <w:bCs/>
                <w:iCs/>
                <w:sz w:val="20"/>
                <w:szCs w:val="20"/>
              </w:rPr>
              <w:t xml:space="preserve">Outcome indicator </w:t>
            </w:r>
            <w:r w:rsidR="007506DC" w:rsidRPr="00EA696A">
              <w:rPr>
                <w:rFonts w:cs="Arial"/>
                <w:bCs/>
                <w:iCs/>
                <w:sz w:val="20"/>
                <w:szCs w:val="20"/>
              </w:rPr>
              <w:t xml:space="preserve">1 </w:t>
            </w:r>
            <w:r w:rsidR="00110013" w:rsidRPr="00EA696A">
              <w:rPr>
                <w:rFonts w:cs="Arial"/>
                <w:bCs/>
                <w:iCs/>
                <w:sz w:val="20"/>
                <w:szCs w:val="20"/>
              </w:rPr>
              <w:t xml:space="preserve">- </w:t>
            </w:r>
            <w:r w:rsidR="007506DC" w:rsidRPr="00EA696A">
              <w:rPr>
                <w:rFonts w:cs="Arial"/>
                <w:bCs/>
                <w:i/>
                <w:sz w:val="20"/>
                <w:szCs w:val="20"/>
              </w:rPr>
              <w:t>Sustainable low carbon infrastructure policies or regulation adopted that have received support from SIP technical assistance activity</w:t>
            </w:r>
          </w:p>
        </w:tc>
        <w:tc>
          <w:tcPr>
            <w:tcW w:w="1276" w:type="dxa"/>
            <w:tcBorders>
              <w:top w:val="single" w:sz="4" w:space="0" w:color="auto"/>
              <w:left w:val="single" w:sz="4" w:space="0" w:color="auto"/>
              <w:bottom w:val="single" w:sz="4" w:space="0" w:color="auto"/>
              <w:right w:val="single" w:sz="4" w:space="0" w:color="auto"/>
            </w:tcBorders>
          </w:tcPr>
          <w:p w14:paraId="64F6C87A" w14:textId="708FD089" w:rsidR="007506DC" w:rsidRPr="00EA696A" w:rsidRDefault="00B50B99" w:rsidP="002C7D2C">
            <w:pPr>
              <w:spacing w:after="120"/>
              <w:rPr>
                <w:rFonts w:cs="Arial"/>
                <w:bCs/>
                <w:iCs/>
                <w:sz w:val="20"/>
                <w:szCs w:val="20"/>
              </w:rPr>
            </w:pPr>
            <w:r w:rsidRPr="00EA696A">
              <w:rPr>
                <w:rFonts w:cs="Arial"/>
                <w:bCs/>
                <w:iCs/>
                <w:sz w:val="20"/>
                <w:szCs w:val="20"/>
              </w:rPr>
              <w:t>5</w:t>
            </w:r>
          </w:p>
        </w:tc>
        <w:tc>
          <w:tcPr>
            <w:tcW w:w="3690" w:type="dxa"/>
            <w:tcBorders>
              <w:top w:val="single" w:sz="4" w:space="0" w:color="auto"/>
              <w:left w:val="single" w:sz="4" w:space="0" w:color="auto"/>
              <w:bottom w:val="single" w:sz="4" w:space="0" w:color="auto"/>
              <w:right w:val="single" w:sz="4" w:space="0" w:color="auto"/>
            </w:tcBorders>
          </w:tcPr>
          <w:p w14:paraId="6B33D9E6" w14:textId="699C6FC9" w:rsidR="007506DC" w:rsidRPr="00EA696A" w:rsidRDefault="000E7153" w:rsidP="002C7D2C">
            <w:pPr>
              <w:spacing w:after="120"/>
              <w:rPr>
                <w:rFonts w:cs="Arial"/>
                <w:bCs/>
                <w:iCs/>
                <w:sz w:val="20"/>
                <w:szCs w:val="20"/>
              </w:rPr>
            </w:pPr>
            <w:r w:rsidRPr="00EA696A">
              <w:rPr>
                <w:rFonts w:cs="Arial"/>
                <w:bCs/>
                <w:iCs/>
                <w:sz w:val="20"/>
                <w:szCs w:val="20"/>
              </w:rPr>
              <w:t>8</w:t>
            </w:r>
          </w:p>
          <w:p w14:paraId="22259B8D" w14:textId="699C6FC9" w:rsidR="00046CCE" w:rsidRPr="00EA696A" w:rsidRDefault="00046CCE" w:rsidP="00D93F68">
            <w:pPr>
              <w:pStyle w:val="ListParagraph"/>
              <w:numPr>
                <w:ilvl w:val="0"/>
                <w:numId w:val="6"/>
              </w:numPr>
              <w:spacing w:after="120"/>
              <w:ind w:left="179" w:hanging="179"/>
              <w:rPr>
                <w:rFonts w:cs="Arial"/>
                <w:bCs/>
                <w:iCs/>
                <w:sz w:val="20"/>
              </w:rPr>
            </w:pPr>
            <w:r w:rsidRPr="00EA696A">
              <w:rPr>
                <w:bCs/>
                <w:sz w:val="20"/>
                <w:lang w:val="en-US"/>
              </w:rPr>
              <w:t>Colombia Renewable Energy</w:t>
            </w:r>
            <w:r w:rsidR="009B4896" w:rsidRPr="00EA696A">
              <w:rPr>
                <w:bCs/>
                <w:sz w:val="20"/>
                <w:lang w:val="en-US"/>
              </w:rPr>
              <w:t xml:space="preserve"> (3) </w:t>
            </w:r>
          </w:p>
          <w:p w14:paraId="16202D7F" w14:textId="77777777" w:rsidR="00E95D89" w:rsidRPr="00EA696A" w:rsidRDefault="00E95D89" w:rsidP="00D93F68">
            <w:pPr>
              <w:pStyle w:val="ListParagraph"/>
              <w:numPr>
                <w:ilvl w:val="0"/>
                <w:numId w:val="6"/>
              </w:numPr>
              <w:spacing w:after="120"/>
              <w:ind w:left="179" w:hanging="179"/>
              <w:rPr>
                <w:rFonts w:cs="Arial"/>
                <w:bCs/>
                <w:iCs/>
                <w:sz w:val="20"/>
              </w:rPr>
            </w:pPr>
            <w:r w:rsidRPr="00EA696A">
              <w:rPr>
                <w:rFonts w:eastAsiaTheme="minorHAnsi" w:cs="Arial"/>
                <w:bCs/>
                <w:sz w:val="20"/>
              </w:rPr>
              <w:t xml:space="preserve">Colombia Electromobility (1) </w:t>
            </w:r>
          </w:p>
          <w:p w14:paraId="6F1A49F8" w14:textId="43AFF604" w:rsidR="009B4896" w:rsidRPr="00EA696A" w:rsidRDefault="009B4896" w:rsidP="00D93F68">
            <w:pPr>
              <w:pStyle w:val="ListParagraph"/>
              <w:numPr>
                <w:ilvl w:val="0"/>
                <w:numId w:val="6"/>
              </w:numPr>
              <w:spacing w:after="120"/>
              <w:ind w:left="179" w:hanging="179"/>
              <w:rPr>
                <w:rFonts w:cs="Arial"/>
                <w:bCs/>
                <w:iCs/>
                <w:sz w:val="20"/>
              </w:rPr>
            </w:pPr>
            <w:r w:rsidRPr="00EA696A">
              <w:rPr>
                <w:rFonts w:eastAsiaTheme="minorHAnsi" w:cs="Arial"/>
                <w:bCs/>
                <w:sz w:val="20"/>
              </w:rPr>
              <w:t xml:space="preserve">Mexico Sustainable </w:t>
            </w:r>
            <w:r w:rsidR="00EA696A">
              <w:rPr>
                <w:rFonts w:eastAsiaTheme="minorHAnsi" w:cs="Arial"/>
                <w:bCs/>
                <w:sz w:val="20"/>
              </w:rPr>
              <w:t>T</w:t>
            </w:r>
            <w:r w:rsidRPr="00EA696A">
              <w:rPr>
                <w:rFonts w:eastAsiaTheme="minorHAnsi" w:cs="Arial"/>
                <w:bCs/>
                <w:sz w:val="20"/>
              </w:rPr>
              <w:t>ransport (3)</w:t>
            </w:r>
          </w:p>
          <w:p w14:paraId="6A75CA9B" w14:textId="313B6E94" w:rsidR="00E95D89" w:rsidRPr="00EA696A" w:rsidRDefault="00EA696A" w:rsidP="00D93F68">
            <w:pPr>
              <w:pStyle w:val="ListParagraph"/>
              <w:numPr>
                <w:ilvl w:val="0"/>
                <w:numId w:val="6"/>
              </w:numPr>
              <w:spacing w:after="120"/>
              <w:ind w:left="179" w:hanging="179"/>
              <w:rPr>
                <w:rFonts w:cs="Arial"/>
                <w:bCs/>
                <w:iCs/>
                <w:sz w:val="20"/>
              </w:rPr>
            </w:pPr>
            <w:r w:rsidRPr="00EA696A">
              <w:rPr>
                <w:rFonts w:cs="Arial"/>
                <w:bCs/>
                <w:iCs/>
                <w:sz w:val="20"/>
              </w:rPr>
              <w:t xml:space="preserve">Mexico </w:t>
            </w:r>
            <w:r w:rsidR="00E95D89" w:rsidRPr="00EA696A">
              <w:rPr>
                <w:rFonts w:cs="Arial"/>
                <w:bCs/>
                <w:iCs/>
                <w:sz w:val="20"/>
              </w:rPr>
              <w:t>Waste Management (1)</w:t>
            </w:r>
          </w:p>
        </w:tc>
      </w:tr>
      <w:tr w:rsidR="007506DC" w:rsidRPr="001B2FFA" w14:paraId="7021CA66" w14:textId="77777777" w:rsidTr="00E95D89">
        <w:tc>
          <w:tcPr>
            <w:tcW w:w="4106" w:type="dxa"/>
            <w:tcBorders>
              <w:top w:val="single" w:sz="4" w:space="0" w:color="auto"/>
              <w:left w:val="single" w:sz="4" w:space="0" w:color="auto"/>
              <w:bottom w:val="single" w:sz="4" w:space="0" w:color="auto"/>
              <w:right w:val="single" w:sz="4" w:space="0" w:color="auto"/>
            </w:tcBorders>
          </w:tcPr>
          <w:p w14:paraId="19CE0769" w14:textId="1EC890E2" w:rsidR="007506DC" w:rsidRPr="00EA696A" w:rsidRDefault="00E95D89" w:rsidP="002C7D2C">
            <w:pPr>
              <w:spacing w:after="120"/>
              <w:rPr>
                <w:rFonts w:cs="Arial"/>
                <w:bCs/>
                <w:iCs/>
                <w:sz w:val="20"/>
                <w:szCs w:val="20"/>
              </w:rPr>
            </w:pPr>
            <w:r w:rsidRPr="00EA696A">
              <w:rPr>
                <w:rFonts w:cs="Arial"/>
                <w:bCs/>
                <w:iCs/>
                <w:sz w:val="20"/>
                <w:szCs w:val="20"/>
              </w:rPr>
              <w:t xml:space="preserve">Outcome indicator </w:t>
            </w:r>
            <w:r w:rsidR="00225938" w:rsidRPr="00EA696A">
              <w:rPr>
                <w:rFonts w:cs="Arial"/>
                <w:bCs/>
                <w:iCs/>
                <w:sz w:val="20"/>
                <w:szCs w:val="20"/>
              </w:rPr>
              <w:t>2</w:t>
            </w:r>
            <w:r w:rsidR="007506DC" w:rsidRPr="00EA696A">
              <w:rPr>
                <w:rFonts w:cs="Arial"/>
                <w:bCs/>
                <w:iCs/>
                <w:sz w:val="20"/>
                <w:szCs w:val="20"/>
              </w:rPr>
              <w:t xml:space="preserve"> </w:t>
            </w:r>
            <w:r w:rsidR="00110013" w:rsidRPr="00EA696A">
              <w:rPr>
                <w:rFonts w:cs="Arial"/>
                <w:bCs/>
                <w:iCs/>
                <w:sz w:val="20"/>
                <w:szCs w:val="20"/>
              </w:rPr>
              <w:t xml:space="preserve">- </w:t>
            </w:r>
            <w:r w:rsidR="008369E6" w:rsidRPr="00EA696A">
              <w:rPr>
                <w:rFonts w:cs="Arial"/>
                <w:bCs/>
                <w:i/>
                <w:iCs/>
                <w:sz w:val="20"/>
                <w:szCs w:val="20"/>
                <w:lang w:val="en"/>
              </w:rPr>
              <w:t>Number of low carbon infrastructure projects which reach financial close that have benefited from SIP TA</w:t>
            </w:r>
          </w:p>
        </w:tc>
        <w:tc>
          <w:tcPr>
            <w:tcW w:w="1276" w:type="dxa"/>
            <w:tcBorders>
              <w:top w:val="single" w:sz="4" w:space="0" w:color="auto"/>
              <w:left w:val="single" w:sz="4" w:space="0" w:color="auto"/>
              <w:bottom w:val="single" w:sz="4" w:space="0" w:color="auto"/>
              <w:right w:val="single" w:sz="4" w:space="0" w:color="auto"/>
            </w:tcBorders>
          </w:tcPr>
          <w:p w14:paraId="0FFF179F" w14:textId="48BF5231" w:rsidR="007506DC" w:rsidRPr="00EA696A" w:rsidRDefault="007506DC" w:rsidP="002C7D2C">
            <w:pPr>
              <w:spacing w:after="120"/>
              <w:rPr>
                <w:rFonts w:cs="Arial"/>
                <w:bCs/>
                <w:iCs/>
                <w:sz w:val="20"/>
                <w:szCs w:val="20"/>
              </w:rPr>
            </w:pPr>
            <w:r w:rsidRPr="00EA696A">
              <w:rPr>
                <w:rFonts w:cs="Arial"/>
                <w:bCs/>
                <w:iCs/>
                <w:sz w:val="20"/>
                <w:szCs w:val="20"/>
              </w:rPr>
              <w:t>1</w:t>
            </w:r>
          </w:p>
        </w:tc>
        <w:tc>
          <w:tcPr>
            <w:tcW w:w="3690" w:type="dxa"/>
            <w:tcBorders>
              <w:top w:val="single" w:sz="4" w:space="0" w:color="auto"/>
              <w:left w:val="single" w:sz="4" w:space="0" w:color="auto"/>
              <w:bottom w:val="single" w:sz="4" w:space="0" w:color="auto"/>
              <w:right w:val="single" w:sz="4" w:space="0" w:color="auto"/>
            </w:tcBorders>
          </w:tcPr>
          <w:p w14:paraId="4839E562" w14:textId="69D51BCA" w:rsidR="007506DC" w:rsidRPr="00EA696A" w:rsidRDefault="00C41737" w:rsidP="002C7D2C">
            <w:pPr>
              <w:spacing w:after="120"/>
              <w:rPr>
                <w:rFonts w:cs="Arial"/>
                <w:bCs/>
                <w:iCs/>
                <w:sz w:val="20"/>
                <w:szCs w:val="20"/>
              </w:rPr>
            </w:pPr>
            <w:r w:rsidRPr="00EA696A">
              <w:rPr>
                <w:rFonts w:cs="Arial"/>
                <w:bCs/>
                <w:iCs/>
                <w:sz w:val="20"/>
                <w:szCs w:val="20"/>
              </w:rPr>
              <w:t>0</w:t>
            </w:r>
          </w:p>
        </w:tc>
      </w:tr>
    </w:tbl>
    <w:p w14:paraId="5CA3190D" w14:textId="641DBE42" w:rsidR="0064313C" w:rsidRDefault="001B2FFA" w:rsidP="0064313C">
      <w:pPr>
        <w:spacing w:before="120" w:after="120"/>
        <w:jc w:val="both"/>
        <w:rPr>
          <w:sz w:val="22"/>
          <w:szCs w:val="22"/>
          <w:lang w:val="en-US"/>
        </w:rPr>
      </w:pPr>
      <w:r w:rsidRPr="00BC1BCC">
        <w:rPr>
          <w:b/>
          <w:bCs/>
          <w:sz w:val="22"/>
          <w:szCs w:val="22"/>
          <w:lang w:val="en-US"/>
        </w:rPr>
        <w:t xml:space="preserve">Outcome </w:t>
      </w:r>
      <w:r w:rsidR="00C70317">
        <w:rPr>
          <w:b/>
          <w:bCs/>
          <w:sz w:val="22"/>
          <w:szCs w:val="22"/>
          <w:lang w:val="en-US"/>
        </w:rPr>
        <w:t>i</w:t>
      </w:r>
      <w:r w:rsidR="009B18FE" w:rsidRPr="00BC1BCC">
        <w:rPr>
          <w:b/>
          <w:bCs/>
          <w:sz w:val="22"/>
          <w:szCs w:val="22"/>
          <w:lang w:val="en-US"/>
        </w:rPr>
        <w:t>ndicator</w:t>
      </w:r>
      <w:r w:rsidRPr="00BC1BCC">
        <w:rPr>
          <w:b/>
          <w:bCs/>
          <w:sz w:val="22"/>
          <w:szCs w:val="22"/>
          <w:lang w:val="en-US"/>
        </w:rPr>
        <w:t xml:space="preserve"> 1</w:t>
      </w:r>
      <w:r w:rsidRPr="001B2FFA">
        <w:rPr>
          <w:sz w:val="22"/>
          <w:szCs w:val="22"/>
          <w:lang w:val="en-US"/>
        </w:rPr>
        <w:t xml:space="preserve"> </w:t>
      </w:r>
      <w:r w:rsidR="00252C2D">
        <w:rPr>
          <w:sz w:val="22"/>
          <w:szCs w:val="22"/>
          <w:lang w:val="en-US"/>
        </w:rPr>
        <w:t>assesses</w:t>
      </w:r>
      <w:r w:rsidRPr="001B2FFA">
        <w:rPr>
          <w:sz w:val="22"/>
          <w:szCs w:val="22"/>
          <w:lang w:val="en-US"/>
        </w:rPr>
        <w:t xml:space="preserve"> </w:t>
      </w:r>
      <w:r w:rsidR="0073593B">
        <w:rPr>
          <w:sz w:val="22"/>
          <w:szCs w:val="22"/>
          <w:lang w:val="en-US"/>
        </w:rPr>
        <w:t xml:space="preserve">the change in the enabling environment for low carbon sustainable infrastructure </w:t>
      </w:r>
      <w:r w:rsidR="00AD3E8F">
        <w:rPr>
          <w:sz w:val="22"/>
          <w:szCs w:val="22"/>
          <w:lang w:val="en-US"/>
        </w:rPr>
        <w:t xml:space="preserve">investments </w:t>
      </w:r>
      <w:r w:rsidR="00E726F8">
        <w:rPr>
          <w:sz w:val="22"/>
          <w:szCs w:val="22"/>
          <w:lang w:val="en-US"/>
        </w:rPr>
        <w:t>as a result of</w:t>
      </w:r>
      <w:r w:rsidR="0073593B">
        <w:rPr>
          <w:sz w:val="22"/>
          <w:szCs w:val="22"/>
          <w:lang w:val="en-US"/>
        </w:rPr>
        <w:t xml:space="preserve"> </w:t>
      </w:r>
      <w:r w:rsidRPr="001B2FFA">
        <w:rPr>
          <w:sz w:val="22"/>
          <w:szCs w:val="22"/>
          <w:lang w:val="en-US"/>
        </w:rPr>
        <w:t>SIP-LA</w:t>
      </w:r>
      <w:r w:rsidR="0073593B">
        <w:rPr>
          <w:sz w:val="22"/>
          <w:szCs w:val="22"/>
          <w:lang w:val="en-US"/>
        </w:rPr>
        <w:t xml:space="preserve"> </w:t>
      </w:r>
      <w:r w:rsidR="00127465">
        <w:rPr>
          <w:sz w:val="22"/>
          <w:szCs w:val="22"/>
          <w:lang w:val="en-US"/>
        </w:rPr>
        <w:t xml:space="preserve">public sector </w:t>
      </w:r>
      <w:r w:rsidR="0073593B">
        <w:rPr>
          <w:sz w:val="22"/>
          <w:szCs w:val="22"/>
          <w:lang w:val="en-US"/>
        </w:rPr>
        <w:t>technical assistance.</w:t>
      </w:r>
      <w:r w:rsidR="003461A3">
        <w:rPr>
          <w:sz w:val="22"/>
          <w:szCs w:val="22"/>
          <w:lang w:val="en-US"/>
        </w:rPr>
        <w:t xml:space="preserve"> </w:t>
      </w:r>
      <w:r w:rsidR="00151700" w:rsidRPr="001B2FFA">
        <w:rPr>
          <w:sz w:val="22"/>
          <w:szCs w:val="22"/>
          <w:lang w:val="en-US"/>
        </w:rPr>
        <w:t>SIP-LA</w:t>
      </w:r>
      <w:r w:rsidR="005E4590">
        <w:rPr>
          <w:sz w:val="22"/>
          <w:szCs w:val="22"/>
          <w:lang w:val="en-US"/>
        </w:rPr>
        <w:t xml:space="preserve"> </w:t>
      </w:r>
      <w:r w:rsidR="1F94D41C" w:rsidRPr="6C68371C">
        <w:rPr>
          <w:sz w:val="22"/>
          <w:szCs w:val="22"/>
          <w:lang w:val="en-US"/>
        </w:rPr>
        <w:t>exceeded</w:t>
      </w:r>
      <w:r w:rsidR="005E4590">
        <w:rPr>
          <w:sz w:val="22"/>
          <w:szCs w:val="22"/>
          <w:lang w:val="en-US"/>
        </w:rPr>
        <w:t xml:space="preserve"> its </w:t>
      </w:r>
      <w:r w:rsidR="0045552F">
        <w:rPr>
          <w:sz w:val="22"/>
          <w:szCs w:val="22"/>
          <w:lang w:val="en-US"/>
        </w:rPr>
        <w:t xml:space="preserve">milestone for </w:t>
      </w:r>
      <w:r w:rsidR="005E4590">
        <w:rPr>
          <w:sz w:val="22"/>
          <w:szCs w:val="22"/>
          <w:lang w:val="en-US"/>
        </w:rPr>
        <w:t xml:space="preserve">outcome indicator 1 </w:t>
      </w:r>
      <w:r w:rsidR="0045552F">
        <w:rPr>
          <w:sz w:val="22"/>
          <w:szCs w:val="22"/>
          <w:lang w:val="en-US"/>
        </w:rPr>
        <w:t>in</w:t>
      </w:r>
      <w:r w:rsidR="005E4590">
        <w:rPr>
          <w:sz w:val="22"/>
          <w:szCs w:val="22"/>
          <w:lang w:val="en-US"/>
        </w:rPr>
        <w:t xml:space="preserve"> 2020</w:t>
      </w:r>
      <w:r w:rsidR="0045552F">
        <w:rPr>
          <w:sz w:val="22"/>
          <w:szCs w:val="22"/>
          <w:lang w:val="en-US"/>
        </w:rPr>
        <w:t>, providing</w:t>
      </w:r>
      <w:r w:rsidR="00151700" w:rsidRPr="001B2FFA">
        <w:rPr>
          <w:sz w:val="22"/>
          <w:szCs w:val="22"/>
          <w:lang w:val="en-US"/>
        </w:rPr>
        <w:t xml:space="preserve"> </w:t>
      </w:r>
      <w:r w:rsidR="005E4590">
        <w:rPr>
          <w:sz w:val="22"/>
          <w:szCs w:val="22"/>
          <w:lang w:val="en-US"/>
        </w:rPr>
        <w:t xml:space="preserve">technical assistance </w:t>
      </w:r>
      <w:r w:rsidR="0045552F">
        <w:rPr>
          <w:sz w:val="22"/>
          <w:szCs w:val="22"/>
          <w:lang w:val="en-US"/>
        </w:rPr>
        <w:t xml:space="preserve">that </w:t>
      </w:r>
      <w:r w:rsidR="005E4590">
        <w:rPr>
          <w:sz w:val="22"/>
          <w:szCs w:val="22"/>
          <w:lang w:val="en-US"/>
        </w:rPr>
        <w:t xml:space="preserve">led to the adoption of </w:t>
      </w:r>
      <w:r w:rsidR="003461A3">
        <w:rPr>
          <w:sz w:val="22"/>
          <w:szCs w:val="22"/>
          <w:lang w:val="en-US"/>
        </w:rPr>
        <w:t xml:space="preserve">the following </w:t>
      </w:r>
      <w:r w:rsidR="00905B37" w:rsidRPr="001B2FFA">
        <w:rPr>
          <w:sz w:val="22"/>
          <w:szCs w:val="22"/>
          <w:lang w:val="en-US"/>
        </w:rPr>
        <w:t xml:space="preserve">8 </w:t>
      </w:r>
      <w:r w:rsidR="005E4590">
        <w:rPr>
          <w:sz w:val="22"/>
          <w:szCs w:val="22"/>
          <w:lang w:val="en-US"/>
        </w:rPr>
        <w:t>l</w:t>
      </w:r>
      <w:r w:rsidR="00905B37" w:rsidRPr="001B2FFA">
        <w:rPr>
          <w:sz w:val="22"/>
          <w:szCs w:val="22"/>
          <w:lang w:val="en-US"/>
        </w:rPr>
        <w:t xml:space="preserve">ow carbon </w:t>
      </w:r>
      <w:r w:rsidR="005E4590">
        <w:rPr>
          <w:sz w:val="22"/>
          <w:szCs w:val="22"/>
          <w:lang w:val="en-US"/>
        </w:rPr>
        <w:t>p</w:t>
      </w:r>
      <w:r w:rsidR="00905B37" w:rsidRPr="001B2FFA">
        <w:rPr>
          <w:sz w:val="22"/>
          <w:szCs w:val="22"/>
          <w:lang w:val="en-US"/>
        </w:rPr>
        <w:t xml:space="preserve">olicies </w:t>
      </w:r>
      <w:r w:rsidR="005E4590">
        <w:rPr>
          <w:sz w:val="22"/>
          <w:szCs w:val="22"/>
          <w:lang w:val="en-US"/>
        </w:rPr>
        <w:t>and regulations</w:t>
      </w:r>
      <w:r w:rsidR="00513C81">
        <w:rPr>
          <w:sz w:val="22"/>
          <w:szCs w:val="22"/>
          <w:lang w:val="en-US"/>
        </w:rPr>
        <w:t>.</w:t>
      </w:r>
      <w:r w:rsidR="00F76300">
        <w:rPr>
          <w:rStyle w:val="FootnoteReference"/>
          <w:sz w:val="22"/>
          <w:szCs w:val="22"/>
          <w:lang w:val="en-US"/>
        </w:rPr>
        <w:footnoteReference w:id="4"/>
      </w:r>
    </w:p>
    <w:p w14:paraId="0088AA45" w14:textId="483CD2E7" w:rsidR="00A900A6" w:rsidRPr="00050896" w:rsidRDefault="008E12D1" w:rsidP="00050896">
      <w:pPr>
        <w:keepNext/>
        <w:autoSpaceDE w:val="0"/>
        <w:autoSpaceDN w:val="0"/>
        <w:adjustRightInd w:val="0"/>
        <w:spacing w:before="120" w:after="120"/>
        <w:jc w:val="both"/>
        <w:rPr>
          <w:rFonts w:cs="Arial"/>
          <w:sz w:val="22"/>
          <w:szCs w:val="22"/>
          <w:lang w:val="en"/>
        </w:rPr>
      </w:pPr>
      <w:r w:rsidRPr="00050896">
        <w:rPr>
          <w:b/>
          <w:bCs/>
          <w:sz w:val="22"/>
          <w:szCs w:val="22"/>
          <w:lang w:val="en-US"/>
        </w:rPr>
        <w:t>O</w:t>
      </w:r>
      <w:r w:rsidR="00FD76F9" w:rsidRPr="00050896">
        <w:rPr>
          <w:b/>
          <w:bCs/>
          <w:sz w:val="22"/>
          <w:szCs w:val="22"/>
          <w:lang w:val="en-US"/>
        </w:rPr>
        <w:t>utcome indicator 2</w:t>
      </w:r>
      <w:r w:rsidR="001230FD" w:rsidRPr="00050896">
        <w:rPr>
          <w:sz w:val="22"/>
          <w:szCs w:val="22"/>
          <w:lang w:val="en-US"/>
        </w:rPr>
        <w:t xml:space="preserve"> m</w:t>
      </w:r>
      <w:r w:rsidR="00F2611B" w:rsidRPr="00050896">
        <w:rPr>
          <w:sz w:val="22"/>
          <w:szCs w:val="22"/>
          <w:lang w:val="en-US"/>
        </w:rPr>
        <w:t xml:space="preserve">easures </w:t>
      </w:r>
      <w:r w:rsidR="001230FD" w:rsidRPr="00050896">
        <w:rPr>
          <w:sz w:val="22"/>
          <w:szCs w:val="22"/>
          <w:lang w:val="en-US"/>
        </w:rPr>
        <w:t xml:space="preserve">the </w:t>
      </w:r>
      <w:r w:rsidR="00872FAC" w:rsidRPr="00050896">
        <w:rPr>
          <w:sz w:val="22"/>
          <w:szCs w:val="22"/>
          <w:lang w:val="en-US"/>
        </w:rPr>
        <w:t xml:space="preserve">number of </w:t>
      </w:r>
      <w:r w:rsidR="00B31EF5" w:rsidRPr="00050896">
        <w:rPr>
          <w:sz w:val="22"/>
          <w:szCs w:val="22"/>
          <w:lang w:val="en-US"/>
        </w:rPr>
        <w:t xml:space="preserve">projects that </w:t>
      </w:r>
      <w:r w:rsidR="001165BC" w:rsidRPr="00050896">
        <w:rPr>
          <w:sz w:val="22"/>
          <w:szCs w:val="22"/>
          <w:lang w:val="en-US"/>
        </w:rPr>
        <w:t xml:space="preserve">reach financial close </w:t>
      </w:r>
      <w:r w:rsidR="001070EB" w:rsidRPr="00050896">
        <w:rPr>
          <w:sz w:val="22"/>
          <w:szCs w:val="22"/>
          <w:lang w:val="en-US"/>
        </w:rPr>
        <w:t>that receive support from</w:t>
      </w:r>
      <w:r w:rsidR="001165BC" w:rsidRPr="00050896">
        <w:rPr>
          <w:sz w:val="22"/>
          <w:szCs w:val="22"/>
          <w:lang w:val="en-US"/>
        </w:rPr>
        <w:t xml:space="preserve"> both </w:t>
      </w:r>
      <w:r w:rsidR="00E213DF" w:rsidRPr="00050896">
        <w:rPr>
          <w:sz w:val="22"/>
          <w:szCs w:val="22"/>
          <w:lang w:val="en-US"/>
        </w:rPr>
        <w:t>SIP</w:t>
      </w:r>
      <w:r w:rsidR="00C70317" w:rsidRPr="00050896">
        <w:rPr>
          <w:sz w:val="22"/>
          <w:szCs w:val="22"/>
          <w:lang w:val="en-US"/>
        </w:rPr>
        <w:t>-LA</w:t>
      </w:r>
      <w:r w:rsidR="00E213DF" w:rsidRPr="00050896">
        <w:rPr>
          <w:sz w:val="22"/>
          <w:szCs w:val="22"/>
          <w:lang w:val="en-US"/>
        </w:rPr>
        <w:t xml:space="preserve"> </w:t>
      </w:r>
      <w:r w:rsidR="001165BC" w:rsidRPr="00050896">
        <w:rPr>
          <w:sz w:val="22"/>
          <w:szCs w:val="22"/>
          <w:lang w:val="en-US"/>
        </w:rPr>
        <w:t xml:space="preserve">financial support and SIP-LA </w:t>
      </w:r>
      <w:r w:rsidR="001070EB" w:rsidRPr="00050896">
        <w:rPr>
          <w:sz w:val="22"/>
          <w:szCs w:val="22"/>
          <w:lang w:val="en-US"/>
        </w:rPr>
        <w:t xml:space="preserve">technical assistance. </w:t>
      </w:r>
      <w:r w:rsidR="00B54A3E" w:rsidRPr="00050896">
        <w:rPr>
          <w:rFonts w:cs="Arial"/>
          <w:sz w:val="22"/>
          <w:szCs w:val="22"/>
          <w:lang w:val="en"/>
        </w:rPr>
        <w:t xml:space="preserve">SIP-LA did not achieve its </w:t>
      </w:r>
      <w:r w:rsidR="001070EB" w:rsidRPr="00050896">
        <w:rPr>
          <w:rFonts w:cs="Arial"/>
          <w:sz w:val="22"/>
          <w:szCs w:val="22"/>
          <w:lang w:val="en"/>
        </w:rPr>
        <w:t xml:space="preserve">2020 milestone for </w:t>
      </w:r>
      <w:r w:rsidR="00B54A3E" w:rsidRPr="00050896">
        <w:rPr>
          <w:rFonts w:cs="Arial"/>
          <w:sz w:val="22"/>
          <w:szCs w:val="22"/>
          <w:lang w:val="en"/>
        </w:rPr>
        <w:t xml:space="preserve">outcome indicator </w:t>
      </w:r>
      <w:r w:rsidR="00345714" w:rsidRPr="00050896">
        <w:rPr>
          <w:rFonts w:cs="Arial"/>
          <w:sz w:val="22"/>
          <w:szCs w:val="22"/>
          <w:lang w:val="en"/>
        </w:rPr>
        <w:t>2</w:t>
      </w:r>
      <w:r w:rsidR="006827DC" w:rsidRPr="00050896">
        <w:rPr>
          <w:rFonts w:cs="Arial"/>
          <w:sz w:val="22"/>
          <w:szCs w:val="22"/>
          <w:lang w:val="en"/>
        </w:rPr>
        <w:t xml:space="preserve"> because </w:t>
      </w:r>
      <w:r w:rsidR="004D0A41" w:rsidRPr="00050896">
        <w:rPr>
          <w:rFonts w:cs="Arial"/>
          <w:sz w:val="22"/>
          <w:szCs w:val="22"/>
          <w:lang w:val="en"/>
        </w:rPr>
        <w:t xml:space="preserve">SIP-LA </w:t>
      </w:r>
      <w:r w:rsidR="006827DC" w:rsidRPr="00050896">
        <w:rPr>
          <w:rFonts w:cs="Arial"/>
          <w:sz w:val="22"/>
          <w:szCs w:val="22"/>
          <w:lang w:val="en"/>
        </w:rPr>
        <w:t xml:space="preserve">did not have any </w:t>
      </w:r>
      <w:r w:rsidR="00E3780B" w:rsidRPr="00050896">
        <w:rPr>
          <w:rFonts w:cs="Arial"/>
          <w:sz w:val="22"/>
          <w:szCs w:val="22"/>
          <w:lang w:val="en"/>
        </w:rPr>
        <w:t>sustainable</w:t>
      </w:r>
      <w:r w:rsidR="00345714" w:rsidRPr="00050896">
        <w:rPr>
          <w:rFonts w:cs="Arial"/>
          <w:sz w:val="22"/>
          <w:szCs w:val="22"/>
          <w:lang w:val="en"/>
        </w:rPr>
        <w:t xml:space="preserve"> infrastructure projects </w:t>
      </w:r>
      <w:r w:rsidR="006827DC" w:rsidRPr="00050896">
        <w:rPr>
          <w:rFonts w:cs="Arial"/>
          <w:sz w:val="22"/>
          <w:szCs w:val="22"/>
          <w:lang w:val="en"/>
        </w:rPr>
        <w:t xml:space="preserve">that </w:t>
      </w:r>
      <w:r w:rsidR="00345714" w:rsidRPr="00050896">
        <w:rPr>
          <w:rFonts w:cs="Arial"/>
          <w:sz w:val="22"/>
          <w:szCs w:val="22"/>
          <w:lang w:val="en"/>
        </w:rPr>
        <w:t>reached financial clos</w:t>
      </w:r>
      <w:r w:rsidR="004D0A41" w:rsidRPr="00050896">
        <w:rPr>
          <w:rFonts w:cs="Arial"/>
          <w:sz w:val="22"/>
          <w:szCs w:val="22"/>
          <w:lang w:val="en"/>
        </w:rPr>
        <w:t>e.</w:t>
      </w:r>
      <w:r w:rsidR="009A6052">
        <w:rPr>
          <w:rStyle w:val="FootnoteReference"/>
          <w:rFonts w:cs="Arial"/>
          <w:sz w:val="22"/>
          <w:szCs w:val="22"/>
          <w:lang w:val="en"/>
        </w:rPr>
        <w:footnoteReference w:id="5"/>
      </w:r>
    </w:p>
    <w:p w14:paraId="13B57CF5" w14:textId="714B09E2" w:rsidR="00F66B7D" w:rsidRDefault="006C50EB" w:rsidP="004D0667">
      <w:pPr>
        <w:spacing w:before="120" w:after="120"/>
        <w:rPr>
          <w:rFonts w:cs="Arial"/>
          <w:bCs/>
          <w:sz w:val="22"/>
          <w:szCs w:val="22"/>
        </w:rPr>
      </w:pPr>
      <w:r>
        <w:rPr>
          <w:rFonts w:cs="Arial"/>
          <w:b/>
          <w:bCs/>
          <w:sz w:val="22"/>
          <w:szCs w:val="22"/>
        </w:rPr>
        <w:t>A</w:t>
      </w:r>
      <w:r w:rsidR="00F66B7D" w:rsidRPr="006778A3">
        <w:rPr>
          <w:rFonts w:cs="Arial"/>
          <w:b/>
          <w:bCs/>
          <w:sz w:val="22"/>
          <w:szCs w:val="22"/>
        </w:rPr>
        <w:t>ction</w:t>
      </w:r>
      <w:r>
        <w:rPr>
          <w:rFonts w:cs="Arial"/>
          <w:b/>
          <w:bCs/>
          <w:sz w:val="22"/>
          <w:szCs w:val="22"/>
        </w:rPr>
        <w:t>s</w:t>
      </w:r>
      <w:r w:rsidR="00F66B7D" w:rsidRPr="006778A3">
        <w:rPr>
          <w:rFonts w:cs="Arial"/>
          <w:b/>
          <w:bCs/>
          <w:sz w:val="22"/>
          <w:szCs w:val="22"/>
        </w:rPr>
        <w:t xml:space="preserve"> planned </w:t>
      </w:r>
      <w:r>
        <w:rPr>
          <w:rFonts w:cs="Arial"/>
          <w:b/>
          <w:bCs/>
          <w:sz w:val="22"/>
          <w:szCs w:val="22"/>
        </w:rPr>
        <w:t>for</w:t>
      </w:r>
      <w:r w:rsidR="00F66B7D" w:rsidRPr="006778A3">
        <w:rPr>
          <w:rFonts w:cs="Arial"/>
          <w:b/>
          <w:bCs/>
          <w:sz w:val="22"/>
          <w:szCs w:val="22"/>
        </w:rPr>
        <w:t xml:space="preserve"> </w:t>
      </w:r>
      <w:r w:rsidR="00F66B7D" w:rsidRPr="006778A3">
        <w:rPr>
          <w:rFonts w:cs="Arial"/>
          <w:b/>
          <w:sz w:val="22"/>
          <w:szCs w:val="22"/>
        </w:rPr>
        <w:t>the year ahead</w:t>
      </w:r>
    </w:p>
    <w:p w14:paraId="04AA1A95" w14:textId="7A53C09B" w:rsidR="001D7811" w:rsidRDefault="00A0351C" w:rsidP="00574D62">
      <w:pPr>
        <w:spacing w:after="120"/>
        <w:jc w:val="both"/>
        <w:rPr>
          <w:rFonts w:cs="Arial"/>
          <w:bCs/>
          <w:sz w:val="22"/>
          <w:szCs w:val="22"/>
        </w:rPr>
      </w:pPr>
      <w:r w:rsidRPr="00846ACF">
        <w:rPr>
          <w:rFonts w:cs="Arial"/>
          <w:sz w:val="22"/>
          <w:szCs w:val="22"/>
        </w:rPr>
        <w:t xml:space="preserve">The primary focus for the </w:t>
      </w:r>
      <w:r w:rsidR="00853F74">
        <w:rPr>
          <w:rFonts w:cs="Arial"/>
          <w:sz w:val="22"/>
          <w:szCs w:val="22"/>
        </w:rPr>
        <w:t>remaining 3 months</w:t>
      </w:r>
      <w:r w:rsidR="006A5CEE">
        <w:rPr>
          <w:rFonts w:cs="Arial"/>
          <w:sz w:val="22"/>
          <w:szCs w:val="22"/>
        </w:rPr>
        <w:t xml:space="preserve"> of the 2021 reporting </w:t>
      </w:r>
      <w:r w:rsidRPr="00846ACF">
        <w:rPr>
          <w:rFonts w:cs="Arial"/>
          <w:sz w:val="22"/>
          <w:szCs w:val="22"/>
        </w:rPr>
        <w:t>year</w:t>
      </w:r>
      <w:r w:rsidR="001C25F1">
        <w:rPr>
          <w:rFonts w:cs="Arial"/>
          <w:sz w:val="22"/>
          <w:szCs w:val="22"/>
        </w:rPr>
        <w:t xml:space="preserve">, </w:t>
      </w:r>
      <w:r w:rsidR="008242E4">
        <w:rPr>
          <w:rFonts w:cs="Arial"/>
          <w:sz w:val="22"/>
          <w:szCs w:val="22"/>
        </w:rPr>
        <w:t>given the slow progress in Output 3 in particular catching up with its annual targets,</w:t>
      </w:r>
      <w:r w:rsidRPr="00846ACF">
        <w:rPr>
          <w:rFonts w:cs="Arial"/>
          <w:sz w:val="22"/>
          <w:szCs w:val="22"/>
        </w:rPr>
        <w:t xml:space="preserve"> is to</w:t>
      </w:r>
      <w:r w:rsidR="006A5CEE">
        <w:rPr>
          <w:rFonts w:cs="Arial"/>
          <w:sz w:val="22"/>
          <w:szCs w:val="22"/>
        </w:rPr>
        <w:t xml:space="preserve"> test </w:t>
      </w:r>
      <w:r w:rsidR="006600D8">
        <w:rPr>
          <w:rFonts w:cs="Arial"/>
          <w:sz w:val="22"/>
          <w:szCs w:val="22"/>
        </w:rPr>
        <w:t>deliverability</w:t>
      </w:r>
      <w:r w:rsidR="006A5CEE">
        <w:rPr>
          <w:rFonts w:cs="Arial"/>
          <w:sz w:val="22"/>
          <w:szCs w:val="22"/>
        </w:rPr>
        <w:t xml:space="preserve"> </w:t>
      </w:r>
      <w:r w:rsidR="006A02BD">
        <w:rPr>
          <w:rFonts w:cs="Arial"/>
          <w:sz w:val="22"/>
          <w:szCs w:val="22"/>
        </w:rPr>
        <w:t xml:space="preserve">across all four countries </w:t>
      </w:r>
      <w:r w:rsidR="006A5CEE">
        <w:rPr>
          <w:rFonts w:cs="Arial"/>
          <w:sz w:val="22"/>
          <w:szCs w:val="22"/>
        </w:rPr>
        <w:t xml:space="preserve">of the </w:t>
      </w:r>
      <w:r w:rsidR="008E4C41">
        <w:rPr>
          <w:rFonts w:cs="Arial"/>
          <w:sz w:val="22"/>
          <w:szCs w:val="22"/>
        </w:rPr>
        <w:t>critical</w:t>
      </w:r>
      <w:r w:rsidR="006A5CEE">
        <w:rPr>
          <w:rFonts w:cs="Arial"/>
          <w:sz w:val="22"/>
          <w:szCs w:val="22"/>
        </w:rPr>
        <w:t xml:space="preserve"> metrics </w:t>
      </w:r>
      <w:r w:rsidR="008E4C41">
        <w:rPr>
          <w:rFonts w:cs="Arial"/>
          <w:sz w:val="22"/>
          <w:szCs w:val="22"/>
        </w:rPr>
        <w:t>associated with</w:t>
      </w:r>
      <w:r w:rsidR="00465BB0">
        <w:rPr>
          <w:rFonts w:cs="Arial"/>
          <w:sz w:val="22"/>
          <w:szCs w:val="22"/>
        </w:rPr>
        <w:t xml:space="preserve"> closing deals, mobilising</w:t>
      </w:r>
      <w:r w:rsidR="008E4C41">
        <w:rPr>
          <w:rFonts w:cs="Arial"/>
          <w:sz w:val="22"/>
          <w:szCs w:val="22"/>
        </w:rPr>
        <w:t xml:space="preserve"> finance from the market and generating </w:t>
      </w:r>
      <w:r w:rsidR="006A5CEE">
        <w:rPr>
          <w:rFonts w:cs="Arial"/>
          <w:sz w:val="22"/>
          <w:szCs w:val="22"/>
        </w:rPr>
        <w:t>MW</w:t>
      </w:r>
      <w:r w:rsidR="008E4C41">
        <w:rPr>
          <w:rFonts w:cs="Arial"/>
          <w:sz w:val="22"/>
          <w:szCs w:val="22"/>
        </w:rPr>
        <w:t xml:space="preserve"> of clean energy at scale</w:t>
      </w:r>
      <w:r w:rsidR="001C25F1">
        <w:rPr>
          <w:rFonts w:cs="Arial"/>
          <w:sz w:val="22"/>
          <w:szCs w:val="22"/>
        </w:rPr>
        <w:t>.</w:t>
      </w:r>
      <w:r w:rsidR="006A02BD">
        <w:rPr>
          <w:rFonts w:cs="Arial"/>
          <w:sz w:val="22"/>
          <w:szCs w:val="22"/>
        </w:rPr>
        <w:t xml:space="preserve"> Given the high risks of delivery we will also test extent to which the Annual Review for 2021 can be completed by end February 2022</w:t>
      </w:r>
      <w:r w:rsidR="00803C06">
        <w:rPr>
          <w:rFonts w:cs="Arial"/>
          <w:sz w:val="22"/>
          <w:szCs w:val="22"/>
        </w:rPr>
        <w:t xml:space="preserve"> in order to maximise prospects for course correction over the remainder of 2022.</w:t>
      </w:r>
      <w:r w:rsidRPr="00846ACF">
        <w:rPr>
          <w:rFonts w:cs="Arial"/>
          <w:sz w:val="22"/>
          <w:szCs w:val="22"/>
        </w:rPr>
        <w:t xml:space="preserve"> </w:t>
      </w:r>
    </w:p>
    <w:p w14:paraId="296BAB36" w14:textId="4A02F77D" w:rsidR="00F66B7D" w:rsidRPr="0082765E" w:rsidRDefault="00F66B7D" w:rsidP="00F66B7D">
      <w:pPr>
        <w:spacing w:after="120"/>
        <w:rPr>
          <w:rFonts w:cs="Arial"/>
          <w:b/>
          <w:sz w:val="22"/>
          <w:szCs w:val="22"/>
        </w:rPr>
      </w:pPr>
      <w:r w:rsidRPr="0082765E">
        <w:rPr>
          <w:rFonts w:cs="Arial"/>
          <w:b/>
          <w:sz w:val="22"/>
          <w:szCs w:val="22"/>
        </w:rPr>
        <w:t>Has the log</w:t>
      </w:r>
      <w:r w:rsidR="009F29EF">
        <w:rPr>
          <w:rFonts w:cs="Arial"/>
          <w:b/>
          <w:sz w:val="22"/>
          <w:szCs w:val="22"/>
        </w:rPr>
        <w:t xml:space="preserve"> </w:t>
      </w:r>
      <w:r w:rsidRPr="0082765E">
        <w:rPr>
          <w:rFonts w:cs="Arial"/>
          <w:b/>
          <w:sz w:val="22"/>
          <w:szCs w:val="22"/>
        </w:rPr>
        <w:t xml:space="preserve">frame been updated since the last review? </w:t>
      </w:r>
    </w:p>
    <w:p w14:paraId="52ACD00A" w14:textId="4D4EA238" w:rsidR="00872247" w:rsidRPr="005C3FFB" w:rsidRDefault="001339EC" w:rsidP="005C3FFB">
      <w:pPr>
        <w:spacing w:after="120"/>
        <w:jc w:val="both"/>
        <w:rPr>
          <w:rFonts w:cs="Arial"/>
          <w:bCs/>
          <w:sz w:val="22"/>
          <w:szCs w:val="22"/>
        </w:rPr>
      </w:pPr>
      <w:r>
        <w:rPr>
          <w:rFonts w:cs="Arial"/>
          <w:bCs/>
          <w:sz w:val="22"/>
          <w:szCs w:val="22"/>
        </w:rPr>
        <w:t xml:space="preserve">In 2020 </w:t>
      </w:r>
      <w:r w:rsidR="00ED170A">
        <w:rPr>
          <w:rFonts w:cs="Arial"/>
          <w:bCs/>
          <w:sz w:val="22"/>
          <w:szCs w:val="22"/>
        </w:rPr>
        <w:t xml:space="preserve">BEIS and IDB reviewed and revised the log frame as </w:t>
      </w:r>
      <w:r>
        <w:rPr>
          <w:rFonts w:cs="Arial"/>
          <w:bCs/>
          <w:sz w:val="22"/>
          <w:szCs w:val="22"/>
        </w:rPr>
        <w:t xml:space="preserve">a key element of the Strategic Review. </w:t>
      </w:r>
      <w:r w:rsidR="005A6833">
        <w:rPr>
          <w:rFonts w:cs="Arial"/>
          <w:bCs/>
          <w:sz w:val="22"/>
          <w:szCs w:val="22"/>
        </w:rPr>
        <w:t xml:space="preserve">This </w:t>
      </w:r>
      <w:r w:rsidR="002A17FA">
        <w:rPr>
          <w:rFonts w:cs="Arial"/>
          <w:bCs/>
          <w:sz w:val="22"/>
          <w:szCs w:val="22"/>
        </w:rPr>
        <w:t xml:space="preserve">was motivated by concerns that the log frame </w:t>
      </w:r>
      <w:r w:rsidR="00E1082C">
        <w:rPr>
          <w:rFonts w:cs="Arial"/>
          <w:bCs/>
          <w:sz w:val="22"/>
          <w:szCs w:val="22"/>
        </w:rPr>
        <w:t>might not</w:t>
      </w:r>
      <w:r w:rsidR="002A17FA">
        <w:rPr>
          <w:rFonts w:cs="Arial"/>
          <w:bCs/>
          <w:sz w:val="22"/>
          <w:szCs w:val="22"/>
        </w:rPr>
        <w:t xml:space="preserve"> fully capture the programme’s </w:t>
      </w:r>
      <w:r w:rsidR="00DF29D1">
        <w:rPr>
          <w:rFonts w:cs="Arial"/>
          <w:bCs/>
          <w:sz w:val="22"/>
          <w:szCs w:val="22"/>
        </w:rPr>
        <w:t xml:space="preserve">performance </w:t>
      </w:r>
      <w:r w:rsidR="004E7112">
        <w:rPr>
          <w:rFonts w:cs="Arial"/>
          <w:bCs/>
          <w:sz w:val="22"/>
          <w:szCs w:val="22"/>
        </w:rPr>
        <w:t xml:space="preserve">in line with HMG </w:t>
      </w:r>
      <w:r w:rsidR="00A34DB2">
        <w:rPr>
          <w:rFonts w:cs="Arial"/>
          <w:bCs/>
          <w:sz w:val="22"/>
          <w:szCs w:val="22"/>
        </w:rPr>
        <w:t xml:space="preserve">best practice, </w:t>
      </w:r>
      <w:r w:rsidR="00DF29D1">
        <w:rPr>
          <w:rFonts w:cs="Arial"/>
          <w:bCs/>
          <w:sz w:val="22"/>
          <w:szCs w:val="22"/>
        </w:rPr>
        <w:t xml:space="preserve">nor effectively incentivise </w:t>
      </w:r>
      <w:r w:rsidR="00E1082C">
        <w:rPr>
          <w:rFonts w:cs="Arial"/>
          <w:bCs/>
          <w:sz w:val="22"/>
          <w:szCs w:val="22"/>
        </w:rPr>
        <w:t xml:space="preserve">business case </w:t>
      </w:r>
      <w:r w:rsidR="00E203D1">
        <w:rPr>
          <w:rFonts w:cs="Arial"/>
          <w:bCs/>
          <w:sz w:val="22"/>
          <w:szCs w:val="22"/>
        </w:rPr>
        <w:t xml:space="preserve">expected </w:t>
      </w:r>
      <w:r w:rsidR="00E1082C">
        <w:rPr>
          <w:rFonts w:cs="Arial"/>
          <w:bCs/>
          <w:sz w:val="22"/>
          <w:szCs w:val="22"/>
        </w:rPr>
        <w:t>results</w:t>
      </w:r>
      <w:r w:rsidR="00DF29D1">
        <w:rPr>
          <w:rFonts w:cs="Arial"/>
          <w:bCs/>
          <w:sz w:val="22"/>
          <w:szCs w:val="22"/>
        </w:rPr>
        <w:t>.</w:t>
      </w:r>
      <w:r w:rsidR="004E7112">
        <w:rPr>
          <w:rFonts w:cs="Arial"/>
          <w:bCs/>
          <w:sz w:val="22"/>
          <w:szCs w:val="22"/>
        </w:rPr>
        <w:t xml:space="preserve"> </w:t>
      </w:r>
      <w:r w:rsidR="000158E7" w:rsidRPr="000158E7">
        <w:rPr>
          <w:rFonts w:cs="Arial"/>
          <w:sz w:val="22"/>
          <w:szCs w:val="22"/>
        </w:rPr>
        <w:t xml:space="preserve">The new log frame improves programme monitoring and better incentives </w:t>
      </w:r>
      <w:r w:rsidR="000158E7" w:rsidRPr="00127D34">
        <w:rPr>
          <w:rFonts w:cs="Arial"/>
          <w:sz w:val="22"/>
          <w:szCs w:val="22"/>
        </w:rPr>
        <w:t>results in line with the programme’s theory of change</w:t>
      </w:r>
      <w:r w:rsidR="00E1082C">
        <w:rPr>
          <w:rFonts w:cs="Arial"/>
          <w:sz w:val="22"/>
          <w:szCs w:val="22"/>
        </w:rPr>
        <w:t xml:space="preserve"> and HMG best practice</w:t>
      </w:r>
      <w:r w:rsidR="000158E7" w:rsidRPr="00127D34">
        <w:rPr>
          <w:rFonts w:cs="Arial"/>
          <w:sz w:val="22"/>
          <w:szCs w:val="22"/>
        </w:rPr>
        <w:t>.</w:t>
      </w:r>
      <w:r w:rsidR="000158E7">
        <w:rPr>
          <w:rFonts w:cs="Arial"/>
          <w:sz w:val="22"/>
          <w:szCs w:val="22"/>
        </w:rPr>
        <w:t xml:space="preserve"> </w:t>
      </w:r>
      <w:r w:rsidR="00DF29D1" w:rsidRPr="00127D34">
        <w:rPr>
          <w:rFonts w:cs="Arial"/>
          <w:bCs/>
          <w:sz w:val="22"/>
          <w:szCs w:val="22"/>
        </w:rPr>
        <w:t xml:space="preserve">Key </w:t>
      </w:r>
      <w:r w:rsidR="005C2EF8" w:rsidRPr="00127D34">
        <w:rPr>
          <w:rFonts w:cs="Arial"/>
          <w:bCs/>
          <w:sz w:val="22"/>
          <w:szCs w:val="22"/>
        </w:rPr>
        <w:t>changes</w:t>
      </w:r>
      <w:r w:rsidR="002D6744" w:rsidRPr="00127D34">
        <w:rPr>
          <w:rFonts w:cs="Arial"/>
          <w:bCs/>
          <w:sz w:val="22"/>
          <w:szCs w:val="22"/>
        </w:rPr>
        <w:t xml:space="preserve"> to the log frame include: 1) a </w:t>
      </w:r>
      <w:r w:rsidR="004E7112" w:rsidRPr="00127D34">
        <w:rPr>
          <w:rFonts w:cs="Arial"/>
          <w:bCs/>
          <w:sz w:val="22"/>
          <w:szCs w:val="22"/>
        </w:rPr>
        <w:t xml:space="preserve">more clearly defined impact definition, 2) </w:t>
      </w:r>
      <w:r w:rsidR="009C20B4" w:rsidRPr="00127D34">
        <w:rPr>
          <w:rFonts w:cs="Arial"/>
          <w:sz w:val="22"/>
          <w:szCs w:val="22"/>
        </w:rPr>
        <w:t>a single outcome statement</w:t>
      </w:r>
      <w:r w:rsidR="00E1082C">
        <w:rPr>
          <w:rFonts w:cs="Arial"/>
          <w:sz w:val="22"/>
          <w:szCs w:val="22"/>
        </w:rPr>
        <w:t xml:space="preserve">, and </w:t>
      </w:r>
      <w:r w:rsidR="00E203D1" w:rsidRPr="00127D34">
        <w:rPr>
          <w:rFonts w:cs="Arial"/>
          <w:sz w:val="22"/>
          <w:szCs w:val="22"/>
        </w:rPr>
        <w:t xml:space="preserve">3) </w:t>
      </w:r>
      <w:r w:rsidR="009C20B4" w:rsidRPr="00127D34">
        <w:rPr>
          <w:rFonts w:cs="Arial"/>
          <w:sz w:val="22"/>
          <w:szCs w:val="22"/>
        </w:rPr>
        <w:t xml:space="preserve">output </w:t>
      </w:r>
      <w:r w:rsidR="00E203D1" w:rsidRPr="00127D34">
        <w:rPr>
          <w:rFonts w:cs="Arial"/>
          <w:sz w:val="22"/>
          <w:szCs w:val="22"/>
        </w:rPr>
        <w:t>indicators that</w:t>
      </w:r>
      <w:r w:rsidR="009C20B4" w:rsidRPr="00127D34">
        <w:rPr>
          <w:rFonts w:cs="Arial"/>
          <w:sz w:val="22"/>
          <w:szCs w:val="22"/>
        </w:rPr>
        <w:t xml:space="preserve"> </w:t>
      </w:r>
      <w:r w:rsidR="005C2EF8" w:rsidRPr="00127D34">
        <w:rPr>
          <w:rFonts w:cs="Arial"/>
          <w:sz w:val="22"/>
          <w:szCs w:val="22"/>
        </w:rPr>
        <w:t xml:space="preserve">are more </w:t>
      </w:r>
      <w:r w:rsidR="009C20B4" w:rsidRPr="00127D34">
        <w:rPr>
          <w:rFonts w:cs="Arial"/>
          <w:sz w:val="22"/>
          <w:szCs w:val="22"/>
        </w:rPr>
        <w:t>focus</w:t>
      </w:r>
      <w:r w:rsidR="005C2EF8" w:rsidRPr="00127D34">
        <w:rPr>
          <w:rFonts w:cs="Arial"/>
          <w:sz w:val="22"/>
          <w:szCs w:val="22"/>
        </w:rPr>
        <w:t>ed</w:t>
      </w:r>
      <w:r w:rsidR="009C20B4" w:rsidRPr="00127D34">
        <w:rPr>
          <w:rFonts w:cs="Arial"/>
          <w:sz w:val="22"/>
          <w:szCs w:val="22"/>
        </w:rPr>
        <w:t xml:space="preserve"> on</w:t>
      </w:r>
      <w:r w:rsidR="005C2EF8" w:rsidRPr="00127D34">
        <w:rPr>
          <w:rFonts w:cs="Arial"/>
          <w:sz w:val="22"/>
          <w:szCs w:val="22"/>
        </w:rPr>
        <w:t xml:space="preserve"> the delivery of</w:t>
      </w:r>
      <w:r w:rsidR="009C20B4" w:rsidRPr="00127D34">
        <w:rPr>
          <w:rFonts w:cs="Arial"/>
          <w:sz w:val="22"/>
          <w:szCs w:val="22"/>
        </w:rPr>
        <w:t xml:space="preserve"> results</w:t>
      </w:r>
      <w:r w:rsidR="004A3C9A" w:rsidRPr="00127D34">
        <w:rPr>
          <w:rFonts w:cs="Arial"/>
          <w:sz w:val="22"/>
          <w:szCs w:val="22"/>
        </w:rPr>
        <w:t xml:space="preserve"> rather than processes</w:t>
      </w:r>
      <w:r w:rsidR="009C20B4" w:rsidRPr="00127D34">
        <w:rPr>
          <w:rFonts w:cs="Arial"/>
          <w:sz w:val="22"/>
          <w:szCs w:val="22"/>
        </w:rPr>
        <w:t>.</w:t>
      </w:r>
      <w:r w:rsidR="005C3FFB" w:rsidRPr="00127D34">
        <w:rPr>
          <w:rFonts w:cs="Arial"/>
          <w:bCs/>
          <w:sz w:val="22"/>
          <w:szCs w:val="22"/>
        </w:rPr>
        <w:t xml:space="preserve"> </w:t>
      </w:r>
      <w:r w:rsidR="004C7E22">
        <w:rPr>
          <w:rFonts w:cs="Arial"/>
          <w:sz w:val="22"/>
          <w:szCs w:val="22"/>
        </w:rPr>
        <w:t xml:space="preserve">More information on changes to each of the log frame output indicators is provided in </w:t>
      </w:r>
      <w:r w:rsidR="00FE2142">
        <w:rPr>
          <w:rFonts w:cs="Arial"/>
          <w:sz w:val="22"/>
          <w:szCs w:val="22"/>
        </w:rPr>
        <w:t>relevant output sections below.</w:t>
      </w:r>
    </w:p>
    <w:p w14:paraId="44E1407C" w14:textId="20D8F062" w:rsidR="00086765" w:rsidRDefault="00086765" w:rsidP="00017CD1">
      <w:pPr>
        <w:keepNext/>
        <w:spacing w:after="120"/>
        <w:rPr>
          <w:b/>
          <w:bCs/>
          <w:sz w:val="22"/>
          <w:szCs w:val="22"/>
        </w:rPr>
      </w:pPr>
      <w:r w:rsidRPr="00872247">
        <w:rPr>
          <w:b/>
          <w:bCs/>
          <w:sz w:val="22"/>
          <w:szCs w:val="22"/>
        </w:rPr>
        <w:t>Theory of Change</w:t>
      </w:r>
    </w:p>
    <w:p w14:paraId="5D31E2AB" w14:textId="32FE955E" w:rsidR="00F218AA" w:rsidRPr="00F218AA" w:rsidRDefault="006C7EE5" w:rsidP="00451386">
      <w:pPr>
        <w:spacing w:after="120"/>
        <w:jc w:val="both"/>
        <w:rPr>
          <w:sz w:val="22"/>
          <w:szCs w:val="22"/>
        </w:rPr>
      </w:pPr>
      <w:r>
        <w:rPr>
          <w:sz w:val="22"/>
          <w:szCs w:val="22"/>
        </w:rPr>
        <w:t>No changes have been made to the programme’s theory of change, which</w:t>
      </w:r>
      <w:r w:rsidR="00127D34">
        <w:rPr>
          <w:sz w:val="22"/>
          <w:szCs w:val="22"/>
        </w:rPr>
        <w:t xml:space="preserve"> </w:t>
      </w:r>
      <w:r w:rsidR="00451386">
        <w:rPr>
          <w:sz w:val="22"/>
          <w:szCs w:val="22"/>
        </w:rPr>
        <w:t>accurately</w:t>
      </w:r>
      <w:r>
        <w:rPr>
          <w:sz w:val="22"/>
          <w:szCs w:val="22"/>
        </w:rPr>
        <w:t xml:space="preserve"> </w:t>
      </w:r>
      <w:r w:rsidR="00112C53">
        <w:rPr>
          <w:sz w:val="22"/>
          <w:szCs w:val="22"/>
        </w:rPr>
        <w:t xml:space="preserve">captures the </w:t>
      </w:r>
      <w:r w:rsidR="009A2951">
        <w:rPr>
          <w:sz w:val="22"/>
          <w:szCs w:val="22"/>
        </w:rPr>
        <w:t>connections between the</w:t>
      </w:r>
      <w:r w:rsidR="00127D34">
        <w:rPr>
          <w:sz w:val="22"/>
          <w:szCs w:val="22"/>
        </w:rPr>
        <w:t xml:space="preserve"> </w:t>
      </w:r>
      <w:r w:rsidR="009A2951">
        <w:rPr>
          <w:sz w:val="22"/>
          <w:szCs w:val="22"/>
        </w:rPr>
        <w:t xml:space="preserve">programme’s </w:t>
      </w:r>
      <w:r w:rsidR="00127D34">
        <w:rPr>
          <w:sz w:val="22"/>
          <w:szCs w:val="22"/>
        </w:rPr>
        <w:t>inputs, outputs, outcomes and impacts.</w:t>
      </w:r>
    </w:p>
    <w:p w14:paraId="22798A82" w14:textId="084F2284" w:rsidR="00F66B7D" w:rsidRDefault="00F66B7D" w:rsidP="00F66B7D">
      <w:pPr>
        <w:spacing w:after="120"/>
        <w:rPr>
          <w:rFonts w:cs="Arial"/>
          <w:b/>
          <w:sz w:val="22"/>
          <w:szCs w:val="22"/>
          <w:lang w:val="en" w:eastAsia="en-GB"/>
        </w:rPr>
      </w:pPr>
      <w:r w:rsidRPr="0082765E">
        <w:rPr>
          <w:rFonts w:cs="Arial"/>
          <w:b/>
          <w:sz w:val="22"/>
          <w:szCs w:val="22"/>
          <w:lang w:val="en" w:eastAsia="en-GB"/>
        </w:rPr>
        <w:t>Justify whether the programme should continue, based on its own merits and in the context of the wider portfolio</w:t>
      </w:r>
      <w:r w:rsidR="00A374F8" w:rsidRPr="0082765E">
        <w:rPr>
          <w:rFonts w:cs="Arial"/>
          <w:b/>
          <w:sz w:val="22"/>
          <w:szCs w:val="22"/>
          <w:lang w:val="en" w:eastAsia="en-GB"/>
        </w:rPr>
        <w:t>.</w:t>
      </w:r>
    </w:p>
    <w:p w14:paraId="4D7AD874" w14:textId="768CB09E" w:rsidR="00FB3922" w:rsidRDefault="00B15CE0" w:rsidP="00050147">
      <w:pPr>
        <w:spacing w:after="120"/>
        <w:jc w:val="both"/>
        <w:rPr>
          <w:rFonts w:cs="Arial"/>
          <w:bCs/>
          <w:sz w:val="22"/>
          <w:szCs w:val="22"/>
          <w:lang w:val="en" w:eastAsia="en-GB"/>
        </w:rPr>
      </w:pPr>
      <w:r w:rsidRPr="00B15CE0">
        <w:rPr>
          <w:rFonts w:cs="Arial"/>
          <w:bCs/>
          <w:sz w:val="22"/>
          <w:szCs w:val="22"/>
          <w:lang w:val="en" w:eastAsia="en-GB"/>
        </w:rPr>
        <w:t xml:space="preserve">SIP-LA should continue </w:t>
      </w:r>
      <w:r w:rsidR="00A155B9">
        <w:rPr>
          <w:rFonts w:cs="Arial"/>
          <w:bCs/>
          <w:sz w:val="22"/>
          <w:szCs w:val="22"/>
          <w:lang w:val="en" w:eastAsia="en-GB"/>
        </w:rPr>
        <w:t>over 2021</w:t>
      </w:r>
      <w:r w:rsidRPr="00B15CE0">
        <w:rPr>
          <w:rFonts w:cs="Arial"/>
          <w:bCs/>
          <w:sz w:val="22"/>
          <w:szCs w:val="22"/>
          <w:lang w:val="en" w:eastAsia="en-GB"/>
        </w:rPr>
        <w:t xml:space="preserve"> </w:t>
      </w:r>
      <w:r w:rsidR="003F713A">
        <w:rPr>
          <w:rFonts w:cs="Arial"/>
          <w:bCs/>
          <w:sz w:val="22"/>
          <w:szCs w:val="22"/>
          <w:lang w:val="en" w:eastAsia="en-GB"/>
        </w:rPr>
        <w:t>for the following reasons</w:t>
      </w:r>
      <w:r w:rsidR="00EA2BA4">
        <w:rPr>
          <w:rFonts w:cs="Arial"/>
          <w:bCs/>
          <w:sz w:val="22"/>
          <w:szCs w:val="22"/>
          <w:lang w:val="en" w:eastAsia="en-GB"/>
        </w:rPr>
        <w:t>:</w:t>
      </w:r>
    </w:p>
    <w:p w14:paraId="0BB8989A" w14:textId="62040AB4" w:rsidR="00FB3922" w:rsidRPr="00FB3922" w:rsidRDefault="00095AEE" w:rsidP="00D93F68">
      <w:pPr>
        <w:pStyle w:val="ListParagraph"/>
        <w:numPr>
          <w:ilvl w:val="0"/>
          <w:numId w:val="8"/>
        </w:numPr>
        <w:spacing w:after="120"/>
        <w:ind w:left="714" w:hanging="357"/>
        <w:contextualSpacing w:val="0"/>
        <w:jc w:val="both"/>
        <w:rPr>
          <w:rFonts w:cs="Arial"/>
          <w:bCs/>
          <w:sz w:val="22"/>
          <w:szCs w:val="22"/>
          <w:lang w:val="en"/>
        </w:rPr>
      </w:pPr>
      <w:r w:rsidRPr="00D37642">
        <w:rPr>
          <w:rFonts w:cs="Arial"/>
          <w:b/>
          <w:sz w:val="22"/>
          <w:szCs w:val="22"/>
          <w:lang w:val="en"/>
        </w:rPr>
        <w:t xml:space="preserve">Evidence </w:t>
      </w:r>
      <w:r w:rsidR="00D37642" w:rsidRPr="00D37642">
        <w:rPr>
          <w:rFonts w:cs="Arial"/>
          <w:b/>
          <w:sz w:val="22"/>
          <w:szCs w:val="22"/>
          <w:lang w:val="en"/>
        </w:rPr>
        <w:t>of successful technical assistance</w:t>
      </w:r>
      <w:r w:rsidR="00D37642">
        <w:rPr>
          <w:rFonts w:cs="Arial"/>
          <w:bCs/>
          <w:sz w:val="22"/>
          <w:szCs w:val="22"/>
          <w:lang w:val="en"/>
        </w:rPr>
        <w:t xml:space="preserve"> </w:t>
      </w:r>
      <w:r w:rsidR="001D7572">
        <w:rPr>
          <w:rFonts w:cs="Arial"/>
          <w:bCs/>
          <w:sz w:val="22"/>
          <w:szCs w:val="22"/>
          <w:lang w:val="en"/>
        </w:rPr>
        <w:t>-</w:t>
      </w:r>
      <w:r w:rsidR="00D37642">
        <w:rPr>
          <w:rFonts w:cs="Arial"/>
          <w:bCs/>
          <w:sz w:val="22"/>
          <w:szCs w:val="22"/>
          <w:lang w:val="en"/>
        </w:rPr>
        <w:t xml:space="preserve"> </w:t>
      </w:r>
      <w:r w:rsidR="000F3F1A">
        <w:rPr>
          <w:rFonts w:cs="Arial"/>
          <w:bCs/>
          <w:sz w:val="22"/>
          <w:szCs w:val="22"/>
          <w:lang w:val="en"/>
        </w:rPr>
        <w:t>there is</w:t>
      </w:r>
      <w:r w:rsidR="00AB66AA">
        <w:rPr>
          <w:rFonts w:cs="Arial"/>
          <w:bCs/>
          <w:sz w:val="22"/>
          <w:szCs w:val="22"/>
          <w:lang w:val="en"/>
        </w:rPr>
        <w:t xml:space="preserve"> early</w:t>
      </w:r>
      <w:r w:rsidR="00EA2BA4">
        <w:rPr>
          <w:rFonts w:cs="Arial"/>
          <w:bCs/>
          <w:sz w:val="22"/>
          <w:szCs w:val="22"/>
          <w:lang w:val="en"/>
        </w:rPr>
        <w:t xml:space="preserve"> </w:t>
      </w:r>
      <w:r w:rsidR="002E340D">
        <w:rPr>
          <w:rFonts w:cs="Arial"/>
          <w:bCs/>
          <w:sz w:val="22"/>
          <w:szCs w:val="22"/>
          <w:lang w:val="en"/>
        </w:rPr>
        <w:t>evidence</w:t>
      </w:r>
      <w:r w:rsidR="000E41AC" w:rsidRPr="00FB3922">
        <w:rPr>
          <w:rFonts w:cs="Arial"/>
          <w:bCs/>
          <w:sz w:val="22"/>
          <w:szCs w:val="22"/>
          <w:lang w:val="en"/>
        </w:rPr>
        <w:t xml:space="preserve"> </w:t>
      </w:r>
      <w:r w:rsidR="000F3F1A">
        <w:rPr>
          <w:rFonts w:cs="Arial"/>
          <w:bCs/>
          <w:sz w:val="22"/>
          <w:szCs w:val="22"/>
          <w:lang w:val="en"/>
        </w:rPr>
        <w:t>that</w:t>
      </w:r>
      <w:r w:rsidR="000E41AC" w:rsidRPr="00FB3922">
        <w:rPr>
          <w:rFonts w:cs="Arial"/>
          <w:bCs/>
          <w:sz w:val="22"/>
          <w:szCs w:val="22"/>
          <w:lang w:val="en"/>
        </w:rPr>
        <w:t xml:space="preserve"> </w:t>
      </w:r>
      <w:r w:rsidR="00FB3922" w:rsidRPr="00FB3922">
        <w:rPr>
          <w:rFonts w:cs="Arial"/>
          <w:bCs/>
          <w:sz w:val="22"/>
          <w:szCs w:val="22"/>
          <w:lang w:val="en"/>
        </w:rPr>
        <w:t>SIP-LA</w:t>
      </w:r>
      <w:r w:rsidR="000F3F1A">
        <w:rPr>
          <w:rFonts w:cs="Arial"/>
          <w:bCs/>
          <w:sz w:val="22"/>
          <w:szCs w:val="22"/>
          <w:lang w:val="en"/>
        </w:rPr>
        <w:t xml:space="preserve">’s technical assistance is </w:t>
      </w:r>
      <w:r w:rsidR="000702A4">
        <w:rPr>
          <w:rFonts w:cs="Arial"/>
          <w:bCs/>
          <w:sz w:val="22"/>
          <w:szCs w:val="22"/>
          <w:lang w:val="en"/>
        </w:rPr>
        <w:t>addressing barriers to private sector investment in line with SIP-LA’s outcome statement.</w:t>
      </w:r>
      <w:r w:rsidR="00FB3922" w:rsidRPr="00FB3922">
        <w:rPr>
          <w:rFonts w:cs="Arial"/>
          <w:bCs/>
          <w:sz w:val="22"/>
          <w:szCs w:val="22"/>
          <w:lang w:val="en"/>
        </w:rPr>
        <w:t xml:space="preserve"> </w:t>
      </w:r>
      <w:r w:rsidR="000702A4">
        <w:rPr>
          <w:rFonts w:cs="Arial"/>
          <w:bCs/>
          <w:sz w:val="22"/>
          <w:szCs w:val="22"/>
          <w:lang w:val="en"/>
        </w:rPr>
        <w:t xml:space="preserve">SIP-LA </w:t>
      </w:r>
      <w:r w:rsidR="00AB66AA">
        <w:rPr>
          <w:rFonts w:cs="Arial"/>
          <w:bCs/>
          <w:sz w:val="22"/>
          <w:szCs w:val="22"/>
          <w:lang w:val="en"/>
        </w:rPr>
        <w:t xml:space="preserve">has achieved its </w:t>
      </w:r>
      <w:r w:rsidR="00B80CFB">
        <w:rPr>
          <w:rFonts w:cs="Arial"/>
          <w:bCs/>
          <w:sz w:val="22"/>
          <w:szCs w:val="22"/>
          <w:lang w:val="en"/>
        </w:rPr>
        <w:t xml:space="preserve">2020 milestone for </w:t>
      </w:r>
      <w:r w:rsidR="00AB66AA">
        <w:rPr>
          <w:rFonts w:cs="Arial"/>
          <w:bCs/>
          <w:sz w:val="22"/>
          <w:szCs w:val="22"/>
          <w:lang w:val="en"/>
        </w:rPr>
        <w:t xml:space="preserve">outcome indicator 1 and </w:t>
      </w:r>
      <w:r w:rsidR="005E1CBA">
        <w:rPr>
          <w:rFonts w:cs="Arial"/>
          <w:bCs/>
          <w:sz w:val="22"/>
          <w:szCs w:val="22"/>
          <w:lang w:val="en"/>
        </w:rPr>
        <w:t xml:space="preserve">has </w:t>
      </w:r>
      <w:r w:rsidR="00B80CFB">
        <w:rPr>
          <w:rFonts w:cs="Arial"/>
          <w:bCs/>
          <w:sz w:val="22"/>
          <w:szCs w:val="22"/>
          <w:lang w:val="en"/>
        </w:rPr>
        <w:t xml:space="preserve">demonstrated </w:t>
      </w:r>
      <w:r w:rsidR="005E1CBA">
        <w:rPr>
          <w:rFonts w:cs="Arial"/>
          <w:bCs/>
          <w:sz w:val="22"/>
          <w:szCs w:val="22"/>
          <w:lang w:val="en"/>
        </w:rPr>
        <w:t xml:space="preserve">how its </w:t>
      </w:r>
      <w:r w:rsidR="000702A4">
        <w:rPr>
          <w:rFonts w:cs="Arial"/>
          <w:bCs/>
          <w:sz w:val="22"/>
          <w:szCs w:val="22"/>
          <w:lang w:val="en"/>
        </w:rPr>
        <w:t xml:space="preserve">technical assistance </w:t>
      </w:r>
      <w:r w:rsidR="005E1CBA">
        <w:rPr>
          <w:rFonts w:cs="Arial"/>
          <w:bCs/>
          <w:sz w:val="22"/>
          <w:szCs w:val="22"/>
          <w:lang w:val="en"/>
        </w:rPr>
        <w:t xml:space="preserve">can </w:t>
      </w:r>
      <w:r w:rsidR="00B80CFB">
        <w:rPr>
          <w:rFonts w:cs="Arial"/>
          <w:bCs/>
          <w:sz w:val="22"/>
          <w:szCs w:val="22"/>
          <w:lang w:val="en"/>
        </w:rPr>
        <w:t xml:space="preserve">directly </w:t>
      </w:r>
      <w:r w:rsidR="005E1CBA">
        <w:rPr>
          <w:rFonts w:cs="Arial"/>
          <w:bCs/>
          <w:sz w:val="22"/>
          <w:szCs w:val="22"/>
          <w:lang w:val="en"/>
        </w:rPr>
        <w:t>support blended finance investments</w:t>
      </w:r>
      <w:r w:rsidR="00FB3922" w:rsidRPr="00FB3922">
        <w:rPr>
          <w:rFonts w:cs="Arial"/>
          <w:bCs/>
          <w:sz w:val="22"/>
          <w:szCs w:val="22"/>
          <w:lang w:val="en"/>
        </w:rPr>
        <w:t xml:space="preserve">. </w:t>
      </w:r>
      <w:r w:rsidR="00B80CFB">
        <w:rPr>
          <w:rFonts w:cs="Arial"/>
          <w:bCs/>
          <w:sz w:val="22"/>
          <w:szCs w:val="22"/>
          <w:lang w:val="en"/>
        </w:rPr>
        <w:t xml:space="preserve">Further, so far </w:t>
      </w:r>
      <w:r w:rsidR="00254CAB">
        <w:rPr>
          <w:rFonts w:cs="Arial"/>
          <w:bCs/>
          <w:sz w:val="22"/>
          <w:szCs w:val="22"/>
          <w:lang w:val="en"/>
        </w:rPr>
        <w:t xml:space="preserve">SIP-LA’s </w:t>
      </w:r>
      <w:r w:rsidR="00B80CFB">
        <w:rPr>
          <w:rFonts w:cs="Arial"/>
          <w:bCs/>
          <w:sz w:val="22"/>
          <w:szCs w:val="22"/>
          <w:lang w:val="en"/>
        </w:rPr>
        <w:t xml:space="preserve">reported </w:t>
      </w:r>
      <w:r w:rsidR="00254CAB">
        <w:rPr>
          <w:rFonts w:cs="Arial"/>
          <w:bCs/>
          <w:sz w:val="22"/>
          <w:szCs w:val="22"/>
          <w:lang w:val="en"/>
        </w:rPr>
        <w:t xml:space="preserve">results have been </w:t>
      </w:r>
      <w:r w:rsidR="00254CAB">
        <w:rPr>
          <w:rFonts w:cs="Arial"/>
          <w:bCs/>
          <w:sz w:val="22"/>
          <w:szCs w:val="22"/>
          <w:lang w:val="en"/>
        </w:rPr>
        <w:lastRenderedPageBreak/>
        <w:t xml:space="preserve">achieved by </w:t>
      </w:r>
      <w:r w:rsidR="00FB3922" w:rsidRPr="00FB3922">
        <w:rPr>
          <w:rFonts w:cs="Arial"/>
          <w:bCs/>
          <w:sz w:val="22"/>
          <w:szCs w:val="22"/>
          <w:lang w:val="en"/>
        </w:rPr>
        <w:t>projects that have been active in 2019 and 2020</w:t>
      </w:r>
      <w:r w:rsidR="00B80CFB">
        <w:rPr>
          <w:rFonts w:cs="Arial"/>
          <w:bCs/>
          <w:sz w:val="22"/>
          <w:szCs w:val="22"/>
          <w:lang w:val="en"/>
        </w:rPr>
        <w:t xml:space="preserve">, which are </w:t>
      </w:r>
      <w:r w:rsidR="00FB3922" w:rsidRPr="00FB3922">
        <w:rPr>
          <w:rFonts w:cs="Arial"/>
          <w:bCs/>
          <w:sz w:val="22"/>
          <w:szCs w:val="22"/>
          <w:lang w:val="en"/>
        </w:rPr>
        <w:t>expected to deliver further results in 2021 and 2022.</w:t>
      </w:r>
    </w:p>
    <w:p w14:paraId="4B76FD60" w14:textId="07854B53" w:rsidR="00FB3922" w:rsidRPr="00FB3922" w:rsidRDefault="00095AEE" w:rsidP="00D93F68">
      <w:pPr>
        <w:pStyle w:val="ListParagraph"/>
        <w:numPr>
          <w:ilvl w:val="0"/>
          <w:numId w:val="8"/>
        </w:numPr>
        <w:spacing w:after="120"/>
        <w:ind w:left="714" w:hanging="357"/>
        <w:contextualSpacing w:val="0"/>
        <w:jc w:val="both"/>
        <w:rPr>
          <w:rFonts w:cs="Arial"/>
          <w:bCs/>
          <w:sz w:val="22"/>
          <w:szCs w:val="22"/>
          <w:lang w:val="en"/>
        </w:rPr>
      </w:pPr>
      <w:r w:rsidRPr="000F3F1A">
        <w:rPr>
          <w:rFonts w:cs="Arial"/>
          <w:b/>
          <w:sz w:val="22"/>
          <w:szCs w:val="22"/>
          <w:lang w:val="en"/>
        </w:rPr>
        <w:t>Progress</w:t>
      </w:r>
      <w:r w:rsidR="00D37642" w:rsidRPr="000F3F1A">
        <w:rPr>
          <w:rFonts w:cs="Arial"/>
          <w:b/>
          <w:sz w:val="22"/>
          <w:szCs w:val="22"/>
          <w:lang w:val="en"/>
        </w:rPr>
        <w:t xml:space="preserve"> in </w:t>
      </w:r>
      <w:r w:rsidR="0027555D">
        <w:rPr>
          <w:rFonts w:cs="Arial"/>
          <w:b/>
          <w:sz w:val="22"/>
          <w:szCs w:val="22"/>
          <w:lang w:val="en"/>
        </w:rPr>
        <w:t xml:space="preserve">technical assistance and </w:t>
      </w:r>
      <w:r w:rsidR="00D37642" w:rsidRPr="000F3F1A">
        <w:rPr>
          <w:rFonts w:cs="Arial"/>
          <w:b/>
          <w:sz w:val="22"/>
          <w:szCs w:val="22"/>
          <w:lang w:val="en"/>
        </w:rPr>
        <w:t xml:space="preserve">blended finance </w:t>
      </w:r>
      <w:r w:rsidR="000F3F1A" w:rsidRPr="000F3F1A">
        <w:rPr>
          <w:rFonts w:cs="Arial"/>
          <w:b/>
          <w:sz w:val="22"/>
          <w:szCs w:val="22"/>
          <w:lang w:val="en"/>
        </w:rPr>
        <w:t>delivery</w:t>
      </w:r>
      <w:r>
        <w:rPr>
          <w:rFonts w:cs="Arial"/>
          <w:bCs/>
          <w:sz w:val="22"/>
          <w:szCs w:val="22"/>
          <w:lang w:val="en"/>
        </w:rPr>
        <w:t xml:space="preserve"> </w:t>
      </w:r>
      <w:r w:rsidR="001D7572">
        <w:rPr>
          <w:rFonts w:cs="Arial"/>
          <w:bCs/>
          <w:sz w:val="22"/>
          <w:szCs w:val="22"/>
          <w:lang w:val="en"/>
        </w:rPr>
        <w:t>-</w:t>
      </w:r>
      <w:r>
        <w:rPr>
          <w:rFonts w:cs="Arial"/>
          <w:bCs/>
          <w:sz w:val="22"/>
          <w:szCs w:val="22"/>
          <w:lang w:val="en"/>
        </w:rPr>
        <w:t xml:space="preserve"> </w:t>
      </w:r>
      <w:r w:rsidR="00254CAB">
        <w:rPr>
          <w:rFonts w:cs="Arial"/>
          <w:bCs/>
          <w:sz w:val="22"/>
          <w:szCs w:val="22"/>
          <w:lang w:val="en"/>
        </w:rPr>
        <w:t xml:space="preserve">SIP-LA has shown </w:t>
      </w:r>
      <w:r w:rsidR="001D7572">
        <w:rPr>
          <w:rFonts w:cs="Arial"/>
          <w:bCs/>
          <w:sz w:val="22"/>
          <w:szCs w:val="22"/>
          <w:lang w:val="en"/>
        </w:rPr>
        <w:t xml:space="preserve">improved performance and </w:t>
      </w:r>
      <w:r w:rsidR="00254CAB">
        <w:rPr>
          <w:rFonts w:cs="Arial"/>
          <w:bCs/>
          <w:sz w:val="22"/>
          <w:szCs w:val="22"/>
          <w:lang w:val="en"/>
        </w:rPr>
        <w:t xml:space="preserve">good progress since the </w:t>
      </w:r>
      <w:r w:rsidR="00702561">
        <w:rPr>
          <w:rFonts w:cs="Arial"/>
          <w:bCs/>
          <w:sz w:val="22"/>
          <w:szCs w:val="22"/>
          <w:lang w:val="en"/>
        </w:rPr>
        <w:t xml:space="preserve">conclusion of the Strategic Review. In 2021, SIP-LA delivered </w:t>
      </w:r>
      <w:r w:rsidR="00983C78">
        <w:rPr>
          <w:rFonts w:cs="Arial"/>
          <w:bCs/>
          <w:sz w:val="22"/>
          <w:szCs w:val="22"/>
          <w:lang w:val="en"/>
        </w:rPr>
        <w:t xml:space="preserve">successful </w:t>
      </w:r>
      <w:r w:rsidR="00702561">
        <w:rPr>
          <w:rFonts w:cs="Arial"/>
          <w:bCs/>
          <w:sz w:val="22"/>
          <w:szCs w:val="22"/>
          <w:lang w:val="en"/>
        </w:rPr>
        <w:t xml:space="preserve">High-Level-Dialogue meetings to identify priority sectors with the governments of Brazil and Colombia. </w:t>
      </w:r>
    </w:p>
    <w:p w14:paraId="1B1C399D" w14:textId="50272662" w:rsidR="000F7FA7" w:rsidRDefault="000F3F1A" w:rsidP="00D93F68">
      <w:pPr>
        <w:pStyle w:val="ListParagraph"/>
        <w:numPr>
          <w:ilvl w:val="0"/>
          <w:numId w:val="8"/>
        </w:numPr>
        <w:spacing w:after="120"/>
        <w:ind w:left="714" w:hanging="357"/>
        <w:contextualSpacing w:val="0"/>
        <w:jc w:val="both"/>
        <w:rPr>
          <w:rFonts w:cs="Arial"/>
          <w:bCs/>
          <w:sz w:val="22"/>
          <w:szCs w:val="22"/>
          <w:lang w:val="en"/>
        </w:rPr>
      </w:pPr>
      <w:r w:rsidRPr="000F3F1A">
        <w:rPr>
          <w:rFonts w:cs="Arial"/>
          <w:b/>
          <w:sz w:val="22"/>
          <w:szCs w:val="22"/>
          <w:lang w:val="en"/>
        </w:rPr>
        <w:t>High additionality to the UK ICF portfolio</w:t>
      </w:r>
      <w:r>
        <w:rPr>
          <w:rFonts w:cs="Arial"/>
          <w:bCs/>
          <w:sz w:val="22"/>
          <w:szCs w:val="22"/>
          <w:lang w:val="en"/>
        </w:rPr>
        <w:t xml:space="preserve"> - </w:t>
      </w:r>
      <w:r w:rsidR="00B05B31" w:rsidRPr="00FB3922">
        <w:rPr>
          <w:rFonts w:cs="Arial"/>
          <w:bCs/>
          <w:sz w:val="22"/>
          <w:szCs w:val="22"/>
          <w:lang w:val="en"/>
        </w:rPr>
        <w:t>SIP-LA</w:t>
      </w:r>
      <w:r w:rsidR="00C71C92" w:rsidRPr="00FB3922">
        <w:rPr>
          <w:rFonts w:cs="Arial"/>
          <w:bCs/>
          <w:sz w:val="22"/>
          <w:szCs w:val="22"/>
          <w:lang w:val="en"/>
        </w:rPr>
        <w:t xml:space="preserve"> provides</w:t>
      </w:r>
      <w:r w:rsidR="001D7572">
        <w:rPr>
          <w:rFonts w:cs="Arial"/>
          <w:bCs/>
          <w:sz w:val="22"/>
          <w:szCs w:val="22"/>
          <w:lang w:val="en"/>
        </w:rPr>
        <w:t xml:space="preserve"> high added value</w:t>
      </w:r>
      <w:r w:rsidR="00C71C92" w:rsidRPr="00FB3922">
        <w:rPr>
          <w:rFonts w:cs="Arial"/>
          <w:bCs/>
          <w:sz w:val="22"/>
          <w:szCs w:val="22"/>
          <w:lang w:val="en"/>
        </w:rPr>
        <w:t xml:space="preserve"> to the UK ICF </w:t>
      </w:r>
      <w:r w:rsidR="007D6029">
        <w:rPr>
          <w:rFonts w:cs="Arial"/>
          <w:bCs/>
          <w:sz w:val="22"/>
          <w:szCs w:val="22"/>
          <w:lang w:val="en"/>
        </w:rPr>
        <w:t>bilateral</w:t>
      </w:r>
      <w:r w:rsidR="00C71C92" w:rsidRPr="00FB3922">
        <w:rPr>
          <w:rFonts w:cs="Arial"/>
          <w:bCs/>
          <w:sz w:val="22"/>
          <w:szCs w:val="22"/>
          <w:lang w:val="en"/>
        </w:rPr>
        <w:t xml:space="preserve"> portfolio </w:t>
      </w:r>
      <w:r w:rsidR="001D7572">
        <w:rPr>
          <w:rFonts w:cs="Arial"/>
          <w:bCs/>
          <w:sz w:val="22"/>
          <w:szCs w:val="22"/>
          <w:lang w:val="en"/>
        </w:rPr>
        <w:t xml:space="preserve">in Latin America. SIP-LA is the only </w:t>
      </w:r>
      <w:r w:rsidR="00AC274F" w:rsidRPr="00FB3922">
        <w:rPr>
          <w:rFonts w:cs="Arial"/>
          <w:bCs/>
          <w:sz w:val="22"/>
          <w:szCs w:val="22"/>
          <w:lang w:val="en"/>
        </w:rPr>
        <w:t xml:space="preserve">major </w:t>
      </w:r>
      <w:r w:rsidR="001D7572">
        <w:rPr>
          <w:rFonts w:cs="Arial"/>
          <w:bCs/>
          <w:sz w:val="22"/>
          <w:szCs w:val="22"/>
          <w:lang w:val="en"/>
        </w:rPr>
        <w:t xml:space="preserve">UK </w:t>
      </w:r>
      <w:r w:rsidR="00AC274F" w:rsidRPr="00FB3922">
        <w:rPr>
          <w:rFonts w:cs="Arial"/>
          <w:bCs/>
          <w:sz w:val="22"/>
          <w:szCs w:val="22"/>
          <w:lang w:val="en"/>
        </w:rPr>
        <w:t xml:space="preserve">bilateral </w:t>
      </w:r>
      <w:r w:rsidR="00A86542">
        <w:rPr>
          <w:rFonts w:cs="Arial"/>
          <w:bCs/>
          <w:sz w:val="22"/>
          <w:szCs w:val="22"/>
          <w:lang w:val="en"/>
        </w:rPr>
        <w:t xml:space="preserve">climate mitigation investment programme </w:t>
      </w:r>
      <w:r w:rsidR="003B7029" w:rsidRPr="00FB3922">
        <w:rPr>
          <w:rFonts w:cs="Arial"/>
          <w:bCs/>
          <w:sz w:val="22"/>
          <w:szCs w:val="22"/>
          <w:lang w:val="en"/>
        </w:rPr>
        <w:t xml:space="preserve">in a </w:t>
      </w:r>
      <w:r w:rsidR="007221EF" w:rsidRPr="00FB3922">
        <w:rPr>
          <w:rFonts w:cs="Arial"/>
          <w:bCs/>
          <w:sz w:val="22"/>
          <w:szCs w:val="22"/>
          <w:lang w:val="en"/>
        </w:rPr>
        <w:t>key region for delivering the UK’s international climate objectives.</w:t>
      </w:r>
      <w:r w:rsidR="009017FC">
        <w:rPr>
          <w:rFonts w:cs="Arial"/>
          <w:bCs/>
          <w:sz w:val="22"/>
          <w:szCs w:val="22"/>
          <w:lang w:val="en"/>
        </w:rPr>
        <w:t xml:space="preserve"> SIP-LA’s private sector focus and capital investment </w:t>
      </w:r>
      <w:r w:rsidR="00D74229">
        <w:rPr>
          <w:rFonts w:cs="Arial"/>
          <w:bCs/>
          <w:sz w:val="22"/>
          <w:szCs w:val="22"/>
          <w:lang w:val="en"/>
        </w:rPr>
        <w:t xml:space="preserve">makes it </w:t>
      </w:r>
      <w:r w:rsidR="009017FC">
        <w:rPr>
          <w:rFonts w:cs="Arial"/>
          <w:bCs/>
          <w:sz w:val="22"/>
          <w:szCs w:val="22"/>
          <w:lang w:val="en"/>
        </w:rPr>
        <w:t>high</w:t>
      </w:r>
      <w:r w:rsidR="00D74229">
        <w:rPr>
          <w:rFonts w:cs="Arial"/>
          <w:bCs/>
          <w:sz w:val="22"/>
          <w:szCs w:val="22"/>
          <w:lang w:val="en"/>
        </w:rPr>
        <w:t>ly</w:t>
      </w:r>
      <w:r w:rsidR="009017FC">
        <w:rPr>
          <w:rFonts w:cs="Arial"/>
          <w:bCs/>
          <w:sz w:val="22"/>
          <w:szCs w:val="22"/>
          <w:lang w:val="en"/>
        </w:rPr>
        <w:t xml:space="preserve"> complementarity </w:t>
      </w:r>
      <w:r w:rsidR="00D74229">
        <w:rPr>
          <w:rFonts w:cs="Arial"/>
          <w:bCs/>
          <w:sz w:val="22"/>
          <w:szCs w:val="22"/>
          <w:lang w:val="en"/>
        </w:rPr>
        <w:t xml:space="preserve">to </w:t>
      </w:r>
      <w:r w:rsidR="009017FC">
        <w:rPr>
          <w:rFonts w:cs="Arial"/>
          <w:bCs/>
          <w:sz w:val="22"/>
          <w:szCs w:val="22"/>
          <w:lang w:val="en"/>
        </w:rPr>
        <w:t>other UK climate programmes in the region.</w:t>
      </w:r>
    </w:p>
    <w:p w14:paraId="1A3975C2" w14:textId="45E8D42C" w:rsidR="00577EF1" w:rsidRPr="00577EF1" w:rsidRDefault="009017FC" w:rsidP="00D93F68">
      <w:pPr>
        <w:pStyle w:val="ListParagraph"/>
        <w:numPr>
          <w:ilvl w:val="0"/>
          <w:numId w:val="8"/>
        </w:numPr>
        <w:spacing w:after="120"/>
        <w:ind w:left="714" w:hanging="357"/>
        <w:contextualSpacing w:val="0"/>
        <w:rPr>
          <w:rFonts w:cs="Arial"/>
          <w:bCs/>
          <w:sz w:val="22"/>
          <w:szCs w:val="22"/>
          <w:lang w:val="en"/>
        </w:rPr>
      </w:pPr>
      <w:r>
        <w:rPr>
          <w:rFonts w:cs="Arial"/>
          <w:b/>
          <w:sz w:val="22"/>
          <w:szCs w:val="22"/>
          <w:lang w:val="en"/>
        </w:rPr>
        <w:t>UK p</w:t>
      </w:r>
      <w:r w:rsidR="000F3F1A" w:rsidRPr="000F3F1A">
        <w:rPr>
          <w:rFonts w:cs="Arial"/>
          <w:b/>
          <w:sz w:val="22"/>
          <w:szCs w:val="22"/>
          <w:lang w:val="en"/>
        </w:rPr>
        <w:t>artnership with IDB</w:t>
      </w:r>
      <w:r w:rsidR="000F3F1A">
        <w:rPr>
          <w:rFonts w:cs="Arial"/>
          <w:bCs/>
          <w:sz w:val="22"/>
          <w:szCs w:val="22"/>
          <w:lang w:val="en"/>
        </w:rPr>
        <w:t xml:space="preserve"> - </w:t>
      </w:r>
      <w:r w:rsidR="00582C28">
        <w:rPr>
          <w:rFonts w:cs="Arial"/>
          <w:bCs/>
          <w:sz w:val="22"/>
          <w:szCs w:val="22"/>
          <w:lang w:val="en"/>
        </w:rPr>
        <w:t>SIP-LA</w:t>
      </w:r>
      <w:r>
        <w:rPr>
          <w:rFonts w:cs="Arial"/>
          <w:bCs/>
          <w:sz w:val="22"/>
          <w:szCs w:val="22"/>
          <w:lang w:val="en"/>
        </w:rPr>
        <w:t xml:space="preserve"> is a major UK partnership with IDB</w:t>
      </w:r>
      <w:r w:rsidR="009753DC">
        <w:rPr>
          <w:rFonts w:cs="Arial"/>
          <w:bCs/>
          <w:sz w:val="22"/>
          <w:szCs w:val="22"/>
          <w:lang w:val="en"/>
        </w:rPr>
        <w:t xml:space="preserve"> that ha</w:t>
      </w:r>
      <w:r w:rsidR="00582C28">
        <w:rPr>
          <w:rFonts w:cs="Arial"/>
          <w:bCs/>
          <w:sz w:val="22"/>
          <w:szCs w:val="22"/>
          <w:lang w:val="en"/>
        </w:rPr>
        <w:t xml:space="preserve">s </w:t>
      </w:r>
      <w:r w:rsidR="009753DC">
        <w:rPr>
          <w:rFonts w:cs="Arial"/>
          <w:bCs/>
          <w:sz w:val="22"/>
          <w:szCs w:val="22"/>
          <w:lang w:val="en"/>
        </w:rPr>
        <w:t xml:space="preserve">the potential to support and influence greater climate ambition within IDB and the wider multilateral development architecture. </w:t>
      </w:r>
    </w:p>
    <w:p w14:paraId="055FDF8F" w14:textId="1E279B94" w:rsidR="00C22C27" w:rsidRPr="00852C36" w:rsidRDefault="003D222C" w:rsidP="0042024A">
      <w:pPr>
        <w:pStyle w:val="Heading2"/>
        <w:keepNext/>
        <w:pBdr>
          <w:top w:val="single" w:sz="4" w:space="1" w:color="auto"/>
          <w:left w:val="single" w:sz="4" w:space="6" w:color="auto"/>
          <w:bottom w:val="single" w:sz="4" w:space="1" w:color="auto"/>
          <w:right w:val="single" w:sz="4" w:space="4" w:color="auto"/>
        </w:pBdr>
        <w:shd w:val="clear" w:color="auto" w:fill="D9E2F3" w:themeFill="accent1" w:themeFillTint="33"/>
        <w:spacing w:before="0" w:after="120"/>
        <w:rPr>
          <w:rFonts w:cs="Arial"/>
          <w:b w:val="0"/>
          <w:i w:val="0"/>
          <w:sz w:val="22"/>
          <w:szCs w:val="22"/>
        </w:rPr>
      </w:pPr>
      <w:r w:rsidRPr="006778A3">
        <w:rPr>
          <w:rFonts w:cs="Arial"/>
          <w:i w:val="0"/>
          <w:sz w:val="22"/>
          <w:szCs w:val="22"/>
        </w:rPr>
        <w:t>C. DETAILED OUTPUT SCORING</w:t>
      </w:r>
      <w:r w:rsidRPr="006778A3">
        <w:rPr>
          <w:rFonts w:cs="Arial"/>
          <w:b w:val="0"/>
          <w:i w:val="0"/>
          <w:sz w:val="22"/>
          <w:szCs w:val="22"/>
        </w:rPr>
        <w:t xml:space="preserve"> </w:t>
      </w:r>
    </w:p>
    <w:tbl>
      <w:tblPr>
        <w:tblStyle w:val="TableGrid"/>
        <w:tblW w:w="9072" w:type="dxa"/>
        <w:tblInd w:w="-5" w:type="dxa"/>
        <w:tblLook w:val="04A0" w:firstRow="1" w:lastRow="0" w:firstColumn="1" w:lastColumn="0" w:noHBand="0" w:noVBand="1"/>
      </w:tblPr>
      <w:tblGrid>
        <w:gridCol w:w="1985"/>
        <w:gridCol w:w="1276"/>
        <w:gridCol w:w="3685"/>
        <w:gridCol w:w="2126"/>
      </w:tblGrid>
      <w:tr w:rsidR="00471E99" w:rsidRPr="006778A3" w14:paraId="2102EB17" w14:textId="77777777" w:rsidTr="00EB55CC">
        <w:trPr>
          <w:trHeight w:val="489"/>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85D6B2" w14:textId="41F8B900" w:rsidR="003D222C" w:rsidRPr="00577EF1" w:rsidRDefault="003D222C" w:rsidP="0042024A">
            <w:pPr>
              <w:keepNext/>
              <w:spacing w:after="120"/>
              <w:rPr>
                <w:rFonts w:cs="Arial"/>
                <w:b/>
                <w:bCs/>
                <w:sz w:val="20"/>
                <w:szCs w:val="20"/>
              </w:rPr>
            </w:pPr>
            <w:r w:rsidRPr="00577EF1">
              <w:rPr>
                <w:rFonts w:cs="Arial"/>
                <w:b/>
                <w:bCs/>
                <w:sz w:val="20"/>
                <w:szCs w:val="20"/>
              </w:rPr>
              <w:t xml:space="preserve">Output </w:t>
            </w:r>
            <w:r w:rsidR="00B25614" w:rsidRPr="00577EF1">
              <w:rPr>
                <w:rFonts w:cs="Arial"/>
                <w:b/>
                <w:bCs/>
                <w:sz w:val="20"/>
                <w:szCs w:val="20"/>
              </w:rPr>
              <w:t>1</w:t>
            </w:r>
            <w:r w:rsidRPr="00577EF1">
              <w:rPr>
                <w:rFonts w:cs="Arial"/>
                <w:b/>
                <w:bCs/>
                <w:sz w:val="20"/>
                <w:szCs w:val="20"/>
              </w:rPr>
              <w:t xml:space="preserv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8A3AEA" w14:textId="265A4C9E" w:rsidR="003D222C" w:rsidRPr="00577EF1" w:rsidRDefault="000A369D" w:rsidP="0042024A">
            <w:pPr>
              <w:keepNext/>
              <w:spacing w:after="120"/>
              <w:rPr>
                <w:rFonts w:cs="Arial"/>
                <w:bCs/>
                <w:i/>
                <w:sz w:val="20"/>
                <w:szCs w:val="20"/>
              </w:rPr>
            </w:pPr>
            <w:r w:rsidRPr="00577EF1">
              <w:rPr>
                <w:rFonts w:cs="Arial"/>
                <w:bCs/>
                <w:i/>
                <w:sz w:val="20"/>
                <w:szCs w:val="20"/>
              </w:rPr>
              <w:t>Improved policy</w:t>
            </w:r>
            <w:r w:rsidR="006E1680" w:rsidRPr="00577EF1">
              <w:rPr>
                <w:rFonts w:cs="Arial"/>
                <w:bCs/>
                <w:i/>
                <w:sz w:val="20"/>
                <w:szCs w:val="20"/>
              </w:rPr>
              <w:t xml:space="preserve"> </w:t>
            </w:r>
            <w:r w:rsidRPr="00577EF1">
              <w:rPr>
                <w:rFonts w:cs="Arial"/>
                <w:bCs/>
                <w:i/>
                <w:sz w:val="20"/>
                <w:szCs w:val="20"/>
              </w:rPr>
              <w:t>/</w:t>
            </w:r>
            <w:r w:rsidR="006E1680" w:rsidRPr="00577EF1">
              <w:rPr>
                <w:rFonts w:cs="Arial"/>
                <w:bCs/>
                <w:i/>
                <w:sz w:val="20"/>
                <w:szCs w:val="20"/>
              </w:rPr>
              <w:t xml:space="preserve"> </w:t>
            </w:r>
            <w:r w:rsidRPr="00577EF1">
              <w:rPr>
                <w:rFonts w:cs="Arial"/>
                <w:bCs/>
                <w:i/>
                <w:sz w:val="20"/>
                <w:szCs w:val="20"/>
              </w:rPr>
              <w:t>regulatory environments and capacity to deliver Sustainable Infrastructure</w:t>
            </w:r>
          </w:p>
        </w:tc>
      </w:tr>
      <w:tr w:rsidR="009612EA" w:rsidRPr="006778A3" w14:paraId="0CA17513" w14:textId="77777777" w:rsidTr="00A374F8">
        <w:trPr>
          <w:trHeight w:val="347"/>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01A128" w14:textId="77777777" w:rsidR="003D222C" w:rsidRPr="00577EF1" w:rsidRDefault="003D222C" w:rsidP="0042024A">
            <w:pPr>
              <w:keepNext/>
              <w:spacing w:after="120"/>
              <w:rPr>
                <w:rFonts w:cs="Arial"/>
                <w:bCs/>
                <w:sz w:val="20"/>
                <w:szCs w:val="20"/>
              </w:rPr>
            </w:pPr>
            <w:r w:rsidRPr="00577EF1">
              <w:rPr>
                <w:rFonts w:cs="Arial"/>
                <w:bCs/>
                <w:sz w:val="20"/>
                <w:szCs w:val="20"/>
              </w:rPr>
              <w:t xml:space="preserve">Output number: </w:t>
            </w:r>
          </w:p>
        </w:tc>
        <w:tc>
          <w:tcPr>
            <w:tcW w:w="1276" w:type="dxa"/>
            <w:tcBorders>
              <w:top w:val="single" w:sz="4" w:space="0" w:color="auto"/>
              <w:left w:val="single" w:sz="4" w:space="0" w:color="auto"/>
              <w:bottom w:val="single" w:sz="4" w:space="0" w:color="auto"/>
              <w:right w:val="single" w:sz="4" w:space="0" w:color="auto"/>
            </w:tcBorders>
          </w:tcPr>
          <w:p w14:paraId="4190402A" w14:textId="1DDFEF36" w:rsidR="003D222C" w:rsidRPr="00577EF1" w:rsidRDefault="003B7FF7" w:rsidP="0042024A">
            <w:pPr>
              <w:keepNext/>
              <w:spacing w:after="120"/>
              <w:rPr>
                <w:rFonts w:cs="Arial"/>
                <w:sz w:val="20"/>
                <w:szCs w:val="20"/>
              </w:rPr>
            </w:pPr>
            <w:r w:rsidRPr="00577EF1">
              <w:rPr>
                <w:rFonts w:cs="Arial"/>
                <w:sz w:val="20"/>
                <w:szCs w:val="20"/>
              </w:rPr>
              <w:t>1</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5FA73C8" w14:textId="77777777" w:rsidR="003D222C" w:rsidRPr="00577EF1" w:rsidRDefault="003D222C" w:rsidP="0042024A">
            <w:pPr>
              <w:keepNext/>
              <w:spacing w:after="120"/>
              <w:rPr>
                <w:rFonts w:cs="Arial"/>
                <w:sz w:val="20"/>
                <w:szCs w:val="20"/>
              </w:rPr>
            </w:pPr>
            <w:r w:rsidRPr="00577EF1">
              <w:rPr>
                <w:rFonts w:cs="Arial"/>
                <w:bCs/>
                <w:sz w:val="20"/>
                <w:szCs w:val="20"/>
              </w:rPr>
              <w:t xml:space="preserve">Output Score: </w:t>
            </w:r>
          </w:p>
        </w:tc>
        <w:tc>
          <w:tcPr>
            <w:tcW w:w="2126" w:type="dxa"/>
            <w:tcBorders>
              <w:top w:val="single" w:sz="4" w:space="0" w:color="auto"/>
              <w:left w:val="single" w:sz="4" w:space="0" w:color="auto"/>
              <w:bottom w:val="single" w:sz="4" w:space="0" w:color="auto"/>
              <w:right w:val="single" w:sz="4" w:space="0" w:color="auto"/>
            </w:tcBorders>
          </w:tcPr>
          <w:p w14:paraId="0438A869" w14:textId="555B802D" w:rsidR="003D222C" w:rsidRPr="00577EF1" w:rsidRDefault="00A46ABE" w:rsidP="0042024A">
            <w:pPr>
              <w:keepNext/>
              <w:spacing w:after="120"/>
              <w:rPr>
                <w:rFonts w:cs="Arial"/>
                <w:b/>
                <w:bCs/>
                <w:iCs/>
                <w:color w:val="FF0000"/>
                <w:sz w:val="20"/>
                <w:szCs w:val="20"/>
              </w:rPr>
            </w:pPr>
            <w:r w:rsidRPr="00577EF1">
              <w:rPr>
                <w:rFonts w:cs="Arial"/>
                <w:b/>
                <w:bCs/>
                <w:iCs/>
                <w:sz w:val="20"/>
                <w:szCs w:val="20"/>
              </w:rPr>
              <w:t>A</w:t>
            </w:r>
            <w:r w:rsidR="00D74229">
              <w:rPr>
                <w:rFonts w:cs="Arial"/>
                <w:b/>
                <w:bCs/>
                <w:iCs/>
                <w:sz w:val="20"/>
                <w:szCs w:val="20"/>
              </w:rPr>
              <w:t>+</w:t>
            </w:r>
          </w:p>
        </w:tc>
      </w:tr>
      <w:tr w:rsidR="009612EA" w:rsidRPr="006778A3" w14:paraId="322D9463" w14:textId="77777777" w:rsidTr="00A374F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1524D5" w14:textId="1A617450" w:rsidR="003D222C" w:rsidRPr="00577EF1" w:rsidRDefault="003D222C" w:rsidP="0042024A">
            <w:pPr>
              <w:keepNext/>
              <w:spacing w:after="120"/>
              <w:rPr>
                <w:rFonts w:cs="Arial"/>
                <w:sz w:val="20"/>
                <w:szCs w:val="20"/>
              </w:rPr>
            </w:pPr>
            <w:r w:rsidRPr="00577EF1">
              <w:rPr>
                <w:rFonts w:cs="Arial"/>
                <w:bCs/>
                <w:sz w:val="20"/>
                <w:szCs w:val="20"/>
              </w:rPr>
              <w:t>Impact weighting</w:t>
            </w:r>
            <w:r w:rsidR="00EB55CC" w:rsidRPr="00577EF1">
              <w:rPr>
                <w:rFonts w:cs="Arial"/>
                <w:bCs/>
                <w:sz w:val="20"/>
                <w:szCs w:val="20"/>
              </w:rPr>
              <w:t>:</w:t>
            </w:r>
          </w:p>
        </w:tc>
        <w:tc>
          <w:tcPr>
            <w:tcW w:w="1276" w:type="dxa"/>
            <w:tcBorders>
              <w:top w:val="single" w:sz="4" w:space="0" w:color="auto"/>
              <w:left w:val="single" w:sz="4" w:space="0" w:color="auto"/>
              <w:bottom w:val="single" w:sz="4" w:space="0" w:color="auto"/>
              <w:right w:val="single" w:sz="4" w:space="0" w:color="auto"/>
            </w:tcBorders>
            <w:hideMark/>
          </w:tcPr>
          <w:p w14:paraId="2B32CB6F" w14:textId="4439196F" w:rsidR="003D222C" w:rsidRPr="00577EF1" w:rsidRDefault="00010F4C" w:rsidP="0042024A">
            <w:pPr>
              <w:keepNext/>
              <w:spacing w:after="120"/>
              <w:rPr>
                <w:rFonts w:cs="Arial"/>
                <w:bCs/>
                <w:sz w:val="20"/>
                <w:szCs w:val="20"/>
              </w:rPr>
            </w:pPr>
            <w:r w:rsidRPr="00577EF1">
              <w:rPr>
                <w:rFonts w:cs="Arial"/>
                <w:bCs/>
                <w:sz w:val="20"/>
                <w:szCs w:val="20"/>
              </w:rPr>
              <w:t>25%</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B322CF" w14:textId="77777777" w:rsidR="003D222C" w:rsidRPr="00577EF1" w:rsidRDefault="003D222C" w:rsidP="0042024A">
            <w:pPr>
              <w:keepNext/>
              <w:spacing w:after="120"/>
              <w:rPr>
                <w:rFonts w:cs="Arial"/>
                <w:bCs/>
                <w:sz w:val="20"/>
                <w:szCs w:val="20"/>
              </w:rPr>
            </w:pPr>
            <w:r w:rsidRPr="00577EF1">
              <w:rPr>
                <w:rFonts w:cs="Arial"/>
                <w:bCs/>
                <w:sz w:val="20"/>
                <w:szCs w:val="20"/>
              </w:rPr>
              <w:t xml:space="preserve">Weighting revised since last AR? </w:t>
            </w:r>
          </w:p>
        </w:tc>
        <w:tc>
          <w:tcPr>
            <w:tcW w:w="2126" w:type="dxa"/>
            <w:tcBorders>
              <w:top w:val="single" w:sz="4" w:space="0" w:color="auto"/>
              <w:left w:val="single" w:sz="4" w:space="0" w:color="auto"/>
              <w:bottom w:val="single" w:sz="4" w:space="0" w:color="auto"/>
              <w:right w:val="single" w:sz="4" w:space="0" w:color="auto"/>
            </w:tcBorders>
          </w:tcPr>
          <w:p w14:paraId="314B55F6" w14:textId="23643FF6" w:rsidR="003D222C" w:rsidRPr="00577EF1" w:rsidRDefault="00A374F8" w:rsidP="0042024A">
            <w:pPr>
              <w:keepNext/>
              <w:spacing w:after="120"/>
              <w:rPr>
                <w:rFonts w:cs="Arial"/>
                <w:bCs/>
                <w:i/>
                <w:iCs/>
                <w:sz w:val="20"/>
                <w:szCs w:val="20"/>
              </w:rPr>
            </w:pPr>
            <w:r w:rsidRPr="00577EF1">
              <w:rPr>
                <w:rFonts w:cs="Arial"/>
                <w:bCs/>
                <w:i/>
                <w:iCs/>
                <w:sz w:val="20"/>
                <w:szCs w:val="20"/>
              </w:rPr>
              <w:t>n/a – n</w:t>
            </w:r>
            <w:r w:rsidR="005F520C" w:rsidRPr="00577EF1">
              <w:rPr>
                <w:rFonts w:cs="Arial"/>
                <w:bCs/>
                <w:i/>
                <w:iCs/>
                <w:sz w:val="20"/>
                <w:szCs w:val="20"/>
              </w:rPr>
              <w:t>ew indicator</w:t>
            </w:r>
          </w:p>
        </w:tc>
      </w:tr>
      <w:tr w:rsidR="009612EA" w:rsidRPr="006778A3" w14:paraId="49FF75D8" w14:textId="77777777" w:rsidTr="00A374F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A26186" w14:textId="77777777" w:rsidR="003D222C" w:rsidRPr="00577EF1" w:rsidRDefault="003D222C" w:rsidP="0042024A">
            <w:pPr>
              <w:keepNext/>
              <w:spacing w:after="120"/>
              <w:rPr>
                <w:rFonts w:cs="Arial"/>
                <w:bCs/>
                <w:sz w:val="20"/>
                <w:szCs w:val="20"/>
              </w:rPr>
            </w:pPr>
            <w:r w:rsidRPr="00577EF1">
              <w:rPr>
                <w:rFonts w:cs="Arial"/>
                <w:bCs/>
                <w:sz w:val="20"/>
                <w:szCs w:val="20"/>
              </w:rPr>
              <w:t>Risk rating</w:t>
            </w:r>
          </w:p>
        </w:tc>
        <w:tc>
          <w:tcPr>
            <w:tcW w:w="1276" w:type="dxa"/>
            <w:tcBorders>
              <w:top w:val="single" w:sz="4" w:space="0" w:color="auto"/>
              <w:left w:val="single" w:sz="4" w:space="0" w:color="auto"/>
              <w:bottom w:val="single" w:sz="4" w:space="0" w:color="auto"/>
              <w:right w:val="single" w:sz="4" w:space="0" w:color="auto"/>
            </w:tcBorders>
          </w:tcPr>
          <w:p w14:paraId="05841711" w14:textId="31C360A2" w:rsidR="003D222C" w:rsidRPr="00577EF1" w:rsidRDefault="00915B2B" w:rsidP="0042024A">
            <w:pPr>
              <w:keepNext/>
              <w:spacing w:after="120"/>
              <w:rPr>
                <w:rFonts w:cs="Arial"/>
                <w:bCs/>
                <w:sz w:val="20"/>
                <w:szCs w:val="20"/>
              </w:rPr>
            </w:pPr>
            <w:r w:rsidRPr="00577EF1">
              <w:rPr>
                <w:rFonts w:cs="Arial"/>
                <w:bCs/>
                <w:sz w:val="20"/>
                <w:szCs w:val="20"/>
              </w:rPr>
              <w:t>Moderate</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775A24C" w14:textId="77777777" w:rsidR="003D222C" w:rsidRPr="00577EF1" w:rsidRDefault="003D222C" w:rsidP="0042024A">
            <w:pPr>
              <w:keepNext/>
              <w:spacing w:after="120"/>
              <w:rPr>
                <w:rFonts w:cs="Arial"/>
                <w:bCs/>
                <w:sz w:val="20"/>
                <w:szCs w:val="20"/>
              </w:rPr>
            </w:pPr>
            <w:r w:rsidRPr="00577EF1">
              <w:rPr>
                <w:rFonts w:cs="Arial"/>
                <w:bCs/>
                <w:sz w:val="20"/>
                <w:szCs w:val="20"/>
              </w:rPr>
              <w:t>Risk revised since last AR?</w:t>
            </w:r>
          </w:p>
        </w:tc>
        <w:tc>
          <w:tcPr>
            <w:tcW w:w="2126" w:type="dxa"/>
            <w:tcBorders>
              <w:top w:val="single" w:sz="4" w:space="0" w:color="auto"/>
              <w:left w:val="single" w:sz="4" w:space="0" w:color="auto"/>
              <w:bottom w:val="single" w:sz="4" w:space="0" w:color="auto"/>
              <w:right w:val="single" w:sz="4" w:space="0" w:color="auto"/>
            </w:tcBorders>
          </w:tcPr>
          <w:p w14:paraId="36DFFD26" w14:textId="2840E30F" w:rsidR="003D222C" w:rsidRPr="00577EF1" w:rsidRDefault="00A374F8" w:rsidP="0042024A">
            <w:pPr>
              <w:keepNext/>
              <w:spacing w:after="120"/>
              <w:rPr>
                <w:rFonts w:cs="Arial"/>
                <w:bCs/>
                <w:sz w:val="20"/>
                <w:szCs w:val="20"/>
              </w:rPr>
            </w:pPr>
            <w:r w:rsidRPr="00577EF1">
              <w:rPr>
                <w:rFonts w:cs="Arial"/>
                <w:bCs/>
                <w:i/>
                <w:iCs/>
                <w:sz w:val="20"/>
                <w:szCs w:val="20"/>
              </w:rPr>
              <w:t>n/a - n</w:t>
            </w:r>
            <w:r w:rsidR="005F520C" w:rsidRPr="00577EF1">
              <w:rPr>
                <w:rFonts w:cs="Arial"/>
                <w:bCs/>
                <w:i/>
                <w:iCs/>
                <w:sz w:val="20"/>
                <w:szCs w:val="20"/>
              </w:rPr>
              <w:t>ew indicator</w:t>
            </w:r>
          </w:p>
        </w:tc>
      </w:tr>
    </w:tbl>
    <w:p w14:paraId="6858AD8B" w14:textId="19C5E632" w:rsidR="003D222C" w:rsidRPr="00513E41" w:rsidRDefault="003D222C" w:rsidP="006778A3">
      <w:pPr>
        <w:spacing w:after="120"/>
        <w:rPr>
          <w:rFonts w:cs="Arial"/>
          <w:b/>
          <w:sz w:val="2"/>
          <w:szCs w:val="2"/>
        </w:rPr>
      </w:pPr>
    </w:p>
    <w:tbl>
      <w:tblPr>
        <w:tblStyle w:val="TableGrid"/>
        <w:tblpPr w:leftFromText="180" w:rightFromText="180" w:vertAnchor="text" w:horzAnchor="page" w:tblpX="1462" w:tblpY="-10"/>
        <w:tblOverlap w:val="never"/>
        <w:tblW w:w="9072" w:type="dxa"/>
        <w:tblLayout w:type="fixed"/>
        <w:tblLook w:val="04A0" w:firstRow="1" w:lastRow="0" w:firstColumn="1" w:lastColumn="0" w:noHBand="0" w:noVBand="1"/>
      </w:tblPr>
      <w:tblGrid>
        <w:gridCol w:w="2547"/>
        <w:gridCol w:w="1276"/>
        <w:gridCol w:w="5249"/>
      </w:tblGrid>
      <w:tr w:rsidR="00671734" w:rsidRPr="00BB0B49" w14:paraId="505F381A" w14:textId="77777777" w:rsidTr="00844E81">
        <w:trPr>
          <w:trHeight w:val="273"/>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54646B" w14:textId="1E2BECCF" w:rsidR="00671734" w:rsidRPr="00BB0B49" w:rsidRDefault="00671734" w:rsidP="00844E81">
            <w:pPr>
              <w:spacing w:after="120"/>
              <w:rPr>
                <w:rFonts w:cs="Arial"/>
                <w:b/>
                <w:bCs/>
                <w:sz w:val="20"/>
                <w:szCs w:val="20"/>
              </w:rPr>
            </w:pPr>
            <w:r w:rsidRPr="00BB0B49">
              <w:rPr>
                <w:rFonts w:cs="Arial"/>
                <w:b/>
                <w:bCs/>
                <w:sz w:val="20"/>
                <w:szCs w:val="20"/>
              </w:rPr>
              <w:t>Indicator</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9D5761" w14:textId="77777777" w:rsidR="00671734" w:rsidRPr="00BB0B49" w:rsidRDefault="00671734" w:rsidP="00844E81">
            <w:pPr>
              <w:spacing w:after="120"/>
              <w:rPr>
                <w:rFonts w:cs="Arial"/>
                <w:b/>
                <w:bCs/>
                <w:sz w:val="20"/>
                <w:szCs w:val="20"/>
              </w:rPr>
            </w:pPr>
            <w:r w:rsidRPr="00BB0B49">
              <w:rPr>
                <w:rFonts w:cs="Arial"/>
                <w:b/>
                <w:bCs/>
                <w:sz w:val="20"/>
                <w:szCs w:val="20"/>
              </w:rPr>
              <w:t>Milestone</w:t>
            </w:r>
          </w:p>
        </w:tc>
        <w:tc>
          <w:tcPr>
            <w:tcW w:w="52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2DFD68" w14:textId="77777777" w:rsidR="00671734" w:rsidRPr="00BB0B49" w:rsidRDefault="00671734" w:rsidP="00844E81">
            <w:pPr>
              <w:spacing w:after="120"/>
              <w:rPr>
                <w:rFonts w:cs="Arial"/>
                <w:b/>
                <w:bCs/>
                <w:sz w:val="20"/>
                <w:szCs w:val="20"/>
              </w:rPr>
            </w:pPr>
            <w:r w:rsidRPr="49C2769F">
              <w:rPr>
                <w:rFonts w:cs="Arial"/>
                <w:b/>
                <w:bCs/>
                <w:sz w:val="20"/>
                <w:szCs w:val="20"/>
              </w:rPr>
              <w:t xml:space="preserve">Progress  </w:t>
            </w:r>
          </w:p>
        </w:tc>
      </w:tr>
      <w:tr w:rsidR="00671734" w:rsidRPr="00BB0B49" w14:paraId="16B0C0B4" w14:textId="77777777" w:rsidTr="00844E81">
        <w:tc>
          <w:tcPr>
            <w:tcW w:w="2547" w:type="dxa"/>
            <w:tcBorders>
              <w:top w:val="single" w:sz="4" w:space="0" w:color="auto"/>
              <w:left w:val="single" w:sz="4" w:space="0" w:color="auto"/>
              <w:bottom w:val="single" w:sz="4" w:space="0" w:color="auto"/>
              <w:right w:val="single" w:sz="4" w:space="0" w:color="auto"/>
            </w:tcBorders>
          </w:tcPr>
          <w:p w14:paraId="6FF8158F" w14:textId="3B78CB89" w:rsidR="00671734" w:rsidRPr="00BB0B49" w:rsidRDefault="00412B3E" w:rsidP="00844E81">
            <w:pPr>
              <w:spacing w:after="120"/>
              <w:rPr>
                <w:rFonts w:cs="Arial"/>
                <w:bCs/>
                <w:iCs/>
                <w:sz w:val="20"/>
                <w:szCs w:val="20"/>
              </w:rPr>
            </w:pPr>
            <w:r>
              <w:rPr>
                <w:rFonts w:cs="Arial"/>
                <w:bCs/>
                <w:iCs/>
                <w:sz w:val="20"/>
                <w:szCs w:val="20"/>
              </w:rPr>
              <w:t>Output 1</w:t>
            </w:r>
            <w:r w:rsidRPr="00BB0B49">
              <w:rPr>
                <w:rFonts w:cs="Arial"/>
                <w:bCs/>
                <w:iCs/>
                <w:sz w:val="20"/>
                <w:szCs w:val="20"/>
              </w:rPr>
              <w:t>.</w:t>
            </w:r>
            <w:r w:rsidR="00671734" w:rsidRPr="00BB0B49">
              <w:rPr>
                <w:rFonts w:cs="Arial"/>
                <w:bCs/>
                <w:iCs/>
                <w:sz w:val="20"/>
                <w:szCs w:val="20"/>
              </w:rPr>
              <w:t xml:space="preserve">1 </w:t>
            </w:r>
            <w:r w:rsidR="00671734" w:rsidRPr="00BB0B49">
              <w:rPr>
                <w:rFonts w:cs="Arial"/>
                <w:bCs/>
                <w:i/>
                <w:sz w:val="20"/>
                <w:szCs w:val="20"/>
              </w:rPr>
              <w:t>Sustainable low carbon infrastructure policies or regulation adopted that have received support from SIP technical assistance activity.</w:t>
            </w:r>
          </w:p>
        </w:tc>
        <w:tc>
          <w:tcPr>
            <w:tcW w:w="1276" w:type="dxa"/>
            <w:tcBorders>
              <w:top w:val="single" w:sz="4" w:space="0" w:color="auto"/>
              <w:left w:val="single" w:sz="4" w:space="0" w:color="auto"/>
              <w:bottom w:val="single" w:sz="4" w:space="0" w:color="auto"/>
              <w:right w:val="single" w:sz="4" w:space="0" w:color="auto"/>
            </w:tcBorders>
          </w:tcPr>
          <w:p w14:paraId="1B60002B" w14:textId="77777777" w:rsidR="00671734" w:rsidRPr="00BB0B49" w:rsidRDefault="00671734" w:rsidP="00844E81">
            <w:pPr>
              <w:spacing w:after="120"/>
              <w:rPr>
                <w:rFonts w:cs="Arial"/>
                <w:bCs/>
                <w:iCs/>
                <w:sz w:val="20"/>
                <w:szCs w:val="20"/>
              </w:rPr>
            </w:pPr>
            <w:r w:rsidRPr="00BB0B49">
              <w:rPr>
                <w:rFonts w:cs="Arial"/>
                <w:bCs/>
                <w:iCs/>
                <w:sz w:val="20"/>
                <w:szCs w:val="20"/>
              </w:rPr>
              <w:t>1</w:t>
            </w:r>
          </w:p>
        </w:tc>
        <w:tc>
          <w:tcPr>
            <w:tcW w:w="5249" w:type="dxa"/>
            <w:tcBorders>
              <w:top w:val="single" w:sz="4" w:space="0" w:color="auto"/>
              <w:left w:val="single" w:sz="4" w:space="0" w:color="auto"/>
              <w:bottom w:val="single" w:sz="4" w:space="0" w:color="auto"/>
              <w:right w:val="single" w:sz="4" w:space="0" w:color="auto"/>
            </w:tcBorders>
          </w:tcPr>
          <w:p w14:paraId="4CF336C8" w14:textId="0F383B8A" w:rsidR="00671734" w:rsidRPr="00BB0B49" w:rsidRDefault="00671734" w:rsidP="00844E81">
            <w:pPr>
              <w:spacing w:after="120"/>
              <w:rPr>
                <w:rFonts w:cs="Arial"/>
                <w:bCs/>
                <w:iCs/>
                <w:sz w:val="20"/>
                <w:szCs w:val="20"/>
              </w:rPr>
            </w:pPr>
            <w:r>
              <w:rPr>
                <w:rFonts w:cs="Arial"/>
                <w:bCs/>
                <w:iCs/>
                <w:sz w:val="20"/>
                <w:szCs w:val="20"/>
              </w:rPr>
              <w:t>1</w:t>
            </w:r>
          </w:p>
          <w:p w14:paraId="2989633C" w14:textId="41E83D73" w:rsidR="00671734" w:rsidRPr="00BB0B49" w:rsidRDefault="00671734" w:rsidP="00D93F68">
            <w:pPr>
              <w:pStyle w:val="ListParagraph"/>
              <w:numPr>
                <w:ilvl w:val="0"/>
                <w:numId w:val="4"/>
              </w:numPr>
              <w:spacing w:after="120"/>
              <w:ind w:left="175" w:hanging="175"/>
              <w:rPr>
                <w:color w:val="000000"/>
                <w:sz w:val="20"/>
              </w:rPr>
            </w:pPr>
            <w:r w:rsidRPr="00BB0B49">
              <w:rPr>
                <w:color w:val="000000"/>
                <w:sz w:val="20"/>
              </w:rPr>
              <w:t xml:space="preserve">Infrastructure Management Platform - Banco do </w:t>
            </w:r>
            <w:proofErr w:type="spellStart"/>
            <w:r w:rsidRPr="00BB0B49">
              <w:rPr>
                <w:color w:val="000000"/>
                <w:sz w:val="20"/>
              </w:rPr>
              <w:t>Brasil</w:t>
            </w:r>
            <w:proofErr w:type="spellEnd"/>
            <w:r>
              <w:rPr>
                <w:color w:val="000000"/>
                <w:sz w:val="20"/>
              </w:rPr>
              <w:t xml:space="preserve"> (Brazil)</w:t>
            </w:r>
            <w:r w:rsidR="00757A1F">
              <w:rPr>
                <w:rStyle w:val="FootnoteReference"/>
                <w:color w:val="000000"/>
                <w:sz w:val="20"/>
              </w:rPr>
              <w:footnoteReference w:id="6"/>
            </w:r>
          </w:p>
        </w:tc>
      </w:tr>
    </w:tbl>
    <w:p w14:paraId="72775067" w14:textId="77777777" w:rsidR="00671734" w:rsidRPr="00513E41" w:rsidRDefault="00671734" w:rsidP="006778A3">
      <w:pPr>
        <w:spacing w:after="120"/>
        <w:rPr>
          <w:rFonts w:cs="Arial"/>
          <w:b/>
          <w:sz w:val="2"/>
          <w:szCs w:val="2"/>
        </w:rPr>
      </w:pPr>
    </w:p>
    <w:tbl>
      <w:tblPr>
        <w:tblStyle w:val="TableGrid"/>
        <w:tblpPr w:leftFromText="180" w:rightFromText="180" w:vertAnchor="text" w:horzAnchor="page" w:tblpX="1462" w:tblpY="-10"/>
        <w:tblOverlap w:val="never"/>
        <w:tblW w:w="9072" w:type="dxa"/>
        <w:tblLayout w:type="fixed"/>
        <w:tblLook w:val="04A0" w:firstRow="1" w:lastRow="0" w:firstColumn="1" w:lastColumn="0" w:noHBand="0" w:noVBand="1"/>
      </w:tblPr>
      <w:tblGrid>
        <w:gridCol w:w="2547"/>
        <w:gridCol w:w="1276"/>
        <w:gridCol w:w="5249"/>
      </w:tblGrid>
      <w:tr w:rsidR="00671734" w:rsidRPr="006778A3" w14:paraId="2C0E4C57" w14:textId="77777777" w:rsidTr="00513E41">
        <w:trPr>
          <w:trHeight w:val="273"/>
        </w:trPr>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0691AD" w14:textId="1E32EB8B" w:rsidR="00671734" w:rsidRPr="00BB0B49" w:rsidRDefault="00671734" w:rsidP="00671734">
            <w:pPr>
              <w:spacing w:after="120"/>
              <w:rPr>
                <w:rFonts w:cs="Arial"/>
                <w:b/>
                <w:bCs/>
                <w:sz w:val="20"/>
                <w:szCs w:val="20"/>
              </w:rPr>
            </w:pPr>
            <w:r w:rsidRPr="00BB0B49">
              <w:rPr>
                <w:rFonts w:cs="Arial"/>
                <w:b/>
                <w:bCs/>
                <w:sz w:val="20"/>
                <w:szCs w:val="20"/>
              </w:rPr>
              <w:lastRenderedPageBreak/>
              <w:t>Indicator</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0F6E10" w14:textId="2282F5F6" w:rsidR="00671734" w:rsidRPr="00BB0B49" w:rsidRDefault="00671734" w:rsidP="00671734">
            <w:pPr>
              <w:spacing w:after="120"/>
              <w:rPr>
                <w:rFonts w:cs="Arial"/>
                <w:b/>
                <w:bCs/>
                <w:sz w:val="20"/>
                <w:szCs w:val="20"/>
              </w:rPr>
            </w:pPr>
            <w:r w:rsidRPr="00BB0B49">
              <w:rPr>
                <w:rFonts w:cs="Arial"/>
                <w:b/>
                <w:bCs/>
                <w:sz w:val="20"/>
                <w:szCs w:val="20"/>
              </w:rPr>
              <w:t>Milestone</w:t>
            </w:r>
          </w:p>
        </w:tc>
        <w:tc>
          <w:tcPr>
            <w:tcW w:w="524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FE6250" w14:textId="15229644" w:rsidR="00671734" w:rsidRPr="00BB0B49" w:rsidRDefault="00671734" w:rsidP="00671734">
            <w:pPr>
              <w:spacing w:after="120"/>
              <w:rPr>
                <w:rFonts w:cs="Arial"/>
                <w:b/>
                <w:bCs/>
                <w:sz w:val="20"/>
                <w:szCs w:val="20"/>
              </w:rPr>
            </w:pPr>
            <w:r w:rsidRPr="49C2769F">
              <w:rPr>
                <w:rFonts w:cs="Arial"/>
                <w:b/>
                <w:bCs/>
                <w:sz w:val="20"/>
                <w:szCs w:val="20"/>
              </w:rPr>
              <w:t xml:space="preserve">Progress  </w:t>
            </w:r>
          </w:p>
        </w:tc>
      </w:tr>
      <w:tr w:rsidR="006D6C87" w:rsidRPr="006778A3" w14:paraId="5B601169" w14:textId="77777777" w:rsidTr="003F713A">
        <w:tc>
          <w:tcPr>
            <w:tcW w:w="2547" w:type="dxa"/>
            <w:tcBorders>
              <w:top w:val="single" w:sz="4" w:space="0" w:color="auto"/>
              <w:left w:val="single" w:sz="4" w:space="0" w:color="auto"/>
              <w:bottom w:val="single" w:sz="4" w:space="0" w:color="auto"/>
              <w:right w:val="single" w:sz="4" w:space="0" w:color="auto"/>
            </w:tcBorders>
          </w:tcPr>
          <w:p w14:paraId="4849DCB5" w14:textId="4985C78D" w:rsidR="006D6C87" w:rsidRPr="00BB0B49" w:rsidRDefault="00412B3E" w:rsidP="000A369D">
            <w:pPr>
              <w:spacing w:after="120"/>
              <w:rPr>
                <w:rFonts w:cs="Arial"/>
                <w:bCs/>
                <w:iCs/>
                <w:sz w:val="20"/>
                <w:szCs w:val="20"/>
              </w:rPr>
            </w:pPr>
            <w:r>
              <w:rPr>
                <w:rFonts w:cs="Arial"/>
                <w:bCs/>
                <w:iCs/>
                <w:sz w:val="20"/>
                <w:szCs w:val="20"/>
              </w:rPr>
              <w:t>Output 1</w:t>
            </w:r>
            <w:r w:rsidR="006E1680" w:rsidRPr="00BB0B49">
              <w:rPr>
                <w:rFonts w:cs="Arial"/>
                <w:bCs/>
                <w:iCs/>
                <w:sz w:val="20"/>
                <w:szCs w:val="20"/>
              </w:rPr>
              <w:t xml:space="preserve">.2 </w:t>
            </w:r>
            <w:r w:rsidR="006D6C87" w:rsidRPr="00BB0B49">
              <w:rPr>
                <w:rFonts w:cs="Arial"/>
                <w:bCs/>
                <w:i/>
                <w:sz w:val="20"/>
                <w:szCs w:val="20"/>
              </w:rPr>
              <w:t>Number of relevant public sector institutions that have adopted methodologies, tools, and approaches to promote sustainable low carbon infrastructure as a result of SIP TA.</w:t>
            </w:r>
          </w:p>
        </w:tc>
        <w:tc>
          <w:tcPr>
            <w:tcW w:w="1276" w:type="dxa"/>
            <w:tcBorders>
              <w:top w:val="single" w:sz="4" w:space="0" w:color="auto"/>
              <w:left w:val="single" w:sz="4" w:space="0" w:color="auto"/>
              <w:bottom w:val="single" w:sz="4" w:space="0" w:color="auto"/>
              <w:right w:val="single" w:sz="4" w:space="0" w:color="auto"/>
            </w:tcBorders>
          </w:tcPr>
          <w:p w14:paraId="54A4D662" w14:textId="4CE2CB7C" w:rsidR="006D6C87" w:rsidRPr="00BB0B49" w:rsidRDefault="076CA002" w:rsidP="22C7300C">
            <w:pPr>
              <w:spacing w:after="120"/>
              <w:rPr>
                <w:rFonts w:cs="Arial"/>
                <w:sz w:val="20"/>
                <w:szCs w:val="20"/>
              </w:rPr>
            </w:pPr>
            <w:r w:rsidRPr="22C7300C">
              <w:rPr>
                <w:rFonts w:cs="Arial"/>
                <w:sz w:val="20"/>
                <w:szCs w:val="20"/>
              </w:rPr>
              <w:t>10</w:t>
            </w:r>
          </w:p>
        </w:tc>
        <w:tc>
          <w:tcPr>
            <w:tcW w:w="5249" w:type="dxa"/>
            <w:tcBorders>
              <w:top w:val="single" w:sz="4" w:space="0" w:color="auto"/>
              <w:left w:val="single" w:sz="4" w:space="0" w:color="auto"/>
              <w:bottom w:val="single" w:sz="4" w:space="0" w:color="auto"/>
              <w:right w:val="single" w:sz="4" w:space="0" w:color="auto"/>
            </w:tcBorders>
          </w:tcPr>
          <w:p w14:paraId="32A03FF7" w14:textId="468672D9" w:rsidR="006D6C87" w:rsidRPr="00BB0B49" w:rsidRDefault="006D6C87" w:rsidP="006D6C87">
            <w:pPr>
              <w:spacing w:after="120"/>
              <w:rPr>
                <w:rFonts w:cs="Arial"/>
                <w:bCs/>
                <w:iCs/>
                <w:sz w:val="20"/>
                <w:szCs w:val="20"/>
              </w:rPr>
            </w:pPr>
            <w:r w:rsidRPr="00BB0B49">
              <w:rPr>
                <w:rFonts w:cs="Arial"/>
                <w:bCs/>
                <w:iCs/>
                <w:sz w:val="20"/>
                <w:szCs w:val="20"/>
              </w:rPr>
              <w:t>1</w:t>
            </w:r>
            <w:r w:rsidR="00357326">
              <w:rPr>
                <w:rFonts w:cs="Arial"/>
                <w:bCs/>
                <w:iCs/>
                <w:sz w:val="20"/>
                <w:szCs w:val="20"/>
              </w:rPr>
              <w:t>3</w:t>
            </w:r>
          </w:p>
          <w:p w14:paraId="2FEF256C" w14:textId="061780FE" w:rsidR="00533D6C" w:rsidRPr="0035776A" w:rsidRDefault="00533D6C" w:rsidP="00D93F68">
            <w:pPr>
              <w:pStyle w:val="ListParagraph"/>
              <w:numPr>
                <w:ilvl w:val="0"/>
                <w:numId w:val="7"/>
              </w:numPr>
              <w:spacing w:after="0"/>
              <w:ind w:left="459" w:hanging="284"/>
              <w:contextualSpacing w:val="0"/>
              <w:rPr>
                <w:color w:val="000000" w:themeColor="text1"/>
                <w:sz w:val="20"/>
              </w:rPr>
            </w:pPr>
            <w:r w:rsidRPr="00BB0B49">
              <w:rPr>
                <w:rFonts w:eastAsiaTheme="minorHAnsi" w:cs="Arial"/>
                <w:color w:val="000000"/>
                <w:sz w:val="20"/>
              </w:rPr>
              <w:t>Municipality of Yucatan (Mexico)</w:t>
            </w:r>
            <w:r w:rsidR="00C4235D">
              <w:rPr>
                <w:rFonts w:eastAsiaTheme="minorHAnsi" w:cs="Arial"/>
                <w:color w:val="000000"/>
                <w:sz w:val="20"/>
              </w:rPr>
              <w:t xml:space="preserve"> - </w:t>
            </w:r>
            <w:r w:rsidR="00C4235D" w:rsidRPr="00DB3BD3">
              <w:rPr>
                <w:rFonts w:eastAsiaTheme="minorHAnsi" w:cs="Arial"/>
                <w:color w:val="000000"/>
                <w:sz w:val="20"/>
              </w:rPr>
              <w:t xml:space="preserve">Feasibility </w:t>
            </w:r>
            <w:r w:rsidR="00C4235D" w:rsidRPr="0035776A">
              <w:rPr>
                <w:rFonts w:eastAsiaTheme="minorHAnsi" w:cs="Arial"/>
                <w:color w:val="000000" w:themeColor="text1"/>
                <w:sz w:val="20"/>
              </w:rPr>
              <w:t>Study</w:t>
            </w:r>
          </w:p>
          <w:p w14:paraId="48FB1436" w14:textId="78C74603" w:rsidR="00121395" w:rsidRPr="0035776A" w:rsidRDefault="008D4130" w:rsidP="00D93F68">
            <w:pPr>
              <w:pStyle w:val="ListParagraph"/>
              <w:numPr>
                <w:ilvl w:val="0"/>
                <w:numId w:val="7"/>
              </w:numPr>
              <w:spacing w:after="0"/>
              <w:ind w:left="459" w:hanging="284"/>
              <w:contextualSpacing w:val="0"/>
              <w:rPr>
                <w:color w:val="000000" w:themeColor="text1"/>
                <w:sz w:val="20"/>
              </w:rPr>
            </w:pPr>
            <w:proofErr w:type="spellStart"/>
            <w:r>
              <w:rPr>
                <w:color w:val="000000" w:themeColor="text1"/>
                <w:sz w:val="20"/>
                <w:lang w:val="es-ES"/>
              </w:rPr>
              <w:t>The</w:t>
            </w:r>
            <w:proofErr w:type="spellEnd"/>
            <w:r>
              <w:rPr>
                <w:color w:val="000000" w:themeColor="text1"/>
                <w:sz w:val="20"/>
                <w:lang w:val="es-ES"/>
              </w:rPr>
              <w:t xml:space="preserve"> </w:t>
            </w:r>
            <w:proofErr w:type="spellStart"/>
            <w:r>
              <w:rPr>
                <w:color w:val="000000" w:themeColor="text1"/>
                <w:sz w:val="20"/>
                <w:lang w:val="es-ES"/>
              </w:rPr>
              <w:t>city</w:t>
            </w:r>
            <w:proofErr w:type="spellEnd"/>
            <w:r>
              <w:rPr>
                <w:color w:val="000000" w:themeColor="text1"/>
                <w:sz w:val="20"/>
                <w:lang w:val="es-ES"/>
              </w:rPr>
              <w:t xml:space="preserve"> </w:t>
            </w:r>
            <w:proofErr w:type="spellStart"/>
            <w:r>
              <w:rPr>
                <w:color w:val="000000" w:themeColor="text1"/>
                <w:sz w:val="20"/>
                <w:lang w:val="es-ES"/>
              </w:rPr>
              <w:t>of</w:t>
            </w:r>
            <w:proofErr w:type="spellEnd"/>
            <w:r>
              <w:rPr>
                <w:color w:val="000000" w:themeColor="text1"/>
                <w:sz w:val="20"/>
                <w:lang w:val="es-ES"/>
              </w:rPr>
              <w:t xml:space="preserve"> </w:t>
            </w:r>
            <w:r w:rsidR="001F1E3E" w:rsidRPr="0035776A">
              <w:rPr>
                <w:color w:val="000000" w:themeColor="text1"/>
                <w:sz w:val="20"/>
                <w:lang w:val="es-ES"/>
              </w:rPr>
              <w:t>Tunja (</w:t>
            </w:r>
            <w:r w:rsidR="00C94A87">
              <w:rPr>
                <w:color w:val="000000" w:themeColor="text1"/>
                <w:sz w:val="20"/>
                <w:lang w:val="es-ES"/>
              </w:rPr>
              <w:t>Colombia</w:t>
            </w:r>
            <w:r w:rsidR="001F1E3E" w:rsidRPr="0035776A">
              <w:rPr>
                <w:color w:val="000000" w:themeColor="text1"/>
                <w:sz w:val="20"/>
                <w:lang w:val="es-ES"/>
              </w:rPr>
              <w:t>)</w:t>
            </w:r>
            <w:r w:rsidR="00121395" w:rsidRPr="0035776A">
              <w:rPr>
                <w:color w:val="000000" w:themeColor="text1"/>
                <w:sz w:val="20"/>
                <w:lang w:val="es-ES"/>
              </w:rPr>
              <w:t xml:space="preserve"> </w:t>
            </w:r>
            <w:r w:rsidR="00121395" w:rsidRPr="0035776A">
              <w:rPr>
                <w:rFonts w:eastAsiaTheme="minorHAnsi" w:cs="Arial"/>
                <w:color w:val="000000" w:themeColor="text1"/>
                <w:sz w:val="20"/>
              </w:rPr>
              <w:t>- Guide for Emergent roads</w:t>
            </w:r>
          </w:p>
          <w:p w14:paraId="4323A2A8" w14:textId="5C63357D" w:rsidR="00533D6C" w:rsidRPr="0035776A" w:rsidRDefault="008D4130" w:rsidP="00D93F68">
            <w:pPr>
              <w:pStyle w:val="ListParagraph"/>
              <w:numPr>
                <w:ilvl w:val="0"/>
                <w:numId w:val="7"/>
              </w:numPr>
              <w:spacing w:after="0"/>
              <w:ind w:left="459" w:hanging="284"/>
              <w:contextualSpacing w:val="0"/>
              <w:rPr>
                <w:color w:val="000000" w:themeColor="text1"/>
                <w:sz w:val="20"/>
              </w:rPr>
            </w:pPr>
            <w:proofErr w:type="spellStart"/>
            <w:r>
              <w:rPr>
                <w:color w:val="000000" w:themeColor="text1"/>
                <w:sz w:val="20"/>
                <w:lang w:val="es-ES"/>
              </w:rPr>
              <w:t>The</w:t>
            </w:r>
            <w:proofErr w:type="spellEnd"/>
            <w:r>
              <w:rPr>
                <w:color w:val="000000" w:themeColor="text1"/>
                <w:sz w:val="20"/>
                <w:lang w:val="es-ES"/>
              </w:rPr>
              <w:t xml:space="preserve"> </w:t>
            </w:r>
            <w:proofErr w:type="spellStart"/>
            <w:r>
              <w:rPr>
                <w:color w:val="000000" w:themeColor="text1"/>
                <w:sz w:val="20"/>
                <w:lang w:val="es-ES"/>
              </w:rPr>
              <w:t>city</w:t>
            </w:r>
            <w:proofErr w:type="spellEnd"/>
            <w:r>
              <w:rPr>
                <w:color w:val="000000" w:themeColor="text1"/>
                <w:sz w:val="20"/>
                <w:lang w:val="es-ES"/>
              </w:rPr>
              <w:t xml:space="preserve"> </w:t>
            </w:r>
            <w:proofErr w:type="spellStart"/>
            <w:r>
              <w:rPr>
                <w:color w:val="000000" w:themeColor="text1"/>
                <w:sz w:val="20"/>
                <w:lang w:val="es-ES"/>
              </w:rPr>
              <w:t>of</w:t>
            </w:r>
            <w:proofErr w:type="spellEnd"/>
            <w:r>
              <w:rPr>
                <w:color w:val="000000" w:themeColor="text1"/>
                <w:sz w:val="20"/>
                <w:lang w:val="es-ES"/>
              </w:rPr>
              <w:t xml:space="preserve"> </w:t>
            </w:r>
            <w:proofErr w:type="spellStart"/>
            <w:r w:rsidR="001F1E3E" w:rsidRPr="0035776A">
              <w:rPr>
                <w:color w:val="000000" w:themeColor="text1"/>
                <w:sz w:val="20"/>
                <w:lang w:val="es-ES"/>
              </w:rPr>
              <w:t>Fusagusagá</w:t>
            </w:r>
            <w:proofErr w:type="spellEnd"/>
            <w:r w:rsidR="001F1E3E" w:rsidRPr="0035776A">
              <w:rPr>
                <w:color w:val="000000" w:themeColor="text1"/>
                <w:sz w:val="20"/>
                <w:lang w:val="es-ES"/>
              </w:rPr>
              <w:t xml:space="preserve"> (Colombia)</w:t>
            </w:r>
            <w:r w:rsidR="002D2F99" w:rsidRPr="0035776A">
              <w:rPr>
                <w:color w:val="000000" w:themeColor="text1"/>
                <w:sz w:val="20"/>
                <w:lang w:val="es-ES"/>
              </w:rPr>
              <w:t xml:space="preserve"> </w:t>
            </w:r>
            <w:r w:rsidR="00C4235D" w:rsidRPr="0035776A">
              <w:rPr>
                <w:rFonts w:eastAsiaTheme="minorHAnsi" w:cs="Arial"/>
                <w:color w:val="000000" w:themeColor="text1"/>
                <w:sz w:val="20"/>
              </w:rPr>
              <w:t>- Guide for Emergent roads</w:t>
            </w:r>
          </w:p>
          <w:p w14:paraId="046D1267" w14:textId="78AC6F60" w:rsidR="000511ED" w:rsidRPr="00C33661" w:rsidRDefault="00533D6C" w:rsidP="00D93F68">
            <w:pPr>
              <w:pStyle w:val="ListParagraph"/>
              <w:numPr>
                <w:ilvl w:val="0"/>
                <w:numId w:val="7"/>
              </w:numPr>
              <w:spacing w:after="0"/>
              <w:ind w:left="459" w:hanging="284"/>
              <w:contextualSpacing w:val="0"/>
              <w:rPr>
                <w:color w:val="000000"/>
                <w:sz w:val="20"/>
              </w:rPr>
            </w:pPr>
            <w:r w:rsidRPr="00BB0B49">
              <w:rPr>
                <w:rFonts w:eastAsiaTheme="minorHAnsi" w:cs="Arial"/>
                <w:color w:val="000000"/>
                <w:sz w:val="20"/>
              </w:rPr>
              <w:t xml:space="preserve">Banco do </w:t>
            </w:r>
            <w:proofErr w:type="spellStart"/>
            <w:r w:rsidRPr="000511ED">
              <w:rPr>
                <w:rFonts w:eastAsiaTheme="minorHAnsi" w:cs="Arial"/>
                <w:color w:val="000000"/>
                <w:sz w:val="20"/>
              </w:rPr>
              <w:t>Brasil</w:t>
            </w:r>
            <w:proofErr w:type="spellEnd"/>
            <w:r w:rsidRPr="000511ED">
              <w:rPr>
                <w:rFonts w:eastAsiaTheme="minorHAnsi" w:cs="Arial"/>
                <w:color w:val="000000"/>
                <w:sz w:val="20"/>
              </w:rPr>
              <w:t xml:space="preserve"> (Brazil)</w:t>
            </w:r>
            <w:r w:rsidR="00C4235D">
              <w:rPr>
                <w:rFonts w:eastAsiaTheme="minorHAnsi" w:cs="Arial"/>
                <w:color w:val="000000"/>
                <w:sz w:val="20"/>
              </w:rPr>
              <w:t xml:space="preserve"> -</w:t>
            </w:r>
            <w:r w:rsidR="00C4235D" w:rsidRPr="00DB3BD3">
              <w:rPr>
                <w:rFonts w:eastAsiaTheme="minorHAnsi" w:cs="Arial"/>
                <w:color w:val="000000"/>
                <w:sz w:val="20"/>
              </w:rPr>
              <w:t xml:space="preserve"> Roads Technical model</w:t>
            </w:r>
          </w:p>
          <w:p w14:paraId="6BFEE330" w14:textId="503B3090" w:rsidR="00C33661" w:rsidRPr="00C33661" w:rsidRDefault="00C33661" w:rsidP="00D93F68">
            <w:pPr>
              <w:pStyle w:val="ListParagraph"/>
              <w:numPr>
                <w:ilvl w:val="0"/>
                <w:numId w:val="7"/>
              </w:numPr>
              <w:spacing w:after="0"/>
              <w:ind w:left="459" w:hanging="284"/>
              <w:contextualSpacing w:val="0"/>
              <w:rPr>
                <w:color w:val="000000"/>
                <w:sz w:val="20"/>
              </w:rPr>
            </w:pPr>
            <w:proofErr w:type="spellStart"/>
            <w:r w:rsidRPr="000511ED">
              <w:rPr>
                <w:rFonts w:eastAsiaTheme="minorHAnsi" w:cs="Arial"/>
                <w:color w:val="000000"/>
                <w:sz w:val="20"/>
              </w:rPr>
              <w:t>Bancoldex</w:t>
            </w:r>
            <w:proofErr w:type="spellEnd"/>
            <w:r w:rsidRPr="000511ED">
              <w:rPr>
                <w:rFonts w:eastAsiaTheme="minorHAnsi" w:cs="Arial"/>
                <w:color w:val="000000"/>
                <w:sz w:val="20"/>
              </w:rPr>
              <w:t xml:space="preserve"> (Colombia)</w:t>
            </w:r>
            <w:r>
              <w:rPr>
                <w:rFonts w:eastAsiaTheme="minorHAnsi" w:cs="Arial"/>
                <w:color w:val="000000"/>
                <w:sz w:val="20"/>
              </w:rPr>
              <w:t xml:space="preserve"> - </w:t>
            </w:r>
            <w:r w:rsidRPr="00DB3BD3">
              <w:rPr>
                <w:rFonts w:eastAsiaTheme="minorHAnsi" w:cs="Arial"/>
                <w:color w:val="000000"/>
                <w:sz w:val="20"/>
              </w:rPr>
              <w:t xml:space="preserve">Assessment of </w:t>
            </w:r>
            <w:r w:rsidR="006805CB">
              <w:rPr>
                <w:rFonts w:eastAsiaTheme="minorHAnsi" w:cs="Arial"/>
                <w:color w:val="000000"/>
                <w:sz w:val="20"/>
              </w:rPr>
              <w:t>Non-Conventional Renewable Energy</w:t>
            </w:r>
            <w:r w:rsidR="006805CB" w:rsidRPr="00DB3BD3">
              <w:rPr>
                <w:rFonts w:eastAsiaTheme="minorHAnsi" w:cs="Arial"/>
                <w:color w:val="000000"/>
                <w:sz w:val="20"/>
              </w:rPr>
              <w:t xml:space="preserve"> </w:t>
            </w:r>
            <w:r w:rsidR="006805CB">
              <w:rPr>
                <w:rFonts w:eastAsiaTheme="minorHAnsi" w:cs="Arial"/>
                <w:color w:val="000000"/>
                <w:sz w:val="20"/>
              </w:rPr>
              <w:t xml:space="preserve">Source </w:t>
            </w:r>
            <w:r w:rsidRPr="00DB3BD3">
              <w:rPr>
                <w:rFonts w:eastAsiaTheme="minorHAnsi" w:cs="Arial"/>
                <w:color w:val="000000"/>
                <w:sz w:val="20"/>
              </w:rPr>
              <w:t>financing</w:t>
            </w:r>
          </w:p>
          <w:p w14:paraId="10148AF1" w14:textId="5F271E6C" w:rsidR="0037599C" w:rsidRPr="00C743BD" w:rsidRDefault="001708A2" w:rsidP="00D93F68">
            <w:pPr>
              <w:pStyle w:val="ListParagraph"/>
              <w:numPr>
                <w:ilvl w:val="0"/>
                <w:numId w:val="7"/>
              </w:numPr>
              <w:spacing w:after="0"/>
              <w:ind w:left="459" w:hanging="284"/>
              <w:contextualSpacing w:val="0"/>
              <w:rPr>
                <w:color w:val="000000"/>
                <w:sz w:val="20"/>
              </w:rPr>
            </w:pPr>
            <w:r w:rsidRPr="00955418">
              <w:rPr>
                <w:rFonts w:eastAsiaTheme="minorHAnsi" w:cs="Arial"/>
                <w:color w:val="000000"/>
                <w:sz w:val="20"/>
              </w:rPr>
              <w:t xml:space="preserve">Energy and Mining Planning Unit </w:t>
            </w:r>
            <w:r w:rsidR="00AF4A84">
              <w:rPr>
                <w:rFonts w:eastAsiaTheme="minorHAnsi" w:cs="Arial"/>
                <w:color w:val="000000"/>
                <w:sz w:val="20"/>
              </w:rPr>
              <w:t>(Colombia)</w:t>
            </w:r>
            <w:r w:rsidR="00C4235D">
              <w:rPr>
                <w:rFonts w:eastAsiaTheme="minorHAnsi" w:cs="Arial"/>
                <w:color w:val="000000"/>
                <w:sz w:val="20"/>
              </w:rPr>
              <w:t xml:space="preserve"> - </w:t>
            </w:r>
            <w:r w:rsidR="00C4235D" w:rsidRPr="00DB3BD3">
              <w:rPr>
                <w:rFonts w:eastAsiaTheme="minorHAnsi" w:cs="Arial"/>
                <w:color w:val="000000"/>
                <w:sz w:val="20"/>
              </w:rPr>
              <w:t>Wind resources assessment</w:t>
            </w:r>
          </w:p>
          <w:p w14:paraId="0EB1550D" w14:textId="546FED4A" w:rsidR="00533D6C" w:rsidRPr="000511ED" w:rsidRDefault="000511ED" w:rsidP="00D93F68">
            <w:pPr>
              <w:pStyle w:val="ListParagraph"/>
              <w:numPr>
                <w:ilvl w:val="0"/>
                <w:numId w:val="7"/>
              </w:numPr>
              <w:spacing w:after="0"/>
              <w:ind w:left="459" w:hanging="284"/>
              <w:contextualSpacing w:val="0"/>
              <w:rPr>
                <w:color w:val="000000"/>
                <w:sz w:val="20"/>
              </w:rPr>
            </w:pPr>
            <w:proofErr w:type="spellStart"/>
            <w:r w:rsidRPr="00C743BD">
              <w:rPr>
                <w:sz w:val="20"/>
              </w:rPr>
              <w:t>Comisión</w:t>
            </w:r>
            <w:proofErr w:type="spellEnd"/>
            <w:r w:rsidRPr="00C743BD">
              <w:rPr>
                <w:sz w:val="20"/>
              </w:rPr>
              <w:t xml:space="preserve"> de </w:t>
            </w:r>
            <w:proofErr w:type="spellStart"/>
            <w:r w:rsidRPr="00C743BD">
              <w:rPr>
                <w:sz w:val="20"/>
              </w:rPr>
              <w:t>Regulación</w:t>
            </w:r>
            <w:proofErr w:type="spellEnd"/>
            <w:r w:rsidRPr="00C743BD">
              <w:rPr>
                <w:sz w:val="20"/>
              </w:rPr>
              <w:t xml:space="preserve"> de </w:t>
            </w:r>
            <w:proofErr w:type="spellStart"/>
            <w:r w:rsidRPr="00C743BD">
              <w:rPr>
                <w:sz w:val="20"/>
              </w:rPr>
              <w:t>Energía</w:t>
            </w:r>
            <w:proofErr w:type="spellEnd"/>
            <w:r w:rsidRPr="00C743BD">
              <w:rPr>
                <w:sz w:val="20"/>
              </w:rPr>
              <w:t xml:space="preserve"> y Gas</w:t>
            </w:r>
            <w:r>
              <w:rPr>
                <w:sz w:val="20"/>
              </w:rPr>
              <w:t xml:space="preserve"> </w:t>
            </w:r>
            <w:r w:rsidR="00533D6C" w:rsidRPr="000511ED">
              <w:rPr>
                <w:rFonts w:eastAsiaTheme="minorHAnsi" w:cs="Arial"/>
                <w:color w:val="000000"/>
                <w:sz w:val="20"/>
              </w:rPr>
              <w:t>(Colombia)</w:t>
            </w:r>
            <w:r w:rsidR="00C4235D">
              <w:rPr>
                <w:rFonts w:eastAsiaTheme="minorHAnsi" w:cs="Arial"/>
                <w:color w:val="000000"/>
                <w:sz w:val="20"/>
              </w:rPr>
              <w:t xml:space="preserve"> - </w:t>
            </w:r>
            <w:r w:rsidR="00C4235D" w:rsidRPr="00DB3BD3">
              <w:rPr>
                <w:rFonts w:eastAsiaTheme="minorHAnsi" w:cs="Arial"/>
                <w:color w:val="000000"/>
                <w:sz w:val="20"/>
              </w:rPr>
              <w:t xml:space="preserve">Institutional strengthening </w:t>
            </w:r>
            <w:r w:rsidR="0061503B" w:rsidRPr="00DB3BD3">
              <w:rPr>
                <w:rFonts w:eastAsiaTheme="minorHAnsi" w:cs="Arial"/>
                <w:color w:val="000000"/>
                <w:sz w:val="20"/>
              </w:rPr>
              <w:t>Analysis</w:t>
            </w:r>
            <w:r w:rsidR="00C4235D" w:rsidRPr="00DB3BD3">
              <w:rPr>
                <w:rFonts w:eastAsiaTheme="minorHAnsi" w:cs="Arial"/>
                <w:color w:val="000000"/>
                <w:sz w:val="20"/>
              </w:rPr>
              <w:t xml:space="preserve"> E transition</w:t>
            </w:r>
          </w:p>
          <w:p w14:paraId="2736ABF9" w14:textId="44C5FF88" w:rsidR="00121395" w:rsidRPr="00121395" w:rsidRDefault="00FA6B5E" w:rsidP="00D93F68">
            <w:pPr>
              <w:pStyle w:val="ListParagraph"/>
              <w:numPr>
                <w:ilvl w:val="0"/>
                <w:numId w:val="7"/>
              </w:numPr>
              <w:spacing w:after="0"/>
              <w:ind w:left="459" w:hanging="284"/>
              <w:contextualSpacing w:val="0"/>
              <w:rPr>
                <w:color w:val="000000"/>
                <w:sz w:val="20"/>
              </w:rPr>
            </w:pPr>
            <w:r>
              <w:rPr>
                <w:rFonts w:eastAsiaTheme="minorHAnsi" w:cs="Arial"/>
                <w:color w:val="000000"/>
                <w:sz w:val="20"/>
              </w:rPr>
              <w:t>Mexico City</w:t>
            </w:r>
            <w:r w:rsidR="00121395">
              <w:rPr>
                <w:rFonts w:eastAsiaTheme="minorHAnsi" w:cs="Arial"/>
                <w:color w:val="000000"/>
                <w:sz w:val="20"/>
              </w:rPr>
              <w:t xml:space="preserve"> (Mexico) </w:t>
            </w:r>
            <w:r w:rsidR="00682964">
              <w:rPr>
                <w:rFonts w:eastAsiaTheme="minorHAnsi" w:cs="Arial"/>
                <w:color w:val="000000"/>
                <w:sz w:val="20"/>
              </w:rPr>
              <w:t xml:space="preserve">– </w:t>
            </w:r>
            <w:r w:rsidR="00A030F3">
              <w:rPr>
                <w:rFonts w:eastAsiaTheme="minorHAnsi" w:cs="Arial"/>
                <w:color w:val="000000"/>
                <w:sz w:val="20"/>
              </w:rPr>
              <w:t>8 tools for sustainable mobility</w:t>
            </w:r>
          </w:p>
          <w:p w14:paraId="382EC5FC" w14:textId="25C37CB8" w:rsidR="00533D6C" w:rsidRPr="00750D18" w:rsidRDefault="00533D6C" w:rsidP="00D93F68">
            <w:pPr>
              <w:pStyle w:val="ListParagraph"/>
              <w:numPr>
                <w:ilvl w:val="0"/>
                <w:numId w:val="7"/>
              </w:numPr>
              <w:spacing w:after="0"/>
              <w:ind w:left="459" w:hanging="284"/>
              <w:contextualSpacing w:val="0"/>
              <w:rPr>
                <w:color w:val="000000"/>
                <w:sz w:val="20"/>
              </w:rPr>
            </w:pPr>
            <w:r w:rsidRPr="000511ED">
              <w:rPr>
                <w:rFonts w:eastAsiaTheme="minorHAnsi" w:cs="Arial"/>
                <w:color w:val="000000"/>
                <w:sz w:val="20"/>
              </w:rPr>
              <w:t>Public transport</w:t>
            </w:r>
            <w:r w:rsidRPr="00BB0B49">
              <w:rPr>
                <w:rFonts w:eastAsiaTheme="minorHAnsi" w:cs="Arial"/>
                <w:color w:val="000000"/>
                <w:sz w:val="20"/>
              </w:rPr>
              <w:t xml:space="preserve"> operator Bogotá </w:t>
            </w:r>
            <w:r w:rsidR="00C4235D">
              <w:rPr>
                <w:rFonts w:eastAsiaTheme="minorHAnsi" w:cs="Arial"/>
                <w:color w:val="000000"/>
                <w:sz w:val="20"/>
              </w:rPr>
              <w:t xml:space="preserve">- </w:t>
            </w:r>
            <w:r w:rsidRPr="00BB0B49">
              <w:rPr>
                <w:rFonts w:eastAsiaTheme="minorHAnsi" w:cs="Arial"/>
                <w:color w:val="000000"/>
                <w:sz w:val="20"/>
              </w:rPr>
              <w:t>(</w:t>
            </w:r>
            <w:r w:rsidRPr="00750D18">
              <w:rPr>
                <w:rFonts w:eastAsiaTheme="minorHAnsi" w:cs="Arial"/>
                <w:color w:val="000000"/>
                <w:sz w:val="20"/>
              </w:rPr>
              <w:t>Colombia)</w:t>
            </w:r>
          </w:p>
          <w:p w14:paraId="0AA6EDE0" w14:textId="145F5F28" w:rsidR="00533D6C" w:rsidRPr="00955418" w:rsidRDefault="00190754" w:rsidP="00D93F68">
            <w:pPr>
              <w:pStyle w:val="ListParagraph"/>
              <w:numPr>
                <w:ilvl w:val="0"/>
                <w:numId w:val="7"/>
              </w:numPr>
              <w:spacing w:after="0"/>
              <w:ind w:left="459" w:hanging="284"/>
              <w:contextualSpacing w:val="0"/>
              <w:rPr>
                <w:color w:val="000000"/>
                <w:sz w:val="20"/>
              </w:rPr>
            </w:pPr>
            <w:r>
              <w:rPr>
                <w:rFonts w:cs="Arial"/>
                <w:sz w:val="20"/>
              </w:rPr>
              <w:t xml:space="preserve"> </w:t>
            </w:r>
            <w:r w:rsidR="00750D18" w:rsidRPr="00955418">
              <w:rPr>
                <w:rFonts w:cs="Arial"/>
                <w:sz w:val="20"/>
              </w:rPr>
              <w:t>Secretariat for Infrastructure Development</w:t>
            </w:r>
            <w:r w:rsidR="00750D18" w:rsidRPr="00955418">
              <w:rPr>
                <w:rFonts w:eastAsiaTheme="minorHAnsi" w:cs="Arial"/>
                <w:color w:val="000000"/>
                <w:sz w:val="20"/>
              </w:rPr>
              <w:t xml:space="preserve"> </w:t>
            </w:r>
            <w:r w:rsidR="00533D6C" w:rsidRPr="00955418">
              <w:rPr>
                <w:rFonts w:eastAsiaTheme="minorHAnsi" w:cs="Arial"/>
                <w:color w:val="000000"/>
                <w:sz w:val="20"/>
              </w:rPr>
              <w:t>(Brazil)</w:t>
            </w:r>
            <w:r w:rsidR="00377BA3">
              <w:rPr>
                <w:rFonts w:eastAsiaTheme="minorHAnsi" w:cs="Arial"/>
                <w:color w:val="000000"/>
                <w:sz w:val="20"/>
              </w:rPr>
              <w:t xml:space="preserve"> - </w:t>
            </w:r>
            <w:r w:rsidR="00377BA3" w:rsidRPr="00DB3BD3">
              <w:rPr>
                <w:rFonts w:eastAsiaTheme="minorHAnsi" w:cs="Arial"/>
                <w:color w:val="000000"/>
                <w:sz w:val="20"/>
              </w:rPr>
              <w:t>Infrastructure Observatory</w:t>
            </w:r>
          </w:p>
          <w:p w14:paraId="75468EF0" w14:textId="113CA5CA" w:rsidR="00533D6C" w:rsidRPr="00BB0B49" w:rsidRDefault="00190754" w:rsidP="00D93F68">
            <w:pPr>
              <w:pStyle w:val="ListParagraph"/>
              <w:numPr>
                <w:ilvl w:val="0"/>
                <w:numId w:val="7"/>
              </w:numPr>
              <w:spacing w:after="0"/>
              <w:ind w:left="459" w:hanging="284"/>
              <w:contextualSpacing w:val="0"/>
              <w:rPr>
                <w:color w:val="000000"/>
                <w:sz w:val="20"/>
              </w:rPr>
            </w:pPr>
            <w:r>
              <w:rPr>
                <w:rFonts w:eastAsiaTheme="minorHAnsi" w:cs="Arial"/>
                <w:color w:val="000000"/>
                <w:sz w:val="20"/>
              </w:rPr>
              <w:t xml:space="preserve"> </w:t>
            </w:r>
            <w:r w:rsidR="00533D6C" w:rsidRPr="00750D18">
              <w:rPr>
                <w:rFonts w:eastAsiaTheme="minorHAnsi" w:cs="Arial"/>
                <w:color w:val="000000"/>
                <w:sz w:val="20"/>
              </w:rPr>
              <w:t>SITM-MIO</w:t>
            </w:r>
            <w:r w:rsidR="00533D6C" w:rsidRPr="00BB0B49">
              <w:rPr>
                <w:rFonts w:eastAsiaTheme="minorHAnsi" w:cs="Arial"/>
                <w:color w:val="000000"/>
                <w:sz w:val="20"/>
              </w:rPr>
              <w:t xml:space="preserve"> de Cali (Colombia)</w:t>
            </w:r>
            <w:r w:rsidR="00377BA3">
              <w:rPr>
                <w:rFonts w:eastAsiaTheme="minorHAnsi" w:cs="Arial"/>
                <w:color w:val="000000"/>
                <w:sz w:val="20"/>
              </w:rPr>
              <w:t xml:space="preserve"> - </w:t>
            </w:r>
            <w:r w:rsidR="00377BA3" w:rsidRPr="00DB3BD3">
              <w:rPr>
                <w:rFonts w:eastAsiaTheme="minorHAnsi" w:cs="Arial"/>
                <w:color w:val="000000"/>
                <w:sz w:val="20"/>
              </w:rPr>
              <w:t xml:space="preserve">Gap analysis </w:t>
            </w:r>
            <w:r w:rsidR="00682964">
              <w:rPr>
                <w:rFonts w:eastAsiaTheme="minorHAnsi" w:cs="Arial"/>
                <w:color w:val="000000"/>
                <w:sz w:val="20"/>
              </w:rPr>
              <w:t>for</w:t>
            </w:r>
            <w:r w:rsidR="00377BA3">
              <w:rPr>
                <w:rFonts w:eastAsiaTheme="minorHAnsi" w:cs="Arial"/>
                <w:color w:val="000000"/>
                <w:sz w:val="20"/>
              </w:rPr>
              <w:t xml:space="preserve"> </w:t>
            </w:r>
            <w:r w:rsidR="00377BA3" w:rsidRPr="00DB3BD3">
              <w:rPr>
                <w:rFonts w:eastAsiaTheme="minorHAnsi" w:cs="Arial"/>
                <w:color w:val="000000"/>
                <w:sz w:val="20"/>
              </w:rPr>
              <w:t>electric buses</w:t>
            </w:r>
          </w:p>
          <w:p w14:paraId="5D0A35F0" w14:textId="51ACF82A" w:rsidR="00533D6C" w:rsidRPr="00BB0B49" w:rsidRDefault="00190754" w:rsidP="00D93F68">
            <w:pPr>
              <w:pStyle w:val="ListParagraph"/>
              <w:numPr>
                <w:ilvl w:val="0"/>
                <w:numId w:val="7"/>
              </w:numPr>
              <w:spacing w:after="0"/>
              <w:ind w:left="459" w:hanging="284"/>
              <w:contextualSpacing w:val="0"/>
              <w:rPr>
                <w:color w:val="000000"/>
                <w:sz w:val="20"/>
              </w:rPr>
            </w:pPr>
            <w:r>
              <w:rPr>
                <w:rFonts w:eastAsiaTheme="minorHAnsi" w:cs="Arial"/>
                <w:color w:val="000000"/>
                <w:sz w:val="20"/>
              </w:rPr>
              <w:t xml:space="preserve"> </w:t>
            </w:r>
            <w:proofErr w:type="spellStart"/>
            <w:r w:rsidR="00533D6C" w:rsidRPr="00BB0B49">
              <w:rPr>
                <w:rFonts w:eastAsiaTheme="minorHAnsi" w:cs="Arial"/>
                <w:color w:val="000000"/>
                <w:sz w:val="20"/>
              </w:rPr>
              <w:t>Secretaría</w:t>
            </w:r>
            <w:proofErr w:type="spellEnd"/>
            <w:r w:rsidR="00533D6C" w:rsidRPr="00BB0B49">
              <w:rPr>
                <w:rFonts w:eastAsiaTheme="minorHAnsi" w:cs="Arial"/>
                <w:color w:val="000000"/>
                <w:sz w:val="20"/>
              </w:rPr>
              <w:t xml:space="preserve"> de </w:t>
            </w:r>
            <w:proofErr w:type="spellStart"/>
            <w:r w:rsidR="00533D6C" w:rsidRPr="00BB0B49">
              <w:rPr>
                <w:rFonts w:eastAsiaTheme="minorHAnsi" w:cs="Arial"/>
                <w:color w:val="000000"/>
                <w:sz w:val="20"/>
              </w:rPr>
              <w:t>Movilidad</w:t>
            </w:r>
            <w:proofErr w:type="spellEnd"/>
            <w:r w:rsidR="00533D6C" w:rsidRPr="00BB0B49">
              <w:rPr>
                <w:rFonts w:eastAsiaTheme="minorHAnsi" w:cs="Arial"/>
                <w:color w:val="000000"/>
                <w:sz w:val="20"/>
              </w:rPr>
              <w:t xml:space="preserve"> (Mexico)</w:t>
            </w:r>
            <w:r w:rsidR="00377BA3">
              <w:rPr>
                <w:rFonts w:eastAsiaTheme="minorHAnsi" w:cs="Arial"/>
                <w:color w:val="000000"/>
                <w:sz w:val="20"/>
              </w:rPr>
              <w:t xml:space="preserve"> - </w:t>
            </w:r>
            <w:r w:rsidR="00377BA3" w:rsidRPr="00DB3BD3">
              <w:rPr>
                <w:rFonts w:eastAsiaTheme="minorHAnsi" w:cs="Arial"/>
                <w:color w:val="000000"/>
                <w:sz w:val="20"/>
              </w:rPr>
              <w:t>Road Safety programme</w:t>
            </w:r>
          </w:p>
          <w:p w14:paraId="52C14425" w14:textId="639406C2" w:rsidR="00101CE9" w:rsidRPr="00BB0B49" w:rsidRDefault="00190754" w:rsidP="00D93F68">
            <w:pPr>
              <w:pStyle w:val="ListParagraph"/>
              <w:numPr>
                <w:ilvl w:val="0"/>
                <w:numId w:val="7"/>
              </w:numPr>
              <w:spacing w:after="120"/>
              <w:ind w:left="459" w:hanging="284"/>
              <w:contextualSpacing w:val="0"/>
              <w:rPr>
                <w:color w:val="000000"/>
                <w:sz w:val="20"/>
              </w:rPr>
            </w:pPr>
            <w:r>
              <w:rPr>
                <w:rFonts w:eastAsiaTheme="minorHAnsi" w:cs="Arial"/>
                <w:color w:val="000000"/>
                <w:sz w:val="20"/>
              </w:rPr>
              <w:t xml:space="preserve"> </w:t>
            </w:r>
            <w:r w:rsidR="00533D6C" w:rsidRPr="00BB0B49">
              <w:rPr>
                <w:rFonts w:eastAsiaTheme="minorHAnsi" w:cs="Arial"/>
                <w:color w:val="000000"/>
                <w:sz w:val="20"/>
              </w:rPr>
              <w:t>Ministry of Transport (Colombia)</w:t>
            </w:r>
            <w:r w:rsidR="00377BA3">
              <w:rPr>
                <w:rFonts w:eastAsiaTheme="minorHAnsi" w:cs="Arial"/>
                <w:color w:val="000000"/>
                <w:sz w:val="20"/>
              </w:rPr>
              <w:t xml:space="preserve"> - </w:t>
            </w:r>
            <w:r w:rsidR="00377BA3" w:rsidRPr="00DB3BD3">
              <w:rPr>
                <w:rFonts w:eastAsiaTheme="minorHAnsi" w:cs="Arial"/>
                <w:color w:val="000000"/>
                <w:sz w:val="20"/>
              </w:rPr>
              <w:t>Guide to select 0/low emissions - 50 + vehicles</w:t>
            </w:r>
          </w:p>
        </w:tc>
      </w:tr>
    </w:tbl>
    <w:p w14:paraId="279A4EAB" w14:textId="6CE1D45F" w:rsidR="003D222C" w:rsidRPr="00671734" w:rsidRDefault="003D222C" w:rsidP="00050147">
      <w:pPr>
        <w:keepNext/>
        <w:spacing w:before="120" w:after="120"/>
        <w:jc w:val="both"/>
        <w:rPr>
          <w:rFonts w:cs="Arial"/>
          <w:b/>
          <w:bCs/>
          <w:sz w:val="22"/>
          <w:szCs w:val="22"/>
        </w:rPr>
      </w:pPr>
      <w:r w:rsidRPr="006778A3">
        <w:rPr>
          <w:rFonts w:cs="Arial"/>
          <w:b/>
          <w:bCs/>
          <w:sz w:val="22"/>
          <w:szCs w:val="22"/>
        </w:rPr>
        <w:t xml:space="preserve">Briefly </w:t>
      </w:r>
      <w:r w:rsidRPr="00671734">
        <w:rPr>
          <w:rFonts w:cs="Arial"/>
          <w:b/>
          <w:bCs/>
          <w:sz w:val="22"/>
          <w:szCs w:val="22"/>
        </w:rPr>
        <w:t xml:space="preserve">describe the output and provide </w:t>
      </w:r>
      <w:r w:rsidR="00D35C73" w:rsidRPr="00671734">
        <w:rPr>
          <w:rFonts w:cs="Arial"/>
          <w:b/>
          <w:bCs/>
          <w:sz w:val="22"/>
          <w:szCs w:val="22"/>
        </w:rPr>
        <w:t xml:space="preserve">a </w:t>
      </w:r>
      <w:r w:rsidRPr="00671734">
        <w:rPr>
          <w:rFonts w:cs="Arial"/>
          <w:b/>
          <w:bCs/>
          <w:sz w:val="22"/>
          <w:szCs w:val="22"/>
        </w:rPr>
        <w:t>supporting narrative for the score</w:t>
      </w:r>
    </w:p>
    <w:p w14:paraId="15C2360A" w14:textId="32D6559C" w:rsidR="00FE4475" w:rsidRPr="00671734" w:rsidRDefault="00BB0B49" w:rsidP="00687D24">
      <w:pPr>
        <w:spacing w:before="120" w:after="120"/>
        <w:jc w:val="both"/>
        <w:rPr>
          <w:rFonts w:cs="Arial"/>
          <w:sz w:val="22"/>
          <w:szCs w:val="22"/>
        </w:rPr>
      </w:pPr>
      <w:r w:rsidRPr="00671734">
        <w:rPr>
          <w:sz w:val="22"/>
          <w:szCs w:val="22"/>
          <w:lang w:val="en-US"/>
        </w:rPr>
        <w:t xml:space="preserve">Output 1 </w:t>
      </w:r>
      <w:r w:rsidR="000760EB" w:rsidRPr="00671734">
        <w:rPr>
          <w:sz w:val="22"/>
          <w:szCs w:val="22"/>
          <w:lang w:val="en-US"/>
        </w:rPr>
        <w:t>assesses</w:t>
      </w:r>
      <w:r w:rsidRPr="00671734">
        <w:rPr>
          <w:sz w:val="22"/>
          <w:szCs w:val="22"/>
          <w:lang w:val="en-US"/>
        </w:rPr>
        <w:t xml:space="preserve"> </w:t>
      </w:r>
      <w:r w:rsidR="00B10268" w:rsidRPr="00671734">
        <w:rPr>
          <w:sz w:val="22"/>
          <w:szCs w:val="22"/>
          <w:lang w:val="en-US"/>
        </w:rPr>
        <w:t xml:space="preserve">SIP-LA’s support to improve </w:t>
      </w:r>
      <w:r w:rsidR="00825DC5" w:rsidRPr="00671734">
        <w:rPr>
          <w:sz w:val="22"/>
          <w:szCs w:val="22"/>
          <w:lang w:val="en-US"/>
        </w:rPr>
        <w:t xml:space="preserve">the </w:t>
      </w:r>
      <w:r w:rsidR="00F16219" w:rsidRPr="00671734">
        <w:rPr>
          <w:sz w:val="22"/>
          <w:szCs w:val="22"/>
          <w:lang w:val="en-US"/>
        </w:rPr>
        <w:t xml:space="preserve">enabling </w:t>
      </w:r>
      <w:r w:rsidR="00825DC5" w:rsidRPr="00671734">
        <w:rPr>
          <w:sz w:val="22"/>
          <w:szCs w:val="22"/>
          <w:lang w:val="en-US"/>
        </w:rPr>
        <w:t>environment for sustainable infrastructure projects</w:t>
      </w:r>
      <w:r w:rsidR="00F16219" w:rsidRPr="00671734">
        <w:rPr>
          <w:sz w:val="22"/>
          <w:szCs w:val="22"/>
          <w:lang w:val="en-US"/>
        </w:rPr>
        <w:t xml:space="preserve"> by addressing regulatory </w:t>
      </w:r>
      <w:r w:rsidR="00F336B0" w:rsidRPr="00671734">
        <w:rPr>
          <w:sz w:val="22"/>
          <w:szCs w:val="22"/>
          <w:lang w:val="en-US"/>
        </w:rPr>
        <w:t>or policy barriers to private sector investment</w:t>
      </w:r>
      <w:r w:rsidR="00D862D2" w:rsidRPr="00671734">
        <w:rPr>
          <w:sz w:val="22"/>
          <w:szCs w:val="22"/>
          <w:lang w:val="en-US"/>
        </w:rPr>
        <w:t xml:space="preserve">. </w:t>
      </w:r>
      <w:r w:rsidR="00064782" w:rsidRPr="00671734">
        <w:rPr>
          <w:sz w:val="22"/>
          <w:szCs w:val="22"/>
          <w:lang w:val="en-US"/>
        </w:rPr>
        <w:t xml:space="preserve">Output 1 is delivered through SIP-LA’s public sector technical assistance activity. </w:t>
      </w:r>
      <w:r w:rsidR="00D64974" w:rsidRPr="00671734">
        <w:rPr>
          <w:rFonts w:cs="Arial"/>
          <w:sz w:val="22"/>
          <w:szCs w:val="22"/>
        </w:rPr>
        <w:t>SIP-LA has scored A</w:t>
      </w:r>
      <w:r w:rsidR="00D23068" w:rsidRPr="00671734">
        <w:rPr>
          <w:rFonts w:cs="Arial"/>
          <w:sz w:val="22"/>
          <w:szCs w:val="22"/>
        </w:rPr>
        <w:t>+</w:t>
      </w:r>
      <w:r w:rsidR="00D64974" w:rsidRPr="00671734">
        <w:rPr>
          <w:rFonts w:cs="Arial"/>
          <w:sz w:val="22"/>
          <w:szCs w:val="22"/>
        </w:rPr>
        <w:t xml:space="preserve"> for </w:t>
      </w:r>
      <w:r w:rsidR="002C283A" w:rsidRPr="00671734">
        <w:rPr>
          <w:rFonts w:cs="Arial"/>
          <w:sz w:val="22"/>
          <w:szCs w:val="22"/>
        </w:rPr>
        <w:t>o</w:t>
      </w:r>
      <w:r w:rsidR="00D64974" w:rsidRPr="00671734">
        <w:rPr>
          <w:rFonts w:cs="Arial"/>
          <w:sz w:val="22"/>
          <w:szCs w:val="22"/>
        </w:rPr>
        <w:t>utput 1.</w:t>
      </w:r>
      <w:r w:rsidR="001B72A2" w:rsidRPr="00671734">
        <w:rPr>
          <w:rFonts w:cs="Arial"/>
          <w:sz w:val="22"/>
          <w:szCs w:val="22"/>
        </w:rPr>
        <w:t xml:space="preserve"> </w:t>
      </w:r>
      <w:r w:rsidR="00154F8B" w:rsidRPr="00671734">
        <w:rPr>
          <w:rFonts w:cs="Arial"/>
          <w:sz w:val="22"/>
          <w:szCs w:val="22"/>
        </w:rPr>
        <w:t xml:space="preserve">SIP-LA met </w:t>
      </w:r>
      <w:r w:rsidR="00825DC5" w:rsidRPr="00671734">
        <w:rPr>
          <w:rFonts w:cs="Arial"/>
          <w:sz w:val="22"/>
          <w:szCs w:val="22"/>
        </w:rPr>
        <w:t xml:space="preserve">its milestone </w:t>
      </w:r>
      <w:r w:rsidR="00154F8B" w:rsidRPr="00671734">
        <w:rPr>
          <w:rFonts w:cs="Arial"/>
          <w:sz w:val="22"/>
          <w:szCs w:val="22"/>
        </w:rPr>
        <w:t xml:space="preserve">expectations </w:t>
      </w:r>
      <w:r w:rsidR="00C777E9" w:rsidRPr="00671734">
        <w:rPr>
          <w:rFonts w:cs="Arial"/>
          <w:sz w:val="22"/>
          <w:szCs w:val="22"/>
        </w:rPr>
        <w:t>for</w:t>
      </w:r>
      <w:r w:rsidR="00154F8B" w:rsidRPr="00671734">
        <w:rPr>
          <w:rFonts w:cs="Arial"/>
          <w:sz w:val="22"/>
          <w:szCs w:val="22"/>
        </w:rPr>
        <w:t xml:space="preserve"> </w:t>
      </w:r>
      <w:r w:rsidR="00D265DC" w:rsidRPr="00671734">
        <w:rPr>
          <w:rFonts w:cs="Arial"/>
          <w:sz w:val="22"/>
          <w:szCs w:val="22"/>
        </w:rPr>
        <w:t>O</w:t>
      </w:r>
      <w:r w:rsidR="00154F8B" w:rsidRPr="00671734">
        <w:rPr>
          <w:rFonts w:cs="Arial"/>
          <w:sz w:val="22"/>
          <w:szCs w:val="22"/>
        </w:rPr>
        <w:t xml:space="preserve">utput </w:t>
      </w:r>
      <w:r w:rsidR="00D265DC" w:rsidRPr="00671734">
        <w:rPr>
          <w:rFonts w:cs="Arial"/>
          <w:sz w:val="22"/>
          <w:szCs w:val="22"/>
        </w:rPr>
        <w:t xml:space="preserve">Indicator </w:t>
      </w:r>
      <w:r w:rsidR="00154F8B" w:rsidRPr="00671734">
        <w:rPr>
          <w:rFonts w:cs="Arial"/>
          <w:sz w:val="22"/>
          <w:szCs w:val="22"/>
        </w:rPr>
        <w:t>1.1</w:t>
      </w:r>
      <w:r w:rsidR="00064782" w:rsidRPr="00671734">
        <w:rPr>
          <w:rFonts w:cs="Arial"/>
          <w:sz w:val="22"/>
          <w:szCs w:val="22"/>
        </w:rPr>
        <w:t xml:space="preserve"> by delivering </w:t>
      </w:r>
      <w:r w:rsidR="00750D18" w:rsidRPr="00671734">
        <w:rPr>
          <w:rFonts w:cs="Arial"/>
          <w:sz w:val="22"/>
          <w:szCs w:val="22"/>
        </w:rPr>
        <w:t>the adoption of one</w:t>
      </w:r>
      <w:r w:rsidR="00D265DC" w:rsidRPr="00671734">
        <w:rPr>
          <w:rFonts w:cs="Arial"/>
          <w:sz w:val="22"/>
          <w:szCs w:val="22"/>
        </w:rPr>
        <w:t xml:space="preserve"> sustainable low carbon infrastructure polic</w:t>
      </w:r>
      <w:r w:rsidR="00D5306A" w:rsidRPr="00671734">
        <w:rPr>
          <w:rFonts w:cs="Arial"/>
          <w:sz w:val="22"/>
          <w:szCs w:val="22"/>
        </w:rPr>
        <w:t>y</w:t>
      </w:r>
      <w:r w:rsidR="00D265DC" w:rsidRPr="00671734">
        <w:rPr>
          <w:rFonts w:cs="Arial"/>
          <w:sz w:val="22"/>
          <w:szCs w:val="22"/>
        </w:rPr>
        <w:t>.</w:t>
      </w:r>
      <w:r w:rsidR="002120A6" w:rsidRPr="00671734">
        <w:rPr>
          <w:rFonts w:cs="Arial"/>
          <w:sz w:val="22"/>
          <w:szCs w:val="22"/>
        </w:rPr>
        <w:t xml:space="preserve"> SIP-LA exceeded </w:t>
      </w:r>
      <w:r w:rsidR="002C3415" w:rsidRPr="00671734">
        <w:rPr>
          <w:rFonts w:cs="Arial"/>
          <w:sz w:val="22"/>
          <w:szCs w:val="22"/>
        </w:rPr>
        <w:t xml:space="preserve">its milestone </w:t>
      </w:r>
      <w:r w:rsidR="002120A6" w:rsidRPr="00671734">
        <w:rPr>
          <w:rFonts w:cs="Arial"/>
          <w:sz w:val="22"/>
          <w:szCs w:val="22"/>
        </w:rPr>
        <w:t xml:space="preserve">expectations </w:t>
      </w:r>
      <w:r w:rsidR="002C3415" w:rsidRPr="00671734">
        <w:rPr>
          <w:rFonts w:cs="Arial"/>
          <w:sz w:val="22"/>
          <w:szCs w:val="22"/>
        </w:rPr>
        <w:t>for</w:t>
      </w:r>
      <w:r w:rsidR="002120A6" w:rsidRPr="00671734">
        <w:rPr>
          <w:rFonts w:cs="Arial"/>
          <w:sz w:val="22"/>
          <w:szCs w:val="22"/>
        </w:rPr>
        <w:t xml:space="preserve"> </w:t>
      </w:r>
      <w:r w:rsidR="002C283A" w:rsidRPr="00671734">
        <w:rPr>
          <w:rFonts w:cs="Arial"/>
          <w:sz w:val="22"/>
          <w:szCs w:val="22"/>
        </w:rPr>
        <w:t>o</w:t>
      </w:r>
      <w:r w:rsidR="002120A6" w:rsidRPr="00671734">
        <w:rPr>
          <w:rFonts w:cs="Arial"/>
          <w:sz w:val="22"/>
          <w:szCs w:val="22"/>
        </w:rPr>
        <w:t xml:space="preserve">utput </w:t>
      </w:r>
      <w:r w:rsidR="00124ED5" w:rsidRPr="00671734">
        <w:rPr>
          <w:rFonts w:cs="Arial"/>
          <w:sz w:val="22"/>
          <w:szCs w:val="22"/>
        </w:rPr>
        <w:t>Indicato</w:t>
      </w:r>
      <w:r w:rsidR="007171B4" w:rsidRPr="00671734">
        <w:rPr>
          <w:rFonts w:cs="Arial"/>
          <w:sz w:val="22"/>
          <w:szCs w:val="22"/>
        </w:rPr>
        <w:t>r</w:t>
      </w:r>
      <w:r w:rsidR="00750D18" w:rsidRPr="00671734">
        <w:rPr>
          <w:rFonts w:cs="Arial"/>
          <w:sz w:val="22"/>
          <w:szCs w:val="22"/>
        </w:rPr>
        <w:t xml:space="preserve"> 1.2</w:t>
      </w:r>
      <w:r w:rsidR="00580FC9" w:rsidRPr="00671734">
        <w:rPr>
          <w:rFonts w:cs="Arial"/>
          <w:sz w:val="22"/>
          <w:szCs w:val="22"/>
        </w:rPr>
        <w:t xml:space="preserve">, </w:t>
      </w:r>
      <w:r w:rsidR="00DF6A67" w:rsidRPr="00671734">
        <w:rPr>
          <w:rFonts w:cs="Arial"/>
          <w:sz w:val="22"/>
          <w:szCs w:val="22"/>
        </w:rPr>
        <w:t xml:space="preserve">with </w:t>
      </w:r>
      <w:r w:rsidR="007171B4" w:rsidRPr="00671734">
        <w:rPr>
          <w:rFonts w:cs="Arial"/>
          <w:sz w:val="22"/>
          <w:szCs w:val="22"/>
        </w:rPr>
        <w:t>1</w:t>
      </w:r>
      <w:r w:rsidR="008915BB" w:rsidRPr="00671734">
        <w:rPr>
          <w:rFonts w:cs="Arial"/>
          <w:sz w:val="22"/>
          <w:szCs w:val="22"/>
        </w:rPr>
        <w:t>3</w:t>
      </w:r>
      <w:r w:rsidR="00F35BC3" w:rsidRPr="00671734">
        <w:rPr>
          <w:rFonts w:cs="Arial"/>
          <w:sz w:val="22"/>
          <w:szCs w:val="22"/>
        </w:rPr>
        <w:t xml:space="preserve"> individual</w:t>
      </w:r>
      <w:r w:rsidR="007171B4" w:rsidRPr="00671734">
        <w:rPr>
          <w:rFonts w:cs="Arial"/>
          <w:sz w:val="22"/>
          <w:szCs w:val="22"/>
        </w:rPr>
        <w:t xml:space="preserve"> </w:t>
      </w:r>
      <w:r w:rsidR="00124ED5" w:rsidRPr="00671734">
        <w:rPr>
          <w:rFonts w:cs="Arial"/>
          <w:sz w:val="22"/>
          <w:szCs w:val="22"/>
        </w:rPr>
        <w:t xml:space="preserve">relevant public sector institutions </w:t>
      </w:r>
      <w:r w:rsidR="00DF6A67" w:rsidRPr="00671734">
        <w:rPr>
          <w:rFonts w:cs="Arial"/>
          <w:sz w:val="22"/>
          <w:szCs w:val="22"/>
        </w:rPr>
        <w:t xml:space="preserve">having </w:t>
      </w:r>
      <w:r w:rsidR="00124ED5" w:rsidRPr="00671734">
        <w:rPr>
          <w:rFonts w:cs="Arial"/>
          <w:sz w:val="22"/>
          <w:szCs w:val="22"/>
        </w:rPr>
        <w:t>adopt</w:t>
      </w:r>
      <w:r w:rsidR="003C5F8A" w:rsidRPr="00671734">
        <w:rPr>
          <w:rFonts w:cs="Arial"/>
          <w:sz w:val="22"/>
          <w:szCs w:val="22"/>
        </w:rPr>
        <w:t>ed</w:t>
      </w:r>
      <w:r w:rsidR="00124ED5" w:rsidRPr="00671734">
        <w:rPr>
          <w:rFonts w:cs="Arial"/>
          <w:sz w:val="22"/>
          <w:szCs w:val="22"/>
        </w:rPr>
        <w:t xml:space="preserve"> methodologies, tools </w:t>
      </w:r>
      <w:r w:rsidR="007171B4" w:rsidRPr="00671734">
        <w:rPr>
          <w:rFonts w:cs="Arial"/>
          <w:sz w:val="22"/>
          <w:szCs w:val="22"/>
        </w:rPr>
        <w:t>or</w:t>
      </w:r>
      <w:r w:rsidR="00124ED5" w:rsidRPr="00671734">
        <w:rPr>
          <w:rFonts w:cs="Arial"/>
          <w:sz w:val="22"/>
          <w:szCs w:val="22"/>
        </w:rPr>
        <w:t xml:space="preserve"> approaches to promote sustainable low carbon infrastructure.</w:t>
      </w:r>
      <w:r w:rsidR="00F35BC3" w:rsidRPr="00671734">
        <w:rPr>
          <w:rFonts w:cs="Arial"/>
          <w:sz w:val="22"/>
          <w:szCs w:val="22"/>
        </w:rPr>
        <w:t xml:space="preserve"> </w:t>
      </w:r>
    </w:p>
    <w:p w14:paraId="4DF636A4" w14:textId="6F88FCDF" w:rsidR="00CB69A8" w:rsidRPr="00671734" w:rsidRDefault="00602FEE" w:rsidP="00546D7E">
      <w:pPr>
        <w:keepNext/>
        <w:spacing w:after="120"/>
        <w:jc w:val="both"/>
        <w:rPr>
          <w:rFonts w:cs="Arial"/>
          <w:sz w:val="22"/>
          <w:szCs w:val="22"/>
        </w:rPr>
      </w:pPr>
      <w:r w:rsidRPr="00671734">
        <w:rPr>
          <w:b/>
          <w:bCs/>
          <w:sz w:val="22"/>
          <w:szCs w:val="22"/>
          <w:lang w:val="en-US"/>
        </w:rPr>
        <w:t>Output</w:t>
      </w:r>
      <w:r w:rsidR="00BA0DB2" w:rsidRPr="00671734">
        <w:rPr>
          <w:b/>
          <w:bCs/>
          <w:sz w:val="22"/>
          <w:szCs w:val="22"/>
          <w:lang w:val="en-US"/>
        </w:rPr>
        <w:t xml:space="preserve"> Indi</w:t>
      </w:r>
      <w:r w:rsidR="0073239D" w:rsidRPr="00671734">
        <w:rPr>
          <w:b/>
          <w:bCs/>
          <w:sz w:val="22"/>
          <w:szCs w:val="22"/>
          <w:lang w:val="en-US"/>
        </w:rPr>
        <w:t>cator</w:t>
      </w:r>
      <w:r w:rsidRPr="00671734">
        <w:rPr>
          <w:b/>
          <w:bCs/>
          <w:sz w:val="22"/>
          <w:szCs w:val="22"/>
          <w:lang w:val="en-US"/>
        </w:rPr>
        <w:t xml:space="preserve"> 1.1</w:t>
      </w:r>
      <w:r w:rsidR="008658BF" w:rsidRPr="00671734">
        <w:rPr>
          <w:sz w:val="22"/>
          <w:szCs w:val="22"/>
          <w:lang w:val="en-US"/>
        </w:rPr>
        <w:t xml:space="preserve"> </w:t>
      </w:r>
      <w:r w:rsidR="00546D7E" w:rsidRPr="00671734">
        <w:rPr>
          <w:sz w:val="22"/>
          <w:szCs w:val="22"/>
          <w:lang w:val="en-US"/>
        </w:rPr>
        <w:t xml:space="preserve">measures the number of </w:t>
      </w:r>
      <w:r w:rsidR="00546D7E" w:rsidRPr="00671734">
        <w:rPr>
          <w:rFonts w:cs="Arial"/>
          <w:sz w:val="22"/>
          <w:szCs w:val="22"/>
        </w:rPr>
        <w:t>s</w:t>
      </w:r>
      <w:r w:rsidR="008658BF" w:rsidRPr="00671734">
        <w:rPr>
          <w:rFonts w:cs="Arial"/>
          <w:sz w:val="22"/>
          <w:szCs w:val="22"/>
        </w:rPr>
        <w:t xml:space="preserve">ustainable low carbon infrastructure policies or regulation adopted </w:t>
      </w:r>
      <w:r w:rsidR="00D5306A" w:rsidRPr="00671734">
        <w:rPr>
          <w:rFonts w:cs="Arial"/>
          <w:sz w:val="22"/>
          <w:szCs w:val="22"/>
        </w:rPr>
        <w:t>as a result of</w:t>
      </w:r>
      <w:r w:rsidR="008658BF" w:rsidRPr="00671734">
        <w:rPr>
          <w:rFonts w:cs="Arial"/>
          <w:sz w:val="22"/>
          <w:szCs w:val="22"/>
        </w:rPr>
        <w:t xml:space="preserve"> SIP</w:t>
      </w:r>
      <w:r w:rsidR="006D7437" w:rsidRPr="00671734">
        <w:rPr>
          <w:rFonts w:cs="Arial"/>
          <w:sz w:val="22"/>
          <w:szCs w:val="22"/>
        </w:rPr>
        <w:t>-LA</w:t>
      </w:r>
      <w:r w:rsidR="008658BF" w:rsidRPr="00671734">
        <w:rPr>
          <w:rFonts w:cs="Arial"/>
          <w:sz w:val="22"/>
          <w:szCs w:val="22"/>
        </w:rPr>
        <w:t xml:space="preserve"> technical assistance.</w:t>
      </w:r>
      <w:r w:rsidR="00FD71C6" w:rsidRPr="00671734">
        <w:rPr>
          <w:rStyle w:val="FootnoteReference"/>
          <w:rFonts w:cs="Arial"/>
          <w:sz w:val="22"/>
          <w:szCs w:val="22"/>
        </w:rPr>
        <w:footnoteReference w:id="7"/>
      </w:r>
      <w:r w:rsidR="00546D7E" w:rsidRPr="00671734">
        <w:rPr>
          <w:sz w:val="22"/>
          <w:szCs w:val="22"/>
          <w:lang w:val="en-US"/>
        </w:rPr>
        <w:t xml:space="preserve"> </w:t>
      </w:r>
      <w:r w:rsidR="00D5306A" w:rsidRPr="00671734">
        <w:rPr>
          <w:sz w:val="22"/>
          <w:szCs w:val="22"/>
          <w:lang w:val="en-US"/>
        </w:rPr>
        <w:t xml:space="preserve">In 2020 </w:t>
      </w:r>
      <w:r w:rsidR="00546D7E" w:rsidRPr="00671734">
        <w:rPr>
          <w:rFonts w:eastAsiaTheme="minorHAnsi" w:cs="Arial"/>
          <w:sz w:val="22"/>
          <w:szCs w:val="22"/>
        </w:rPr>
        <w:t xml:space="preserve">SIP-LA support led to the adoption of one low carbon policy through </w:t>
      </w:r>
      <w:r w:rsidR="00D5306A" w:rsidRPr="00671734">
        <w:rPr>
          <w:rFonts w:eastAsiaTheme="minorHAnsi" w:cs="Arial"/>
          <w:sz w:val="22"/>
          <w:szCs w:val="22"/>
        </w:rPr>
        <w:t xml:space="preserve">its support </w:t>
      </w:r>
      <w:r w:rsidR="006D7437" w:rsidRPr="00671734">
        <w:rPr>
          <w:rFonts w:eastAsiaTheme="minorHAnsi" w:cs="Arial"/>
          <w:sz w:val="22"/>
          <w:szCs w:val="22"/>
        </w:rPr>
        <w:t>to the Infrastructure Management Platform in Brazil, which improves the institutional capacity of municipalities for sustainable infrastructure management.</w:t>
      </w:r>
      <w:r w:rsidR="0089692E" w:rsidRPr="00671734">
        <w:rPr>
          <w:rFonts w:eastAsiaTheme="minorHAnsi" w:cs="Arial"/>
          <w:sz w:val="22"/>
          <w:szCs w:val="22"/>
        </w:rPr>
        <w:t xml:space="preserve"> </w:t>
      </w:r>
      <w:r w:rsidR="0089692E" w:rsidRPr="00671734">
        <w:rPr>
          <w:rFonts w:cs="Arial"/>
          <w:sz w:val="22"/>
          <w:szCs w:val="22"/>
        </w:rPr>
        <w:t xml:space="preserve">In addition to this achievement, </w:t>
      </w:r>
      <w:r w:rsidR="00CB69A8" w:rsidRPr="00671734">
        <w:rPr>
          <w:rFonts w:cs="Arial"/>
          <w:sz w:val="22"/>
          <w:szCs w:val="22"/>
        </w:rPr>
        <w:t xml:space="preserve">SIP-LA was expected </w:t>
      </w:r>
      <w:r w:rsidR="009148A1" w:rsidRPr="00671734">
        <w:rPr>
          <w:rFonts w:cs="Arial"/>
          <w:sz w:val="22"/>
          <w:szCs w:val="22"/>
        </w:rPr>
        <w:t>to report a</w:t>
      </w:r>
      <w:r w:rsidR="0089692E" w:rsidRPr="00671734">
        <w:rPr>
          <w:rFonts w:cs="Arial"/>
          <w:sz w:val="22"/>
          <w:szCs w:val="22"/>
        </w:rPr>
        <w:t xml:space="preserve"> further </w:t>
      </w:r>
      <w:r w:rsidR="009148A1" w:rsidRPr="00671734">
        <w:rPr>
          <w:rFonts w:cs="Arial"/>
          <w:sz w:val="22"/>
          <w:szCs w:val="22"/>
        </w:rPr>
        <w:t xml:space="preserve">low carbon policy under output indicator 1.1 that was ultimately postponed due to COVID-19. </w:t>
      </w:r>
      <w:r w:rsidR="001F7E15">
        <w:rPr>
          <w:rFonts w:cs="Arial"/>
          <w:sz w:val="22"/>
          <w:szCs w:val="22"/>
        </w:rPr>
        <w:t>SIP-LA supported the Ministry of Finance and Public Credit (MHCP) of Colombia in the preparation of a package on green taxes and climate finance vehicles, which</w:t>
      </w:r>
      <w:r w:rsidR="00BE44E7">
        <w:rPr>
          <w:rFonts w:cs="Arial"/>
          <w:sz w:val="22"/>
          <w:szCs w:val="22"/>
        </w:rPr>
        <w:t xml:space="preserve"> had been </w:t>
      </w:r>
      <w:r w:rsidR="001F7E15">
        <w:rPr>
          <w:rFonts w:cs="Arial"/>
          <w:sz w:val="22"/>
          <w:szCs w:val="22"/>
        </w:rPr>
        <w:t>included in the tax reform proposal that MHCP presented to the Congress in April 2021 (“Sustainable Solidarity Draft Law”)</w:t>
      </w:r>
      <w:r w:rsidR="00BE44E7">
        <w:rPr>
          <w:rFonts w:cs="Arial"/>
          <w:sz w:val="22"/>
          <w:szCs w:val="22"/>
        </w:rPr>
        <w:t xml:space="preserve"> but</w:t>
      </w:r>
      <w:r w:rsidR="001F7E15">
        <w:rPr>
          <w:rFonts w:cs="Arial"/>
          <w:sz w:val="22"/>
          <w:szCs w:val="22"/>
        </w:rPr>
        <w:t xml:space="preserve"> </w:t>
      </w:r>
      <w:r w:rsidR="00C2158B">
        <w:rPr>
          <w:rFonts w:cs="Arial"/>
          <w:sz w:val="22"/>
          <w:szCs w:val="22"/>
        </w:rPr>
        <w:t xml:space="preserve">were </w:t>
      </w:r>
      <w:r w:rsidR="00BE44E7">
        <w:rPr>
          <w:rFonts w:cs="Arial"/>
          <w:sz w:val="22"/>
          <w:szCs w:val="22"/>
        </w:rPr>
        <w:t xml:space="preserve">subsequently </w:t>
      </w:r>
      <w:r w:rsidR="001F7E15">
        <w:rPr>
          <w:rFonts w:cs="Arial"/>
          <w:sz w:val="22"/>
          <w:szCs w:val="22"/>
        </w:rPr>
        <w:t>withdrawn</w:t>
      </w:r>
      <w:r w:rsidR="00E2448A" w:rsidRPr="00671734">
        <w:rPr>
          <w:rFonts w:cs="Arial"/>
          <w:sz w:val="22"/>
          <w:szCs w:val="22"/>
        </w:rPr>
        <w:t>.</w:t>
      </w:r>
      <w:r w:rsidR="002855F3" w:rsidRPr="00671734">
        <w:rPr>
          <w:rStyle w:val="FootnoteReference"/>
          <w:rFonts w:cs="Arial"/>
          <w:sz w:val="22"/>
          <w:szCs w:val="22"/>
        </w:rPr>
        <w:footnoteReference w:id="8"/>
      </w:r>
      <w:r w:rsidR="00F44A0D" w:rsidRPr="00671734">
        <w:rPr>
          <w:rFonts w:cs="Arial"/>
          <w:sz w:val="22"/>
          <w:szCs w:val="22"/>
        </w:rPr>
        <w:t xml:space="preserve"> SIP-LA</w:t>
      </w:r>
      <w:r w:rsidR="00CC2851" w:rsidRPr="00671734">
        <w:rPr>
          <w:rFonts w:cs="Arial"/>
          <w:sz w:val="22"/>
          <w:szCs w:val="22"/>
        </w:rPr>
        <w:t xml:space="preserve"> has incorporated this postponement and associate learnings into its COVID-19 risk assessment.</w:t>
      </w:r>
    </w:p>
    <w:p w14:paraId="29E29716" w14:textId="0FD1D60B" w:rsidR="00064782" w:rsidRPr="00671734" w:rsidRDefault="002416EF" w:rsidP="00AD53E1">
      <w:pPr>
        <w:spacing w:before="120" w:after="120"/>
        <w:jc w:val="both"/>
        <w:rPr>
          <w:rFonts w:cs="Arial"/>
          <w:bCs/>
          <w:iCs/>
          <w:sz w:val="22"/>
          <w:szCs w:val="22"/>
        </w:rPr>
      </w:pPr>
      <w:r w:rsidRPr="00671734">
        <w:rPr>
          <w:rFonts w:cs="Arial"/>
          <w:b/>
          <w:bCs/>
          <w:sz w:val="22"/>
          <w:szCs w:val="22"/>
        </w:rPr>
        <w:t xml:space="preserve">Output </w:t>
      </w:r>
      <w:r w:rsidR="00D34893" w:rsidRPr="00671734">
        <w:rPr>
          <w:rFonts w:cs="Arial"/>
          <w:b/>
          <w:bCs/>
          <w:sz w:val="22"/>
          <w:szCs w:val="22"/>
        </w:rPr>
        <w:t xml:space="preserve">Indicator </w:t>
      </w:r>
      <w:r w:rsidRPr="00671734">
        <w:rPr>
          <w:rFonts w:cs="Arial"/>
          <w:b/>
          <w:bCs/>
          <w:sz w:val="22"/>
          <w:szCs w:val="22"/>
        </w:rPr>
        <w:t xml:space="preserve">1.2 </w:t>
      </w:r>
      <w:r w:rsidR="00546D7E" w:rsidRPr="00671734">
        <w:rPr>
          <w:rFonts w:cs="Arial"/>
          <w:bCs/>
          <w:iCs/>
          <w:sz w:val="22"/>
          <w:szCs w:val="22"/>
        </w:rPr>
        <w:t>measures the n</w:t>
      </w:r>
      <w:r w:rsidR="00E53BC8" w:rsidRPr="00671734">
        <w:rPr>
          <w:rFonts w:cs="Arial"/>
          <w:bCs/>
          <w:iCs/>
          <w:sz w:val="22"/>
          <w:szCs w:val="22"/>
        </w:rPr>
        <w:t>umber of relevant public sector institutions that have adopted methodologies, tools, and approaches to promote sustainable low carbon infrastructure as a result of SIP</w:t>
      </w:r>
      <w:r w:rsidR="002F7CC7" w:rsidRPr="00671734">
        <w:rPr>
          <w:rFonts w:cs="Arial"/>
          <w:bCs/>
          <w:iCs/>
          <w:sz w:val="22"/>
          <w:szCs w:val="22"/>
        </w:rPr>
        <w:t>-LA</w:t>
      </w:r>
      <w:r w:rsidR="00546D7E" w:rsidRPr="00671734">
        <w:rPr>
          <w:rFonts w:cs="Arial"/>
          <w:bCs/>
          <w:iCs/>
          <w:sz w:val="22"/>
          <w:szCs w:val="22"/>
        </w:rPr>
        <w:t xml:space="preserve"> technical assistance</w:t>
      </w:r>
      <w:r w:rsidR="00560069" w:rsidRPr="00671734">
        <w:rPr>
          <w:rFonts w:cs="Arial"/>
          <w:bCs/>
          <w:iCs/>
          <w:sz w:val="22"/>
          <w:szCs w:val="22"/>
        </w:rPr>
        <w:t>.</w:t>
      </w:r>
      <w:r w:rsidR="00A869F9" w:rsidRPr="00671734">
        <w:rPr>
          <w:rFonts w:cs="Arial"/>
          <w:bCs/>
          <w:iCs/>
          <w:sz w:val="22"/>
          <w:szCs w:val="22"/>
        </w:rPr>
        <w:t xml:space="preserve"> </w:t>
      </w:r>
      <w:r w:rsidR="00D66576" w:rsidRPr="00671734">
        <w:rPr>
          <w:rFonts w:cs="Arial"/>
          <w:bCs/>
          <w:iCs/>
          <w:sz w:val="22"/>
          <w:szCs w:val="22"/>
        </w:rPr>
        <w:t>In 2020 SIP</w:t>
      </w:r>
      <w:r w:rsidR="00A869F9" w:rsidRPr="00671734">
        <w:rPr>
          <w:rFonts w:cs="Arial"/>
          <w:bCs/>
          <w:iCs/>
          <w:sz w:val="22"/>
          <w:szCs w:val="22"/>
        </w:rPr>
        <w:t>-LA</w:t>
      </w:r>
      <w:r w:rsidR="00D66576" w:rsidRPr="00671734">
        <w:rPr>
          <w:rFonts w:cs="Arial"/>
          <w:bCs/>
          <w:iCs/>
          <w:sz w:val="22"/>
          <w:szCs w:val="22"/>
        </w:rPr>
        <w:t xml:space="preserve"> support led to </w:t>
      </w:r>
      <w:r w:rsidR="00D66576" w:rsidRPr="00671734">
        <w:rPr>
          <w:rFonts w:cs="Arial"/>
          <w:sz w:val="22"/>
          <w:szCs w:val="22"/>
        </w:rPr>
        <w:t>1</w:t>
      </w:r>
      <w:r w:rsidR="3DBE1B39" w:rsidRPr="00671734">
        <w:rPr>
          <w:rFonts w:cs="Arial"/>
          <w:sz w:val="22"/>
          <w:szCs w:val="22"/>
        </w:rPr>
        <w:t>3</w:t>
      </w:r>
      <w:r w:rsidR="00CC2851" w:rsidRPr="00671734">
        <w:rPr>
          <w:rFonts w:cs="Arial"/>
          <w:sz w:val="22"/>
          <w:szCs w:val="22"/>
        </w:rPr>
        <w:t xml:space="preserve"> </w:t>
      </w:r>
      <w:r w:rsidR="004C4E88">
        <w:rPr>
          <w:rFonts w:cs="Arial"/>
          <w:sz w:val="22"/>
          <w:szCs w:val="22"/>
        </w:rPr>
        <w:t xml:space="preserve">individual </w:t>
      </w:r>
      <w:r w:rsidR="00D66576" w:rsidRPr="00671734">
        <w:rPr>
          <w:rFonts w:cs="Arial"/>
          <w:bCs/>
          <w:iCs/>
          <w:sz w:val="22"/>
          <w:szCs w:val="22"/>
        </w:rPr>
        <w:t>institutions adopting methodologies, tools and approaches</w:t>
      </w:r>
      <w:r w:rsidR="00400025" w:rsidRPr="00671734">
        <w:rPr>
          <w:rFonts w:cs="Arial"/>
          <w:bCs/>
          <w:iCs/>
          <w:sz w:val="22"/>
          <w:szCs w:val="22"/>
        </w:rPr>
        <w:t xml:space="preserve"> that promote low carbon infrastructure</w:t>
      </w:r>
      <w:r w:rsidR="00846AC1">
        <w:rPr>
          <w:rFonts w:cs="Arial"/>
          <w:bCs/>
          <w:iCs/>
          <w:sz w:val="22"/>
          <w:szCs w:val="22"/>
        </w:rPr>
        <w:t xml:space="preserve"> i</w:t>
      </w:r>
      <w:r w:rsidR="00F945A3" w:rsidRPr="00671734">
        <w:rPr>
          <w:rFonts w:cs="Arial"/>
          <w:bCs/>
          <w:iCs/>
          <w:sz w:val="22"/>
          <w:szCs w:val="22"/>
        </w:rPr>
        <w:t>n sectors</w:t>
      </w:r>
      <w:r w:rsidR="00F945A3">
        <w:rPr>
          <w:rFonts w:cs="Arial"/>
          <w:bCs/>
          <w:iCs/>
          <w:sz w:val="22"/>
          <w:szCs w:val="22"/>
        </w:rPr>
        <w:t xml:space="preserve"> </w:t>
      </w:r>
      <w:r w:rsidR="00666DEB">
        <w:rPr>
          <w:rFonts w:cs="Arial"/>
          <w:bCs/>
          <w:iCs/>
          <w:sz w:val="22"/>
          <w:szCs w:val="22"/>
        </w:rPr>
        <w:t xml:space="preserve">including </w:t>
      </w:r>
      <w:r w:rsidR="00F945A3">
        <w:rPr>
          <w:rFonts w:cs="Arial"/>
          <w:bCs/>
          <w:iCs/>
          <w:sz w:val="22"/>
          <w:szCs w:val="22"/>
        </w:rPr>
        <w:t xml:space="preserve">electromobility, renewable energy, </w:t>
      </w:r>
      <w:r w:rsidR="005D4550">
        <w:rPr>
          <w:rFonts w:cs="Arial"/>
          <w:bCs/>
          <w:iCs/>
          <w:sz w:val="22"/>
          <w:szCs w:val="22"/>
        </w:rPr>
        <w:t xml:space="preserve">sustainable infrastructure </w:t>
      </w:r>
      <w:r w:rsidR="005D4550">
        <w:rPr>
          <w:rFonts w:cs="Arial"/>
          <w:bCs/>
          <w:iCs/>
          <w:sz w:val="22"/>
          <w:szCs w:val="22"/>
        </w:rPr>
        <w:lastRenderedPageBreak/>
        <w:t>planning.</w:t>
      </w:r>
      <w:r w:rsidR="00B144D3">
        <w:rPr>
          <w:rFonts w:cs="Arial"/>
          <w:bCs/>
          <w:iCs/>
          <w:sz w:val="22"/>
          <w:szCs w:val="22"/>
        </w:rPr>
        <w:t xml:space="preserve"> </w:t>
      </w:r>
      <w:r w:rsidR="00064782">
        <w:rPr>
          <w:rFonts w:cs="Arial"/>
          <w:sz w:val="22"/>
          <w:szCs w:val="22"/>
        </w:rPr>
        <w:t>Many of the</w:t>
      </w:r>
      <w:r w:rsidR="00244CEE">
        <w:rPr>
          <w:rFonts w:cs="Arial"/>
          <w:sz w:val="22"/>
          <w:szCs w:val="22"/>
        </w:rPr>
        <w:t xml:space="preserve"> 13</w:t>
      </w:r>
      <w:r w:rsidR="00064782">
        <w:rPr>
          <w:rFonts w:cs="Arial"/>
          <w:sz w:val="22"/>
          <w:szCs w:val="22"/>
        </w:rPr>
        <w:t xml:space="preserve"> institutions </w:t>
      </w:r>
      <w:r w:rsidR="00064782" w:rsidRPr="00671734">
        <w:rPr>
          <w:rFonts w:cs="Arial"/>
          <w:sz w:val="22"/>
          <w:szCs w:val="22"/>
        </w:rPr>
        <w:t xml:space="preserve">adopted more than one methodology, tool or approach </w:t>
      </w:r>
      <w:r w:rsidR="00244CEE" w:rsidRPr="00671734">
        <w:rPr>
          <w:rFonts w:cs="Arial"/>
          <w:sz w:val="22"/>
          <w:szCs w:val="22"/>
        </w:rPr>
        <w:t>as a result of</w:t>
      </w:r>
      <w:r w:rsidR="00064782" w:rsidRPr="00671734">
        <w:rPr>
          <w:rFonts w:cs="Arial"/>
          <w:sz w:val="22"/>
          <w:szCs w:val="22"/>
        </w:rPr>
        <w:t xml:space="preserve"> SIP-LA support.</w:t>
      </w:r>
      <w:r w:rsidR="00B90EB4" w:rsidRPr="00671734">
        <w:rPr>
          <w:rStyle w:val="FootnoteReference"/>
          <w:rFonts w:cs="Arial"/>
          <w:sz w:val="22"/>
          <w:szCs w:val="22"/>
        </w:rPr>
        <w:footnoteReference w:id="9"/>
      </w:r>
    </w:p>
    <w:p w14:paraId="40A1B621" w14:textId="1BFB6F53" w:rsidR="001C42BE" w:rsidRPr="00513E41" w:rsidRDefault="009C42B2" w:rsidP="00513E41">
      <w:pPr>
        <w:autoSpaceDE w:val="0"/>
        <w:autoSpaceDN w:val="0"/>
        <w:adjustRightInd w:val="0"/>
        <w:spacing w:before="120" w:after="120"/>
        <w:jc w:val="both"/>
        <w:rPr>
          <w:sz w:val="22"/>
          <w:szCs w:val="22"/>
        </w:rPr>
      </w:pPr>
      <w:r w:rsidRPr="00671734">
        <w:rPr>
          <w:rFonts w:cs="Arial"/>
          <w:sz w:val="22"/>
          <w:szCs w:val="22"/>
        </w:rPr>
        <w:t>SIP</w:t>
      </w:r>
      <w:r w:rsidR="00295BEE" w:rsidRPr="00671734">
        <w:rPr>
          <w:rFonts w:cs="Arial"/>
          <w:sz w:val="22"/>
          <w:szCs w:val="22"/>
        </w:rPr>
        <w:t>-LA</w:t>
      </w:r>
      <w:r w:rsidRPr="00671734">
        <w:rPr>
          <w:rFonts w:cs="Arial"/>
          <w:sz w:val="22"/>
          <w:szCs w:val="22"/>
        </w:rPr>
        <w:t xml:space="preserve"> </w:t>
      </w:r>
      <w:r w:rsidR="00800501" w:rsidRPr="00671734">
        <w:rPr>
          <w:rFonts w:cs="Arial"/>
          <w:sz w:val="22"/>
          <w:szCs w:val="22"/>
        </w:rPr>
        <w:t>delivered</w:t>
      </w:r>
      <w:r w:rsidRPr="00671734">
        <w:rPr>
          <w:rFonts w:cs="Arial"/>
          <w:sz w:val="22"/>
          <w:szCs w:val="22"/>
        </w:rPr>
        <w:t xml:space="preserve"> a number of </w:t>
      </w:r>
      <w:r w:rsidR="00800501" w:rsidRPr="00671734">
        <w:rPr>
          <w:rFonts w:cs="Arial"/>
          <w:sz w:val="22"/>
          <w:szCs w:val="22"/>
        </w:rPr>
        <w:t>activities</w:t>
      </w:r>
      <w:r w:rsidR="00FB6EA4" w:rsidRPr="00671734">
        <w:rPr>
          <w:rFonts w:cs="Arial"/>
          <w:sz w:val="22"/>
          <w:szCs w:val="22"/>
        </w:rPr>
        <w:t xml:space="preserve"> in 2020</w:t>
      </w:r>
      <w:r w:rsidR="00800501" w:rsidRPr="00671734">
        <w:rPr>
          <w:rFonts w:cs="Arial"/>
          <w:sz w:val="22"/>
          <w:szCs w:val="22"/>
        </w:rPr>
        <w:t xml:space="preserve"> </w:t>
      </w:r>
      <w:r w:rsidR="00252634" w:rsidRPr="00671734">
        <w:rPr>
          <w:rFonts w:cs="Arial"/>
          <w:sz w:val="22"/>
          <w:szCs w:val="22"/>
        </w:rPr>
        <w:t xml:space="preserve">that were </w:t>
      </w:r>
      <w:r w:rsidR="00800501" w:rsidRPr="00671734">
        <w:rPr>
          <w:rFonts w:cs="Arial"/>
          <w:sz w:val="22"/>
          <w:szCs w:val="22"/>
        </w:rPr>
        <w:t>not captured in the log frame results</w:t>
      </w:r>
      <w:r w:rsidR="00460F61" w:rsidRPr="00671734">
        <w:rPr>
          <w:rFonts w:cs="Arial"/>
          <w:sz w:val="22"/>
          <w:szCs w:val="22"/>
        </w:rPr>
        <w:t xml:space="preserve"> but are still relevant to the output through their </w:t>
      </w:r>
      <w:r w:rsidR="00E41BE6" w:rsidRPr="00671734">
        <w:rPr>
          <w:rFonts w:cs="Arial"/>
          <w:sz w:val="22"/>
          <w:szCs w:val="22"/>
        </w:rPr>
        <w:t xml:space="preserve">impact on improving the enabling environment for </w:t>
      </w:r>
      <w:r w:rsidR="00FF4C33" w:rsidRPr="00671734">
        <w:rPr>
          <w:rFonts w:cs="Arial"/>
          <w:sz w:val="22"/>
          <w:szCs w:val="22"/>
        </w:rPr>
        <w:t>low carbon infrastructure investments</w:t>
      </w:r>
      <w:r w:rsidR="00342306" w:rsidRPr="00671734">
        <w:rPr>
          <w:rFonts w:cs="Arial"/>
          <w:sz w:val="22"/>
          <w:szCs w:val="22"/>
        </w:rPr>
        <w:t>. A</w:t>
      </w:r>
      <w:r w:rsidR="001C42BE" w:rsidRPr="00513E41">
        <w:rPr>
          <w:sz w:val="22"/>
          <w:szCs w:val="22"/>
        </w:rPr>
        <w:t xml:space="preserve"> full description of activities under SIP-LA’s technical assistance (including financial information) is provided in </w:t>
      </w:r>
      <w:r w:rsidR="001551D1">
        <w:rPr>
          <w:sz w:val="22"/>
          <w:szCs w:val="22"/>
        </w:rPr>
        <w:t>A</w:t>
      </w:r>
      <w:r w:rsidR="001C42BE" w:rsidRPr="00513E41">
        <w:rPr>
          <w:sz w:val="22"/>
          <w:szCs w:val="22"/>
        </w:rPr>
        <w:t>nnex</w:t>
      </w:r>
      <w:r w:rsidR="001551D1">
        <w:rPr>
          <w:sz w:val="22"/>
          <w:szCs w:val="22"/>
        </w:rPr>
        <w:t xml:space="preserve"> F</w:t>
      </w:r>
      <w:r w:rsidR="001C42BE" w:rsidRPr="00513E41">
        <w:rPr>
          <w:sz w:val="22"/>
          <w:szCs w:val="22"/>
        </w:rPr>
        <w:t>.</w:t>
      </w:r>
    </w:p>
    <w:p w14:paraId="56C65118" w14:textId="3B05931B" w:rsidR="00B36CAE" w:rsidRPr="00671734" w:rsidRDefault="003D222C" w:rsidP="00252634">
      <w:pPr>
        <w:keepNext/>
        <w:spacing w:before="120" w:after="120"/>
        <w:jc w:val="both"/>
        <w:rPr>
          <w:rFonts w:cs="Arial"/>
          <w:b/>
          <w:bCs/>
          <w:sz w:val="22"/>
          <w:szCs w:val="22"/>
        </w:rPr>
      </w:pPr>
      <w:r w:rsidRPr="00671734">
        <w:rPr>
          <w:rFonts w:cs="Arial"/>
          <w:b/>
          <w:bCs/>
          <w:sz w:val="22"/>
          <w:szCs w:val="22"/>
        </w:rPr>
        <w:t xml:space="preserve">Describe any changes </w:t>
      </w:r>
      <w:r w:rsidR="5AA7F347" w:rsidRPr="00671734">
        <w:rPr>
          <w:rFonts w:cs="Arial"/>
          <w:b/>
          <w:bCs/>
          <w:sz w:val="22"/>
          <w:szCs w:val="22"/>
        </w:rPr>
        <w:t xml:space="preserve">to </w:t>
      </w:r>
      <w:r w:rsidRPr="00671734">
        <w:rPr>
          <w:rFonts w:cs="Arial"/>
          <w:b/>
          <w:bCs/>
          <w:sz w:val="22"/>
          <w:szCs w:val="22"/>
        </w:rPr>
        <w:t>this output, and any planned changes as a result of this review</w:t>
      </w:r>
    </w:p>
    <w:p w14:paraId="4F558086" w14:textId="29BE1E7D" w:rsidR="006407CB" w:rsidRPr="00162601" w:rsidRDefault="002C283A" w:rsidP="0027081C">
      <w:pPr>
        <w:spacing w:after="120"/>
        <w:jc w:val="both"/>
        <w:rPr>
          <w:rFonts w:cs="Arial"/>
          <w:sz w:val="22"/>
          <w:szCs w:val="22"/>
        </w:rPr>
      </w:pPr>
      <w:r w:rsidRPr="00671734">
        <w:rPr>
          <w:rFonts w:cs="Arial"/>
          <w:sz w:val="22"/>
          <w:szCs w:val="22"/>
        </w:rPr>
        <w:t>O</w:t>
      </w:r>
      <w:r w:rsidR="006407CB" w:rsidRPr="00671734">
        <w:rPr>
          <w:rFonts w:cs="Arial"/>
          <w:sz w:val="22"/>
          <w:szCs w:val="22"/>
        </w:rPr>
        <w:t xml:space="preserve">utput 1 </w:t>
      </w:r>
      <w:r w:rsidR="00D66C20" w:rsidRPr="00671734">
        <w:rPr>
          <w:rFonts w:cs="Arial"/>
          <w:sz w:val="22"/>
          <w:szCs w:val="22"/>
        </w:rPr>
        <w:t>was revised as a part of the programme’s l</w:t>
      </w:r>
      <w:r w:rsidR="006407CB" w:rsidRPr="00671734">
        <w:rPr>
          <w:rFonts w:cs="Arial"/>
          <w:sz w:val="22"/>
          <w:szCs w:val="22"/>
        </w:rPr>
        <w:t xml:space="preserve">og </w:t>
      </w:r>
      <w:r w:rsidR="00D66C20" w:rsidRPr="00671734">
        <w:rPr>
          <w:rFonts w:cs="Arial"/>
          <w:sz w:val="22"/>
          <w:szCs w:val="22"/>
        </w:rPr>
        <w:t>f</w:t>
      </w:r>
      <w:r w:rsidR="006407CB" w:rsidRPr="00671734">
        <w:rPr>
          <w:rFonts w:cs="Arial"/>
          <w:sz w:val="22"/>
          <w:szCs w:val="22"/>
        </w:rPr>
        <w:t xml:space="preserve">rame review. </w:t>
      </w:r>
      <w:r w:rsidR="007D656F" w:rsidRPr="00671734">
        <w:rPr>
          <w:rFonts w:cs="Arial"/>
          <w:sz w:val="22"/>
          <w:szCs w:val="22"/>
        </w:rPr>
        <w:t>T</w:t>
      </w:r>
      <w:r w:rsidR="00D66C20" w:rsidRPr="00671734">
        <w:rPr>
          <w:rFonts w:cs="Arial"/>
          <w:sz w:val="22"/>
          <w:szCs w:val="22"/>
        </w:rPr>
        <w:t xml:space="preserve">he </w:t>
      </w:r>
      <w:r w:rsidR="00915B2B" w:rsidRPr="00671734">
        <w:rPr>
          <w:rFonts w:cs="Arial"/>
          <w:sz w:val="22"/>
          <w:szCs w:val="22"/>
        </w:rPr>
        <w:t>original</w:t>
      </w:r>
      <w:r w:rsidR="00D66C20" w:rsidRPr="00671734">
        <w:rPr>
          <w:rFonts w:cs="Arial"/>
          <w:sz w:val="22"/>
          <w:szCs w:val="22"/>
        </w:rPr>
        <w:t xml:space="preserve"> log frame</w:t>
      </w:r>
      <w:r w:rsidR="00D66C20">
        <w:rPr>
          <w:rFonts w:cs="Arial"/>
          <w:sz w:val="22"/>
          <w:szCs w:val="22"/>
        </w:rPr>
        <w:t xml:space="preserve"> </w:t>
      </w:r>
      <w:r w:rsidR="00915B2B">
        <w:rPr>
          <w:rFonts w:cs="Arial"/>
          <w:sz w:val="22"/>
          <w:szCs w:val="22"/>
        </w:rPr>
        <w:t xml:space="preserve">output 1 </w:t>
      </w:r>
      <w:r w:rsidR="005B3364">
        <w:rPr>
          <w:rFonts w:cs="Arial"/>
          <w:sz w:val="22"/>
          <w:szCs w:val="22"/>
        </w:rPr>
        <w:t>combined both</w:t>
      </w:r>
      <w:r w:rsidR="003230EF">
        <w:rPr>
          <w:rFonts w:cs="Arial"/>
          <w:sz w:val="22"/>
          <w:szCs w:val="22"/>
        </w:rPr>
        <w:t xml:space="preserve"> </w:t>
      </w:r>
      <w:r w:rsidR="004C7E22">
        <w:rPr>
          <w:rFonts w:cs="Arial"/>
          <w:sz w:val="22"/>
          <w:szCs w:val="22"/>
        </w:rPr>
        <w:t xml:space="preserve">SIP-LA’s </w:t>
      </w:r>
      <w:r w:rsidR="003230EF">
        <w:rPr>
          <w:rFonts w:cs="Arial"/>
          <w:sz w:val="22"/>
          <w:szCs w:val="22"/>
        </w:rPr>
        <w:t>public and private sector technical assistance</w:t>
      </w:r>
      <w:r w:rsidR="007D656F">
        <w:rPr>
          <w:rFonts w:cs="Arial"/>
          <w:sz w:val="22"/>
          <w:szCs w:val="22"/>
        </w:rPr>
        <w:t>, whereas t</w:t>
      </w:r>
      <w:r w:rsidR="006C3490">
        <w:rPr>
          <w:rFonts w:cs="Arial"/>
          <w:sz w:val="22"/>
          <w:szCs w:val="22"/>
        </w:rPr>
        <w:t xml:space="preserve">he </w:t>
      </w:r>
      <w:r w:rsidR="003230EF">
        <w:rPr>
          <w:rFonts w:cs="Arial"/>
          <w:sz w:val="22"/>
          <w:szCs w:val="22"/>
        </w:rPr>
        <w:t xml:space="preserve">new </w:t>
      </w:r>
      <w:r w:rsidR="006C3490">
        <w:rPr>
          <w:rFonts w:cs="Arial"/>
          <w:sz w:val="22"/>
          <w:szCs w:val="22"/>
        </w:rPr>
        <w:t>log frame has</w:t>
      </w:r>
      <w:r w:rsidR="006407CB" w:rsidRPr="00162601">
        <w:rPr>
          <w:rFonts w:cs="Arial"/>
          <w:sz w:val="22"/>
          <w:szCs w:val="22"/>
        </w:rPr>
        <w:t xml:space="preserve"> two separate </w:t>
      </w:r>
      <w:r w:rsidR="00862B1E">
        <w:rPr>
          <w:rFonts w:cs="Arial"/>
          <w:sz w:val="22"/>
          <w:szCs w:val="22"/>
        </w:rPr>
        <w:t>o</w:t>
      </w:r>
      <w:r w:rsidR="006407CB" w:rsidRPr="00162601">
        <w:rPr>
          <w:rFonts w:cs="Arial"/>
          <w:sz w:val="22"/>
          <w:szCs w:val="22"/>
        </w:rPr>
        <w:t xml:space="preserve">utputs for </w:t>
      </w:r>
      <w:r w:rsidR="007D656F">
        <w:rPr>
          <w:rFonts w:cs="Arial"/>
          <w:sz w:val="22"/>
          <w:szCs w:val="22"/>
        </w:rPr>
        <w:t>these activities</w:t>
      </w:r>
      <w:r w:rsidR="006407CB" w:rsidRPr="00162601">
        <w:rPr>
          <w:rFonts w:cs="Arial"/>
          <w:sz w:val="22"/>
          <w:szCs w:val="22"/>
        </w:rPr>
        <w:t>. Output 1 measure</w:t>
      </w:r>
      <w:r w:rsidR="003230EF">
        <w:rPr>
          <w:rFonts w:cs="Arial"/>
          <w:sz w:val="22"/>
          <w:szCs w:val="22"/>
        </w:rPr>
        <w:t>s</w:t>
      </w:r>
      <w:r w:rsidR="006407CB" w:rsidRPr="00162601">
        <w:rPr>
          <w:rFonts w:cs="Arial"/>
          <w:sz w:val="22"/>
          <w:szCs w:val="22"/>
        </w:rPr>
        <w:t xml:space="preserve"> public sector technical assistance only and capture</w:t>
      </w:r>
      <w:r w:rsidR="004C7E22">
        <w:rPr>
          <w:rFonts w:cs="Arial"/>
          <w:sz w:val="22"/>
          <w:szCs w:val="22"/>
        </w:rPr>
        <w:t>s</w:t>
      </w:r>
      <w:r w:rsidR="006407CB" w:rsidRPr="00162601">
        <w:rPr>
          <w:rFonts w:cs="Arial"/>
          <w:sz w:val="22"/>
          <w:szCs w:val="22"/>
        </w:rPr>
        <w:t xml:space="preserve"> </w:t>
      </w:r>
      <w:r w:rsidR="003230EF">
        <w:rPr>
          <w:rFonts w:cs="Arial"/>
          <w:sz w:val="22"/>
          <w:szCs w:val="22"/>
        </w:rPr>
        <w:t>programme performance in improving the enabling environment for</w:t>
      </w:r>
      <w:r w:rsidR="006407CB" w:rsidRPr="00162601">
        <w:rPr>
          <w:rFonts w:cs="Arial"/>
          <w:sz w:val="22"/>
          <w:szCs w:val="22"/>
        </w:rPr>
        <w:t xml:space="preserve"> sustainable infrastructure </w:t>
      </w:r>
      <w:r w:rsidR="003230EF">
        <w:rPr>
          <w:rFonts w:cs="Arial"/>
          <w:sz w:val="22"/>
          <w:szCs w:val="22"/>
        </w:rPr>
        <w:t xml:space="preserve">through </w:t>
      </w:r>
      <w:r w:rsidR="006407CB" w:rsidRPr="00162601">
        <w:rPr>
          <w:rFonts w:cs="Arial"/>
          <w:sz w:val="22"/>
          <w:szCs w:val="22"/>
        </w:rPr>
        <w:t xml:space="preserve">capacity building and regulatory </w:t>
      </w:r>
      <w:r w:rsidR="00DF09DF">
        <w:rPr>
          <w:rFonts w:cs="Arial"/>
          <w:sz w:val="22"/>
          <w:szCs w:val="22"/>
        </w:rPr>
        <w:t>improvements</w:t>
      </w:r>
      <w:r w:rsidR="006407CB" w:rsidRPr="00162601">
        <w:rPr>
          <w:rFonts w:cs="Arial"/>
          <w:sz w:val="22"/>
          <w:szCs w:val="22"/>
        </w:rPr>
        <w:t>.</w:t>
      </w:r>
      <w:r w:rsidR="00FB2287">
        <w:rPr>
          <w:rFonts w:cs="Arial"/>
          <w:sz w:val="22"/>
          <w:szCs w:val="22"/>
        </w:rPr>
        <w:t xml:space="preserve"> </w:t>
      </w:r>
      <w:r w:rsidR="0045215F">
        <w:rPr>
          <w:rFonts w:cs="Arial"/>
          <w:sz w:val="22"/>
          <w:szCs w:val="22"/>
        </w:rPr>
        <w:t xml:space="preserve">The </w:t>
      </w:r>
      <w:r w:rsidR="00D44B27">
        <w:rPr>
          <w:rFonts w:cs="Arial"/>
          <w:sz w:val="22"/>
          <w:szCs w:val="22"/>
        </w:rPr>
        <w:t xml:space="preserve">new </w:t>
      </w:r>
      <w:r w:rsidR="0045215F">
        <w:rPr>
          <w:rFonts w:cs="Arial"/>
          <w:sz w:val="22"/>
          <w:szCs w:val="22"/>
        </w:rPr>
        <w:t>log frame</w:t>
      </w:r>
      <w:r w:rsidR="006407CB" w:rsidRPr="00162601">
        <w:rPr>
          <w:rFonts w:cs="Arial"/>
          <w:sz w:val="22"/>
          <w:szCs w:val="22"/>
        </w:rPr>
        <w:t xml:space="preserve"> </w:t>
      </w:r>
      <w:r w:rsidR="00D44B27">
        <w:rPr>
          <w:rFonts w:cs="Arial"/>
          <w:sz w:val="22"/>
          <w:szCs w:val="22"/>
        </w:rPr>
        <w:t>also</w:t>
      </w:r>
      <w:r w:rsidR="0045215F">
        <w:rPr>
          <w:rFonts w:cs="Arial"/>
          <w:sz w:val="22"/>
          <w:szCs w:val="22"/>
        </w:rPr>
        <w:t xml:space="preserve"> </w:t>
      </w:r>
      <w:r w:rsidR="006407CB" w:rsidRPr="00162601">
        <w:rPr>
          <w:rFonts w:cs="Arial"/>
          <w:sz w:val="22"/>
          <w:szCs w:val="22"/>
        </w:rPr>
        <w:t>capture</w:t>
      </w:r>
      <w:r w:rsidR="0045215F">
        <w:rPr>
          <w:rFonts w:cs="Arial"/>
          <w:sz w:val="22"/>
          <w:szCs w:val="22"/>
        </w:rPr>
        <w:t>s</w:t>
      </w:r>
      <w:r w:rsidR="006407CB" w:rsidRPr="00162601">
        <w:rPr>
          <w:rFonts w:cs="Arial"/>
          <w:sz w:val="22"/>
          <w:szCs w:val="22"/>
        </w:rPr>
        <w:t xml:space="preserve"> the implementation of sustainable infrastructure approaches within public sector institutions</w:t>
      </w:r>
      <w:r w:rsidR="00DF09DF">
        <w:rPr>
          <w:rFonts w:cs="Arial"/>
          <w:sz w:val="22"/>
          <w:szCs w:val="22"/>
        </w:rPr>
        <w:t xml:space="preserve"> specifically</w:t>
      </w:r>
      <w:r w:rsidR="006407CB" w:rsidRPr="00162601">
        <w:rPr>
          <w:rFonts w:cs="Arial"/>
          <w:sz w:val="22"/>
          <w:szCs w:val="22"/>
        </w:rPr>
        <w:t xml:space="preserve">. </w:t>
      </w:r>
    </w:p>
    <w:p w14:paraId="6CD43CB8" w14:textId="7290F0AC" w:rsidR="00567CFE" w:rsidRPr="00BC6C37" w:rsidRDefault="003D222C" w:rsidP="001E2A02">
      <w:pPr>
        <w:keepNext/>
        <w:spacing w:after="120"/>
        <w:jc w:val="both"/>
        <w:rPr>
          <w:rFonts w:cs="Arial"/>
          <w:b/>
          <w:bCs/>
          <w:sz w:val="22"/>
          <w:szCs w:val="22"/>
        </w:rPr>
      </w:pPr>
      <w:r w:rsidRPr="00380A99">
        <w:rPr>
          <w:rFonts w:cs="Arial"/>
          <w:b/>
          <w:bCs/>
          <w:sz w:val="22"/>
          <w:szCs w:val="22"/>
        </w:rPr>
        <w:t xml:space="preserve">Progress on recommendations from the previous </w:t>
      </w:r>
      <w:r w:rsidR="0064472F" w:rsidRPr="00380A99">
        <w:rPr>
          <w:rFonts w:cs="Arial"/>
          <w:b/>
          <w:bCs/>
          <w:sz w:val="22"/>
          <w:szCs w:val="22"/>
        </w:rPr>
        <w:t>Annual Review</w:t>
      </w:r>
      <w:r w:rsidRPr="00380A99">
        <w:rPr>
          <w:rFonts w:cs="Arial"/>
          <w:b/>
          <w:bCs/>
          <w:sz w:val="22"/>
          <w:szCs w:val="22"/>
        </w:rPr>
        <w:t xml:space="preserve">, lessons learned this year </w:t>
      </w:r>
      <w:r w:rsidRPr="00BC6C37">
        <w:rPr>
          <w:rFonts w:cs="Arial"/>
          <w:b/>
          <w:bCs/>
          <w:sz w:val="22"/>
          <w:szCs w:val="22"/>
        </w:rPr>
        <w:t>and recommendations for the year ahead</w:t>
      </w:r>
    </w:p>
    <w:p w14:paraId="718A1054" w14:textId="7DA45E8C" w:rsidR="00E73C85" w:rsidRPr="00C61740" w:rsidRDefault="00FE2142" w:rsidP="00FE2142">
      <w:pPr>
        <w:spacing w:after="120"/>
        <w:jc w:val="both"/>
        <w:rPr>
          <w:rFonts w:cs="Arial"/>
          <w:sz w:val="22"/>
          <w:szCs w:val="22"/>
          <w:lang w:val="en-US"/>
        </w:rPr>
      </w:pPr>
      <w:r w:rsidRPr="00FE2142">
        <w:rPr>
          <w:rFonts w:cs="Arial"/>
          <w:bCs/>
          <w:sz w:val="22"/>
          <w:szCs w:val="22"/>
          <w:lang w:val="en-US"/>
        </w:rPr>
        <w:t xml:space="preserve">The 2019 Annual Review </w:t>
      </w:r>
      <w:r w:rsidRPr="00AD5E9A">
        <w:rPr>
          <w:rFonts w:cs="Arial"/>
          <w:bCs/>
          <w:sz w:val="22"/>
          <w:szCs w:val="22"/>
          <w:lang w:val="en-US"/>
        </w:rPr>
        <w:t xml:space="preserve">recommended that </w:t>
      </w:r>
      <w:r w:rsidR="00E73C85" w:rsidRPr="00AD5E9A">
        <w:rPr>
          <w:bCs/>
          <w:sz w:val="22"/>
          <w:szCs w:val="22"/>
        </w:rPr>
        <w:t>IDB</w:t>
      </w:r>
      <w:r w:rsidR="00E73C85" w:rsidRPr="00C61740">
        <w:rPr>
          <w:sz w:val="22"/>
          <w:szCs w:val="22"/>
        </w:rPr>
        <w:t xml:space="preserve"> Investment Officers and Sector specialists should attend monthly programming meetings with </w:t>
      </w:r>
      <w:r w:rsidR="00AD5E9A">
        <w:rPr>
          <w:sz w:val="22"/>
          <w:szCs w:val="22"/>
        </w:rPr>
        <w:t xml:space="preserve">UK embassy teams, to improve coordination with </w:t>
      </w:r>
      <w:r w:rsidR="00DA766B">
        <w:rPr>
          <w:sz w:val="22"/>
          <w:szCs w:val="22"/>
        </w:rPr>
        <w:t>other UK ICF programmes and to utilise UK embassy expertise in the delivery and development of SIP-LA technical assistance</w:t>
      </w:r>
      <w:r w:rsidR="00F548EA" w:rsidRPr="00C61740">
        <w:rPr>
          <w:rFonts w:cs="Arial"/>
          <w:sz w:val="22"/>
          <w:szCs w:val="22"/>
          <w:lang w:val="en-US"/>
        </w:rPr>
        <w:t>.</w:t>
      </w:r>
      <w:r w:rsidR="00DA766B">
        <w:rPr>
          <w:rFonts w:cs="Arial"/>
          <w:sz w:val="22"/>
          <w:szCs w:val="22"/>
          <w:lang w:val="en-US"/>
        </w:rPr>
        <w:t xml:space="preserve"> IDB Investment Officers and Sector Specialists </w:t>
      </w:r>
      <w:r w:rsidR="00044BA4">
        <w:rPr>
          <w:rFonts w:cs="Arial"/>
          <w:sz w:val="22"/>
          <w:szCs w:val="22"/>
          <w:lang w:val="en-US"/>
        </w:rPr>
        <w:t>meet with UK embassy teams monthly.</w:t>
      </w:r>
    </w:p>
    <w:p w14:paraId="73E95222" w14:textId="1ADF1F72" w:rsidR="005C00BD" w:rsidRPr="00044BA4" w:rsidRDefault="00764217" w:rsidP="00044BA4">
      <w:pPr>
        <w:spacing w:after="120"/>
        <w:jc w:val="both"/>
        <w:rPr>
          <w:rFonts w:cs="Arial"/>
          <w:sz w:val="22"/>
          <w:szCs w:val="22"/>
        </w:rPr>
      </w:pPr>
      <w:r>
        <w:rPr>
          <w:rFonts w:cs="Arial"/>
          <w:sz w:val="22"/>
          <w:szCs w:val="22"/>
        </w:rPr>
        <w:t>There are two key lessons from the delivery of output 1 in 2020</w:t>
      </w:r>
      <w:r w:rsidR="007D656F">
        <w:rPr>
          <w:rFonts w:cs="Arial"/>
          <w:sz w:val="22"/>
          <w:szCs w:val="22"/>
        </w:rPr>
        <w:t>:</w:t>
      </w:r>
    </w:p>
    <w:p w14:paraId="43671A83" w14:textId="30F3465E" w:rsidR="00CC5A9C" w:rsidRPr="00513E41" w:rsidRDefault="00460668" w:rsidP="00D93F68">
      <w:pPr>
        <w:pStyle w:val="ListParagraph"/>
        <w:numPr>
          <w:ilvl w:val="0"/>
          <w:numId w:val="9"/>
        </w:numPr>
        <w:spacing w:after="120"/>
        <w:ind w:left="714" w:hanging="357"/>
        <w:contextualSpacing w:val="0"/>
        <w:jc w:val="both"/>
        <w:rPr>
          <w:rFonts w:cs="Arial"/>
          <w:sz w:val="22"/>
          <w:szCs w:val="22"/>
        </w:rPr>
      </w:pPr>
      <w:r w:rsidRPr="00513E41">
        <w:rPr>
          <w:rFonts w:cs="Arial"/>
          <w:b/>
          <w:sz w:val="22"/>
          <w:szCs w:val="22"/>
        </w:rPr>
        <w:t>Evidence of t</w:t>
      </w:r>
      <w:r w:rsidR="00CC5A9C" w:rsidRPr="00513E41">
        <w:rPr>
          <w:rFonts w:cs="Arial"/>
          <w:b/>
          <w:sz w:val="22"/>
          <w:szCs w:val="22"/>
        </w:rPr>
        <w:t xml:space="preserve">echnical assistance leading to </w:t>
      </w:r>
      <w:r w:rsidR="00655731" w:rsidRPr="00513E41">
        <w:rPr>
          <w:rFonts w:cs="Arial"/>
          <w:b/>
          <w:sz w:val="22"/>
          <w:szCs w:val="22"/>
        </w:rPr>
        <w:t xml:space="preserve">SIP-LA </w:t>
      </w:r>
      <w:r w:rsidR="008B4781" w:rsidRPr="00513E41">
        <w:rPr>
          <w:rFonts w:cs="Arial"/>
          <w:b/>
          <w:sz w:val="22"/>
          <w:szCs w:val="22"/>
        </w:rPr>
        <w:t>capital</w:t>
      </w:r>
      <w:r w:rsidR="008904E6" w:rsidRPr="00513E41">
        <w:rPr>
          <w:rFonts w:cs="Arial"/>
          <w:b/>
          <w:sz w:val="22"/>
          <w:szCs w:val="22"/>
        </w:rPr>
        <w:t xml:space="preserve"> investment</w:t>
      </w:r>
      <w:r w:rsidR="00655731" w:rsidRPr="00513E41">
        <w:rPr>
          <w:rFonts w:cs="Arial"/>
          <w:b/>
          <w:sz w:val="22"/>
          <w:szCs w:val="22"/>
        </w:rPr>
        <w:t>s</w:t>
      </w:r>
      <w:r w:rsidR="008B4781" w:rsidRPr="00513E41">
        <w:rPr>
          <w:rFonts w:cs="Arial"/>
          <w:sz w:val="22"/>
          <w:szCs w:val="22"/>
        </w:rPr>
        <w:t xml:space="preserve"> –</w:t>
      </w:r>
      <w:r w:rsidR="003B65C4" w:rsidRPr="00513E41">
        <w:rPr>
          <w:rFonts w:cs="Arial"/>
          <w:sz w:val="22"/>
          <w:szCs w:val="22"/>
        </w:rPr>
        <w:t xml:space="preserve"> </w:t>
      </w:r>
      <w:r w:rsidR="00655731" w:rsidRPr="00513E41">
        <w:rPr>
          <w:rFonts w:cs="Arial"/>
          <w:sz w:val="22"/>
          <w:szCs w:val="22"/>
        </w:rPr>
        <w:t xml:space="preserve">SIP-LA public sector technical assistance support led to </w:t>
      </w:r>
      <w:r w:rsidR="0045215F" w:rsidRPr="00513E41">
        <w:rPr>
          <w:rFonts w:eastAsiaTheme="minorHAnsi" w:cs="Arial"/>
          <w:sz w:val="22"/>
          <w:szCs w:val="22"/>
        </w:rPr>
        <w:t xml:space="preserve">two </w:t>
      </w:r>
      <w:r w:rsidR="009C5937" w:rsidRPr="00513E41">
        <w:rPr>
          <w:rFonts w:eastAsiaTheme="minorHAnsi" w:cs="Arial"/>
          <w:sz w:val="22"/>
          <w:szCs w:val="22"/>
        </w:rPr>
        <w:t>investment proposals</w:t>
      </w:r>
      <w:r w:rsidR="0045215F" w:rsidRPr="00513E41">
        <w:rPr>
          <w:rFonts w:eastAsiaTheme="minorHAnsi" w:cs="Arial"/>
          <w:sz w:val="22"/>
          <w:szCs w:val="22"/>
        </w:rPr>
        <w:t xml:space="preserve"> for blended finance in Colombia</w:t>
      </w:r>
      <w:r w:rsidR="00256108" w:rsidRPr="00513E41">
        <w:rPr>
          <w:rFonts w:eastAsiaTheme="minorHAnsi" w:cs="Arial"/>
          <w:sz w:val="22"/>
          <w:szCs w:val="22"/>
        </w:rPr>
        <w:t xml:space="preserve"> (</w:t>
      </w:r>
      <w:r w:rsidR="00EE6F4C" w:rsidRPr="00513E41">
        <w:rPr>
          <w:rFonts w:eastAsiaTheme="minorHAnsi" w:cs="Arial"/>
          <w:sz w:val="22"/>
          <w:szCs w:val="22"/>
        </w:rPr>
        <w:t xml:space="preserve">1. </w:t>
      </w:r>
      <w:r w:rsidR="00256108" w:rsidRPr="00513E41">
        <w:rPr>
          <w:rFonts w:cs="Arial"/>
          <w:sz w:val="22"/>
          <w:szCs w:val="22"/>
        </w:rPr>
        <w:t xml:space="preserve">Colombia Renewable Energy Tender and </w:t>
      </w:r>
      <w:r w:rsidR="00EE6F4C" w:rsidRPr="00513E41">
        <w:rPr>
          <w:rFonts w:cs="Arial"/>
          <w:sz w:val="22"/>
          <w:szCs w:val="22"/>
        </w:rPr>
        <w:t xml:space="preserve">2. </w:t>
      </w:r>
      <w:r w:rsidR="00256108" w:rsidRPr="00513E41">
        <w:rPr>
          <w:rFonts w:cs="Arial"/>
          <w:sz w:val="22"/>
          <w:szCs w:val="22"/>
        </w:rPr>
        <w:t>Colombia Electribus)</w:t>
      </w:r>
      <w:r w:rsidR="0045215F" w:rsidRPr="00513E41">
        <w:rPr>
          <w:rFonts w:eastAsiaTheme="minorHAnsi" w:cs="Arial"/>
          <w:sz w:val="22"/>
          <w:szCs w:val="22"/>
        </w:rPr>
        <w:t>. In both cases these potential blended finance operations were indirect beneficiaries of upstream technical assistance provided by IDB with SIP</w:t>
      </w:r>
      <w:r w:rsidR="00EA146E" w:rsidRPr="00513E41">
        <w:rPr>
          <w:rFonts w:eastAsiaTheme="minorHAnsi" w:cs="Arial"/>
          <w:sz w:val="22"/>
          <w:szCs w:val="22"/>
        </w:rPr>
        <w:t>-LA</w:t>
      </w:r>
      <w:r w:rsidR="0045215F" w:rsidRPr="00513E41">
        <w:rPr>
          <w:rFonts w:eastAsiaTheme="minorHAnsi" w:cs="Arial"/>
          <w:sz w:val="22"/>
          <w:szCs w:val="22"/>
        </w:rPr>
        <w:t xml:space="preserve"> funding</w:t>
      </w:r>
      <w:r w:rsidR="003B65C4" w:rsidRPr="00513E41">
        <w:rPr>
          <w:rFonts w:eastAsiaTheme="minorHAnsi" w:cs="Arial"/>
          <w:sz w:val="22"/>
          <w:szCs w:val="22"/>
        </w:rPr>
        <w:t>.</w:t>
      </w:r>
      <w:r w:rsidR="00996892">
        <w:rPr>
          <w:rFonts w:eastAsiaTheme="minorHAnsi" w:cs="Arial"/>
          <w:sz w:val="22"/>
          <w:szCs w:val="22"/>
        </w:rPr>
        <w:t xml:space="preserve"> There are opportunities for SIP-LA support to address investment barriers that have so far prove</w:t>
      </w:r>
      <w:r w:rsidR="00021732">
        <w:rPr>
          <w:rFonts w:eastAsiaTheme="minorHAnsi" w:cs="Arial"/>
          <w:sz w:val="22"/>
          <w:szCs w:val="22"/>
        </w:rPr>
        <w:t>d more challenging for SIP-LA investments.</w:t>
      </w:r>
    </w:p>
    <w:p w14:paraId="6E606D6D" w14:textId="14CDE104" w:rsidR="00B81088" w:rsidRPr="00CC5A9C" w:rsidRDefault="00C129C3" w:rsidP="00D93F68">
      <w:pPr>
        <w:pStyle w:val="ListParagraph"/>
        <w:numPr>
          <w:ilvl w:val="0"/>
          <w:numId w:val="9"/>
        </w:numPr>
        <w:autoSpaceDE w:val="0"/>
        <w:autoSpaceDN w:val="0"/>
        <w:adjustRightInd w:val="0"/>
        <w:spacing w:before="120" w:after="120"/>
        <w:jc w:val="both"/>
        <w:rPr>
          <w:rFonts w:cs="Arial"/>
          <w:sz w:val="22"/>
          <w:szCs w:val="22"/>
        </w:rPr>
      </w:pPr>
      <w:r w:rsidRPr="007D656F">
        <w:rPr>
          <w:rFonts w:eastAsiaTheme="minorEastAsia" w:cs="Arial"/>
          <w:b/>
          <w:bCs/>
          <w:sz w:val="22"/>
          <w:szCs w:val="22"/>
        </w:rPr>
        <w:t>COVID</w:t>
      </w:r>
      <w:r w:rsidRPr="00990D99">
        <w:rPr>
          <w:rFonts w:eastAsiaTheme="minorEastAsia" w:cs="Arial"/>
          <w:b/>
          <w:bCs/>
          <w:sz w:val="22"/>
          <w:szCs w:val="22"/>
        </w:rPr>
        <w:t xml:space="preserve">-19 </w:t>
      </w:r>
      <w:r w:rsidR="00990D99" w:rsidRPr="00990D99">
        <w:rPr>
          <w:rFonts w:eastAsiaTheme="minorEastAsia" w:cs="Arial"/>
          <w:b/>
          <w:bCs/>
          <w:sz w:val="22"/>
          <w:szCs w:val="22"/>
        </w:rPr>
        <w:t>delivery impact</w:t>
      </w:r>
      <w:r w:rsidR="00990D99">
        <w:rPr>
          <w:rFonts w:eastAsiaTheme="minorEastAsia" w:cs="Arial"/>
          <w:sz w:val="22"/>
          <w:szCs w:val="22"/>
        </w:rPr>
        <w:t xml:space="preserve"> –</w:t>
      </w:r>
      <w:r w:rsidR="00021732">
        <w:rPr>
          <w:rFonts w:eastAsiaTheme="minorEastAsia" w:cs="Arial"/>
          <w:sz w:val="22"/>
          <w:szCs w:val="22"/>
        </w:rPr>
        <w:t xml:space="preserve"> </w:t>
      </w:r>
      <w:r w:rsidR="00990D99">
        <w:rPr>
          <w:rFonts w:eastAsiaTheme="minorEastAsia" w:cs="Arial"/>
          <w:sz w:val="22"/>
          <w:szCs w:val="22"/>
        </w:rPr>
        <w:t xml:space="preserve">COVID-19 impacted </w:t>
      </w:r>
      <w:r w:rsidR="00004A76">
        <w:rPr>
          <w:rFonts w:eastAsiaTheme="minorEastAsia" w:cs="Arial"/>
          <w:sz w:val="22"/>
          <w:szCs w:val="22"/>
        </w:rPr>
        <w:t xml:space="preserve">the </w:t>
      </w:r>
      <w:r w:rsidR="00990D99">
        <w:rPr>
          <w:rFonts w:eastAsiaTheme="minorEastAsia" w:cs="Arial"/>
          <w:sz w:val="22"/>
          <w:szCs w:val="22"/>
        </w:rPr>
        <w:t>delivery</w:t>
      </w:r>
      <w:r w:rsidR="00004A76">
        <w:rPr>
          <w:rFonts w:eastAsiaTheme="minorEastAsia" w:cs="Arial"/>
          <w:sz w:val="22"/>
          <w:szCs w:val="22"/>
        </w:rPr>
        <w:t xml:space="preserve"> of some outputs through its </w:t>
      </w:r>
      <w:r w:rsidR="00004A76" w:rsidRPr="006E765D">
        <w:rPr>
          <w:rFonts w:eastAsiaTheme="minorEastAsia" w:cs="Arial"/>
          <w:sz w:val="22"/>
          <w:szCs w:val="22"/>
        </w:rPr>
        <w:t xml:space="preserve">impact on </w:t>
      </w:r>
      <w:r w:rsidR="00B81088" w:rsidRPr="006E765D">
        <w:rPr>
          <w:rFonts w:eastAsiaTheme="minorEastAsia" w:cs="Arial"/>
          <w:sz w:val="22"/>
          <w:szCs w:val="22"/>
        </w:rPr>
        <w:t>domestic political priorities</w:t>
      </w:r>
      <w:r w:rsidR="00021732">
        <w:rPr>
          <w:rFonts w:eastAsiaTheme="minorEastAsia" w:cs="Arial"/>
          <w:sz w:val="22"/>
          <w:szCs w:val="22"/>
        </w:rPr>
        <w:t>, s</w:t>
      </w:r>
      <w:r w:rsidR="00B81088" w:rsidRPr="006E765D">
        <w:rPr>
          <w:rFonts w:eastAsiaTheme="minorEastAsia" w:cs="Arial"/>
          <w:sz w:val="22"/>
          <w:szCs w:val="22"/>
        </w:rPr>
        <w:t xml:space="preserve">pecifically </w:t>
      </w:r>
      <w:r w:rsidR="00021732">
        <w:rPr>
          <w:rFonts w:eastAsiaTheme="minorEastAsia" w:cs="Arial"/>
          <w:sz w:val="22"/>
          <w:szCs w:val="22"/>
        </w:rPr>
        <w:t xml:space="preserve">in </w:t>
      </w:r>
      <w:r w:rsidR="00B81088" w:rsidRPr="006E765D">
        <w:rPr>
          <w:rFonts w:eastAsiaTheme="minorEastAsia" w:cs="Arial"/>
          <w:sz w:val="22"/>
          <w:szCs w:val="22"/>
        </w:rPr>
        <w:t>relati</w:t>
      </w:r>
      <w:r w:rsidR="00021732">
        <w:rPr>
          <w:rFonts w:eastAsiaTheme="minorEastAsia" w:cs="Arial"/>
          <w:sz w:val="22"/>
          <w:szCs w:val="22"/>
        </w:rPr>
        <w:t>on</w:t>
      </w:r>
      <w:r w:rsidR="00B81088" w:rsidRPr="006E765D">
        <w:rPr>
          <w:rFonts w:eastAsiaTheme="minorEastAsia" w:cs="Arial"/>
          <w:sz w:val="22"/>
          <w:szCs w:val="22"/>
        </w:rPr>
        <w:t xml:space="preserve"> to </w:t>
      </w:r>
      <w:r w:rsidR="006B3E03">
        <w:rPr>
          <w:rFonts w:cs="Arial"/>
          <w:sz w:val="22"/>
          <w:szCs w:val="22"/>
        </w:rPr>
        <w:t>green taxes and climate finance vehicles legal reform, which originally was planned as</w:t>
      </w:r>
      <w:r w:rsidR="006B3E03">
        <w:rPr>
          <w:rFonts w:eastAsiaTheme="minorEastAsia" w:cs="Arial"/>
          <w:sz w:val="22"/>
          <w:szCs w:val="22"/>
        </w:rPr>
        <w:t xml:space="preserve"> </w:t>
      </w:r>
      <w:r w:rsidR="006B3E03">
        <w:rPr>
          <w:rFonts w:cs="Arial"/>
          <w:sz w:val="22"/>
          <w:szCs w:val="22"/>
        </w:rPr>
        <w:t xml:space="preserve">the “Clean Growth </w:t>
      </w:r>
      <w:r w:rsidRPr="006E765D">
        <w:rPr>
          <w:rFonts w:cs="Arial"/>
          <w:sz w:val="22"/>
          <w:szCs w:val="22"/>
        </w:rPr>
        <w:t>Draft Bill</w:t>
      </w:r>
      <w:r w:rsidR="00697C3E">
        <w:rPr>
          <w:rFonts w:cs="Arial"/>
          <w:sz w:val="22"/>
          <w:szCs w:val="22"/>
        </w:rPr>
        <w:t xml:space="preserve"> in Colombia</w:t>
      </w:r>
      <w:r w:rsidR="00F2172A" w:rsidRPr="00F2172A">
        <w:rPr>
          <w:rFonts w:cs="Arial"/>
          <w:sz w:val="22"/>
          <w:szCs w:val="22"/>
        </w:rPr>
        <w:t xml:space="preserve"> </w:t>
      </w:r>
      <w:r w:rsidR="00F2172A">
        <w:rPr>
          <w:rFonts w:cs="Arial"/>
          <w:sz w:val="22"/>
          <w:szCs w:val="22"/>
        </w:rPr>
        <w:t>” to be presented in 2020, but was postponed to 2021</w:t>
      </w:r>
      <w:r w:rsidRPr="006E765D">
        <w:rPr>
          <w:rFonts w:cs="Arial"/>
          <w:sz w:val="22"/>
          <w:szCs w:val="22"/>
        </w:rPr>
        <w:t xml:space="preserve">. </w:t>
      </w:r>
      <w:r w:rsidR="00B81088" w:rsidRPr="006E765D">
        <w:rPr>
          <w:rFonts w:cs="Arial"/>
          <w:sz w:val="22"/>
          <w:szCs w:val="22"/>
        </w:rPr>
        <w:t xml:space="preserve">COVID-19 also affected delivery </w:t>
      </w:r>
      <w:r w:rsidR="00021732">
        <w:rPr>
          <w:rFonts w:cs="Arial"/>
          <w:sz w:val="22"/>
          <w:szCs w:val="22"/>
        </w:rPr>
        <w:t xml:space="preserve">of </w:t>
      </w:r>
      <w:r w:rsidR="00B11824">
        <w:rPr>
          <w:rFonts w:cs="Arial"/>
          <w:sz w:val="22"/>
          <w:szCs w:val="22"/>
        </w:rPr>
        <w:t xml:space="preserve">public sector technical assistance </w:t>
      </w:r>
      <w:r w:rsidR="00FF3B8A" w:rsidRPr="006E765D">
        <w:rPr>
          <w:rFonts w:cs="Arial"/>
          <w:sz w:val="22"/>
          <w:szCs w:val="22"/>
        </w:rPr>
        <w:t xml:space="preserve">by </w:t>
      </w:r>
      <w:r w:rsidR="00B11824">
        <w:rPr>
          <w:rFonts w:cs="Arial"/>
          <w:sz w:val="22"/>
          <w:szCs w:val="22"/>
        </w:rPr>
        <w:t>impacting the delivery of</w:t>
      </w:r>
      <w:r w:rsidR="00B11824" w:rsidRPr="006E765D">
        <w:rPr>
          <w:rFonts w:cs="Arial"/>
          <w:sz w:val="22"/>
          <w:szCs w:val="22"/>
        </w:rPr>
        <w:t xml:space="preserve"> </w:t>
      </w:r>
      <w:r w:rsidR="00FF3B8A" w:rsidRPr="006E765D">
        <w:rPr>
          <w:rFonts w:cs="Arial"/>
          <w:sz w:val="22"/>
          <w:szCs w:val="22"/>
        </w:rPr>
        <w:t>events</w:t>
      </w:r>
      <w:r w:rsidR="00EC7D80">
        <w:rPr>
          <w:rFonts w:cs="Arial"/>
          <w:sz w:val="22"/>
          <w:szCs w:val="22"/>
        </w:rPr>
        <w:t xml:space="preserve"> that </w:t>
      </w:r>
      <w:r w:rsidR="00FF3B8A" w:rsidRPr="006E765D">
        <w:rPr>
          <w:rFonts w:cs="Arial"/>
          <w:sz w:val="22"/>
          <w:szCs w:val="22"/>
        </w:rPr>
        <w:t>had to be postponed until 2021</w:t>
      </w:r>
      <w:r w:rsidR="006E765D">
        <w:rPr>
          <w:rFonts w:cs="Arial"/>
          <w:sz w:val="22"/>
          <w:szCs w:val="22"/>
        </w:rPr>
        <w:t>.</w:t>
      </w:r>
      <w:r w:rsidR="00EC7D80">
        <w:rPr>
          <w:rStyle w:val="FootnoteReference"/>
          <w:rFonts w:cs="Arial"/>
          <w:sz w:val="22"/>
          <w:szCs w:val="22"/>
        </w:rPr>
        <w:footnoteReference w:id="10"/>
      </w:r>
      <w:r w:rsidR="006E765D">
        <w:rPr>
          <w:rFonts w:cs="Arial"/>
          <w:sz w:val="22"/>
          <w:szCs w:val="22"/>
        </w:rPr>
        <w:t xml:space="preserve"> The risk of further impact to delivery should be assessed as part of SIP-LA’s COVID-19 risk assessment.</w:t>
      </w:r>
    </w:p>
    <w:p w14:paraId="7D67BD86" w14:textId="132D9BBE" w:rsidR="005C00BD" w:rsidRDefault="005F3B73" w:rsidP="00246162">
      <w:pPr>
        <w:spacing w:after="120"/>
        <w:jc w:val="both"/>
        <w:rPr>
          <w:rFonts w:cs="Arial"/>
          <w:b/>
          <w:bCs/>
          <w:sz w:val="22"/>
          <w:szCs w:val="22"/>
          <w:lang w:val="en-US"/>
        </w:rPr>
      </w:pPr>
      <w:r>
        <w:rPr>
          <w:rFonts w:cs="Arial"/>
          <w:b/>
          <w:bCs/>
          <w:sz w:val="22"/>
          <w:szCs w:val="22"/>
        </w:rPr>
        <w:t>R</w:t>
      </w:r>
      <w:r w:rsidR="005C00BD" w:rsidRPr="00BC6C37">
        <w:rPr>
          <w:rFonts w:cs="Arial"/>
          <w:b/>
          <w:bCs/>
          <w:sz w:val="22"/>
          <w:szCs w:val="22"/>
        </w:rPr>
        <w:t xml:space="preserve">ecommendations for the </w:t>
      </w:r>
      <w:r w:rsidR="00607DEE">
        <w:rPr>
          <w:rFonts w:cs="Arial"/>
          <w:b/>
          <w:bCs/>
          <w:sz w:val="22"/>
          <w:szCs w:val="22"/>
        </w:rPr>
        <w:t>remainder of 2021</w:t>
      </w:r>
      <w:r w:rsidR="005C00BD" w:rsidRPr="00BC6C37">
        <w:rPr>
          <w:rFonts w:cs="Arial"/>
          <w:b/>
          <w:bCs/>
          <w:sz w:val="22"/>
          <w:szCs w:val="22"/>
          <w:lang w:val="en-US"/>
        </w:rPr>
        <w:t xml:space="preserve"> </w:t>
      </w:r>
    </w:p>
    <w:p w14:paraId="6173E69C" w14:textId="77777777" w:rsidR="0052744F" w:rsidRDefault="00143037" w:rsidP="0052744F">
      <w:pPr>
        <w:spacing w:after="120"/>
        <w:jc w:val="both"/>
        <w:rPr>
          <w:rFonts w:cs="Arial"/>
          <w:sz w:val="22"/>
          <w:szCs w:val="22"/>
          <w:lang w:val="en-US"/>
        </w:rPr>
      </w:pPr>
      <w:r>
        <w:rPr>
          <w:rFonts w:cs="Arial"/>
          <w:sz w:val="22"/>
          <w:szCs w:val="22"/>
          <w:lang w:val="en-US"/>
        </w:rPr>
        <w:t xml:space="preserve">The </w:t>
      </w:r>
      <w:r w:rsidR="005F3B73">
        <w:rPr>
          <w:rFonts w:cs="Arial"/>
          <w:sz w:val="22"/>
          <w:szCs w:val="22"/>
          <w:lang w:val="en-US"/>
        </w:rPr>
        <w:t xml:space="preserve">following recommendations should be </w:t>
      </w:r>
      <w:r w:rsidR="00F14A25">
        <w:rPr>
          <w:rFonts w:cs="Arial"/>
          <w:sz w:val="22"/>
          <w:szCs w:val="22"/>
          <w:lang w:val="en-US"/>
        </w:rPr>
        <w:t>implemented in 2021:</w:t>
      </w:r>
    </w:p>
    <w:p w14:paraId="25CA654E" w14:textId="5E550D86" w:rsidR="00A2693A" w:rsidRPr="0052744F" w:rsidRDefault="00990D99" w:rsidP="00D93F68">
      <w:pPr>
        <w:pStyle w:val="ListParagraph"/>
        <w:numPr>
          <w:ilvl w:val="0"/>
          <w:numId w:val="12"/>
        </w:numPr>
        <w:spacing w:after="120"/>
        <w:jc w:val="both"/>
        <w:rPr>
          <w:rFonts w:cs="Arial"/>
          <w:sz w:val="22"/>
          <w:szCs w:val="22"/>
          <w:lang w:val="en-US"/>
        </w:rPr>
      </w:pPr>
      <w:r w:rsidRPr="0052744F">
        <w:rPr>
          <w:rFonts w:cs="Arial"/>
          <w:b/>
          <w:sz w:val="22"/>
          <w:szCs w:val="22"/>
        </w:rPr>
        <w:t xml:space="preserve">Technical Assistance </w:t>
      </w:r>
      <w:r w:rsidRPr="0052744F">
        <w:rPr>
          <w:rFonts w:cs="Arial"/>
          <w:bCs/>
          <w:sz w:val="22"/>
          <w:szCs w:val="22"/>
        </w:rPr>
        <w:t xml:space="preserve">- SIP-LA should build on its existing </w:t>
      </w:r>
      <w:r w:rsidR="001D7811" w:rsidRPr="0052744F">
        <w:rPr>
          <w:rFonts w:cs="Arial"/>
          <w:bCs/>
          <w:sz w:val="22"/>
          <w:szCs w:val="22"/>
        </w:rPr>
        <w:t xml:space="preserve">public sector </w:t>
      </w:r>
      <w:r w:rsidRPr="0052744F">
        <w:rPr>
          <w:rFonts w:cs="Arial"/>
          <w:bCs/>
          <w:sz w:val="22"/>
          <w:szCs w:val="22"/>
        </w:rPr>
        <w:t xml:space="preserve">technical assistance support to deliver </w:t>
      </w:r>
      <w:r w:rsidR="00725A75">
        <w:rPr>
          <w:rFonts w:cs="Arial"/>
          <w:bCs/>
          <w:sz w:val="22"/>
          <w:szCs w:val="22"/>
        </w:rPr>
        <w:t xml:space="preserve">low carbon </w:t>
      </w:r>
      <w:r w:rsidRPr="0052744F">
        <w:rPr>
          <w:rFonts w:cs="Arial"/>
          <w:bCs/>
          <w:sz w:val="22"/>
          <w:szCs w:val="22"/>
        </w:rPr>
        <w:t>programming proposals that</w:t>
      </w:r>
      <w:r w:rsidR="001D7811" w:rsidRPr="0052744F">
        <w:rPr>
          <w:rFonts w:cs="Arial"/>
          <w:bCs/>
          <w:sz w:val="22"/>
          <w:szCs w:val="22"/>
        </w:rPr>
        <w:t xml:space="preserve"> can</w:t>
      </w:r>
      <w:r w:rsidRPr="0052744F">
        <w:rPr>
          <w:rFonts w:cs="Arial"/>
          <w:bCs/>
          <w:sz w:val="22"/>
          <w:szCs w:val="22"/>
        </w:rPr>
        <w:t xml:space="preserve"> </w:t>
      </w:r>
      <w:r w:rsidR="001D7811" w:rsidRPr="0052744F">
        <w:rPr>
          <w:rFonts w:cs="Arial"/>
          <w:bCs/>
          <w:sz w:val="22"/>
          <w:szCs w:val="22"/>
        </w:rPr>
        <w:t>directly enable SIP-LA investments</w:t>
      </w:r>
      <w:r w:rsidRPr="0052744F">
        <w:rPr>
          <w:rFonts w:cs="Arial"/>
          <w:bCs/>
          <w:sz w:val="22"/>
          <w:szCs w:val="22"/>
        </w:rPr>
        <w:t>, including those in SIP-LA</w:t>
      </w:r>
      <w:r w:rsidR="00CF3BDE" w:rsidRPr="0052744F">
        <w:rPr>
          <w:rFonts w:cs="Arial"/>
          <w:bCs/>
          <w:sz w:val="22"/>
          <w:szCs w:val="22"/>
        </w:rPr>
        <w:t>’s more challenging</w:t>
      </w:r>
      <w:r w:rsidRPr="0052744F">
        <w:rPr>
          <w:rFonts w:cs="Arial"/>
          <w:bCs/>
          <w:sz w:val="22"/>
          <w:szCs w:val="22"/>
        </w:rPr>
        <w:t xml:space="preserve"> markets. </w:t>
      </w:r>
      <w:r w:rsidR="00725A75">
        <w:rPr>
          <w:rFonts w:cs="Arial"/>
          <w:bCs/>
          <w:sz w:val="22"/>
          <w:szCs w:val="22"/>
        </w:rPr>
        <w:t xml:space="preserve">IDB should demonstrate this by developing technical assistance programming documents with direct links to SIP-LA blended finance opportunities. </w:t>
      </w:r>
    </w:p>
    <w:tbl>
      <w:tblPr>
        <w:tblStyle w:val="TableGrid"/>
        <w:tblW w:w="9072" w:type="dxa"/>
        <w:tblInd w:w="-5" w:type="dxa"/>
        <w:tblLook w:val="04A0" w:firstRow="1" w:lastRow="0" w:firstColumn="1" w:lastColumn="0" w:noHBand="0" w:noVBand="1"/>
      </w:tblPr>
      <w:tblGrid>
        <w:gridCol w:w="1985"/>
        <w:gridCol w:w="1701"/>
        <w:gridCol w:w="3402"/>
        <w:gridCol w:w="1984"/>
      </w:tblGrid>
      <w:tr w:rsidR="00471E99" w:rsidRPr="006778A3" w14:paraId="6F3D55AA" w14:textId="77777777" w:rsidTr="00EB55CC">
        <w:trPr>
          <w:trHeight w:val="489"/>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971240" w14:textId="21C002EC" w:rsidR="0081010B" w:rsidRPr="00513E41" w:rsidRDefault="00C50204" w:rsidP="00EA6FA1">
            <w:pPr>
              <w:spacing w:after="120"/>
              <w:rPr>
                <w:rFonts w:cs="Arial"/>
                <w:b/>
                <w:bCs/>
                <w:sz w:val="20"/>
                <w:szCs w:val="20"/>
              </w:rPr>
            </w:pPr>
            <w:r w:rsidRPr="00513E41">
              <w:rPr>
                <w:rFonts w:cs="Arial"/>
                <w:b/>
                <w:bCs/>
                <w:sz w:val="20"/>
                <w:szCs w:val="20"/>
              </w:rPr>
              <w:t>Output 2</w:t>
            </w:r>
            <w:r w:rsidR="0081010B" w:rsidRPr="00513E41">
              <w:rPr>
                <w:rFonts w:cs="Arial"/>
                <w:b/>
                <w:bCs/>
                <w:sz w:val="20"/>
                <w:szCs w:val="20"/>
              </w:rPr>
              <w:t xml:space="preserv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9C9644" w14:textId="718F3583" w:rsidR="0081010B" w:rsidRPr="00513E41" w:rsidRDefault="008A4FAE" w:rsidP="008A4FAE">
            <w:pPr>
              <w:spacing w:after="120"/>
              <w:rPr>
                <w:rFonts w:cs="Arial"/>
                <w:bCs/>
                <w:i/>
                <w:sz w:val="20"/>
                <w:szCs w:val="20"/>
              </w:rPr>
            </w:pPr>
            <w:r w:rsidRPr="00513E41">
              <w:rPr>
                <w:rFonts w:cs="Arial"/>
                <w:bCs/>
                <w:i/>
                <w:sz w:val="20"/>
                <w:szCs w:val="20"/>
              </w:rPr>
              <w:t>Commercially credible private sector-led low carbon infrastructure projects are developed</w:t>
            </w:r>
          </w:p>
        </w:tc>
      </w:tr>
      <w:tr w:rsidR="009612EA" w:rsidRPr="006778A3" w14:paraId="1B0C8BA5" w14:textId="77777777" w:rsidTr="002F2CC8">
        <w:trPr>
          <w:trHeight w:val="347"/>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0C45FC" w14:textId="77777777" w:rsidR="0081010B" w:rsidRPr="00513E41" w:rsidRDefault="0081010B" w:rsidP="00EA6FA1">
            <w:pPr>
              <w:spacing w:after="120"/>
              <w:rPr>
                <w:rFonts w:cs="Arial"/>
                <w:bCs/>
                <w:sz w:val="20"/>
                <w:szCs w:val="20"/>
              </w:rPr>
            </w:pPr>
            <w:r w:rsidRPr="00513E41">
              <w:rPr>
                <w:rFonts w:cs="Arial"/>
                <w:bCs/>
                <w:sz w:val="20"/>
                <w:szCs w:val="20"/>
              </w:rPr>
              <w:t xml:space="preserve">Output number: </w:t>
            </w:r>
          </w:p>
        </w:tc>
        <w:tc>
          <w:tcPr>
            <w:tcW w:w="1701" w:type="dxa"/>
            <w:tcBorders>
              <w:top w:val="single" w:sz="4" w:space="0" w:color="auto"/>
              <w:left w:val="single" w:sz="4" w:space="0" w:color="auto"/>
              <w:bottom w:val="single" w:sz="4" w:space="0" w:color="auto"/>
              <w:right w:val="single" w:sz="4" w:space="0" w:color="auto"/>
            </w:tcBorders>
          </w:tcPr>
          <w:p w14:paraId="34E590DD" w14:textId="32E8AEBA" w:rsidR="0081010B" w:rsidRPr="00513E41" w:rsidRDefault="003B7FF7" w:rsidP="00EA6FA1">
            <w:pPr>
              <w:spacing w:after="120"/>
              <w:rPr>
                <w:rFonts w:cs="Arial"/>
                <w:sz w:val="20"/>
                <w:szCs w:val="20"/>
              </w:rPr>
            </w:pPr>
            <w:r w:rsidRPr="00513E41">
              <w:rPr>
                <w:rFonts w:cs="Arial"/>
                <w:sz w:val="20"/>
                <w:szCs w:val="20"/>
              </w:rPr>
              <w:t>2</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F35097" w14:textId="77777777" w:rsidR="0081010B" w:rsidRPr="00513E41" w:rsidRDefault="0081010B" w:rsidP="00513E41">
            <w:pPr>
              <w:keepNext/>
              <w:spacing w:after="120"/>
              <w:rPr>
                <w:rFonts w:cs="Arial"/>
                <w:sz w:val="20"/>
                <w:szCs w:val="20"/>
              </w:rPr>
            </w:pPr>
            <w:r w:rsidRPr="00513E41">
              <w:rPr>
                <w:rFonts w:cs="Arial"/>
                <w:bCs/>
                <w:sz w:val="20"/>
                <w:szCs w:val="20"/>
              </w:rPr>
              <w:t xml:space="preserve">Output Score: </w:t>
            </w:r>
          </w:p>
        </w:tc>
        <w:tc>
          <w:tcPr>
            <w:tcW w:w="1984" w:type="dxa"/>
            <w:tcBorders>
              <w:top w:val="single" w:sz="4" w:space="0" w:color="auto"/>
              <w:left w:val="single" w:sz="4" w:space="0" w:color="auto"/>
              <w:bottom w:val="single" w:sz="4" w:space="0" w:color="auto"/>
              <w:right w:val="single" w:sz="4" w:space="0" w:color="auto"/>
            </w:tcBorders>
          </w:tcPr>
          <w:p w14:paraId="426796AF" w14:textId="686CAB90" w:rsidR="0081010B" w:rsidRPr="00513E41" w:rsidRDefault="00E83D63" w:rsidP="00EA6FA1">
            <w:pPr>
              <w:spacing w:after="120"/>
              <w:rPr>
                <w:rFonts w:cs="Arial"/>
                <w:iCs/>
                <w:color w:val="FF0000"/>
                <w:sz w:val="20"/>
                <w:szCs w:val="20"/>
              </w:rPr>
            </w:pPr>
            <w:r w:rsidRPr="00513E41">
              <w:rPr>
                <w:rFonts w:cs="Arial"/>
                <w:iCs/>
                <w:sz w:val="20"/>
                <w:szCs w:val="20"/>
              </w:rPr>
              <w:t>B</w:t>
            </w:r>
          </w:p>
        </w:tc>
      </w:tr>
      <w:tr w:rsidR="009612EA" w:rsidRPr="006778A3" w14:paraId="1C124C58" w14:textId="77777777" w:rsidTr="002F2CC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560B23" w14:textId="3435D08A" w:rsidR="0081010B" w:rsidRPr="00513E41" w:rsidRDefault="0081010B" w:rsidP="00EA6FA1">
            <w:pPr>
              <w:spacing w:after="120"/>
              <w:rPr>
                <w:rFonts w:cs="Arial"/>
                <w:sz w:val="20"/>
                <w:szCs w:val="20"/>
              </w:rPr>
            </w:pPr>
            <w:r w:rsidRPr="00513E41">
              <w:rPr>
                <w:rFonts w:cs="Arial"/>
                <w:bCs/>
                <w:sz w:val="20"/>
                <w:szCs w:val="20"/>
              </w:rPr>
              <w:lastRenderedPageBreak/>
              <w:t>Impact weighting</w:t>
            </w:r>
            <w:r w:rsidR="00EB55CC" w:rsidRPr="00513E41">
              <w:rPr>
                <w:rFonts w:cs="Arial"/>
                <w:bCs/>
                <w:sz w:val="20"/>
                <w:szCs w:val="20"/>
              </w:rPr>
              <w:t>:</w:t>
            </w:r>
          </w:p>
        </w:tc>
        <w:tc>
          <w:tcPr>
            <w:tcW w:w="1701" w:type="dxa"/>
            <w:tcBorders>
              <w:top w:val="single" w:sz="4" w:space="0" w:color="auto"/>
              <w:left w:val="single" w:sz="4" w:space="0" w:color="auto"/>
              <w:bottom w:val="single" w:sz="4" w:space="0" w:color="auto"/>
              <w:right w:val="single" w:sz="4" w:space="0" w:color="auto"/>
            </w:tcBorders>
            <w:hideMark/>
          </w:tcPr>
          <w:p w14:paraId="3EF62185" w14:textId="27B4E37C" w:rsidR="0081010B" w:rsidRPr="00513E41" w:rsidRDefault="003B7FF7" w:rsidP="00EA6FA1">
            <w:pPr>
              <w:spacing w:after="120"/>
              <w:rPr>
                <w:rFonts w:cs="Arial"/>
                <w:bCs/>
                <w:sz w:val="20"/>
                <w:szCs w:val="20"/>
              </w:rPr>
            </w:pPr>
            <w:r w:rsidRPr="00513E41">
              <w:rPr>
                <w:rFonts w:cs="Arial"/>
                <w:bCs/>
                <w:sz w:val="20"/>
                <w:szCs w:val="20"/>
              </w:rPr>
              <w:t>25 %</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70C310" w14:textId="77777777" w:rsidR="0081010B" w:rsidRPr="00513E41" w:rsidRDefault="0081010B" w:rsidP="00EA6FA1">
            <w:pPr>
              <w:spacing w:after="120"/>
              <w:rPr>
                <w:rFonts w:cs="Arial"/>
                <w:bCs/>
                <w:sz w:val="20"/>
                <w:szCs w:val="20"/>
              </w:rPr>
            </w:pPr>
            <w:r w:rsidRPr="00513E41">
              <w:rPr>
                <w:rFonts w:cs="Arial"/>
                <w:bCs/>
                <w:sz w:val="20"/>
                <w:szCs w:val="20"/>
              </w:rPr>
              <w:t xml:space="preserve">Weighting revised since last AR? </w:t>
            </w:r>
          </w:p>
        </w:tc>
        <w:tc>
          <w:tcPr>
            <w:tcW w:w="1984" w:type="dxa"/>
            <w:tcBorders>
              <w:top w:val="single" w:sz="4" w:space="0" w:color="auto"/>
              <w:left w:val="single" w:sz="4" w:space="0" w:color="auto"/>
              <w:bottom w:val="single" w:sz="4" w:space="0" w:color="auto"/>
              <w:right w:val="single" w:sz="4" w:space="0" w:color="auto"/>
            </w:tcBorders>
          </w:tcPr>
          <w:p w14:paraId="17F7E4D4" w14:textId="74235720" w:rsidR="0081010B" w:rsidRPr="00513E41" w:rsidRDefault="002F2CC8" w:rsidP="00EA6FA1">
            <w:pPr>
              <w:spacing w:after="120"/>
              <w:rPr>
                <w:rFonts w:cs="Arial"/>
                <w:bCs/>
                <w:sz w:val="20"/>
                <w:szCs w:val="20"/>
              </w:rPr>
            </w:pPr>
            <w:r w:rsidRPr="00577EF1">
              <w:rPr>
                <w:rFonts w:cs="Arial"/>
                <w:bCs/>
                <w:i/>
                <w:iCs/>
                <w:sz w:val="20"/>
                <w:szCs w:val="20"/>
              </w:rPr>
              <w:t>n/a – new indicator</w:t>
            </w:r>
            <w:r w:rsidRPr="002C06C2" w:rsidDel="002F2CC8">
              <w:rPr>
                <w:rFonts w:cs="Arial"/>
                <w:sz w:val="20"/>
                <w:szCs w:val="20"/>
              </w:rPr>
              <w:t xml:space="preserve"> </w:t>
            </w:r>
          </w:p>
        </w:tc>
      </w:tr>
      <w:tr w:rsidR="009612EA" w:rsidRPr="006778A3" w14:paraId="3550C7D7" w14:textId="77777777" w:rsidTr="002F2CC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078FB5" w14:textId="0F8E0FF5" w:rsidR="0081010B" w:rsidRPr="00513E41" w:rsidRDefault="0081010B" w:rsidP="00EA6FA1">
            <w:pPr>
              <w:spacing w:after="120"/>
              <w:rPr>
                <w:rFonts w:cs="Arial"/>
                <w:bCs/>
                <w:sz w:val="20"/>
                <w:szCs w:val="20"/>
              </w:rPr>
            </w:pPr>
            <w:r w:rsidRPr="00513E41">
              <w:rPr>
                <w:rFonts w:cs="Arial"/>
                <w:bCs/>
                <w:sz w:val="20"/>
                <w:szCs w:val="20"/>
              </w:rPr>
              <w:t>Risk rating</w:t>
            </w:r>
            <w:r w:rsidR="00EB55CC" w:rsidRPr="00513E41">
              <w:rPr>
                <w:rFonts w:cs="Arial"/>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0E20CE07" w14:textId="619E7A23" w:rsidR="0081010B" w:rsidRPr="00513E41" w:rsidRDefault="006B3995" w:rsidP="00EA6FA1">
            <w:pPr>
              <w:spacing w:after="120"/>
              <w:rPr>
                <w:rFonts w:cs="Arial"/>
                <w:bCs/>
                <w:sz w:val="20"/>
                <w:szCs w:val="20"/>
              </w:rPr>
            </w:pPr>
            <w:r w:rsidRPr="00513E41">
              <w:rPr>
                <w:rFonts w:cs="Arial"/>
                <w:bCs/>
                <w:sz w:val="20"/>
                <w:szCs w:val="20"/>
              </w:rPr>
              <w:t>Moderate</w:t>
            </w:r>
          </w:p>
        </w:tc>
        <w:tc>
          <w:tcPr>
            <w:tcW w:w="340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8C89A8" w14:textId="77777777" w:rsidR="0081010B" w:rsidRPr="00513E41" w:rsidRDefault="0081010B" w:rsidP="00EA6FA1">
            <w:pPr>
              <w:spacing w:after="120"/>
              <w:rPr>
                <w:rFonts w:cs="Arial"/>
                <w:bCs/>
                <w:sz w:val="20"/>
                <w:szCs w:val="20"/>
              </w:rPr>
            </w:pPr>
            <w:r w:rsidRPr="00513E41">
              <w:rPr>
                <w:rFonts w:cs="Arial"/>
                <w:bCs/>
                <w:sz w:val="20"/>
                <w:szCs w:val="20"/>
              </w:rPr>
              <w:t>Risk revised since last AR?</w:t>
            </w:r>
          </w:p>
        </w:tc>
        <w:tc>
          <w:tcPr>
            <w:tcW w:w="1984" w:type="dxa"/>
            <w:tcBorders>
              <w:top w:val="single" w:sz="4" w:space="0" w:color="auto"/>
              <w:left w:val="single" w:sz="4" w:space="0" w:color="auto"/>
              <w:bottom w:val="single" w:sz="4" w:space="0" w:color="auto"/>
              <w:right w:val="single" w:sz="4" w:space="0" w:color="auto"/>
            </w:tcBorders>
          </w:tcPr>
          <w:p w14:paraId="7989C4D3" w14:textId="0AD24E2E" w:rsidR="0081010B" w:rsidRPr="00513E41" w:rsidRDefault="002F2CC8" w:rsidP="00EA6FA1">
            <w:pPr>
              <w:spacing w:after="120"/>
              <w:rPr>
                <w:rFonts w:cs="Arial"/>
                <w:bCs/>
                <w:sz w:val="20"/>
                <w:szCs w:val="20"/>
              </w:rPr>
            </w:pPr>
            <w:r w:rsidRPr="00577EF1">
              <w:rPr>
                <w:rFonts w:cs="Arial"/>
                <w:bCs/>
                <w:i/>
                <w:iCs/>
                <w:sz w:val="20"/>
                <w:szCs w:val="20"/>
              </w:rPr>
              <w:t>n/a – new indicator</w:t>
            </w:r>
            <w:r w:rsidRPr="002C06C2" w:rsidDel="002F2CC8">
              <w:rPr>
                <w:rFonts w:cs="Arial"/>
                <w:sz w:val="20"/>
                <w:szCs w:val="20"/>
              </w:rPr>
              <w:t xml:space="preserve"> </w:t>
            </w:r>
          </w:p>
        </w:tc>
      </w:tr>
    </w:tbl>
    <w:p w14:paraId="1F06AFE8" w14:textId="627183E0" w:rsidR="0081010B" w:rsidRPr="00513E41" w:rsidRDefault="0081010B" w:rsidP="00852C36">
      <w:pPr>
        <w:spacing w:after="120"/>
        <w:jc w:val="both"/>
        <w:rPr>
          <w:rFonts w:cs="Arial"/>
          <w:sz w:val="2"/>
          <w:szCs w:val="2"/>
        </w:rPr>
      </w:pPr>
    </w:p>
    <w:tbl>
      <w:tblPr>
        <w:tblStyle w:val="TableGrid"/>
        <w:tblpPr w:leftFromText="180" w:rightFromText="180" w:vertAnchor="text" w:horzAnchor="page" w:tblpX="1462" w:tblpY="-10"/>
        <w:tblOverlap w:val="never"/>
        <w:tblW w:w="9067" w:type="dxa"/>
        <w:tblLayout w:type="fixed"/>
        <w:tblLook w:val="04A0" w:firstRow="1" w:lastRow="0" w:firstColumn="1" w:lastColumn="0" w:noHBand="0" w:noVBand="1"/>
      </w:tblPr>
      <w:tblGrid>
        <w:gridCol w:w="4390"/>
        <w:gridCol w:w="1275"/>
        <w:gridCol w:w="1418"/>
        <w:gridCol w:w="1984"/>
      </w:tblGrid>
      <w:tr w:rsidR="00E01E52" w:rsidRPr="006778A3" w14:paraId="7CCFEBA7" w14:textId="77777777" w:rsidTr="00726F31">
        <w:trPr>
          <w:trHeight w:val="273"/>
        </w:trPr>
        <w:tc>
          <w:tcPr>
            <w:tcW w:w="4390" w:type="dxa"/>
            <w:vMerge w:val="restart"/>
            <w:tcBorders>
              <w:top w:val="single" w:sz="4" w:space="0" w:color="auto"/>
              <w:left w:val="single" w:sz="4" w:space="0" w:color="auto"/>
              <w:right w:val="single" w:sz="4" w:space="0" w:color="auto"/>
            </w:tcBorders>
            <w:shd w:val="clear" w:color="auto" w:fill="D9E2F3" w:themeFill="accent1" w:themeFillTint="33"/>
          </w:tcPr>
          <w:p w14:paraId="72AAB505" w14:textId="21B6A0A8" w:rsidR="00E01E52" w:rsidRPr="005E4B11" w:rsidRDefault="00E01E52" w:rsidP="00844E81">
            <w:pPr>
              <w:spacing w:after="120"/>
              <w:rPr>
                <w:rFonts w:cs="Arial"/>
                <w:b/>
                <w:bCs/>
                <w:sz w:val="20"/>
                <w:szCs w:val="20"/>
              </w:rPr>
            </w:pPr>
            <w:r w:rsidRPr="005E4B11">
              <w:rPr>
                <w:rFonts w:cs="Arial"/>
                <w:b/>
                <w:bCs/>
                <w:sz w:val="20"/>
                <w:szCs w:val="20"/>
              </w:rPr>
              <w:t>Indicators</w:t>
            </w:r>
          </w:p>
        </w:tc>
        <w:tc>
          <w:tcPr>
            <w:tcW w:w="1275" w:type="dxa"/>
            <w:tcBorders>
              <w:top w:val="single" w:sz="4" w:space="0" w:color="auto"/>
              <w:left w:val="single" w:sz="4" w:space="0" w:color="auto"/>
              <w:right w:val="single" w:sz="4" w:space="0" w:color="auto"/>
            </w:tcBorders>
            <w:shd w:val="clear" w:color="auto" w:fill="D9E2F3" w:themeFill="accent1" w:themeFillTint="33"/>
          </w:tcPr>
          <w:p w14:paraId="19EF72A3" w14:textId="410DEF63" w:rsidR="00E01E52" w:rsidRPr="005E4B11" w:rsidRDefault="00E01E52" w:rsidP="00844E81">
            <w:pPr>
              <w:spacing w:after="120"/>
              <w:rPr>
                <w:rFonts w:cs="Arial"/>
                <w:b/>
                <w:bCs/>
                <w:sz w:val="20"/>
                <w:szCs w:val="20"/>
              </w:rPr>
            </w:pPr>
            <w:r w:rsidRPr="005E4B11">
              <w:rPr>
                <w:rFonts w:cs="Arial"/>
                <w:b/>
                <w:bCs/>
                <w:sz w:val="20"/>
                <w:szCs w:val="20"/>
              </w:rPr>
              <w:t>2020 Milestone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0FFFAA" w14:textId="09097A32" w:rsidR="00E01E52" w:rsidRDefault="00E01E52" w:rsidP="004339DE">
            <w:pPr>
              <w:spacing w:after="120"/>
              <w:jc w:val="center"/>
              <w:rPr>
                <w:rFonts w:cs="Arial"/>
                <w:b/>
                <w:bCs/>
                <w:sz w:val="20"/>
                <w:szCs w:val="20"/>
              </w:rPr>
            </w:pPr>
            <w:r>
              <w:rPr>
                <w:rFonts w:cs="Arial"/>
                <w:b/>
                <w:bCs/>
                <w:sz w:val="20"/>
                <w:szCs w:val="20"/>
              </w:rPr>
              <w:t xml:space="preserve">2020 </w:t>
            </w:r>
            <w:r w:rsidRPr="005E4B11">
              <w:rPr>
                <w:rFonts w:cs="Arial"/>
                <w:b/>
                <w:bCs/>
                <w:sz w:val="20"/>
                <w:szCs w:val="20"/>
              </w:rPr>
              <w:t xml:space="preserve">Progress </w:t>
            </w:r>
          </w:p>
        </w:tc>
      </w:tr>
      <w:tr w:rsidR="00E01E52" w:rsidRPr="006778A3" w14:paraId="0CE6F6CD" w14:textId="64C50676" w:rsidTr="00726F31">
        <w:trPr>
          <w:trHeight w:val="273"/>
        </w:trPr>
        <w:tc>
          <w:tcPr>
            <w:tcW w:w="4390" w:type="dxa"/>
            <w:vMerge/>
            <w:tcBorders>
              <w:left w:val="single" w:sz="4" w:space="0" w:color="auto"/>
              <w:bottom w:val="single" w:sz="4" w:space="0" w:color="auto"/>
              <w:right w:val="single" w:sz="4" w:space="0" w:color="auto"/>
            </w:tcBorders>
            <w:shd w:val="clear" w:color="auto" w:fill="D9E2F3" w:themeFill="accent1" w:themeFillTint="33"/>
            <w:hideMark/>
          </w:tcPr>
          <w:p w14:paraId="3881DD6C" w14:textId="1D452ABF" w:rsidR="00E01E52" w:rsidRPr="005E4B11" w:rsidRDefault="00E01E52" w:rsidP="00EA6FA1">
            <w:pPr>
              <w:spacing w:after="120"/>
              <w:rPr>
                <w:rFonts w:cs="Arial"/>
                <w:b/>
                <w:bCs/>
                <w:sz w:val="20"/>
                <w:szCs w:val="20"/>
              </w:rPr>
            </w:pPr>
          </w:p>
        </w:tc>
        <w:tc>
          <w:tcPr>
            <w:tcW w:w="1275" w:type="dxa"/>
            <w:tcBorders>
              <w:left w:val="single" w:sz="4" w:space="0" w:color="auto"/>
              <w:bottom w:val="single" w:sz="4" w:space="0" w:color="auto"/>
              <w:right w:val="single" w:sz="4" w:space="0" w:color="auto"/>
            </w:tcBorders>
            <w:shd w:val="clear" w:color="auto" w:fill="D9E2F3" w:themeFill="accent1" w:themeFillTint="33"/>
            <w:hideMark/>
          </w:tcPr>
          <w:p w14:paraId="69185BA9" w14:textId="68006F91" w:rsidR="00E01E52" w:rsidRPr="005E4B11" w:rsidRDefault="00E01E52" w:rsidP="00EA6FA1">
            <w:pPr>
              <w:spacing w:after="120"/>
              <w:rPr>
                <w:rFonts w:cs="Arial"/>
                <w:b/>
                <w:bCs/>
                <w:sz w:val="20"/>
                <w:szCs w:val="20"/>
              </w:rPr>
            </w:pPr>
            <w:r>
              <w:rPr>
                <w:rFonts w:cs="Arial"/>
                <w:b/>
                <w:bCs/>
                <w:sz w:val="20"/>
                <w:szCs w:val="20"/>
              </w:rPr>
              <w:t>cumulative</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16405" w14:textId="3A165FC2" w:rsidR="00E01E52" w:rsidRPr="005E4B11" w:rsidRDefault="00E01E52" w:rsidP="00EA6FA1">
            <w:pPr>
              <w:spacing w:after="120"/>
              <w:rPr>
                <w:rFonts w:cs="Arial"/>
                <w:b/>
                <w:bCs/>
                <w:sz w:val="20"/>
                <w:szCs w:val="20"/>
              </w:rPr>
            </w:pPr>
            <w:r>
              <w:rPr>
                <w:rFonts w:cs="Arial"/>
                <w:b/>
                <w:bCs/>
                <w:sz w:val="20"/>
                <w:szCs w:val="20"/>
              </w:rPr>
              <w:t>cumulative</w:t>
            </w:r>
          </w:p>
        </w:tc>
        <w:tc>
          <w:tcPr>
            <w:tcW w:w="198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595DAAB" w14:textId="345B501B" w:rsidR="00E01E52" w:rsidRPr="005E4B11" w:rsidRDefault="00E01E52" w:rsidP="00EA6FA1">
            <w:pPr>
              <w:spacing w:after="120"/>
              <w:rPr>
                <w:rFonts w:cs="Arial"/>
                <w:b/>
                <w:bCs/>
                <w:sz w:val="20"/>
                <w:szCs w:val="20"/>
              </w:rPr>
            </w:pPr>
            <w:r>
              <w:rPr>
                <w:rFonts w:cs="Arial"/>
                <w:b/>
                <w:bCs/>
                <w:sz w:val="20"/>
                <w:szCs w:val="20"/>
              </w:rPr>
              <w:t xml:space="preserve">In-year </w:t>
            </w:r>
          </w:p>
        </w:tc>
      </w:tr>
      <w:tr w:rsidR="004339DE" w:rsidRPr="006D6C87" w14:paraId="04218FE0" w14:textId="5B225634" w:rsidTr="00726F31">
        <w:tc>
          <w:tcPr>
            <w:tcW w:w="4390" w:type="dxa"/>
            <w:tcBorders>
              <w:top w:val="single" w:sz="4" w:space="0" w:color="auto"/>
              <w:left w:val="single" w:sz="4" w:space="0" w:color="auto"/>
              <w:bottom w:val="single" w:sz="4" w:space="0" w:color="auto"/>
              <w:right w:val="single" w:sz="4" w:space="0" w:color="auto"/>
            </w:tcBorders>
          </w:tcPr>
          <w:p w14:paraId="1396C7EE" w14:textId="464F9BD2" w:rsidR="004339DE" w:rsidRPr="005E4B11" w:rsidRDefault="004339DE" w:rsidP="00EA6FA1">
            <w:pPr>
              <w:spacing w:after="120"/>
              <w:rPr>
                <w:rFonts w:cs="Arial"/>
                <w:bCs/>
                <w:iCs/>
                <w:sz w:val="20"/>
                <w:szCs w:val="20"/>
              </w:rPr>
            </w:pPr>
            <w:r w:rsidRPr="005E4B11">
              <w:rPr>
                <w:rFonts w:cs="Arial"/>
                <w:b/>
                <w:iCs/>
                <w:sz w:val="20"/>
                <w:szCs w:val="20"/>
              </w:rPr>
              <w:t>Output 2.1</w:t>
            </w:r>
            <w:r w:rsidRPr="005E4B11">
              <w:rPr>
                <w:rFonts w:cs="Arial"/>
                <w:bCs/>
                <w:iCs/>
                <w:sz w:val="20"/>
                <w:szCs w:val="20"/>
              </w:rPr>
              <w:t xml:space="preserve"> </w:t>
            </w:r>
            <w:r w:rsidRPr="005E4B11">
              <w:rPr>
                <w:rFonts w:cs="Arial"/>
                <w:bCs/>
                <w:i/>
                <w:sz w:val="20"/>
                <w:szCs w:val="20"/>
              </w:rPr>
              <w:t>Number of methodologies, market instruments, or regulatory instruments designed and/or introduced that support the bankability of low carbon infrastructure projects in SIP designated sectors and markets as a result of SIP Technical Assistance</w:t>
            </w:r>
          </w:p>
        </w:tc>
        <w:tc>
          <w:tcPr>
            <w:tcW w:w="1275" w:type="dxa"/>
            <w:tcBorders>
              <w:top w:val="single" w:sz="4" w:space="0" w:color="auto"/>
              <w:left w:val="single" w:sz="4" w:space="0" w:color="auto"/>
              <w:bottom w:val="single" w:sz="4" w:space="0" w:color="auto"/>
              <w:right w:val="single" w:sz="4" w:space="0" w:color="auto"/>
            </w:tcBorders>
          </w:tcPr>
          <w:p w14:paraId="1A80A472" w14:textId="28665849" w:rsidR="004339DE" w:rsidRPr="005E4B11" w:rsidRDefault="004339DE" w:rsidP="00EA6FA1">
            <w:pPr>
              <w:spacing w:after="120"/>
              <w:rPr>
                <w:rFonts w:cs="Arial"/>
                <w:bCs/>
                <w:iCs/>
                <w:sz w:val="20"/>
                <w:szCs w:val="20"/>
              </w:rPr>
            </w:pPr>
            <w:r w:rsidRPr="005E4B11">
              <w:rPr>
                <w:rFonts w:cs="Arial"/>
                <w:bCs/>
                <w:iCs/>
                <w:sz w:val="20"/>
                <w:szCs w:val="20"/>
              </w:rPr>
              <w:t xml:space="preserve">2 </w:t>
            </w:r>
          </w:p>
        </w:tc>
        <w:tc>
          <w:tcPr>
            <w:tcW w:w="1418" w:type="dxa"/>
            <w:tcBorders>
              <w:top w:val="single" w:sz="4" w:space="0" w:color="auto"/>
              <w:left w:val="single" w:sz="4" w:space="0" w:color="auto"/>
              <w:bottom w:val="single" w:sz="4" w:space="0" w:color="auto"/>
              <w:right w:val="single" w:sz="4" w:space="0" w:color="auto"/>
            </w:tcBorders>
          </w:tcPr>
          <w:p w14:paraId="0E6E811C" w14:textId="12915877" w:rsidR="004339DE" w:rsidRPr="005E4B11" w:rsidRDefault="004339DE" w:rsidP="00EA6FA1">
            <w:pPr>
              <w:spacing w:after="120"/>
              <w:rPr>
                <w:rFonts w:cs="Arial"/>
                <w:bCs/>
                <w:iCs/>
                <w:sz w:val="20"/>
                <w:szCs w:val="20"/>
              </w:rPr>
            </w:pPr>
            <w:r w:rsidRPr="005E4B11">
              <w:rPr>
                <w:rFonts w:cs="Arial"/>
                <w:bCs/>
                <w:iCs/>
                <w:sz w:val="20"/>
                <w:szCs w:val="20"/>
              </w:rPr>
              <w:t xml:space="preserve">2 </w:t>
            </w:r>
          </w:p>
          <w:p w14:paraId="5431589E" w14:textId="24DF63BB" w:rsidR="004339DE" w:rsidRPr="005E4B11" w:rsidRDefault="004339DE" w:rsidP="00EA6FA1">
            <w:pPr>
              <w:spacing w:after="120"/>
              <w:rPr>
                <w:rFonts w:cs="Arial"/>
                <w:bCs/>
                <w:i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03FD92F" w14:textId="3178171F" w:rsidR="004339DE" w:rsidRDefault="004339DE" w:rsidP="00EA6FA1">
            <w:pPr>
              <w:spacing w:after="120"/>
              <w:rPr>
                <w:rFonts w:cs="Arial"/>
                <w:bCs/>
                <w:iCs/>
                <w:sz w:val="20"/>
                <w:szCs w:val="20"/>
              </w:rPr>
            </w:pPr>
            <w:r w:rsidRPr="005E4B11">
              <w:rPr>
                <w:rFonts w:cs="Arial"/>
                <w:bCs/>
                <w:iCs/>
                <w:sz w:val="20"/>
                <w:szCs w:val="20"/>
              </w:rPr>
              <w:t xml:space="preserve">1 </w:t>
            </w:r>
            <w:r>
              <w:rPr>
                <w:rFonts w:cs="Arial"/>
                <w:bCs/>
                <w:iCs/>
                <w:sz w:val="20"/>
                <w:szCs w:val="20"/>
              </w:rPr>
              <w:t>-</w:t>
            </w:r>
          </w:p>
          <w:p w14:paraId="4F51F05E" w14:textId="2BFFD29F" w:rsidR="004339DE" w:rsidRPr="005E4B11" w:rsidRDefault="004339DE" w:rsidP="00EA6FA1">
            <w:pPr>
              <w:spacing w:after="120"/>
              <w:rPr>
                <w:rFonts w:cs="Arial"/>
                <w:bCs/>
                <w:iCs/>
                <w:sz w:val="20"/>
                <w:szCs w:val="20"/>
              </w:rPr>
            </w:pPr>
            <w:r w:rsidRPr="005E4B11">
              <w:rPr>
                <w:rFonts w:cs="Arial"/>
                <w:bCs/>
                <w:iCs/>
                <w:sz w:val="20"/>
                <w:szCs w:val="20"/>
              </w:rPr>
              <w:t>Green T Lines</w:t>
            </w:r>
            <w:r>
              <w:rPr>
                <w:rFonts w:cs="Arial"/>
                <w:bCs/>
                <w:iCs/>
                <w:sz w:val="20"/>
                <w:szCs w:val="20"/>
              </w:rPr>
              <w:t xml:space="preserve"> (regional)</w:t>
            </w:r>
          </w:p>
        </w:tc>
      </w:tr>
      <w:tr w:rsidR="004339DE" w:rsidRPr="006D6C87" w14:paraId="77797E6A" w14:textId="584AC628" w:rsidTr="00726F31">
        <w:tc>
          <w:tcPr>
            <w:tcW w:w="4390" w:type="dxa"/>
            <w:tcBorders>
              <w:top w:val="single" w:sz="4" w:space="0" w:color="auto"/>
              <w:left w:val="single" w:sz="4" w:space="0" w:color="auto"/>
              <w:bottom w:val="single" w:sz="4" w:space="0" w:color="auto"/>
              <w:right w:val="single" w:sz="4" w:space="0" w:color="auto"/>
            </w:tcBorders>
          </w:tcPr>
          <w:p w14:paraId="16993C20" w14:textId="67BFF06D" w:rsidR="004339DE" w:rsidRPr="005E4B11" w:rsidRDefault="004339DE" w:rsidP="00EA6FA1">
            <w:pPr>
              <w:spacing w:after="120"/>
              <w:rPr>
                <w:rFonts w:cs="Arial"/>
                <w:bCs/>
                <w:iCs/>
                <w:sz w:val="20"/>
                <w:szCs w:val="20"/>
              </w:rPr>
            </w:pPr>
            <w:r w:rsidRPr="005E4B11">
              <w:rPr>
                <w:rFonts w:cs="Arial"/>
                <w:b/>
                <w:iCs/>
                <w:sz w:val="20"/>
                <w:szCs w:val="20"/>
              </w:rPr>
              <w:t>Output 2.2</w:t>
            </w:r>
            <w:r w:rsidRPr="005E4B11">
              <w:rPr>
                <w:sz w:val="20"/>
                <w:szCs w:val="20"/>
              </w:rPr>
              <w:t xml:space="preserve"> </w:t>
            </w:r>
            <w:r w:rsidRPr="005E4B11">
              <w:rPr>
                <w:rFonts w:cs="Arial"/>
                <w:bCs/>
                <w:i/>
                <w:sz w:val="20"/>
                <w:szCs w:val="20"/>
              </w:rPr>
              <w:t>Number of technical advisory engagements that improve the emissions profile, or bankability of low carbon infrastructure projects</w:t>
            </w:r>
          </w:p>
        </w:tc>
        <w:tc>
          <w:tcPr>
            <w:tcW w:w="1275" w:type="dxa"/>
            <w:tcBorders>
              <w:top w:val="single" w:sz="4" w:space="0" w:color="auto"/>
              <w:left w:val="single" w:sz="4" w:space="0" w:color="auto"/>
              <w:bottom w:val="single" w:sz="4" w:space="0" w:color="auto"/>
              <w:right w:val="single" w:sz="4" w:space="0" w:color="auto"/>
            </w:tcBorders>
          </w:tcPr>
          <w:p w14:paraId="0FA45080" w14:textId="786A7DBB" w:rsidR="004339DE" w:rsidRPr="005E4B11" w:rsidRDefault="004339DE" w:rsidP="00EA6FA1">
            <w:pPr>
              <w:spacing w:after="120"/>
              <w:rPr>
                <w:rFonts w:cs="Arial"/>
                <w:bCs/>
                <w:iCs/>
                <w:sz w:val="20"/>
                <w:szCs w:val="20"/>
              </w:rPr>
            </w:pPr>
            <w:r w:rsidRPr="005E4B11">
              <w:rPr>
                <w:rFonts w:cs="Arial"/>
                <w:bCs/>
                <w:iCs/>
                <w:sz w:val="20"/>
                <w:szCs w:val="20"/>
              </w:rPr>
              <w:t xml:space="preserve">6 </w:t>
            </w:r>
          </w:p>
        </w:tc>
        <w:tc>
          <w:tcPr>
            <w:tcW w:w="1418" w:type="dxa"/>
            <w:tcBorders>
              <w:top w:val="single" w:sz="4" w:space="0" w:color="auto"/>
              <w:left w:val="single" w:sz="4" w:space="0" w:color="auto"/>
              <w:bottom w:val="single" w:sz="4" w:space="0" w:color="auto"/>
              <w:right w:val="single" w:sz="4" w:space="0" w:color="auto"/>
            </w:tcBorders>
          </w:tcPr>
          <w:p w14:paraId="4E597FB3" w14:textId="44A548D5" w:rsidR="004339DE" w:rsidRPr="005E4B11" w:rsidRDefault="004339DE" w:rsidP="00EA6FA1">
            <w:pPr>
              <w:spacing w:after="120"/>
              <w:rPr>
                <w:rFonts w:cs="Arial"/>
                <w:bCs/>
                <w:iCs/>
                <w:sz w:val="20"/>
                <w:szCs w:val="20"/>
              </w:rPr>
            </w:pPr>
            <w:r w:rsidRPr="005E4B11">
              <w:rPr>
                <w:rFonts w:cs="Arial"/>
                <w:bCs/>
                <w:iCs/>
                <w:sz w:val="20"/>
                <w:szCs w:val="20"/>
              </w:rPr>
              <w:t xml:space="preserve">4 </w:t>
            </w:r>
          </w:p>
          <w:p w14:paraId="2DB0ECCF" w14:textId="13E7EF8B" w:rsidR="004339DE" w:rsidRPr="005E4B11" w:rsidRDefault="004339DE" w:rsidP="00EA6FA1">
            <w:pPr>
              <w:spacing w:after="120"/>
              <w:rPr>
                <w:rFonts w:cs="Arial"/>
                <w:bCs/>
                <w:iCs/>
                <w:sz w:val="20"/>
                <w:szCs w:val="20"/>
              </w:rPr>
            </w:pPr>
          </w:p>
        </w:tc>
        <w:tc>
          <w:tcPr>
            <w:tcW w:w="1984" w:type="dxa"/>
            <w:tcBorders>
              <w:top w:val="single" w:sz="4" w:space="0" w:color="auto"/>
              <w:left w:val="single" w:sz="4" w:space="0" w:color="auto"/>
              <w:bottom w:val="single" w:sz="4" w:space="0" w:color="auto"/>
              <w:right w:val="single" w:sz="4" w:space="0" w:color="auto"/>
            </w:tcBorders>
          </w:tcPr>
          <w:p w14:paraId="632D9473" w14:textId="7D7FC6C6" w:rsidR="004339DE" w:rsidRPr="004339DE" w:rsidRDefault="004339DE" w:rsidP="00EA6FA1">
            <w:pPr>
              <w:spacing w:after="120"/>
              <w:rPr>
                <w:rFonts w:cs="Arial"/>
                <w:bCs/>
                <w:iCs/>
                <w:sz w:val="20"/>
                <w:szCs w:val="20"/>
              </w:rPr>
            </w:pPr>
            <w:r w:rsidRPr="004339DE">
              <w:rPr>
                <w:rFonts w:cs="Arial"/>
                <w:bCs/>
                <w:iCs/>
                <w:sz w:val="20"/>
                <w:szCs w:val="20"/>
              </w:rPr>
              <w:t xml:space="preserve">1 </w:t>
            </w:r>
            <w:r>
              <w:rPr>
                <w:rFonts w:cs="Arial"/>
                <w:bCs/>
                <w:iCs/>
                <w:sz w:val="20"/>
                <w:szCs w:val="20"/>
              </w:rPr>
              <w:t xml:space="preserve">- </w:t>
            </w:r>
          </w:p>
          <w:p w14:paraId="47A0C386" w14:textId="093DB1E6" w:rsidR="004339DE" w:rsidRPr="004339DE" w:rsidRDefault="004339DE" w:rsidP="00EA6FA1">
            <w:pPr>
              <w:spacing w:after="120"/>
              <w:rPr>
                <w:rFonts w:cs="Arial"/>
                <w:bCs/>
                <w:iCs/>
                <w:sz w:val="20"/>
                <w:szCs w:val="20"/>
              </w:rPr>
            </w:pPr>
            <w:r w:rsidRPr="004339DE">
              <w:rPr>
                <w:rFonts w:cs="Arial"/>
                <w:iCs/>
                <w:sz w:val="20"/>
                <w:szCs w:val="20"/>
              </w:rPr>
              <w:t xml:space="preserve">Legal review to enable channel blended </w:t>
            </w:r>
            <w:r w:rsidRPr="009B1D5A">
              <w:rPr>
                <w:rFonts w:cs="Arial"/>
                <w:iCs/>
                <w:sz w:val="20"/>
                <w:szCs w:val="20"/>
              </w:rPr>
              <w:t>finance funds into</w:t>
            </w:r>
            <w:r w:rsidR="009B1D5A">
              <w:rPr>
                <w:rFonts w:cs="Arial"/>
                <w:iCs/>
                <w:sz w:val="20"/>
                <w:szCs w:val="20"/>
              </w:rPr>
              <w:t xml:space="preserve"> </w:t>
            </w:r>
            <w:r w:rsidR="009B1D5A" w:rsidRPr="009B1D5A">
              <w:rPr>
                <w:rFonts w:cs="Arial"/>
                <w:sz w:val="20"/>
                <w:szCs w:val="20"/>
              </w:rPr>
              <w:t>Brazil’s Credit Rights Investment Fund (FDIC)</w:t>
            </w:r>
            <w:r w:rsidR="0034219D">
              <w:rPr>
                <w:rStyle w:val="FootnoteReference"/>
                <w:rFonts w:cs="Arial"/>
                <w:sz w:val="20"/>
                <w:szCs w:val="20"/>
              </w:rPr>
              <w:footnoteReference w:id="11"/>
            </w:r>
          </w:p>
        </w:tc>
      </w:tr>
    </w:tbl>
    <w:p w14:paraId="3E97E139" w14:textId="473F77E0" w:rsidR="00FE75F3" w:rsidRPr="00FD0963" w:rsidRDefault="00A22C96" w:rsidP="004F3027">
      <w:pPr>
        <w:keepNext/>
        <w:spacing w:before="120" w:after="120"/>
        <w:jc w:val="both"/>
        <w:rPr>
          <w:rFonts w:cs="Arial"/>
          <w:b/>
          <w:bCs/>
          <w:sz w:val="22"/>
          <w:szCs w:val="22"/>
        </w:rPr>
      </w:pPr>
      <w:r w:rsidRPr="001026F0">
        <w:rPr>
          <w:rFonts w:cs="Arial"/>
          <w:b/>
          <w:bCs/>
          <w:sz w:val="22"/>
          <w:szCs w:val="22"/>
        </w:rPr>
        <w:t xml:space="preserve">Briefly </w:t>
      </w:r>
      <w:r w:rsidRPr="00FD0963">
        <w:rPr>
          <w:rFonts w:cs="Arial"/>
          <w:b/>
          <w:bCs/>
          <w:sz w:val="22"/>
          <w:szCs w:val="22"/>
        </w:rPr>
        <w:t xml:space="preserve">describe the output and provide supporting narrative for the score. </w:t>
      </w:r>
    </w:p>
    <w:p w14:paraId="25A3F3A6" w14:textId="0AFF80F9" w:rsidR="00FE3997" w:rsidRPr="00C87DF4" w:rsidRDefault="000D69A5" w:rsidP="00A86E22">
      <w:pPr>
        <w:autoSpaceDE w:val="0"/>
        <w:autoSpaceDN w:val="0"/>
        <w:adjustRightInd w:val="0"/>
        <w:spacing w:after="120"/>
        <w:jc w:val="both"/>
        <w:rPr>
          <w:rFonts w:cs="Arial"/>
          <w:sz w:val="22"/>
          <w:szCs w:val="22"/>
        </w:rPr>
      </w:pPr>
      <w:r w:rsidRPr="00FD0963">
        <w:rPr>
          <w:rFonts w:cs="Arial"/>
          <w:sz w:val="22"/>
          <w:szCs w:val="22"/>
        </w:rPr>
        <w:t xml:space="preserve">Output 2 </w:t>
      </w:r>
      <w:r w:rsidR="004339DE">
        <w:rPr>
          <w:rFonts w:cs="Arial"/>
          <w:sz w:val="22"/>
          <w:szCs w:val="22"/>
        </w:rPr>
        <w:t>assesses</w:t>
      </w:r>
      <w:r w:rsidRPr="00FD0963">
        <w:rPr>
          <w:rFonts w:cs="Arial"/>
          <w:sz w:val="22"/>
          <w:szCs w:val="22"/>
        </w:rPr>
        <w:t xml:space="preserve"> SIP</w:t>
      </w:r>
      <w:r w:rsidR="004719A8" w:rsidRPr="00FD0963">
        <w:rPr>
          <w:rFonts w:cs="Arial"/>
          <w:sz w:val="22"/>
          <w:szCs w:val="22"/>
        </w:rPr>
        <w:t>-</w:t>
      </w:r>
      <w:r w:rsidR="004719A8" w:rsidRPr="00C87DF4">
        <w:rPr>
          <w:rFonts w:cs="Arial"/>
          <w:sz w:val="22"/>
          <w:szCs w:val="22"/>
        </w:rPr>
        <w:t>LA</w:t>
      </w:r>
      <w:r w:rsidRPr="00C87DF4">
        <w:rPr>
          <w:rFonts w:cs="Arial"/>
          <w:sz w:val="22"/>
          <w:szCs w:val="22"/>
        </w:rPr>
        <w:t xml:space="preserve">’s </w:t>
      </w:r>
      <w:r w:rsidR="004339DE" w:rsidRPr="00C87DF4">
        <w:rPr>
          <w:rFonts w:cs="Arial"/>
          <w:sz w:val="22"/>
          <w:szCs w:val="22"/>
        </w:rPr>
        <w:t>improvement to</w:t>
      </w:r>
      <w:r w:rsidR="00FE3997" w:rsidRPr="00C87DF4">
        <w:rPr>
          <w:rFonts w:cs="Arial"/>
          <w:sz w:val="22"/>
          <w:szCs w:val="22"/>
        </w:rPr>
        <w:t xml:space="preserve"> the pipeline of commercial low carbon private sector infrastructure projects</w:t>
      </w:r>
      <w:r w:rsidR="00367E3C" w:rsidRPr="00C87DF4">
        <w:rPr>
          <w:rFonts w:cs="Arial"/>
          <w:sz w:val="22"/>
          <w:szCs w:val="22"/>
        </w:rPr>
        <w:t xml:space="preserve"> through its private-sector technical assistance</w:t>
      </w:r>
      <w:r w:rsidR="00FE3997" w:rsidRPr="00C87DF4">
        <w:rPr>
          <w:rFonts w:cs="Arial"/>
          <w:sz w:val="22"/>
          <w:szCs w:val="22"/>
        </w:rPr>
        <w:t>. SIP</w:t>
      </w:r>
      <w:r w:rsidR="00DF0D05" w:rsidRPr="00C87DF4">
        <w:rPr>
          <w:rFonts w:cs="Arial"/>
          <w:sz w:val="22"/>
          <w:szCs w:val="22"/>
        </w:rPr>
        <w:t>-LA</w:t>
      </w:r>
      <w:r w:rsidR="00FE3997" w:rsidRPr="00C87DF4">
        <w:rPr>
          <w:rFonts w:cs="Arial"/>
          <w:sz w:val="22"/>
          <w:szCs w:val="22"/>
        </w:rPr>
        <w:t xml:space="preserve"> has </w:t>
      </w:r>
      <w:r w:rsidR="001B4B4E" w:rsidRPr="00C87DF4">
        <w:rPr>
          <w:rFonts w:cs="Arial"/>
          <w:sz w:val="22"/>
          <w:szCs w:val="22"/>
        </w:rPr>
        <w:t xml:space="preserve">achieved </w:t>
      </w:r>
      <w:r w:rsidR="006B68C8" w:rsidRPr="00513E41">
        <w:rPr>
          <w:rFonts w:cs="Arial"/>
          <w:sz w:val="22"/>
          <w:szCs w:val="22"/>
        </w:rPr>
        <w:t xml:space="preserve">B </w:t>
      </w:r>
      <w:r w:rsidR="001B4B4E" w:rsidRPr="00C87DF4">
        <w:rPr>
          <w:rFonts w:cs="Arial"/>
          <w:sz w:val="22"/>
          <w:szCs w:val="22"/>
        </w:rPr>
        <w:t xml:space="preserve">for output 2. </w:t>
      </w:r>
      <w:r w:rsidR="0069520C" w:rsidRPr="00C87DF4">
        <w:rPr>
          <w:rFonts w:cs="Arial"/>
          <w:sz w:val="22"/>
          <w:szCs w:val="22"/>
        </w:rPr>
        <w:t>SIP-LA</w:t>
      </w:r>
      <w:r w:rsidR="001B4B4E" w:rsidRPr="00C87DF4">
        <w:rPr>
          <w:rFonts w:cs="Arial"/>
          <w:sz w:val="22"/>
          <w:szCs w:val="22"/>
        </w:rPr>
        <w:t xml:space="preserve"> achieved its milestone for output </w:t>
      </w:r>
      <w:r w:rsidR="0003137D" w:rsidRPr="00C87DF4">
        <w:rPr>
          <w:rFonts w:cs="Arial"/>
          <w:sz w:val="22"/>
          <w:szCs w:val="22"/>
        </w:rPr>
        <w:t xml:space="preserve">indicator </w:t>
      </w:r>
      <w:r w:rsidR="001B4B4E" w:rsidRPr="00C87DF4">
        <w:rPr>
          <w:rFonts w:cs="Arial"/>
          <w:sz w:val="22"/>
          <w:szCs w:val="22"/>
        </w:rPr>
        <w:t>2.1</w:t>
      </w:r>
      <w:r w:rsidR="00E01E52" w:rsidRPr="00C87DF4">
        <w:rPr>
          <w:rFonts w:cs="Arial"/>
          <w:sz w:val="22"/>
          <w:szCs w:val="22"/>
        </w:rPr>
        <w:t xml:space="preserve"> and </w:t>
      </w:r>
      <w:r w:rsidR="0003137D" w:rsidRPr="00C87DF4">
        <w:rPr>
          <w:rFonts w:cs="Arial"/>
          <w:sz w:val="22"/>
          <w:szCs w:val="22"/>
        </w:rPr>
        <w:t>underachieved its milestone for output indicator 2.2</w:t>
      </w:r>
      <w:r w:rsidR="009928D9" w:rsidRPr="00C87DF4">
        <w:rPr>
          <w:rFonts w:cs="Arial"/>
          <w:sz w:val="22"/>
          <w:szCs w:val="22"/>
        </w:rPr>
        <w:t>.</w:t>
      </w:r>
    </w:p>
    <w:p w14:paraId="4E98485E" w14:textId="03BB7FE8" w:rsidR="00A12F7A" w:rsidRPr="00C87DF4" w:rsidRDefault="00D917AA" w:rsidP="00D64AAE">
      <w:pPr>
        <w:autoSpaceDE w:val="0"/>
        <w:autoSpaceDN w:val="0"/>
        <w:adjustRightInd w:val="0"/>
        <w:spacing w:after="120"/>
        <w:jc w:val="both"/>
        <w:rPr>
          <w:rFonts w:cs="Arial"/>
          <w:i/>
          <w:sz w:val="22"/>
          <w:szCs w:val="22"/>
        </w:rPr>
      </w:pPr>
      <w:r w:rsidRPr="00C87DF4">
        <w:rPr>
          <w:rFonts w:eastAsiaTheme="minorEastAsia" w:cs="Arial"/>
          <w:b/>
          <w:color w:val="000000" w:themeColor="text1"/>
          <w:sz w:val="22"/>
          <w:szCs w:val="22"/>
        </w:rPr>
        <w:t xml:space="preserve">Output </w:t>
      </w:r>
      <w:r w:rsidR="006930E4" w:rsidRPr="00C87DF4">
        <w:rPr>
          <w:rFonts w:eastAsiaTheme="minorEastAsia" w:cs="Arial"/>
          <w:b/>
          <w:color w:val="000000" w:themeColor="text1"/>
          <w:sz w:val="22"/>
          <w:szCs w:val="22"/>
        </w:rPr>
        <w:t xml:space="preserve">indicator </w:t>
      </w:r>
      <w:r w:rsidRPr="00C87DF4">
        <w:rPr>
          <w:rFonts w:eastAsiaTheme="minorEastAsia" w:cs="Arial"/>
          <w:b/>
          <w:color w:val="000000" w:themeColor="text1"/>
          <w:sz w:val="22"/>
          <w:szCs w:val="22"/>
        </w:rPr>
        <w:t xml:space="preserve">2.1 </w:t>
      </w:r>
      <w:r w:rsidR="00935722" w:rsidRPr="00C87DF4">
        <w:rPr>
          <w:rFonts w:eastAsiaTheme="minorEastAsia" w:cs="Arial"/>
          <w:color w:val="000000" w:themeColor="text1"/>
          <w:sz w:val="22"/>
          <w:szCs w:val="22"/>
        </w:rPr>
        <w:t>measures the</w:t>
      </w:r>
      <w:r w:rsidR="00935722" w:rsidRPr="00C87DF4">
        <w:rPr>
          <w:rFonts w:eastAsiaTheme="minorEastAsia" w:cs="Arial"/>
          <w:b/>
          <w:color w:val="000000" w:themeColor="text1"/>
          <w:sz w:val="22"/>
          <w:szCs w:val="22"/>
        </w:rPr>
        <w:t xml:space="preserve"> </w:t>
      </w:r>
      <w:r w:rsidR="00935722" w:rsidRPr="00C87DF4">
        <w:rPr>
          <w:rFonts w:cs="Arial"/>
          <w:sz w:val="22"/>
          <w:szCs w:val="22"/>
        </w:rPr>
        <w:t>n</w:t>
      </w:r>
      <w:r w:rsidRPr="00C87DF4">
        <w:rPr>
          <w:rFonts w:cs="Arial"/>
          <w:sz w:val="22"/>
          <w:szCs w:val="22"/>
        </w:rPr>
        <w:t>umber of methodologies, market instruments, or regulatory instruments designed or introduced that support the bankability of low carbon infrastructure projects as a result of SIP</w:t>
      </w:r>
      <w:r w:rsidR="009928D9" w:rsidRPr="00C87DF4">
        <w:rPr>
          <w:rFonts w:cs="Arial"/>
          <w:sz w:val="22"/>
          <w:szCs w:val="22"/>
        </w:rPr>
        <w:t>-LA</w:t>
      </w:r>
      <w:r w:rsidRPr="00C87DF4">
        <w:rPr>
          <w:rFonts w:cs="Arial"/>
          <w:sz w:val="22"/>
          <w:szCs w:val="22"/>
        </w:rPr>
        <w:t xml:space="preserve"> </w:t>
      </w:r>
      <w:r w:rsidR="00192062" w:rsidRPr="00C87DF4">
        <w:rPr>
          <w:rFonts w:cs="Arial"/>
          <w:sz w:val="22"/>
          <w:szCs w:val="22"/>
        </w:rPr>
        <w:t>private sector t</w:t>
      </w:r>
      <w:r w:rsidRPr="00C87DF4">
        <w:rPr>
          <w:rFonts w:cs="Arial"/>
          <w:sz w:val="22"/>
          <w:szCs w:val="22"/>
        </w:rPr>
        <w:t xml:space="preserve">echnical </w:t>
      </w:r>
      <w:r w:rsidR="00192062" w:rsidRPr="00C87DF4">
        <w:rPr>
          <w:rFonts w:cs="Arial"/>
          <w:sz w:val="22"/>
          <w:szCs w:val="22"/>
        </w:rPr>
        <w:t>a</w:t>
      </w:r>
      <w:r w:rsidRPr="00C87DF4">
        <w:rPr>
          <w:rFonts w:cs="Arial"/>
          <w:sz w:val="22"/>
          <w:szCs w:val="22"/>
        </w:rPr>
        <w:t>ssistance</w:t>
      </w:r>
      <w:r w:rsidR="00281FF3" w:rsidRPr="00C87DF4">
        <w:rPr>
          <w:rFonts w:cs="Arial"/>
          <w:sz w:val="22"/>
          <w:szCs w:val="22"/>
        </w:rPr>
        <w:t>.</w:t>
      </w:r>
      <w:r w:rsidR="009928D9" w:rsidRPr="00C87DF4">
        <w:rPr>
          <w:rFonts w:cs="Arial"/>
          <w:sz w:val="22"/>
          <w:szCs w:val="22"/>
        </w:rPr>
        <w:t xml:space="preserve"> </w:t>
      </w:r>
      <w:r w:rsidR="00192062" w:rsidRPr="00C87DF4">
        <w:rPr>
          <w:rFonts w:cs="Arial"/>
          <w:sz w:val="22"/>
          <w:szCs w:val="22"/>
        </w:rPr>
        <w:t xml:space="preserve">SIP-LA achieved one new methodology </w:t>
      </w:r>
      <w:r w:rsidR="0072413B" w:rsidRPr="00C87DF4">
        <w:rPr>
          <w:rFonts w:cs="Arial"/>
          <w:sz w:val="22"/>
          <w:szCs w:val="22"/>
        </w:rPr>
        <w:t xml:space="preserve">that supported the bankability of low carbon infrastructure projects though it’s the regional </w:t>
      </w:r>
      <w:r w:rsidRPr="00C87DF4">
        <w:rPr>
          <w:rFonts w:cs="Arial"/>
          <w:sz w:val="22"/>
          <w:szCs w:val="22"/>
        </w:rPr>
        <w:t>Green T-Line</w:t>
      </w:r>
      <w:r w:rsidR="0072413B" w:rsidRPr="00C87DF4">
        <w:rPr>
          <w:rFonts w:cs="Arial"/>
          <w:sz w:val="22"/>
          <w:szCs w:val="22"/>
        </w:rPr>
        <w:t>s</w:t>
      </w:r>
      <w:r w:rsidRPr="00C87DF4">
        <w:rPr>
          <w:rFonts w:cs="Arial"/>
          <w:i/>
          <w:sz w:val="22"/>
          <w:szCs w:val="22"/>
        </w:rPr>
        <w:t xml:space="preserve"> </w:t>
      </w:r>
      <w:r w:rsidR="00841568" w:rsidRPr="00C87DF4">
        <w:rPr>
          <w:rFonts w:cs="Arial"/>
          <w:sz w:val="22"/>
          <w:szCs w:val="22"/>
        </w:rPr>
        <w:t>project</w:t>
      </w:r>
      <w:r w:rsidR="0072413B" w:rsidRPr="00C87DF4">
        <w:rPr>
          <w:rFonts w:cs="Arial"/>
          <w:sz w:val="22"/>
          <w:szCs w:val="22"/>
        </w:rPr>
        <w:t>, which</w:t>
      </w:r>
      <w:r w:rsidRPr="00C87DF4">
        <w:rPr>
          <w:rFonts w:cs="Arial"/>
          <w:sz w:val="22"/>
          <w:szCs w:val="22"/>
        </w:rPr>
        <w:t xml:space="preserve"> introduced the </w:t>
      </w:r>
      <w:r w:rsidR="00D64AAE" w:rsidRPr="00C87DF4">
        <w:rPr>
          <w:rFonts w:cs="Arial"/>
          <w:sz w:val="22"/>
          <w:szCs w:val="22"/>
        </w:rPr>
        <w:t xml:space="preserve">world’s </w:t>
      </w:r>
      <w:r w:rsidRPr="00C87DF4">
        <w:rPr>
          <w:rFonts w:cs="Arial"/>
          <w:sz w:val="22"/>
          <w:szCs w:val="22"/>
        </w:rPr>
        <w:t>first certification methodology for low carbon transmission lines.</w:t>
      </w:r>
      <w:r w:rsidR="000D6362" w:rsidRPr="00B02E76">
        <w:rPr>
          <w:rFonts w:cs="Arial"/>
          <w:sz w:val="22"/>
          <w:szCs w:val="22"/>
        </w:rPr>
        <w:t xml:space="preserve"> </w:t>
      </w:r>
      <w:r w:rsidRPr="00B02E76">
        <w:rPr>
          <w:rFonts w:cs="Arial"/>
          <w:sz w:val="22"/>
          <w:szCs w:val="22"/>
        </w:rPr>
        <w:t>Th</w:t>
      </w:r>
      <w:r w:rsidR="000D6362" w:rsidRPr="00B02E76">
        <w:rPr>
          <w:rFonts w:cs="Arial"/>
          <w:sz w:val="22"/>
          <w:szCs w:val="22"/>
        </w:rPr>
        <w:t>is</w:t>
      </w:r>
      <w:r w:rsidRPr="00B02E76">
        <w:rPr>
          <w:rFonts w:cs="Arial"/>
          <w:sz w:val="22"/>
          <w:szCs w:val="22"/>
        </w:rPr>
        <w:t xml:space="preserve"> methodology </w:t>
      </w:r>
      <w:r w:rsidR="0022264B" w:rsidRPr="00750DCF">
        <w:rPr>
          <w:rFonts w:cs="Arial"/>
          <w:sz w:val="22"/>
          <w:szCs w:val="22"/>
        </w:rPr>
        <w:t>supports project developers to</w:t>
      </w:r>
      <w:r w:rsidRPr="00C42655">
        <w:rPr>
          <w:rFonts w:cs="Arial"/>
          <w:sz w:val="22"/>
          <w:szCs w:val="22"/>
        </w:rPr>
        <w:t xml:space="preserve"> originate </w:t>
      </w:r>
      <w:r w:rsidRPr="00C87DF4">
        <w:rPr>
          <w:rFonts w:cs="Arial"/>
          <w:sz w:val="22"/>
          <w:szCs w:val="22"/>
        </w:rPr>
        <w:t>and identify investments that support transmission of low carbon energy.</w:t>
      </w:r>
      <w:r w:rsidR="00D80E3C" w:rsidRPr="00C87DF4">
        <w:rPr>
          <w:rFonts w:eastAsia="MyriadPro-Bold" w:cs="Arial"/>
          <w:sz w:val="22"/>
          <w:szCs w:val="22"/>
        </w:rPr>
        <w:t xml:space="preserve"> </w:t>
      </w:r>
      <w:r w:rsidR="00B11085" w:rsidRPr="00C87DF4">
        <w:rPr>
          <w:rFonts w:cs="Arial"/>
          <w:sz w:val="22"/>
          <w:szCs w:val="22"/>
        </w:rPr>
        <w:t>Th</w:t>
      </w:r>
      <w:r w:rsidR="00712DB4" w:rsidRPr="00C87DF4">
        <w:rPr>
          <w:rFonts w:cs="Arial"/>
          <w:sz w:val="22"/>
          <w:szCs w:val="22"/>
        </w:rPr>
        <w:t xml:space="preserve">is is </w:t>
      </w:r>
      <w:r w:rsidR="00B11085" w:rsidRPr="00C87DF4">
        <w:rPr>
          <w:rFonts w:cs="Arial"/>
          <w:sz w:val="22"/>
          <w:szCs w:val="22"/>
        </w:rPr>
        <w:t xml:space="preserve">the second </w:t>
      </w:r>
      <w:r w:rsidR="00F02CD7" w:rsidRPr="00C87DF4">
        <w:rPr>
          <w:rFonts w:cs="Arial"/>
          <w:sz w:val="22"/>
          <w:szCs w:val="22"/>
        </w:rPr>
        <w:t xml:space="preserve">methodology </w:t>
      </w:r>
      <w:r w:rsidR="00712DB4" w:rsidRPr="00C87DF4">
        <w:rPr>
          <w:rFonts w:cs="Arial"/>
          <w:sz w:val="22"/>
          <w:szCs w:val="22"/>
        </w:rPr>
        <w:t xml:space="preserve">that’s been </w:t>
      </w:r>
      <w:r w:rsidR="00F02CD7" w:rsidRPr="00C87DF4">
        <w:rPr>
          <w:rFonts w:cs="Arial"/>
          <w:sz w:val="22"/>
          <w:szCs w:val="22"/>
        </w:rPr>
        <w:t>adopted as a result of SIP-LA support.</w:t>
      </w:r>
      <w:r w:rsidR="00D2274C" w:rsidRPr="00C87DF4">
        <w:rPr>
          <w:rStyle w:val="FootnoteReference"/>
          <w:rFonts w:cs="Arial"/>
          <w:sz w:val="22"/>
          <w:szCs w:val="22"/>
        </w:rPr>
        <w:footnoteReference w:id="12"/>
      </w:r>
      <w:r w:rsidR="00F02CD7" w:rsidRPr="00C87DF4">
        <w:rPr>
          <w:rFonts w:eastAsiaTheme="minorEastAsia" w:cs="Arial"/>
          <w:sz w:val="22"/>
          <w:szCs w:val="22"/>
        </w:rPr>
        <w:t xml:space="preserve"> </w:t>
      </w:r>
    </w:p>
    <w:p w14:paraId="1665E55F" w14:textId="560CB86A" w:rsidR="00184374" w:rsidRPr="00C87DF4" w:rsidRDefault="00B63168" w:rsidP="00513E41">
      <w:pPr>
        <w:pStyle w:val="Default"/>
        <w:spacing w:after="120"/>
        <w:jc w:val="both"/>
        <w:rPr>
          <w:rFonts w:cs="Arial"/>
          <w:sz w:val="22"/>
          <w:szCs w:val="22"/>
        </w:rPr>
      </w:pPr>
      <w:r w:rsidRPr="00513E41">
        <w:rPr>
          <w:rFonts w:ascii="Arial" w:hAnsi="Arial" w:cs="Arial"/>
          <w:b/>
          <w:bCs/>
          <w:sz w:val="22"/>
          <w:szCs w:val="22"/>
        </w:rPr>
        <w:t xml:space="preserve">Output </w:t>
      </w:r>
      <w:r w:rsidR="006930E4" w:rsidRPr="00513E41">
        <w:rPr>
          <w:rFonts w:ascii="Arial" w:hAnsi="Arial" w:cs="Arial"/>
          <w:b/>
          <w:bCs/>
          <w:sz w:val="22"/>
          <w:szCs w:val="22"/>
        </w:rPr>
        <w:t xml:space="preserve">indicator </w:t>
      </w:r>
      <w:r w:rsidRPr="00513E41">
        <w:rPr>
          <w:rFonts w:ascii="Arial" w:hAnsi="Arial" w:cs="Arial"/>
          <w:b/>
          <w:bCs/>
          <w:sz w:val="22"/>
          <w:szCs w:val="22"/>
        </w:rPr>
        <w:t>2.2</w:t>
      </w:r>
      <w:r w:rsidRPr="00513E41">
        <w:rPr>
          <w:rFonts w:ascii="Arial" w:hAnsi="Arial" w:cs="Arial"/>
          <w:sz w:val="22"/>
          <w:szCs w:val="22"/>
        </w:rPr>
        <w:t xml:space="preserve"> measures the </w:t>
      </w:r>
      <w:r w:rsidR="00D83C27" w:rsidRPr="00513E41">
        <w:rPr>
          <w:rFonts w:ascii="Arial" w:hAnsi="Arial" w:cs="Arial"/>
          <w:bCs/>
          <w:sz w:val="22"/>
          <w:szCs w:val="22"/>
        </w:rPr>
        <w:t>n</w:t>
      </w:r>
      <w:r w:rsidR="00D917AA" w:rsidRPr="00513E41">
        <w:rPr>
          <w:rFonts w:ascii="Arial" w:hAnsi="Arial" w:cs="Arial"/>
          <w:bCs/>
          <w:sz w:val="22"/>
          <w:szCs w:val="22"/>
        </w:rPr>
        <w:t>umber of technical advisory engagements that improve the emissions profile</w:t>
      </w:r>
      <w:r w:rsidR="00E01E52" w:rsidRPr="00513E41">
        <w:rPr>
          <w:rFonts w:ascii="Arial" w:hAnsi="Arial" w:cs="Arial"/>
          <w:bCs/>
          <w:sz w:val="22"/>
          <w:szCs w:val="22"/>
        </w:rPr>
        <w:t xml:space="preserve"> </w:t>
      </w:r>
      <w:r w:rsidR="00D917AA" w:rsidRPr="00513E41">
        <w:rPr>
          <w:rFonts w:ascii="Arial" w:hAnsi="Arial" w:cs="Arial"/>
          <w:bCs/>
          <w:sz w:val="22"/>
          <w:szCs w:val="22"/>
        </w:rPr>
        <w:t>or bankability of low carbon infrastructure projects</w:t>
      </w:r>
      <w:r w:rsidR="00D83C27" w:rsidRPr="00513E41">
        <w:rPr>
          <w:rFonts w:ascii="Arial" w:hAnsi="Arial" w:cs="Arial"/>
          <w:bCs/>
          <w:sz w:val="22"/>
          <w:szCs w:val="22"/>
        </w:rPr>
        <w:t xml:space="preserve">. </w:t>
      </w:r>
      <w:r w:rsidRPr="00513E41">
        <w:rPr>
          <w:rFonts w:ascii="Arial" w:hAnsi="Arial" w:cs="Arial"/>
          <w:sz w:val="22"/>
          <w:szCs w:val="22"/>
        </w:rPr>
        <w:t>SIP</w:t>
      </w:r>
      <w:r w:rsidR="008E399D" w:rsidRPr="00513E41">
        <w:rPr>
          <w:rFonts w:ascii="Arial" w:hAnsi="Arial" w:cs="Arial"/>
          <w:sz w:val="22"/>
          <w:szCs w:val="22"/>
        </w:rPr>
        <w:t>-LA</w:t>
      </w:r>
      <w:r w:rsidRPr="00513E41">
        <w:rPr>
          <w:rFonts w:ascii="Arial" w:hAnsi="Arial" w:cs="Arial"/>
          <w:sz w:val="22"/>
          <w:szCs w:val="22"/>
        </w:rPr>
        <w:t xml:space="preserve"> </w:t>
      </w:r>
      <w:r w:rsidR="00EB35FA" w:rsidRPr="00513E41">
        <w:rPr>
          <w:rFonts w:ascii="Arial" w:hAnsi="Arial" w:cs="Arial"/>
          <w:sz w:val="22"/>
          <w:szCs w:val="22"/>
        </w:rPr>
        <w:t>narrowly missed</w:t>
      </w:r>
      <w:r w:rsidRPr="00513E41">
        <w:rPr>
          <w:rFonts w:ascii="Arial" w:hAnsi="Arial" w:cs="Arial"/>
          <w:sz w:val="22"/>
          <w:szCs w:val="22"/>
        </w:rPr>
        <w:t xml:space="preserve"> its milestone expectations for output indicator 2.2, achieving a cumulative value of </w:t>
      </w:r>
      <w:r w:rsidR="002F556A" w:rsidRPr="00513E41">
        <w:rPr>
          <w:rFonts w:ascii="Arial" w:hAnsi="Arial" w:cs="Arial"/>
          <w:sz w:val="22"/>
          <w:szCs w:val="22"/>
        </w:rPr>
        <w:t>four</w:t>
      </w:r>
      <w:r w:rsidR="007B1428" w:rsidRPr="00513E41">
        <w:rPr>
          <w:rFonts w:ascii="Arial" w:hAnsi="Arial" w:cs="Arial"/>
          <w:sz w:val="22"/>
          <w:szCs w:val="22"/>
        </w:rPr>
        <w:t xml:space="preserve"> </w:t>
      </w:r>
      <w:r w:rsidR="00FE020D" w:rsidRPr="00513E41">
        <w:rPr>
          <w:rFonts w:ascii="Arial" w:hAnsi="Arial" w:cs="Arial"/>
          <w:sz w:val="22"/>
          <w:szCs w:val="22"/>
        </w:rPr>
        <w:t>against a cumulative target of six</w:t>
      </w:r>
      <w:r w:rsidR="00AC19E8" w:rsidRPr="00513E41">
        <w:rPr>
          <w:rFonts w:ascii="Arial" w:hAnsi="Arial" w:cs="Arial"/>
          <w:sz w:val="22"/>
          <w:szCs w:val="22"/>
        </w:rPr>
        <w:t xml:space="preserve">. </w:t>
      </w:r>
      <w:r w:rsidR="000830FA" w:rsidRPr="00513E41">
        <w:rPr>
          <w:rFonts w:ascii="Arial" w:hAnsi="Arial" w:cs="Arial"/>
          <w:sz w:val="22"/>
          <w:szCs w:val="22"/>
        </w:rPr>
        <w:t xml:space="preserve">In 2020 </w:t>
      </w:r>
      <w:r w:rsidR="00E4788E" w:rsidRPr="00513E41">
        <w:rPr>
          <w:rFonts w:ascii="Arial" w:hAnsi="Arial" w:cs="Arial"/>
          <w:sz w:val="22"/>
          <w:szCs w:val="22"/>
        </w:rPr>
        <w:t>the</w:t>
      </w:r>
      <w:r w:rsidR="000830FA" w:rsidRPr="00513E41">
        <w:rPr>
          <w:rFonts w:ascii="Arial" w:hAnsi="Arial" w:cs="Arial"/>
          <w:sz w:val="22"/>
          <w:szCs w:val="22"/>
        </w:rPr>
        <w:t xml:space="preserve"> </w:t>
      </w:r>
      <w:r w:rsidR="00E2093B" w:rsidRPr="00513E41">
        <w:rPr>
          <w:rFonts w:ascii="Arial" w:hAnsi="Arial" w:cs="Arial"/>
          <w:bCs/>
          <w:sz w:val="22"/>
          <w:szCs w:val="22"/>
        </w:rPr>
        <w:t>SIP-LA</w:t>
      </w:r>
      <w:r w:rsidR="00D83C27" w:rsidRPr="00513E41">
        <w:rPr>
          <w:rFonts w:ascii="Arial" w:hAnsi="Arial" w:cs="Arial"/>
          <w:bCs/>
          <w:sz w:val="22"/>
          <w:szCs w:val="22"/>
        </w:rPr>
        <w:t xml:space="preserve"> </w:t>
      </w:r>
      <w:r w:rsidR="001773F5" w:rsidRPr="00513E41">
        <w:rPr>
          <w:rFonts w:ascii="Arial" w:hAnsi="Arial" w:cs="Arial"/>
          <w:bCs/>
          <w:sz w:val="22"/>
          <w:szCs w:val="22"/>
        </w:rPr>
        <w:t>private sector technical assistance project</w:t>
      </w:r>
      <w:r w:rsidR="00841568" w:rsidRPr="00513E41">
        <w:rPr>
          <w:rFonts w:ascii="Arial" w:hAnsi="Arial" w:cs="Arial"/>
          <w:bCs/>
          <w:sz w:val="22"/>
          <w:szCs w:val="22"/>
        </w:rPr>
        <w:t xml:space="preserve"> </w:t>
      </w:r>
      <w:r w:rsidR="0067330E" w:rsidRPr="00513E41">
        <w:rPr>
          <w:rFonts w:ascii="Arial" w:hAnsi="Arial" w:cs="Arial"/>
          <w:i/>
          <w:iCs/>
          <w:sz w:val="22"/>
          <w:szCs w:val="22"/>
        </w:rPr>
        <w:t>Legal review to enable channel blended finance funds into FIDCs in Brazil</w:t>
      </w:r>
      <w:r w:rsidR="001B6E4A" w:rsidRPr="00513E41">
        <w:rPr>
          <w:rFonts w:ascii="Arial" w:hAnsi="Arial" w:cs="Arial"/>
          <w:bCs/>
          <w:sz w:val="22"/>
          <w:szCs w:val="22"/>
        </w:rPr>
        <w:t xml:space="preserve"> </w:t>
      </w:r>
      <w:r w:rsidR="008A12D6" w:rsidRPr="00513E41">
        <w:rPr>
          <w:rFonts w:ascii="Arial" w:hAnsi="Arial" w:cs="Arial"/>
          <w:bCs/>
          <w:sz w:val="22"/>
          <w:szCs w:val="22"/>
        </w:rPr>
        <w:t xml:space="preserve">improved the bankability of </w:t>
      </w:r>
      <w:r w:rsidR="00FC2EA0" w:rsidRPr="00513E41">
        <w:rPr>
          <w:rFonts w:ascii="Arial" w:hAnsi="Arial" w:cs="Arial"/>
          <w:sz w:val="22"/>
          <w:szCs w:val="22"/>
        </w:rPr>
        <w:t>Brazil’s Credit Rights Investment Fund (FDIC</w:t>
      </w:r>
      <w:r w:rsidR="009B1D5A" w:rsidRPr="00513E41">
        <w:rPr>
          <w:rFonts w:ascii="Arial" w:hAnsi="Arial" w:cs="Arial"/>
          <w:sz w:val="22"/>
          <w:szCs w:val="22"/>
        </w:rPr>
        <w:t>)</w:t>
      </w:r>
      <w:r w:rsidR="008A12D6" w:rsidRPr="00513E41">
        <w:rPr>
          <w:rFonts w:ascii="Arial" w:hAnsi="Arial" w:cs="Arial"/>
          <w:bCs/>
          <w:sz w:val="22"/>
          <w:szCs w:val="22"/>
        </w:rPr>
        <w:t xml:space="preserve"> by developing legal options under local law for investing blended finance resources</w:t>
      </w:r>
      <w:r w:rsidR="006930E4" w:rsidRPr="00513E41">
        <w:rPr>
          <w:rFonts w:ascii="Arial" w:hAnsi="Arial" w:cs="Arial"/>
          <w:bCs/>
          <w:sz w:val="22"/>
          <w:szCs w:val="22"/>
        </w:rPr>
        <w:t>.</w:t>
      </w:r>
      <w:r w:rsidR="0034219D">
        <w:rPr>
          <w:rStyle w:val="FootnoteReference"/>
          <w:rFonts w:ascii="Arial" w:hAnsi="Arial" w:cs="Arial"/>
          <w:bCs/>
          <w:sz w:val="22"/>
          <w:szCs w:val="22"/>
        </w:rPr>
        <w:footnoteReference w:id="13"/>
      </w:r>
      <w:r w:rsidR="006930E4" w:rsidRPr="00513E41">
        <w:rPr>
          <w:rFonts w:ascii="Arial" w:hAnsi="Arial" w:cs="Arial"/>
          <w:bCs/>
          <w:sz w:val="22"/>
          <w:szCs w:val="22"/>
        </w:rPr>
        <w:t xml:space="preserve"> </w:t>
      </w:r>
      <w:r w:rsidR="00FD2676" w:rsidRPr="00513E41">
        <w:rPr>
          <w:rFonts w:ascii="Arial" w:hAnsi="Arial" w:cs="Arial"/>
          <w:bCs/>
          <w:sz w:val="22"/>
          <w:szCs w:val="22"/>
        </w:rPr>
        <w:t xml:space="preserve">The underachievement of output 2.2 is partly due to the pause in project origination implemented to </w:t>
      </w:r>
      <w:r w:rsidR="00E86892" w:rsidRPr="00513E41">
        <w:rPr>
          <w:rFonts w:ascii="Arial" w:hAnsi="Arial" w:cs="Arial"/>
          <w:bCs/>
          <w:sz w:val="22"/>
          <w:szCs w:val="22"/>
        </w:rPr>
        <w:t xml:space="preserve">complete the Strategic Review. </w:t>
      </w:r>
      <w:r w:rsidR="00F54929" w:rsidRPr="00513E41">
        <w:rPr>
          <w:rFonts w:ascii="Arial" w:hAnsi="Arial" w:cs="Arial"/>
          <w:bCs/>
          <w:sz w:val="22"/>
          <w:szCs w:val="22"/>
        </w:rPr>
        <w:t xml:space="preserve">In the first half of 2020 </w:t>
      </w:r>
      <w:r w:rsidR="00E86892" w:rsidRPr="00513E41">
        <w:rPr>
          <w:rFonts w:ascii="Arial" w:hAnsi="Arial" w:cs="Arial"/>
          <w:bCs/>
          <w:sz w:val="22"/>
          <w:szCs w:val="22"/>
        </w:rPr>
        <w:t xml:space="preserve">IDB had a pipeline of </w:t>
      </w:r>
      <w:r w:rsidR="00F54929" w:rsidRPr="00513E41">
        <w:rPr>
          <w:rFonts w:ascii="Arial" w:hAnsi="Arial" w:cs="Arial"/>
          <w:bCs/>
          <w:sz w:val="22"/>
          <w:szCs w:val="22"/>
        </w:rPr>
        <w:t xml:space="preserve">private sector technical assistance </w:t>
      </w:r>
      <w:r w:rsidR="00E86892" w:rsidRPr="00513E41">
        <w:rPr>
          <w:rFonts w:ascii="Arial" w:hAnsi="Arial" w:cs="Arial"/>
          <w:bCs/>
          <w:sz w:val="22"/>
          <w:szCs w:val="22"/>
        </w:rPr>
        <w:t>projects</w:t>
      </w:r>
      <w:r w:rsidR="000050B4" w:rsidRPr="00513E41">
        <w:rPr>
          <w:rFonts w:ascii="Arial" w:hAnsi="Arial" w:cs="Arial"/>
          <w:bCs/>
          <w:sz w:val="22"/>
          <w:szCs w:val="22"/>
        </w:rPr>
        <w:t xml:space="preserve">, some of which were expected to deliver results later that year. For example, IDB </w:t>
      </w:r>
      <w:r w:rsidR="003E2CF6" w:rsidRPr="00513E41">
        <w:rPr>
          <w:rFonts w:ascii="Arial" w:hAnsi="Arial" w:cs="Arial"/>
          <w:bCs/>
          <w:sz w:val="22"/>
          <w:szCs w:val="22"/>
        </w:rPr>
        <w:t xml:space="preserve">had prepared a PPP Advisory Programme that was expected to deliver results later in 2020. </w:t>
      </w:r>
      <w:r w:rsidR="00F54929" w:rsidRPr="00513E41">
        <w:rPr>
          <w:rFonts w:ascii="Arial" w:hAnsi="Arial" w:cs="Arial"/>
          <w:bCs/>
          <w:sz w:val="22"/>
          <w:szCs w:val="22"/>
        </w:rPr>
        <w:t xml:space="preserve"> </w:t>
      </w:r>
      <w:r w:rsidR="00E86892" w:rsidRPr="00513E41">
        <w:rPr>
          <w:rFonts w:ascii="Arial" w:hAnsi="Arial" w:cs="Arial"/>
          <w:bCs/>
          <w:sz w:val="22"/>
          <w:szCs w:val="22"/>
        </w:rPr>
        <w:t xml:space="preserve"> </w:t>
      </w:r>
      <w:r w:rsidR="00FD2676" w:rsidRPr="00513E41">
        <w:rPr>
          <w:rFonts w:ascii="Arial" w:hAnsi="Arial" w:cs="Arial"/>
          <w:bCs/>
          <w:sz w:val="22"/>
          <w:szCs w:val="22"/>
        </w:rPr>
        <w:t xml:space="preserve"> </w:t>
      </w:r>
      <w:r w:rsidR="00184374" w:rsidRPr="00513E41">
        <w:rPr>
          <w:rFonts w:ascii="Arial" w:hAnsi="Arial" w:cs="Arial"/>
          <w:sz w:val="22"/>
          <w:szCs w:val="22"/>
        </w:rPr>
        <w:t xml:space="preserve"> </w:t>
      </w:r>
    </w:p>
    <w:p w14:paraId="704311EF" w14:textId="37AB4AE9" w:rsidR="00B018D7" w:rsidRPr="00513E41" w:rsidRDefault="00D30D04" w:rsidP="00513E41">
      <w:pPr>
        <w:autoSpaceDE w:val="0"/>
        <w:autoSpaceDN w:val="0"/>
        <w:adjustRightInd w:val="0"/>
        <w:spacing w:after="120"/>
        <w:jc w:val="both"/>
        <w:rPr>
          <w:rFonts w:cs="Arial"/>
          <w:sz w:val="22"/>
          <w:szCs w:val="22"/>
        </w:rPr>
      </w:pPr>
      <w:r w:rsidRPr="00C87DF4">
        <w:rPr>
          <w:rFonts w:cs="Arial"/>
          <w:sz w:val="22"/>
          <w:szCs w:val="22"/>
        </w:rPr>
        <w:t xml:space="preserve">Whilst not covered </w:t>
      </w:r>
      <w:r w:rsidR="00FE5C28" w:rsidRPr="00C87DF4">
        <w:rPr>
          <w:rFonts w:cs="Arial"/>
          <w:sz w:val="22"/>
          <w:szCs w:val="22"/>
        </w:rPr>
        <w:t xml:space="preserve">under the reporting period </w:t>
      </w:r>
      <w:r w:rsidR="003E2CF6" w:rsidRPr="00C87DF4">
        <w:rPr>
          <w:rFonts w:cs="Arial"/>
          <w:sz w:val="22"/>
          <w:szCs w:val="22"/>
        </w:rPr>
        <w:t xml:space="preserve">of </w:t>
      </w:r>
      <w:r w:rsidR="00FE5C28" w:rsidRPr="00C87DF4">
        <w:rPr>
          <w:rFonts w:cs="Arial"/>
          <w:sz w:val="22"/>
          <w:szCs w:val="22"/>
        </w:rPr>
        <w:t>this annual review</w:t>
      </w:r>
      <w:r w:rsidR="00156E0E" w:rsidRPr="00C87DF4">
        <w:rPr>
          <w:rFonts w:cs="Arial"/>
          <w:sz w:val="22"/>
          <w:szCs w:val="22"/>
        </w:rPr>
        <w:t>,</w:t>
      </w:r>
      <w:r w:rsidR="00DF78FC" w:rsidRPr="00C87DF4">
        <w:rPr>
          <w:rFonts w:cs="Arial"/>
          <w:sz w:val="22"/>
          <w:szCs w:val="22"/>
        </w:rPr>
        <w:t xml:space="preserve"> </w:t>
      </w:r>
      <w:r w:rsidR="003E2CF6" w:rsidRPr="00C87DF4">
        <w:rPr>
          <w:rFonts w:cs="Arial"/>
          <w:sz w:val="22"/>
          <w:szCs w:val="22"/>
        </w:rPr>
        <w:t xml:space="preserve">in </w:t>
      </w:r>
      <w:r w:rsidR="00297D2C" w:rsidRPr="00C87DF4">
        <w:rPr>
          <w:rFonts w:cs="Arial"/>
          <w:sz w:val="22"/>
          <w:szCs w:val="22"/>
        </w:rPr>
        <w:t xml:space="preserve">2020 </w:t>
      </w:r>
      <w:r w:rsidR="00DF78FC" w:rsidRPr="00C87DF4">
        <w:rPr>
          <w:rFonts w:cs="Arial"/>
          <w:sz w:val="22"/>
          <w:szCs w:val="22"/>
        </w:rPr>
        <w:t xml:space="preserve">SIP-LA delivered a number of private sector technical assistance activities that </w:t>
      </w:r>
      <w:r w:rsidR="00F544D7" w:rsidRPr="00C87DF4">
        <w:rPr>
          <w:rFonts w:cs="Arial"/>
          <w:sz w:val="22"/>
          <w:szCs w:val="22"/>
        </w:rPr>
        <w:t>will be reported in 2021</w:t>
      </w:r>
      <w:r w:rsidR="00FE5C28" w:rsidRPr="00C87DF4">
        <w:rPr>
          <w:rFonts w:cs="Arial"/>
          <w:sz w:val="22"/>
          <w:szCs w:val="22"/>
        </w:rPr>
        <w:t xml:space="preserve"> in </w:t>
      </w:r>
      <w:r w:rsidR="00FE5C28" w:rsidRPr="00C87DF4">
        <w:rPr>
          <w:rFonts w:cs="Arial"/>
          <w:sz w:val="22"/>
          <w:szCs w:val="22"/>
        </w:rPr>
        <w:lastRenderedPageBreak/>
        <w:t>addition to the achievements listed under the 2020 output indicators.</w:t>
      </w:r>
      <w:r w:rsidR="00297D2C" w:rsidRPr="00C87DF4">
        <w:rPr>
          <w:rFonts w:cs="Arial"/>
          <w:sz w:val="22"/>
          <w:szCs w:val="22"/>
        </w:rPr>
        <w:t xml:space="preserve"> </w:t>
      </w:r>
      <w:r w:rsidR="0069352F" w:rsidRPr="00513E41">
        <w:rPr>
          <w:rFonts w:cs="Arial"/>
          <w:sz w:val="22"/>
          <w:szCs w:val="22"/>
        </w:rPr>
        <w:t>A f</w:t>
      </w:r>
      <w:r w:rsidR="00B018D7" w:rsidRPr="00513E41">
        <w:rPr>
          <w:rFonts w:cs="Arial"/>
          <w:sz w:val="22"/>
          <w:szCs w:val="22"/>
        </w:rPr>
        <w:t>ull</w:t>
      </w:r>
      <w:r w:rsidR="0069352F" w:rsidRPr="00513E41">
        <w:rPr>
          <w:rFonts w:cs="Arial"/>
          <w:sz w:val="22"/>
          <w:szCs w:val="22"/>
        </w:rPr>
        <w:t xml:space="preserve"> description of </w:t>
      </w:r>
      <w:r w:rsidR="001C42BE" w:rsidRPr="00513E41">
        <w:rPr>
          <w:rFonts w:cs="Arial"/>
          <w:sz w:val="22"/>
          <w:szCs w:val="22"/>
        </w:rPr>
        <w:t>activities</w:t>
      </w:r>
      <w:r w:rsidR="0069352F" w:rsidRPr="00513E41">
        <w:rPr>
          <w:rFonts w:cs="Arial"/>
          <w:sz w:val="22"/>
          <w:szCs w:val="22"/>
        </w:rPr>
        <w:t xml:space="preserve"> under </w:t>
      </w:r>
      <w:r w:rsidR="00FF59CA" w:rsidRPr="00513E41">
        <w:rPr>
          <w:rFonts w:cs="Arial"/>
          <w:sz w:val="22"/>
          <w:szCs w:val="22"/>
        </w:rPr>
        <w:t xml:space="preserve">SIP-LA’s technical assistance </w:t>
      </w:r>
      <w:r w:rsidR="00554B14">
        <w:rPr>
          <w:rFonts w:cs="Arial"/>
          <w:sz w:val="22"/>
          <w:szCs w:val="22"/>
        </w:rPr>
        <w:t>activities</w:t>
      </w:r>
      <w:r w:rsidR="00B018D7" w:rsidRPr="00513E41">
        <w:rPr>
          <w:rFonts w:cs="Arial"/>
          <w:sz w:val="22"/>
          <w:szCs w:val="22"/>
        </w:rPr>
        <w:t xml:space="preserve"> is provided in annex</w:t>
      </w:r>
      <w:r w:rsidR="00554B14">
        <w:rPr>
          <w:rFonts w:cs="Arial"/>
          <w:sz w:val="22"/>
          <w:szCs w:val="22"/>
        </w:rPr>
        <w:t xml:space="preserve"> F</w:t>
      </w:r>
      <w:r w:rsidR="00B018D7" w:rsidRPr="00513E41">
        <w:rPr>
          <w:rFonts w:cs="Arial"/>
          <w:sz w:val="22"/>
          <w:szCs w:val="22"/>
        </w:rPr>
        <w:t>.</w:t>
      </w:r>
    </w:p>
    <w:p w14:paraId="6FD4CF7B" w14:textId="0DFDAF6B" w:rsidR="00A22C96" w:rsidRPr="002C06C2" w:rsidRDefault="00A22C96" w:rsidP="00513E41">
      <w:pPr>
        <w:keepNext/>
        <w:spacing w:before="120" w:after="120"/>
        <w:jc w:val="both"/>
        <w:rPr>
          <w:rFonts w:cs="Arial"/>
          <w:b/>
          <w:bCs/>
          <w:sz w:val="22"/>
          <w:szCs w:val="22"/>
        </w:rPr>
      </w:pPr>
      <w:r w:rsidRPr="002C06C2">
        <w:rPr>
          <w:rFonts w:cs="Arial"/>
          <w:b/>
          <w:bCs/>
          <w:sz w:val="22"/>
          <w:szCs w:val="22"/>
        </w:rPr>
        <w:t>Describe any changes to this output, and any planned changes as a result of this review</w:t>
      </w:r>
    </w:p>
    <w:p w14:paraId="056D89C6" w14:textId="16364DDF" w:rsidR="00157E73" w:rsidRPr="00157E73" w:rsidRDefault="00157E73" w:rsidP="00157E73">
      <w:pPr>
        <w:spacing w:after="120"/>
        <w:jc w:val="both"/>
        <w:rPr>
          <w:rFonts w:cs="Arial"/>
          <w:sz w:val="22"/>
          <w:szCs w:val="22"/>
        </w:rPr>
      </w:pPr>
      <w:r w:rsidRPr="002C06C2">
        <w:rPr>
          <w:rFonts w:cs="Arial"/>
          <w:sz w:val="22"/>
          <w:szCs w:val="22"/>
        </w:rPr>
        <w:t xml:space="preserve">Output </w:t>
      </w:r>
      <w:r w:rsidR="00FF59CA" w:rsidRPr="002C06C2">
        <w:rPr>
          <w:rFonts w:cs="Arial"/>
          <w:sz w:val="22"/>
          <w:szCs w:val="22"/>
        </w:rPr>
        <w:t>2</w:t>
      </w:r>
      <w:r w:rsidRPr="002C06C2">
        <w:rPr>
          <w:rFonts w:cs="Arial"/>
          <w:sz w:val="22"/>
          <w:szCs w:val="22"/>
        </w:rPr>
        <w:t xml:space="preserve"> </w:t>
      </w:r>
      <w:r w:rsidR="00FF59CA" w:rsidRPr="002C06C2">
        <w:rPr>
          <w:rFonts w:cs="Arial"/>
          <w:sz w:val="22"/>
          <w:szCs w:val="22"/>
        </w:rPr>
        <w:t>was revised</w:t>
      </w:r>
      <w:r w:rsidR="006252E8" w:rsidRPr="002C06C2">
        <w:rPr>
          <w:rFonts w:cs="Arial"/>
          <w:sz w:val="22"/>
          <w:szCs w:val="22"/>
        </w:rPr>
        <w:t xml:space="preserve"> </w:t>
      </w:r>
      <w:r w:rsidRPr="002C06C2">
        <w:rPr>
          <w:rFonts w:cs="Arial"/>
          <w:sz w:val="22"/>
          <w:szCs w:val="22"/>
        </w:rPr>
        <w:t xml:space="preserve">as part of the </w:t>
      </w:r>
      <w:r w:rsidR="000E56D5" w:rsidRPr="002C06C2">
        <w:rPr>
          <w:rFonts w:cs="Arial"/>
          <w:sz w:val="22"/>
          <w:szCs w:val="22"/>
        </w:rPr>
        <w:t>l</w:t>
      </w:r>
      <w:r w:rsidRPr="002C06C2">
        <w:rPr>
          <w:rFonts w:cs="Arial"/>
          <w:sz w:val="22"/>
          <w:szCs w:val="22"/>
        </w:rPr>
        <w:t xml:space="preserve">og </w:t>
      </w:r>
      <w:r w:rsidR="000E56D5" w:rsidRPr="002C06C2">
        <w:rPr>
          <w:rFonts w:cs="Arial"/>
          <w:sz w:val="22"/>
          <w:szCs w:val="22"/>
        </w:rPr>
        <w:t>f</w:t>
      </w:r>
      <w:r w:rsidRPr="002C06C2">
        <w:rPr>
          <w:rFonts w:cs="Arial"/>
          <w:sz w:val="22"/>
          <w:szCs w:val="22"/>
        </w:rPr>
        <w:t xml:space="preserve">rame review. </w:t>
      </w:r>
      <w:r w:rsidR="00442F6B" w:rsidRPr="002C06C2">
        <w:rPr>
          <w:rFonts w:cs="Arial"/>
          <w:sz w:val="22"/>
          <w:szCs w:val="22"/>
        </w:rPr>
        <w:t>T</w:t>
      </w:r>
      <w:r w:rsidRPr="002C06C2">
        <w:rPr>
          <w:rFonts w:cs="Arial"/>
          <w:sz w:val="22"/>
          <w:szCs w:val="22"/>
        </w:rPr>
        <w:t xml:space="preserve">here </w:t>
      </w:r>
      <w:r w:rsidR="00442F6B" w:rsidRPr="002C06C2">
        <w:rPr>
          <w:rFonts w:cs="Arial"/>
          <w:sz w:val="22"/>
          <w:szCs w:val="22"/>
        </w:rPr>
        <w:t>are</w:t>
      </w:r>
      <w:r w:rsidR="006252E8" w:rsidRPr="002C06C2">
        <w:rPr>
          <w:rFonts w:cs="Arial"/>
          <w:sz w:val="22"/>
          <w:szCs w:val="22"/>
        </w:rPr>
        <w:t xml:space="preserve"> now</w:t>
      </w:r>
      <w:r w:rsidRPr="002C06C2">
        <w:rPr>
          <w:rFonts w:cs="Arial"/>
          <w:sz w:val="22"/>
          <w:szCs w:val="22"/>
        </w:rPr>
        <w:t xml:space="preserve"> two separate </w:t>
      </w:r>
      <w:r w:rsidR="00F043E7" w:rsidRPr="002C06C2">
        <w:rPr>
          <w:rFonts w:cs="Arial"/>
          <w:sz w:val="22"/>
          <w:szCs w:val="22"/>
        </w:rPr>
        <w:t>o</w:t>
      </w:r>
      <w:r w:rsidRPr="002C06C2">
        <w:rPr>
          <w:rFonts w:cs="Arial"/>
          <w:sz w:val="22"/>
          <w:szCs w:val="22"/>
        </w:rPr>
        <w:t xml:space="preserve">utputs for </w:t>
      </w:r>
      <w:r w:rsidR="00F043E7" w:rsidRPr="002C06C2">
        <w:rPr>
          <w:rFonts w:cs="Arial"/>
          <w:sz w:val="22"/>
          <w:szCs w:val="22"/>
        </w:rPr>
        <w:t>p</w:t>
      </w:r>
      <w:r w:rsidRPr="002C06C2">
        <w:rPr>
          <w:rFonts w:cs="Arial"/>
          <w:sz w:val="22"/>
          <w:szCs w:val="22"/>
        </w:rPr>
        <w:t xml:space="preserve">rivate sector and </w:t>
      </w:r>
      <w:r w:rsidR="00F043E7" w:rsidRPr="002C06C2">
        <w:rPr>
          <w:rFonts w:cs="Arial"/>
          <w:sz w:val="22"/>
          <w:szCs w:val="22"/>
        </w:rPr>
        <w:t>p</w:t>
      </w:r>
      <w:r w:rsidRPr="002C06C2">
        <w:rPr>
          <w:rFonts w:cs="Arial"/>
          <w:sz w:val="22"/>
          <w:szCs w:val="22"/>
        </w:rPr>
        <w:t xml:space="preserve">ublic sector technical assistance. </w:t>
      </w:r>
      <w:r w:rsidR="00442F6B" w:rsidRPr="002C06C2">
        <w:rPr>
          <w:rFonts w:cs="Arial"/>
          <w:sz w:val="22"/>
          <w:szCs w:val="22"/>
        </w:rPr>
        <w:t>O</w:t>
      </w:r>
      <w:r w:rsidRPr="002C06C2">
        <w:rPr>
          <w:rFonts w:cs="Arial"/>
          <w:sz w:val="22"/>
          <w:szCs w:val="22"/>
        </w:rPr>
        <w:t>utput 2 measure</w:t>
      </w:r>
      <w:r w:rsidR="00442F6B" w:rsidRPr="002C06C2">
        <w:rPr>
          <w:rFonts w:cs="Arial"/>
          <w:sz w:val="22"/>
          <w:szCs w:val="22"/>
        </w:rPr>
        <w:t>s</w:t>
      </w:r>
      <w:r w:rsidRPr="002C06C2">
        <w:rPr>
          <w:rFonts w:cs="Arial"/>
          <w:sz w:val="22"/>
          <w:szCs w:val="22"/>
        </w:rPr>
        <w:t xml:space="preserve"> private sector </w:t>
      </w:r>
      <w:r w:rsidR="000E56D5" w:rsidRPr="002C06C2">
        <w:rPr>
          <w:rFonts w:cs="Arial"/>
          <w:sz w:val="22"/>
          <w:szCs w:val="22"/>
        </w:rPr>
        <w:t>technical assistance</w:t>
      </w:r>
      <w:r w:rsidRPr="002C06C2">
        <w:rPr>
          <w:rFonts w:cs="Arial"/>
          <w:sz w:val="22"/>
          <w:szCs w:val="22"/>
        </w:rPr>
        <w:t xml:space="preserve"> only, capturing how </w:t>
      </w:r>
      <w:r w:rsidR="00DB0DCC">
        <w:rPr>
          <w:rFonts w:cs="Arial"/>
          <w:sz w:val="22"/>
          <w:szCs w:val="22"/>
        </w:rPr>
        <w:t xml:space="preserve">SIP-LA </w:t>
      </w:r>
      <w:r w:rsidRPr="002C06C2">
        <w:rPr>
          <w:rFonts w:cs="Arial"/>
          <w:sz w:val="22"/>
          <w:szCs w:val="22"/>
        </w:rPr>
        <w:t>support contributes to the bankability of</w:t>
      </w:r>
      <w:r w:rsidRPr="00157E73">
        <w:rPr>
          <w:rFonts w:cs="Arial"/>
          <w:sz w:val="22"/>
          <w:szCs w:val="22"/>
        </w:rPr>
        <w:t xml:space="preserve"> sustainable infrastructure projects</w:t>
      </w:r>
      <w:r w:rsidR="00F8474D">
        <w:rPr>
          <w:rFonts w:cs="Arial"/>
          <w:sz w:val="22"/>
          <w:szCs w:val="22"/>
        </w:rPr>
        <w:t>.</w:t>
      </w:r>
    </w:p>
    <w:p w14:paraId="163FFB16" w14:textId="3E7AA2EE" w:rsidR="001B69DF" w:rsidRDefault="00A22C96" w:rsidP="00EA146E">
      <w:pPr>
        <w:keepNext/>
        <w:spacing w:after="120"/>
        <w:jc w:val="both"/>
        <w:rPr>
          <w:rFonts w:eastAsiaTheme="minorHAnsi" w:cs="Arial"/>
          <w:color w:val="000000"/>
          <w:sz w:val="22"/>
          <w:szCs w:val="22"/>
        </w:rPr>
      </w:pPr>
      <w:r w:rsidRPr="00B23410">
        <w:rPr>
          <w:rFonts w:cs="Arial"/>
          <w:b/>
          <w:bCs/>
          <w:sz w:val="22"/>
          <w:szCs w:val="22"/>
        </w:rPr>
        <w:t>Progress on recommendations from the previous AR (if completed), lessons learned this year and recommendations for the year ahead</w:t>
      </w:r>
      <w:r w:rsidR="00533A27" w:rsidRPr="00B23410">
        <w:rPr>
          <w:rFonts w:eastAsiaTheme="minorHAnsi" w:cs="Arial"/>
          <w:color w:val="000000"/>
          <w:sz w:val="22"/>
          <w:szCs w:val="22"/>
        </w:rPr>
        <w:t xml:space="preserve"> </w:t>
      </w:r>
    </w:p>
    <w:p w14:paraId="4CEACEE0" w14:textId="41D5C5CE" w:rsidR="006252E8" w:rsidRPr="00C87DF4" w:rsidRDefault="006252E8" w:rsidP="002206D5">
      <w:pPr>
        <w:spacing w:after="120"/>
        <w:jc w:val="both"/>
        <w:rPr>
          <w:rFonts w:cs="Arial"/>
          <w:sz w:val="22"/>
          <w:szCs w:val="22"/>
        </w:rPr>
      </w:pPr>
      <w:r w:rsidRPr="002206D5">
        <w:rPr>
          <w:rFonts w:cs="Arial"/>
          <w:iCs/>
          <w:sz w:val="22"/>
          <w:szCs w:val="22"/>
        </w:rPr>
        <w:t xml:space="preserve">The 2019 Annual Review did not include any </w:t>
      </w:r>
      <w:r w:rsidR="00DB0DCC">
        <w:rPr>
          <w:rFonts w:cs="Arial"/>
          <w:iCs/>
          <w:sz w:val="22"/>
          <w:szCs w:val="22"/>
        </w:rPr>
        <w:t xml:space="preserve">specific </w:t>
      </w:r>
      <w:r w:rsidR="001C1953" w:rsidRPr="002206D5">
        <w:rPr>
          <w:rFonts w:cs="Arial"/>
          <w:iCs/>
          <w:sz w:val="22"/>
          <w:szCs w:val="22"/>
        </w:rPr>
        <w:t xml:space="preserve">recommendations </w:t>
      </w:r>
      <w:r w:rsidR="00DB0DCC">
        <w:rPr>
          <w:rFonts w:cs="Arial"/>
          <w:iCs/>
          <w:sz w:val="22"/>
          <w:szCs w:val="22"/>
        </w:rPr>
        <w:t>for</w:t>
      </w:r>
      <w:r w:rsidR="001C1953" w:rsidRPr="002206D5">
        <w:rPr>
          <w:rFonts w:cs="Arial"/>
          <w:iCs/>
          <w:sz w:val="22"/>
          <w:szCs w:val="22"/>
        </w:rPr>
        <w:t xml:space="preserve"> SIP-LA’s private sector technical assistance. </w:t>
      </w:r>
      <w:r w:rsidR="00507D49" w:rsidRPr="002206D5">
        <w:rPr>
          <w:rFonts w:cs="Arial"/>
          <w:iCs/>
          <w:sz w:val="22"/>
          <w:szCs w:val="22"/>
        </w:rPr>
        <w:t>As noted under output 1, t</w:t>
      </w:r>
      <w:r w:rsidR="001C1953" w:rsidRPr="002206D5">
        <w:rPr>
          <w:rFonts w:cs="Arial"/>
          <w:iCs/>
          <w:sz w:val="22"/>
          <w:szCs w:val="22"/>
        </w:rPr>
        <w:t xml:space="preserve">he </w:t>
      </w:r>
      <w:r w:rsidR="002A7B22" w:rsidRPr="002206D5">
        <w:rPr>
          <w:rFonts w:cs="Arial"/>
          <w:iCs/>
          <w:sz w:val="22"/>
          <w:szCs w:val="22"/>
        </w:rPr>
        <w:t xml:space="preserve">recommendation </w:t>
      </w:r>
      <w:r w:rsidR="00DB0DCC">
        <w:rPr>
          <w:rFonts w:cs="Arial"/>
          <w:iCs/>
          <w:sz w:val="22"/>
          <w:szCs w:val="22"/>
        </w:rPr>
        <w:t xml:space="preserve">for IDB to meet with </w:t>
      </w:r>
      <w:r w:rsidR="00DB0DCC" w:rsidRPr="00C87DF4">
        <w:rPr>
          <w:rFonts w:cs="Arial"/>
          <w:sz w:val="22"/>
          <w:szCs w:val="22"/>
        </w:rPr>
        <w:t xml:space="preserve">UK embassy teams </w:t>
      </w:r>
      <w:r w:rsidR="00507D49" w:rsidRPr="00C87DF4">
        <w:rPr>
          <w:rFonts w:cs="Arial"/>
          <w:sz w:val="22"/>
          <w:szCs w:val="22"/>
        </w:rPr>
        <w:t>has been completed and this has improved SIP-LA’s overall coordination</w:t>
      </w:r>
      <w:r w:rsidR="002206D5" w:rsidRPr="00C87DF4">
        <w:rPr>
          <w:rFonts w:cs="Arial"/>
          <w:sz w:val="22"/>
          <w:szCs w:val="22"/>
        </w:rPr>
        <w:t xml:space="preserve"> with other UK activity</w:t>
      </w:r>
      <w:r w:rsidR="00507D49" w:rsidRPr="00C87DF4">
        <w:rPr>
          <w:rFonts w:cs="Arial"/>
          <w:sz w:val="22"/>
          <w:szCs w:val="22"/>
        </w:rPr>
        <w:t>.</w:t>
      </w:r>
    </w:p>
    <w:p w14:paraId="65621CE9" w14:textId="57E4B699" w:rsidR="003B5EFD" w:rsidRPr="00513E41" w:rsidRDefault="00434DC7" w:rsidP="00147A66">
      <w:pPr>
        <w:pStyle w:val="Default"/>
        <w:spacing w:after="120"/>
        <w:jc w:val="both"/>
        <w:rPr>
          <w:rFonts w:ascii="Arial" w:hAnsi="Arial" w:cs="Arial"/>
          <w:sz w:val="22"/>
          <w:szCs w:val="22"/>
        </w:rPr>
      </w:pPr>
      <w:r>
        <w:rPr>
          <w:rFonts w:ascii="Arial" w:hAnsi="Arial" w:cs="Arial"/>
          <w:iCs/>
          <w:sz w:val="22"/>
          <w:szCs w:val="22"/>
        </w:rPr>
        <w:t>A</w:t>
      </w:r>
      <w:r w:rsidR="00C87DF4" w:rsidRPr="00513E41">
        <w:rPr>
          <w:rFonts w:ascii="Arial" w:hAnsi="Arial" w:cs="Arial"/>
          <w:iCs/>
          <w:sz w:val="22"/>
          <w:szCs w:val="22"/>
        </w:rPr>
        <w:t xml:space="preserve"> </w:t>
      </w:r>
      <w:r w:rsidR="00DB0DCC" w:rsidRPr="00513E41">
        <w:rPr>
          <w:rFonts w:ascii="Arial" w:hAnsi="Arial" w:cs="Arial"/>
          <w:sz w:val="22"/>
          <w:szCs w:val="22"/>
        </w:rPr>
        <w:t xml:space="preserve">learning from 2020 is the ongoing challenge of </w:t>
      </w:r>
      <w:r w:rsidR="00B94372" w:rsidRPr="00513E41">
        <w:rPr>
          <w:rFonts w:ascii="Arial" w:hAnsi="Arial" w:cs="Arial"/>
          <w:sz w:val="22"/>
          <w:szCs w:val="22"/>
        </w:rPr>
        <w:t xml:space="preserve">delivering </w:t>
      </w:r>
      <w:r w:rsidR="00E14DAA" w:rsidRPr="00513E41">
        <w:rPr>
          <w:rFonts w:ascii="Arial" w:hAnsi="Arial" w:cs="Arial"/>
          <w:sz w:val="22"/>
          <w:szCs w:val="22"/>
        </w:rPr>
        <w:t xml:space="preserve">private sector technical assistance to support </w:t>
      </w:r>
      <w:r w:rsidR="00B94372" w:rsidRPr="00513E41">
        <w:rPr>
          <w:rFonts w:ascii="Arial" w:hAnsi="Arial" w:cs="Arial"/>
          <w:sz w:val="22"/>
          <w:szCs w:val="22"/>
        </w:rPr>
        <w:t xml:space="preserve">ambitious investments in challenging </w:t>
      </w:r>
      <w:r w:rsidR="00E14DAA" w:rsidRPr="00513E41">
        <w:rPr>
          <w:rFonts w:ascii="Arial" w:hAnsi="Arial" w:cs="Arial"/>
          <w:sz w:val="22"/>
          <w:szCs w:val="22"/>
        </w:rPr>
        <w:t xml:space="preserve">market contexts. </w:t>
      </w:r>
      <w:r w:rsidR="00840E52">
        <w:rPr>
          <w:rFonts w:ascii="Arial" w:hAnsi="Arial" w:cs="Arial"/>
          <w:sz w:val="22"/>
          <w:szCs w:val="22"/>
        </w:rPr>
        <w:t>As reported in the 2019 Annual Review</w:t>
      </w:r>
      <w:r w:rsidR="00C87DF4" w:rsidRPr="00513E41">
        <w:rPr>
          <w:rFonts w:ascii="Arial" w:hAnsi="Arial" w:cs="Arial"/>
          <w:sz w:val="22"/>
          <w:szCs w:val="22"/>
        </w:rPr>
        <w:t xml:space="preserve">, </w:t>
      </w:r>
      <w:r w:rsidR="00840E52">
        <w:rPr>
          <w:rFonts w:ascii="Arial" w:hAnsi="Arial" w:cs="Arial"/>
          <w:sz w:val="22"/>
          <w:szCs w:val="22"/>
        </w:rPr>
        <w:t xml:space="preserve">the </w:t>
      </w:r>
      <w:r w:rsidR="00147A66" w:rsidRPr="00513E41">
        <w:rPr>
          <w:rFonts w:ascii="Arial" w:hAnsi="Arial" w:cs="Arial"/>
          <w:sz w:val="22"/>
          <w:szCs w:val="22"/>
        </w:rPr>
        <w:t xml:space="preserve">SIP-LA project </w:t>
      </w:r>
      <w:r w:rsidR="00C87DF4" w:rsidRPr="00513E41">
        <w:rPr>
          <w:rFonts w:ascii="Arial" w:hAnsi="Arial" w:cs="Arial"/>
          <w:i/>
          <w:iCs/>
          <w:sz w:val="22"/>
          <w:szCs w:val="22"/>
          <w:lang w:eastAsia="en-GB"/>
        </w:rPr>
        <w:t>Merchant Risk Hedge for Renewable Energy in Mexico</w:t>
      </w:r>
      <w:r w:rsidR="00C87DF4" w:rsidRPr="00513E41">
        <w:rPr>
          <w:rFonts w:ascii="Arial" w:hAnsi="Arial" w:cs="Arial"/>
          <w:b/>
          <w:bCs/>
          <w:sz w:val="22"/>
          <w:szCs w:val="22"/>
        </w:rPr>
        <w:t xml:space="preserve"> </w:t>
      </w:r>
      <w:r w:rsidR="00A37659" w:rsidRPr="00513E41">
        <w:rPr>
          <w:rFonts w:ascii="Arial" w:hAnsi="Arial" w:cs="Arial"/>
          <w:sz w:val="22"/>
          <w:szCs w:val="22"/>
          <w:lang w:eastAsia="en-GB"/>
        </w:rPr>
        <w:t xml:space="preserve">supported the design of a </w:t>
      </w:r>
      <w:r w:rsidR="00902D37" w:rsidRPr="00513E41">
        <w:rPr>
          <w:rFonts w:ascii="Arial" w:hAnsi="Arial" w:cs="Arial"/>
          <w:sz w:val="22"/>
          <w:szCs w:val="22"/>
          <w:lang w:eastAsia="en-GB"/>
        </w:rPr>
        <w:t>new tool</w:t>
      </w:r>
      <w:r w:rsidR="00A37659" w:rsidRPr="00513E41">
        <w:rPr>
          <w:rFonts w:ascii="Arial" w:hAnsi="Arial" w:cs="Arial"/>
          <w:sz w:val="22"/>
          <w:szCs w:val="22"/>
          <w:lang w:eastAsia="en-GB"/>
        </w:rPr>
        <w:t xml:space="preserve"> to mitigate risk in the eventual wholesale market design.</w:t>
      </w:r>
      <w:r w:rsidR="001C42BE" w:rsidRPr="00147A66">
        <w:rPr>
          <w:rFonts w:ascii="Arial" w:hAnsi="Arial" w:cs="Arial"/>
          <w:sz w:val="22"/>
          <w:szCs w:val="22"/>
        </w:rPr>
        <w:t xml:space="preserve"> </w:t>
      </w:r>
      <w:r w:rsidR="001C42BE" w:rsidRPr="00513E41">
        <w:rPr>
          <w:rFonts w:ascii="Arial" w:hAnsi="Arial" w:cs="Arial"/>
          <w:sz w:val="22"/>
          <w:szCs w:val="22"/>
        </w:rPr>
        <w:t xml:space="preserve">The project was completed in 2019 and </w:t>
      </w:r>
      <w:r w:rsidR="00B7751E" w:rsidRPr="00513E41">
        <w:rPr>
          <w:rFonts w:ascii="Arial" w:hAnsi="Arial" w:cs="Arial"/>
          <w:sz w:val="22"/>
          <w:szCs w:val="22"/>
        </w:rPr>
        <w:t xml:space="preserve">was </w:t>
      </w:r>
      <w:r w:rsidR="001C42BE" w:rsidRPr="00513E41">
        <w:rPr>
          <w:rFonts w:ascii="Arial" w:hAnsi="Arial" w:cs="Arial"/>
          <w:sz w:val="22"/>
          <w:szCs w:val="22"/>
        </w:rPr>
        <w:t>intended</w:t>
      </w:r>
      <w:r w:rsidR="00B7751E" w:rsidRPr="00513E41">
        <w:rPr>
          <w:rFonts w:ascii="Arial" w:hAnsi="Arial" w:cs="Arial"/>
          <w:sz w:val="22"/>
          <w:szCs w:val="22"/>
        </w:rPr>
        <w:t xml:space="preserve"> to be the first in a series of </w:t>
      </w:r>
      <w:r w:rsidR="00141754" w:rsidRPr="00513E41">
        <w:rPr>
          <w:rFonts w:ascii="Arial" w:hAnsi="Arial" w:cs="Arial"/>
          <w:sz w:val="22"/>
          <w:szCs w:val="22"/>
        </w:rPr>
        <w:t xml:space="preserve">SIP-LA private sector technical assistance activity to support the wholesale energy market in Mexico. However, political changes meant </w:t>
      </w:r>
      <w:r w:rsidR="00B7751E" w:rsidRPr="00513E41">
        <w:rPr>
          <w:rFonts w:ascii="Arial" w:hAnsi="Arial" w:cs="Arial"/>
          <w:sz w:val="22"/>
          <w:szCs w:val="22"/>
        </w:rPr>
        <w:t xml:space="preserve">the initiative that was </w:t>
      </w:r>
      <w:r w:rsidR="009E4E6A" w:rsidRPr="00513E41">
        <w:rPr>
          <w:rFonts w:ascii="Arial" w:hAnsi="Arial" w:cs="Arial"/>
          <w:sz w:val="22"/>
          <w:szCs w:val="22"/>
        </w:rPr>
        <w:t xml:space="preserve">ultimately </w:t>
      </w:r>
      <w:r w:rsidR="00B7751E" w:rsidRPr="00513E41">
        <w:rPr>
          <w:rFonts w:ascii="Arial" w:hAnsi="Arial" w:cs="Arial"/>
          <w:sz w:val="22"/>
          <w:szCs w:val="22"/>
        </w:rPr>
        <w:t>dropped</w:t>
      </w:r>
      <w:r w:rsidR="009E4E6A" w:rsidRPr="00513E41">
        <w:rPr>
          <w:rFonts w:ascii="Arial" w:hAnsi="Arial" w:cs="Arial"/>
          <w:sz w:val="22"/>
          <w:szCs w:val="22"/>
        </w:rPr>
        <w:t xml:space="preserve">, negating the </w:t>
      </w:r>
      <w:r w:rsidR="00B7751E" w:rsidRPr="00513E41">
        <w:rPr>
          <w:rFonts w:ascii="Arial" w:hAnsi="Arial" w:cs="Arial"/>
          <w:sz w:val="22"/>
          <w:szCs w:val="22"/>
        </w:rPr>
        <w:t xml:space="preserve">need </w:t>
      </w:r>
      <w:r w:rsidR="009E4E6A" w:rsidRPr="00513E41">
        <w:rPr>
          <w:rFonts w:ascii="Arial" w:hAnsi="Arial" w:cs="Arial"/>
          <w:sz w:val="22"/>
          <w:szCs w:val="22"/>
        </w:rPr>
        <w:t>for</w:t>
      </w:r>
      <w:r w:rsidR="00B7751E" w:rsidRPr="00513E41">
        <w:rPr>
          <w:rFonts w:ascii="Arial" w:hAnsi="Arial" w:cs="Arial"/>
          <w:sz w:val="22"/>
          <w:szCs w:val="22"/>
        </w:rPr>
        <w:t xml:space="preserve"> further engagements</w:t>
      </w:r>
      <w:r w:rsidR="00222ABC">
        <w:rPr>
          <w:rFonts w:ascii="Arial" w:hAnsi="Arial" w:cs="Arial"/>
          <w:sz w:val="22"/>
          <w:szCs w:val="22"/>
        </w:rPr>
        <w:t xml:space="preserve"> and </w:t>
      </w:r>
      <w:r w:rsidR="002C684F">
        <w:rPr>
          <w:rFonts w:ascii="Arial" w:hAnsi="Arial" w:cs="Arial"/>
          <w:sz w:val="22"/>
          <w:szCs w:val="22"/>
        </w:rPr>
        <w:t>plac</w:t>
      </w:r>
      <w:r w:rsidR="00222ABC">
        <w:rPr>
          <w:rFonts w:ascii="Arial" w:hAnsi="Arial" w:cs="Arial"/>
          <w:sz w:val="22"/>
          <w:szCs w:val="22"/>
        </w:rPr>
        <w:t>ing</w:t>
      </w:r>
      <w:r w:rsidR="002C684F">
        <w:rPr>
          <w:rFonts w:ascii="Arial" w:hAnsi="Arial" w:cs="Arial"/>
          <w:sz w:val="22"/>
          <w:szCs w:val="22"/>
        </w:rPr>
        <w:t xml:space="preserve"> greater emphasis on the need for SIP-LA’s technical assistance programming to accommodate </w:t>
      </w:r>
      <w:r w:rsidR="00222ABC">
        <w:rPr>
          <w:rFonts w:ascii="Arial" w:hAnsi="Arial" w:cs="Arial"/>
          <w:sz w:val="22"/>
          <w:szCs w:val="22"/>
        </w:rPr>
        <w:t>regulatory and political risk.</w:t>
      </w:r>
    </w:p>
    <w:p w14:paraId="18B51775" w14:textId="62CC79B3" w:rsidR="00156E0E" w:rsidRPr="00C87DF4" w:rsidRDefault="006506D7" w:rsidP="00156E0E">
      <w:pPr>
        <w:spacing w:after="120"/>
        <w:rPr>
          <w:rFonts w:cs="Arial"/>
          <w:b/>
          <w:sz w:val="22"/>
          <w:szCs w:val="22"/>
        </w:rPr>
      </w:pPr>
      <w:r w:rsidRPr="00C87DF4">
        <w:rPr>
          <w:rFonts w:cs="Arial"/>
          <w:b/>
          <w:sz w:val="22"/>
          <w:szCs w:val="22"/>
        </w:rPr>
        <w:t xml:space="preserve">Recommendations for the </w:t>
      </w:r>
      <w:r w:rsidR="00607DEE" w:rsidRPr="00C87DF4">
        <w:rPr>
          <w:rFonts w:cs="Arial"/>
          <w:b/>
          <w:sz w:val="22"/>
          <w:szCs w:val="22"/>
        </w:rPr>
        <w:t>remainder of 2021</w:t>
      </w:r>
    </w:p>
    <w:p w14:paraId="547251CC" w14:textId="49BA25AD" w:rsidR="00577EF1" w:rsidRPr="00B23F37" w:rsidRDefault="00577EF1" w:rsidP="00D93F68">
      <w:pPr>
        <w:pStyle w:val="ListParagraph"/>
        <w:numPr>
          <w:ilvl w:val="0"/>
          <w:numId w:val="12"/>
        </w:numPr>
      </w:pPr>
      <w:r w:rsidRPr="0052744F">
        <w:rPr>
          <w:rFonts w:cs="Arial"/>
          <w:b/>
          <w:sz w:val="22"/>
          <w:szCs w:val="22"/>
        </w:rPr>
        <w:t xml:space="preserve">Technical Assistance </w:t>
      </w:r>
      <w:r w:rsidRPr="0052744F">
        <w:rPr>
          <w:rFonts w:cs="Arial"/>
          <w:bCs/>
          <w:sz w:val="22"/>
          <w:szCs w:val="22"/>
        </w:rPr>
        <w:t>- SIP-LA should build on its existing technical assistance support to deliver programming proposals that support the enabling environment for capital investments, including those in challenging SIP-LA markets</w:t>
      </w:r>
      <w:r w:rsidR="000E6DEE">
        <w:rPr>
          <w:rFonts w:cs="Arial"/>
          <w:bCs/>
          <w:sz w:val="22"/>
          <w:szCs w:val="22"/>
        </w:rPr>
        <w:t>, which IDB should demonstrate in SIP-LA programming proposals and blended finance investments.</w:t>
      </w:r>
      <w:r w:rsidRPr="0052744F">
        <w:rPr>
          <w:rFonts w:cs="Arial"/>
          <w:bCs/>
          <w:sz w:val="22"/>
          <w:szCs w:val="22"/>
        </w:rPr>
        <w:t xml:space="preserve">. </w:t>
      </w:r>
    </w:p>
    <w:tbl>
      <w:tblPr>
        <w:tblStyle w:val="TableGrid"/>
        <w:tblW w:w="9072" w:type="dxa"/>
        <w:tblInd w:w="-5" w:type="dxa"/>
        <w:tblLook w:val="04A0" w:firstRow="1" w:lastRow="0" w:firstColumn="1" w:lastColumn="0" w:noHBand="0" w:noVBand="1"/>
      </w:tblPr>
      <w:tblGrid>
        <w:gridCol w:w="1985"/>
        <w:gridCol w:w="1276"/>
        <w:gridCol w:w="3685"/>
        <w:gridCol w:w="2126"/>
      </w:tblGrid>
      <w:tr w:rsidR="008F09AB" w:rsidRPr="006778A3" w14:paraId="41867705" w14:textId="77777777" w:rsidTr="00EB55CC">
        <w:trPr>
          <w:trHeight w:val="489"/>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9B42DE1" w14:textId="12971826" w:rsidR="00C50204" w:rsidRPr="00BC0962" w:rsidRDefault="00C50204" w:rsidP="00EA6FA1">
            <w:pPr>
              <w:spacing w:after="120"/>
              <w:rPr>
                <w:rFonts w:cs="Arial"/>
                <w:b/>
                <w:bCs/>
                <w:sz w:val="20"/>
                <w:szCs w:val="20"/>
              </w:rPr>
            </w:pPr>
            <w:r w:rsidRPr="00BC0962">
              <w:rPr>
                <w:rFonts w:cs="Arial"/>
                <w:b/>
                <w:bCs/>
                <w:sz w:val="20"/>
                <w:szCs w:val="20"/>
              </w:rPr>
              <w:t xml:space="preserve">Output </w:t>
            </w:r>
            <w:r w:rsidR="002F311A" w:rsidRPr="00BC0962">
              <w:rPr>
                <w:rFonts w:cs="Arial"/>
                <w:b/>
                <w:bCs/>
                <w:sz w:val="20"/>
                <w:szCs w:val="20"/>
              </w:rPr>
              <w:t>3</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5E8E50" w14:textId="393E19F7" w:rsidR="00C50204" w:rsidRPr="00BC0962" w:rsidRDefault="002F311A" w:rsidP="002F311A">
            <w:pPr>
              <w:spacing w:after="120"/>
              <w:rPr>
                <w:rFonts w:cs="Arial"/>
                <w:bCs/>
                <w:i/>
                <w:sz w:val="20"/>
                <w:szCs w:val="20"/>
              </w:rPr>
            </w:pPr>
            <w:r w:rsidRPr="00BC0962">
              <w:rPr>
                <w:rFonts w:cs="Arial"/>
                <w:bCs/>
                <w:i/>
                <w:sz w:val="20"/>
                <w:szCs w:val="20"/>
              </w:rPr>
              <w:t>Public and private investments in private sector-led low</w:t>
            </w:r>
            <w:r w:rsidR="00936846">
              <w:rPr>
                <w:rFonts w:cs="Arial"/>
                <w:bCs/>
                <w:i/>
                <w:sz w:val="20"/>
                <w:szCs w:val="20"/>
              </w:rPr>
              <w:t xml:space="preserve"> </w:t>
            </w:r>
            <w:r w:rsidRPr="00BC0962">
              <w:rPr>
                <w:rFonts w:cs="Arial"/>
                <w:bCs/>
                <w:i/>
                <w:sz w:val="20"/>
                <w:szCs w:val="20"/>
              </w:rPr>
              <w:t>carbon infrastructure projects mobilised in Brazil, Colombia, Mexico, and Peru</w:t>
            </w:r>
          </w:p>
        </w:tc>
      </w:tr>
      <w:tr w:rsidR="009612EA" w:rsidRPr="006778A3" w14:paraId="115C19F3" w14:textId="77777777" w:rsidTr="002F2CC8">
        <w:trPr>
          <w:trHeight w:val="347"/>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E90C884" w14:textId="77777777" w:rsidR="00C50204" w:rsidRPr="00BC0962" w:rsidRDefault="00C50204" w:rsidP="00EA6FA1">
            <w:pPr>
              <w:spacing w:after="120"/>
              <w:rPr>
                <w:rFonts w:cs="Arial"/>
                <w:bCs/>
                <w:sz w:val="20"/>
                <w:szCs w:val="20"/>
              </w:rPr>
            </w:pPr>
            <w:r w:rsidRPr="00BC0962">
              <w:rPr>
                <w:rFonts w:cs="Arial"/>
                <w:bCs/>
                <w:sz w:val="20"/>
                <w:szCs w:val="20"/>
              </w:rPr>
              <w:t xml:space="preserve">Output number: </w:t>
            </w:r>
          </w:p>
        </w:tc>
        <w:tc>
          <w:tcPr>
            <w:tcW w:w="1276" w:type="dxa"/>
            <w:tcBorders>
              <w:top w:val="single" w:sz="4" w:space="0" w:color="auto"/>
              <w:left w:val="single" w:sz="4" w:space="0" w:color="auto"/>
              <w:bottom w:val="single" w:sz="4" w:space="0" w:color="auto"/>
              <w:right w:val="single" w:sz="4" w:space="0" w:color="auto"/>
            </w:tcBorders>
          </w:tcPr>
          <w:p w14:paraId="736957A7" w14:textId="22F5C760" w:rsidR="00C50204" w:rsidRPr="00BC0962" w:rsidRDefault="00A22C96" w:rsidP="00EA6FA1">
            <w:pPr>
              <w:spacing w:after="120"/>
              <w:rPr>
                <w:rFonts w:cs="Arial"/>
                <w:sz w:val="20"/>
                <w:szCs w:val="20"/>
              </w:rPr>
            </w:pPr>
            <w:r w:rsidRPr="00BC0962">
              <w:rPr>
                <w:rFonts w:cs="Arial"/>
                <w:sz w:val="20"/>
                <w:szCs w:val="20"/>
              </w:rPr>
              <w:t>3</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548A7F" w14:textId="77777777" w:rsidR="00C50204" w:rsidRPr="00BC0962" w:rsidRDefault="00C50204" w:rsidP="00EA6FA1">
            <w:pPr>
              <w:spacing w:after="120"/>
              <w:rPr>
                <w:rFonts w:cs="Arial"/>
                <w:sz w:val="20"/>
                <w:szCs w:val="20"/>
              </w:rPr>
            </w:pPr>
            <w:r w:rsidRPr="00BC0962">
              <w:rPr>
                <w:rFonts w:cs="Arial"/>
                <w:bCs/>
                <w:sz w:val="20"/>
                <w:szCs w:val="20"/>
              </w:rPr>
              <w:t xml:space="preserve">Output Score: </w:t>
            </w:r>
          </w:p>
        </w:tc>
        <w:tc>
          <w:tcPr>
            <w:tcW w:w="2126" w:type="dxa"/>
            <w:tcBorders>
              <w:top w:val="single" w:sz="4" w:space="0" w:color="auto"/>
              <w:left w:val="single" w:sz="4" w:space="0" w:color="auto"/>
              <w:bottom w:val="single" w:sz="4" w:space="0" w:color="auto"/>
              <w:right w:val="single" w:sz="4" w:space="0" w:color="auto"/>
            </w:tcBorders>
          </w:tcPr>
          <w:p w14:paraId="6551E21B" w14:textId="2D64D3F0" w:rsidR="00C50204" w:rsidRPr="00513E41" w:rsidRDefault="008B4A16" w:rsidP="00EA6FA1">
            <w:pPr>
              <w:spacing w:after="120"/>
              <w:rPr>
                <w:rFonts w:cs="Arial"/>
                <w:iCs/>
                <w:sz w:val="20"/>
                <w:szCs w:val="20"/>
              </w:rPr>
            </w:pPr>
            <w:r>
              <w:rPr>
                <w:rFonts w:cs="Arial"/>
                <w:iCs/>
                <w:sz w:val="20"/>
                <w:szCs w:val="20"/>
              </w:rPr>
              <w:t>C</w:t>
            </w:r>
          </w:p>
        </w:tc>
      </w:tr>
      <w:tr w:rsidR="009612EA" w:rsidRPr="006778A3" w14:paraId="2C4F45D9" w14:textId="77777777" w:rsidTr="002F2CC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55C4796" w14:textId="482F6BD2" w:rsidR="00C50204" w:rsidRPr="00BC0962" w:rsidRDefault="00C50204" w:rsidP="00EA6FA1">
            <w:pPr>
              <w:spacing w:after="120"/>
              <w:rPr>
                <w:rFonts w:cs="Arial"/>
                <w:sz w:val="20"/>
                <w:szCs w:val="20"/>
              </w:rPr>
            </w:pPr>
            <w:r w:rsidRPr="00BC0962">
              <w:rPr>
                <w:rFonts w:cs="Arial"/>
                <w:bCs/>
                <w:sz w:val="20"/>
                <w:szCs w:val="20"/>
              </w:rPr>
              <w:t xml:space="preserve">Impact weighting:  </w:t>
            </w:r>
          </w:p>
        </w:tc>
        <w:tc>
          <w:tcPr>
            <w:tcW w:w="1276" w:type="dxa"/>
            <w:tcBorders>
              <w:top w:val="single" w:sz="4" w:space="0" w:color="auto"/>
              <w:left w:val="single" w:sz="4" w:space="0" w:color="auto"/>
              <w:bottom w:val="single" w:sz="4" w:space="0" w:color="auto"/>
              <w:right w:val="single" w:sz="4" w:space="0" w:color="auto"/>
            </w:tcBorders>
            <w:hideMark/>
          </w:tcPr>
          <w:p w14:paraId="103303D6" w14:textId="45EFBF4B" w:rsidR="00C50204" w:rsidRPr="00BC0962" w:rsidRDefault="00DC07E7" w:rsidP="00EA6FA1">
            <w:pPr>
              <w:spacing w:after="120"/>
              <w:rPr>
                <w:rFonts w:cs="Arial"/>
                <w:bCs/>
                <w:sz w:val="20"/>
                <w:szCs w:val="20"/>
              </w:rPr>
            </w:pPr>
            <w:r w:rsidRPr="00BC0962">
              <w:rPr>
                <w:rFonts w:cs="Arial"/>
                <w:bCs/>
                <w:sz w:val="20"/>
                <w:szCs w:val="20"/>
              </w:rPr>
              <w:t>50</w:t>
            </w:r>
            <w:r w:rsidR="00A822C9" w:rsidRPr="00BC0962">
              <w:rPr>
                <w:rFonts w:cs="Arial"/>
                <w:bCs/>
                <w:sz w:val="20"/>
                <w:szCs w:val="20"/>
              </w:rPr>
              <w:t xml:space="preserve">% </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026E104" w14:textId="77777777" w:rsidR="00C50204" w:rsidRPr="00BC0962" w:rsidRDefault="00C50204" w:rsidP="00EA6FA1">
            <w:pPr>
              <w:spacing w:after="120"/>
              <w:rPr>
                <w:rFonts w:cs="Arial"/>
                <w:bCs/>
                <w:sz w:val="20"/>
                <w:szCs w:val="20"/>
              </w:rPr>
            </w:pPr>
            <w:r w:rsidRPr="00BC0962">
              <w:rPr>
                <w:rFonts w:cs="Arial"/>
                <w:bCs/>
                <w:sz w:val="20"/>
                <w:szCs w:val="20"/>
              </w:rPr>
              <w:t xml:space="preserve">Weighting revised since last AR? </w:t>
            </w:r>
          </w:p>
        </w:tc>
        <w:tc>
          <w:tcPr>
            <w:tcW w:w="2126" w:type="dxa"/>
            <w:tcBorders>
              <w:top w:val="single" w:sz="4" w:space="0" w:color="auto"/>
              <w:left w:val="single" w:sz="4" w:space="0" w:color="auto"/>
              <w:bottom w:val="single" w:sz="4" w:space="0" w:color="auto"/>
              <w:right w:val="single" w:sz="4" w:space="0" w:color="auto"/>
            </w:tcBorders>
          </w:tcPr>
          <w:p w14:paraId="3E9319BD" w14:textId="6F5C06AB" w:rsidR="00C50204" w:rsidRPr="00513E41" w:rsidRDefault="002F2CC8" w:rsidP="00EA6FA1">
            <w:pPr>
              <w:spacing w:after="120"/>
              <w:rPr>
                <w:rFonts w:cs="Arial"/>
                <w:iCs/>
                <w:sz w:val="20"/>
                <w:szCs w:val="20"/>
              </w:rPr>
            </w:pPr>
            <w:r w:rsidRPr="00577EF1">
              <w:rPr>
                <w:rFonts w:cs="Arial"/>
                <w:bCs/>
                <w:i/>
                <w:iCs/>
                <w:sz w:val="20"/>
                <w:szCs w:val="20"/>
              </w:rPr>
              <w:t>n/a – new indicator</w:t>
            </w:r>
            <w:r w:rsidRPr="002F2CC8" w:rsidDel="002F2CC8">
              <w:rPr>
                <w:rFonts w:cs="Arial"/>
                <w:sz w:val="20"/>
                <w:szCs w:val="20"/>
              </w:rPr>
              <w:t xml:space="preserve"> </w:t>
            </w:r>
          </w:p>
        </w:tc>
      </w:tr>
      <w:tr w:rsidR="009612EA" w:rsidRPr="006778A3" w14:paraId="714A0AD6" w14:textId="77777777" w:rsidTr="002F2CC8">
        <w:trPr>
          <w:trHeight w:val="345"/>
        </w:trPr>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3755AB" w14:textId="5806EAF7" w:rsidR="00C50204" w:rsidRPr="00BC0962" w:rsidRDefault="00C50204" w:rsidP="00EA6FA1">
            <w:pPr>
              <w:spacing w:after="120"/>
              <w:rPr>
                <w:rFonts w:cs="Arial"/>
                <w:bCs/>
                <w:sz w:val="20"/>
                <w:szCs w:val="20"/>
              </w:rPr>
            </w:pPr>
            <w:r w:rsidRPr="00BC0962">
              <w:rPr>
                <w:rFonts w:cs="Arial"/>
                <w:bCs/>
                <w:sz w:val="20"/>
                <w:szCs w:val="20"/>
              </w:rPr>
              <w:t>Risk rating</w:t>
            </w:r>
            <w:r w:rsidR="00EB55CC" w:rsidRPr="00BC0962">
              <w:rPr>
                <w:rFonts w:cs="Arial"/>
                <w:bCs/>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7DDE7807" w14:textId="2C325CA5" w:rsidR="00C50204" w:rsidRPr="00BC0962" w:rsidRDefault="007D76F3" w:rsidP="00EA6FA1">
            <w:pPr>
              <w:spacing w:after="120"/>
              <w:rPr>
                <w:rFonts w:cs="Arial"/>
                <w:bCs/>
                <w:sz w:val="20"/>
                <w:szCs w:val="20"/>
              </w:rPr>
            </w:pPr>
            <w:r w:rsidRPr="00BC0962">
              <w:rPr>
                <w:rFonts w:cs="Arial"/>
                <w:bCs/>
                <w:sz w:val="20"/>
                <w:szCs w:val="20"/>
              </w:rPr>
              <w:t>Major</w:t>
            </w:r>
          </w:p>
        </w:tc>
        <w:tc>
          <w:tcPr>
            <w:tcW w:w="36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AAFAEEF" w14:textId="77777777" w:rsidR="00C50204" w:rsidRPr="002F2CC8" w:rsidRDefault="00C50204" w:rsidP="00EA6FA1">
            <w:pPr>
              <w:spacing w:after="120"/>
              <w:rPr>
                <w:rFonts w:cs="Arial"/>
                <w:sz w:val="20"/>
                <w:szCs w:val="20"/>
              </w:rPr>
            </w:pPr>
            <w:r w:rsidRPr="002F2CC8">
              <w:rPr>
                <w:rFonts w:cs="Arial"/>
                <w:sz w:val="20"/>
                <w:szCs w:val="20"/>
              </w:rPr>
              <w:t>Risk revised since last AR?</w:t>
            </w:r>
          </w:p>
        </w:tc>
        <w:tc>
          <w:tcPr>
            <w:tcW w:w="2126" w:type="dxa"/>
            <w:tcBorders>
              <w:top w:val="single" w:sz="4" w:space="0" w:color="auto"/>
              <w:left w:val="single" w:sz="4" w:space="0" w:color="auto"/>
              <w:bottom w:val="single" w:sz="4" w:space="0" w:color="auto"/>
              <w:right w:val="single" w:sz="4" w:space="0" w:color="auto"/>
            </w:tcBorders>
          </w:tcPr>
          <w:p w14:paraId="20D6F38C" w14:textId="3878B586" w:rsidR="00C50204" w:rsidRPr="00513E41" w:rsidRDefault="002F2CC8" w:rsidP="00EA6FA1">
            <w:pPr>
              <w:spacing w:after="120"/>
              <w:rPr>
                <w:rFonts w:cs="Arial"/>
                <w:iCs/>
                <w:sz w:val="20"/>
                <w:szCs w:val="20"/>
              </w:rPr>
            </w:pPr>
            <w:r w:rsidRPr="00577EF1">
              <w:rPr>
                <w:rFonts w:cs="Arial"/>
                <w:bCs/>
                <w:i/>
                <w:iCs/>
                <w:sz w:val="20"/>
                <w:szCs w:val="20"/>
              </w:rPr>
              <w:t>n/a – new indicator</w:t>
            </w:r>
            <w:r w:rsidRPr="002F2CC8" w:rsidDel="002F2CC8">
              <w:rPr>
                <w:rFonts w:cs="Arial"/>
                <w:sz w:val="20"/>
                <w:szCs w:val="20"/>
              </w:rPr>
              <w:t xml:space="preserve"> </w:t>
            </w:r>
          </w:p>
        </w:tc>
      </w:tr>
    </w:tbl>
    <w:p w14:paraId="637C1165" w14:textId="408EB0CC" w:rsidR="00C50204" w:rsidRPr="00513E41" w:rsidRDefault="00C50204" w:rsidP="00852C36">
      <w:pPr>
        <w:spacing w:after="120"/>
        <w:jc w:val="both"/>
        <w:rPr>
          <w:rFonts w:cs="Arial"/>
          <w:sz w:val="2"/>
          <w:szCs w:val="2"/>
        </w:rPr>
      </w:pPr>
    </w:p>
    <w:tbl>
      <w:tblPr>
        <w:tblStyle w:val="TableGrid"/>
        <w:tblpPr w:leftFromText="180" w:rightFromText="180" w:vertAnchor="text" w:horzAnchor="page" w:tblpX="1462" w:tblpY="-10"/>
        <w:tblOverlap w:val="never"/>
        <w:tblW w:w="9072" w:type="dxa"/>
        <w:tblLook w:val="04A0" w:firstRow="1" w:lastRow="0" w:firstColumn="1" w:lastColumn="0" w:noHBand="0" w:noVBand="1"/>
      </w:tblPr>
      <w:tblGrid>
        <w:gridCol w:w="6091"/>
        <w:gridCol w:w="1802"/>
        <w:gridCol w:w="1179"/>
      </w:tblGrid>
      <w:tr w:rsidR="002F311A" w:rsidRPr="006778A3" w14:paraId="13137742" w14:textId="77777777" w:rsidTr="00EB55CC">
        <w:trPr>
          <w:trHeight w:val="273"/>
        </w:trPr>
        <w:tc>
          <w:tcPr>
            <w:tcW w:w="609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613832" w14:textId="266E7397" w:rsidR="002F311A" w:rsidRPr="00BC0962" w:rsidRDefault="002F311A" w:rsidP="00EA6FA1">
            <w:pPr>
              <w:spacing w:after="120"/>
              <w:rPr>
                <w:rFonts w:cs="Arial"/>
                <w:b/>
                <w:bCs/>
                <w:sz w:val="20"/>
                <w:szCs w:val="20"/>
              </w:rPr>
            </w:pPr>
            <w:r w:rsidRPr="00BC0962">
              <w:rPr>
                <w:rFonts w:cs="Arial"/>
                <w:b/>
                <w:bCs/>
                <w:sz w:val="20"/>
                <w:szCs w:val="20"/>
              </w:rPr>
              <w:t>Indicator</w:t>
            </w:r>
          </w:p>
        </w:tc>
        <w:tc>
          <w:tcPr>
            <w:tcW w:w="180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B5958E" w14:textId="119C809C" w:rsidR="002F311A" w:rsidRPr="00BC0962" w:rsidRDefault="00EB55CC" w:rsidP="00EA6FA1">
            <w:pPr>
              <w:spacing w:after="120"/>
              <w:rPr>
                <w:rFonts w:cs="Arial"/>
                <w:b/>
                <w:bCs/>
                <w:sz w:val="20"/>
                <w:szCs w:val="20"/>
              </w:rPr>
            </w:pPr>
            <w:r w:rsidRPr="00BC0962">
              <w:rPr>
                <w:rFonts w:cs="Arial"/>
                <w:b/>
                <w:bCs/>
                <w:sz w:val="20"/>
                <w:szCs w:val="20"/>
              </w:rPr>
              <w:t>2020 milestone</w:t>
            </w:r>
          </w:p>
        </w:tc>
        <w:tc>
          <w:tcPr>
            <w:tcW w:w="117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3735B0" w14:textId="77777777" w:rsidR="002F311A" w:rsidRPr="00BC0962" w:rsidRDefault="002F311A" w:rsidP="00EA6FA1">
            <w:pPr>
              <w:spacing w:after="120"/>
              <w:rPr>
                <w:rFonts w:cs="Arial"/>
                <w:b/>
                <w:bCs/>
                <w:sz w:val="20"/>
                <w:szCs w:val="20"/>
              </w:rPr>
            </w:pPr>
            <w:r w:rsidRPr="00BC0962">
              <w:rPr>
                <w:rFonts w:cs="Arial"/>
                <w:b/>
                <w:bCs/>
                <w:sz w:val="20"/>
                <w:szCs w:val="20"/>
              </w:rPr>
              <w:t xml:space="preserve">Progress </w:t>
            </w:r>
          </w:p>
        </w:tc>
      </w:tr>
      <w:tr w:rsidR="002F311A" w:rsidRPr="006D6C87" w14:paraId="367FD1A3" w14:textId="77777777" w:rsidTr="00EB55CC">
        <w:tc>
          <w:tcPr>
            <w:tcW w:w="6091" w:type="dxa"/>
            <w:tcBorders>
              <w:top w:val="single" w:sz="4" w:space="0" w:color="auto"/>
              <w:left w:val="single" w:sz="4" w:space="0" w:color="auto"/>
              <w:bottom w:val="single" w:sz="4" w:space="0" w:color="auto"/>
              <w:right w:val="single" w:sz="4" w:space="0" w:color="auto"/>
            </w:tcBorders>
          </w:tcPr>
          <w:p w14:paraId="6CD2DC0A" w14:textId="1664E9AA" w:rsidR="002F311A" w:rsidRPr="00BC0962" w:rsidRDefault="002F311A" w:rsidP="00EA6FA1">
            <w:pPr>
              <w:spacing w:after="120"/>
              <w:rPr>
                <w:rFonts w:cs="Arial"/>
                <w:bCs/>
                <w:iCs/>
                <w:sz w:val="20"/>
                <w:szCs w:val="20"/>
              </w:rPr>
            </w:pPr>
            <w:r w:rsidRPr="00BC0962">
              <w:rPr>
                <w:rFonts w:cs="Arial"/>
                <w:b/>
                <w:iCs/>
                <w:sz w:val="20"/>
                <w:szCs w:val="20"/>
              </w:rPr>
              <w:t xml:space="preserve">Output </w:t>
            </w:r>
            <w:r w:rsidR="002D2571" w:rsidRPr="00BC0962">
              <w:rPr>
                <w:rFonts w:cs="Arial"/>
                <w:b/>
                <w:iCs/>
                <w:sz w:val="20"/>
                <w:szCs w:val="20"/>
              </w:rPr>
              <w:t>3.1</w:t>
            </w:r>
            <w:r w:rsidR="002D2571" w:rsidRPr="00BC0962">
              <w:rPr>
                <w:rFonts w:cs="Arial"/>
                <w:bCs/>
                <w:iCs/>
                <w:sz w:val="20"/>
                <w:szCs w:val="20"/>
              </w:rPr>
              <w:t xml:space="preserve"> </w:t>
            </w:r>
            <w:r w:rsidR="002D2571" w:rsidRPr="00BC0962">
              <w:rPr>
                <w:rFonts w:cs="Arial"/>
                <w:bCs/>
                <w:i/>
                <w:sz w:val="20"/>
                <w:szCs w:val="20"/>
              </w:rPr>
              <w:t>Number of Blended Finance investments reaching financial clos</w:t>
            </w:r>
            <w:r w:rsidR="00E748AF" w:rsidRPr="00BC0962">
              <w:rPr>
                <w:rFonts w:cs="Arial"/>
                <w:bCs/>
                <w:i/>
                <w:sz w:val="20"/>
                <w:szCs w:val="20"/>
              </w:rPr>
              <w:t>e</w:t>
            </w:r>
            <w:r w:rsidR="00E748AF" w:rsidRPr="00BC0962">
              <w:rPr>
                <w:rStyle w:val="FootnoteReference"/>
                <w:rFonts w:cs="Arial"/>
                <w:bCs/>
                <w:i/>
                <w:sz w:val="20"/>
                <w:szCs w:val="20"/>
              </w:rPr>
              <w:footnoteReference w:id="14"/>
            </w:r>
          </w:p>
        </w:tc>
        <w:tc>
          <w:tcPr>
            <w:tcW w:w="1802" w:type="dxa"/>
            <w:tcBorders>
              <w:top w:val="single" w:sz="4" w:space="0" w:color="auto"/>
              <w:left w:val="single" w:sz="4" w:space="0" w:color="auto"/>
              <w:bottom w:val="single" w:sz="4" w:space="0" w:color="auto"/>
              <w:right w:val="single" w:sz="4" w:space="0" w:color="auto"/>
            </w:tcBorders>
          </w:tcPr>
          <w:p w14:paraId="70506D42" w14:textId="77777777" w:rsidR="002F311A" w:rsidRPr="00BC0962" w:rsidRDefault="002F311A" w:rsidP="00EA6FA1">
            <w:pPr>
              <w:spacing w:after="120"/>
              <w:rPr>
                <w:rFonts w:cs="Arial"/>
                <w:bCs/>
                <w:iCs/>
                <w:sz w:val="20"/>
                <w:szCs w:val="20"/>
              </w:rPr>
            </w:pPr>
            <w:r w:rsidRPr="00BC0962">
              <w:rPr>
                <w:rFonts w:cs="Arial"/>
                <w:bCs/>
                <w:iCs/>
                <w:sz w:val="20"/>
                <w:szCs w:val="20"/>
              </w:rPr>
              <w:t>5</w:t>
            </w:r>
          </w:p>
        </w:tc>
        <w:tc>
          <w:tcPr>
            <w:tcW w:w="1179" w:type="dxa"/>
            <w:tcBorders>
              <w:top w:val="single" w:sz="4" w:space="0" w:color="auto"/>
              <w:left w:val="single" w:sz="4" w:space="0" w:color="auto"/>
              <w:bottom w:val="single" w:sz="4" w:space="0" w:color="auto"/>
              <w:right w:val="single" w:sz="4" w:space="0" w:color="auto"/>
            </w:tcBorders>
          </w:tcPr>
          <w:p w14:paraId="587C601B" w14:textId="06108ED2" w:rsidR="002F311A" w:rsidRPr="00BC0962" w:rsidRDefault="00AC7601" w:rsidP="00EA6FA1">
            <w:pPr>
              <w:spacing w:after="120"/>
              <w:rPr>
                <w:rFonts w:cs="Arial"/>
                <w:bCs/>
                <w:iCs/>
                <w:sz w:val="20"/>
                <w:szCs w:val="20"/>
              </w:rPr>
            </w:pPr>
            <w:r w:rsidRPr="00BC0962">
              <w:rPr>
                <w:rFonts w:cs="Arial"/>
                <w:bCs/>
                <w:iCs/>
                <w:sz w:val="20"/>
                <w:szCs w:val="20"/>
              </w:rPr>
              <w:t>0</w:t>
            </w:r>
          </w:p>
        </w:tc>
      </w:tr>
      <w:tr w:rsidR="002F311A" w:rsidRPr="006D6C87" w14:paraId="43711043" w14:textId="77777777" w:rsidTr="00EB55CC">
        <w:tc>
          <w:tcPr>
            <w:tcW w:w="6091" w:type="dxa"/>
            <w:tcBorders>
              <w:top w:val="single" w:sz="4" w:space="0" w:color="auto"/>
              <w:left w:val="single" w:sz="4" w:space="0" w:color="auto"/>
              <w:bottom w:val="single" w:sz="4" w:space="0" w:color="auto"/>
              <w:right w:val="single" w:sz="4" w:space="0" w:color="auto"/>
            </w:tcBorders>
          </w:tcPr>
          <w:p w14:paraId="609A2E48" w14:textId="1063CFBF" w:rsidR="002F311A" w:rsidRPr="00BC0962" w:rsidRDefault="002F311A" w:rsidP="00EA6FA1">
            <w:pPr>
              <w:spacing w:after="120"/>
              <w:rPr>
                <w:rFonts w:cs="Arial"/>
                <w:bCs/>
                <w:iCs/>
                <w:sz w:val="20"/>
                <w:szCs w:val="20"/>
              </w:rPr>
            </w:pPr>
            <w:r w:rsidRPr="00BC0962">
              <w:rPr>
                <w:rFonts w:cs="Arial"/>
                <w:b/>
                <w:iCs/>
                <w:sz w:val="20"/>
                <w:szCs w:val="20"/>
              </w:rPr>
              <w:t xml:space="preserve">Output </w:t>
            </w:r>
            <w:r w:rsidR="002D2571" w:rsidRPr="00BC0962">
              <w:rPr>
                <w:rFonts w:cs="Arial"/>
                <w:b/>
                <w:iCs/>
                <w:sz w:val="20"/>
                <w:szCs w:val="20"/>
              </w:rPr>
              <w:t>3.2</w:t>
            </w:r>
            <w:r w:rsidR="002D2571" w:rsidRPr="00BC0962">
              <w:rPr>
                <w:rFonts w:cs="Arial"/>
                <w:bCs/>
                <w:iCs/>
                <w:sz w:val="20"/>
                <w:szCs w:val="20"/>
              </w:rPr>
              <w:t xml:space="preserve"> </w:t>
            </w:r>
            <w:r w:rsidR="002D2571" w:rsidRPr="00BC0962">
              <w:rPr>
                <w:rFonts w:cs="Arial"/>
                <w:bCs/>
                <w:i/>
                <w:sz w:val="20"/>
                <w:szCs w:val="20"/>
              </w:rPr>
              <w:t>Volume of private finance leveraged through SIP Blended Finance investments</w:t>
            </w:r>
          </w:p>
        </w:tc>
        <w:tc>
          <w:tcPr>
            <w:tcW w:w="1802" w:type="dxa"/>
            <w:tcBorders>
              <w:top w:val="single" w:sz="4" w:space="0" w:color="auto"/>
              <w:left w:val="single" w:sz="4" w:space="0" w:color="auto"/>
              <w:bottom w:val="single" w:sz="4" w:space="0" w:color="auto"/>
              <w:right w:val="single" w:sz="4" w:space="0" w:color="auto"/>
            </w:tcBorders>
          </w:tcPr>
          <w:p w14:paraId="15EE78B8" w14:textId="2E4D45BC" w:rsidR="002F311A" w:rsidRPr="00BC0962" w:rsidRDefault="00AC7601" w:rsidP="00EA6FA1">
            <w:pPr>
              <w:spacing w:after="120"/>
              <w:rPr>
                <w:rFonts w:cs="Arial"/>
                <w:bCs/>
                <w:iCs/>
                <w:sz w:val="20"/>
                <w:szCs w:val="20"/>
              </w:rPr>
            </w:pPr>
            <w:r w:rsidRPr="00BC0962">
              <w:rPr>
                <w:rFonts w:cs="Arial"/>
                <w:bCs/>
                <w:iCs/>
                <w:sz w:val="20"/>
                <w:szCs w:val="20"/>
              </w:rPr>
              <w:t>£260</w:t>
            </w:r>
            <w:r w:rsidR="00EB55CC" w:rsidRPr="00BC0962">
              <w:rPr>
                <w:rFonts w:cs="Arial"/>
                <w:bCs/>
                <w:iCs/>
                <w:sz w:val="20"/>
                <w:szCs w:val="20"/>
              </w:rPr>
              <w:t>,</w:t>
            </w:r>
            <w:r w:rsidRPr="00BC0962">
              <w:rPr>
                <w:rFonts w:cs="Arial"/>
                <w:bCs/>
                <w:iCs/>
                <w:sz w:val="20"/>
                <w:szCs w:val="20"/>
              </w:rPr>
              <w:t>129</w:t>
            </w:r>
            <w:r w:rsidR="00EB55CC" w:rsidRPr="00BC0962">
              <w:rPr>
                <w:rFonts w:cs="Arial"/>
                <w:bCs/>
                <w:iCs/>
                <w:sz w:val="20"/>
                <w:szCs w:val="20"/>
              </w:rPr>
              <w:t>,</w:t>
            </w:r>
            <w:r w:rsidRPr="00BC0962">
              <w:rPr>
                <w:rFonts w:cs="Arial"/>
                <w:bCs/>
                <w:iCs/>
                <w:sz w:val="20"/>
                <w:szCs w:val="20"/>
              </w:rPr>
              <w:t>983</w:t>
            </w:r>
          </w:p>
        </w:tc>
        <w:tc>
          <w:tcPr>
            <w:tcW w:w="1179" w:type="dxa"/>
            <w:tcBorders>
              <w:top w:val="single" w:sz="4" w:space="0" w:color="auto"/>
              <w:left w:val="single" w:sz="4" w:space="0" w:color="auto"/>
              <w:bottom w:val="single" w:sz="4" w:space="0" w:color="auto"/>
              <w:right w:val="single" w:sz="4" w:space="0" w:color="auto"/>
            </w:tcBorders>
          </w:tcPr>
          <w:p w14:paraId="7899E848" w14:textId="43023E92" w:rsidR="002F311A" w:rsidRPr="00BC0962" w:rsidRDefault="00AC7601" w:rsidP="00EA6FA1">
            <w:pPr>
              <w:spacing w:after="120"/>
              <w:rPr>
                <w:rFonts w:cs="Arial"/>
                <w:bCs/>
                <w:iCs/>
                <w:sz w:val="20"/>
                <w:szCs w:val="20"/>
              </w:rPr>
            </w:pPr>
            <w:r w:rsidRPr="00BC0962">
              <w:rPr>
                <w:rFonts w:cs="Arial"/>
                <w:bCs/>
                <w:iCs/>
                <w:sz w:val="20"/>
                <w:szCs w:val="20"/>
              </w:rPr>
              <w:t>0</w:t>
            </w:r>
          </w:p>
        </w:tc>
      </w:tr>
      <w:tr w:rsidR="002D2571" w:rsidRPr="006D6C87" w14:paraId="76D37237" w14:textId="77777777" w:rsidTr="00EB55CC">
        <w:tc>
          <w:tcPr>
            <w:tcW w:w="6091" w:type="dxa"/>
            <w:tcBorders>
              <w:top w:val="single" w:sz="4" w:space="0" w:color="auto"/>
              <w:left w:val="single" w:sz="4" w:space="0" w:color="auto"/>
              <w:bottom w:val="single" w:sz="4" w:space="0" w:color="auto"/>
              <w:right w:val="single" w:sz="4" w:space="0" w:color="auto"/>
            </w:tcBorders>
          </w:tcPr>
          <w:p w14:paraId="2E9457A5" w14:textId="132F0AD9" w:rsidR="002D2571" w:rsidRPr="00BC0962" w:rsidRDefault="002D2571" w:rsidP="00EA6FA1">
            <w:pPr>
              <w:spacing w:after="120"/>
              <w:rPr>
                <w:rFonts w:cs="Arial"/>
                <w:bCs/>
                <w:iCs/>
                <w:sz w:val="20"/>
                <w:szCs w:val="20"/>
              </w:rPr>
            </w:pPr>
            <w:r w:rsidRPr="00BC0962">
              <w:rPr>
                <w:rFonts w:cs="Arial"/>
                <w:b/>
                <w:iCs/>
                <w:sz w:val="20"/>
                <w:szCs w:val="20"/>
              </w:rPr>
              <w:t>Output 3.3</w:t>
            </w:r>
            <w:r w:rsidRPr="00BC0962">
              <w:rPr>
                <w:rFonts w:cs="Arial"/>
                <w:bCs/>
                <w:iCs/>
                <w:sz w:val="20"/>
                <w:szCs w:val="20"/>
              </w:rPr>
              <w:t xml:space="preserve"> </w:t>
            </w:r>
            <w:r w:rsidRPr="00BC0962">
              <w:rPr>
                <w:rFonts w:cs="Arial"/>
                <w:bCs/>
                <w:i/>
                <w:sz w:val="20"/>
                <w:szCs w:val="20"/>
              </w:rPr>
              <w:t>Level of installed capacity of clean energy (MW) in Brazil, Colombia, Peru, and Mexico generated as result of SIP supported interventions</w:t>
            </w:r>
          </w:p>
        </w:tc>
        <w:tc>
          <w:tcPr>
            <w:tcW w:w="1802" w:type="dxa"/>
            <w:tcBorders>
              <w:top w:val="single" w:sz="4" w:space="0" w:color="auto"/>
              <w:left w:val="single" w:sz="4" w:space="0" w:color="auto"/>
              <w:bottom w:val="single" w:sz="4" w:space="0" w:color="auto"/>
              <w:right w:val="single" w:sz="4" w:space="0" w:color="auto"/>
            </w:tcBorders>
          </w:tcPr>
          <w:p w14:paraId="0BF332AE" w14:textId="482741A1" w:rsidR="002D2571" w:rsidRPr="00BC0962" w:rsidRDefault="00AC7601" w:rsidP="00EA6FA1">
            <w:pPr>
              <w:spacing w:after="120"/>
              <w:rPr>
                <w:rFonts w:cs="Arial"/>
                <w:bCs/>
                <w:iCs/>
                <w:sz w:val="20"/>
                <w:szCs w:val="20"/>
              </w:rPr>
            </w:pPr>
            <w:r w:rsidRPr="00BC0962">
              <w:rPr>
                <w:rFonts w:cs="Arial"/>
                <w:bCs/>
                <w:iCs/>
                <w:sz w:val="20"/>
                <w:szCs w:val="20"/>
              </w:rPr>
              <w:t>2</w:t>
            </w:r>
          </w:p>
        </w:tc>
        <w:tc>
          <w:tcPr>
            <w:tcW w:w="1179" w:type="dxa"/>
            <w:tcBorders>
              <w:top w:val="single" w:sz="4" w:space="0" w:color="auto"/>
              <w:left w:val="single" w:sz="4" w:space="0" w:color="auto"/>
              <w:bottom w:val="single" w:sz="4" w:space="0" w:color="auto"/>
              <w:right w:val="single" w:sz="4" w:space="0" w:color="auto"/>
            </w:tcBorders>
          </w:tcPr>
          <w:p w14:paraId="0BEBF99B" w14:textId="250D881E" w:rsidR="002D2571" w:rsidRPr="00BC0962" w:rsidRDefault="00AC7601" w:rsidP="00EA6FA1">
            <w:pPr>
              <w:spacing w:after="120"/>
              <w:rPr>
                <w:rFonts w:cs="Arial"/>
                <w:bCs/>
                <w:iCs/>
                <w:sz w:val="20"/>
                <w:szCs w:val="20"/>
              </w:rPr>
            </w:pPr>
            <w:r w:rsidRPr="00BC0962">
              <w:rPr>
                <w:rFonts w:cs="Arial"/>
                <w:bCs/>
                <w:iCs/>
                <w:sz w:val="20"/>
                <w:szCs w:val="20"/>
              </w:rPr>
              <w:t>0</w:t>
            </w:r>
          </w:p>
        </w:tc>
      </w:tr>
    </w:tbl>
    <w:p w14:paraId="7DC6D1E3" w14:textId="09D8AE2C" w:rsidR="00FA3B36" w:rsidRPr="00B865A9" w:rsidRDefault="00293F7E" w:rsidP="00BC0962">
      <w:pPr>
        <w:autoSpaceDE w:val="0"/>
        <w:autoSpaceDN w:val="0"/>
        <w:adjustRightInd w:val="0"/>
        <w:spacing w:before="120" w:after="120"/>
        <w:jc w:val="both"/>
        <w:rPr>
          <w:rStyle w:val="normaltextrun"/>
          <w:rFonts w:cs="Arial"/>
          <w:color w:val="000000"/>
          <w:sz w:val="22"/>
          <w:szCs w:val="22"/>
          <w:shd w:val="clear" w:color="auto" w:fill="FFFFFF"/>
        </w:rPr>
      </w:pPr>
      <w:r>
        <w:rPr>
          <w:rStyle w:val="normaltextrun"/>
          <w:rFonts w:cs="Arial"/>
          <w:color w:val="000000"/>
          <w:sz w:val="22"/>
          <w:szCs w:val="22"/>
          <w:shd w:val="clear" w:color="auto" w:fill="FFFFFF"/>
        </w:rPr>
        <w:t xml:space="preserve">Output 3 </w:t>
      </w:r>
      <w:r w:rsidR="00BC0962">
        <w:rPr>
          <w:rStyle w:val="normaltextrun"/>
          <w:rFonts w:cs="Arial"/>
          <w:color w:val="000000"/>
          <w:sz w:val="22"/>
          <w:szCs w:val="22"/>
          <w:shd w:val="clear" w:color="auto" w:fill="FFFFFF"/>
        </w:rPr>
        <w:t>assesses</w:t>
      </w:r>
      <w:r>
        <w:rPr>
          <w:rStyle w:val="normaltextrun"/>
          <w:rFonts w:cs="Arial"/>
          <w:color w:val="000000"/>
          <w:sz w:val="22"/>
          <w:szCs w:val="22"/>
          <w:shd w:val="clear" w:color="auto" w:fill="FFFFFF"/>
        </w:rPr>
        <w:t xml:space="preserve"> SIP-LA</w:t>
      </w:r>
      <w:r w:rsidR="00FD22EA">
        <w:rPr>
          <w:rStyle w:val="normaltextrun"/>
          <w:rFonts w:cs="Arial"/>
          <w:color w:val="000000"/>
          <w:sz w:val="22"/>
          <w:szCs w:val="22"/>
          <w:shd w:val="clear" w:color="auto" w:fill="FFFFFF"/>
        </w:rPr>
        <w:t>’s</w:t>
      </w:r>
      <w:r>
        <w:rPr>
          <w:rStyle w:val="normaltextrun"/>
          <w:rFonts w:cs="Arial"/>
          <w:color w:val="000000"/>
          <w:sz w:val="22"/>
          <w:szCs w:val="22"/>
          <w:shd w:val="clear" w:color="auto" w:fill="FFFFFF"/>
        </w:rPr>
        <w:t xml:space="preserve"> delivery of public and private sector low carbon infrastructure </w:t>
      </w:r>
      <w:r w:rsidR="002445C1">
        <w:rPr>
          <w:rStyle w:val="normaltextrun"/>
          <w:rFonts w:cs="Arial"/>
          <w:color w:val="000000"/>
          <w:sz w:val="22"/>
          <w:szCs w:val="22"/>
          <w:shd w:val="clear" w:color="auto" w:fill="FFFFFF"/>
        </w:rPr>
        <w:t>investments</w:t>
      </w:r>
      <w:r>
        <w:rPr>
          <w:rStyle w:val="normaltextrun"/>
          <w:rFonts w:cs="Arial"/>
          <w:color w:val="000000"/>
          <w:sz w:val="22"/>
          <w:szCs w:val="22"/>
          <w:shd w:val="clear" w:color="auto" w:fill="FFFFFF"/>
        </w:rPr>
        <w:t>. SIP</w:t>
      </w:r>
      <w:r w:rsidR="00275BC6">
        <w:rPr>
          <w:rStyle w:val="normaltextrun"/>
          <w:rFonts w:cs="Arial"/>
          <w:color w:val="000000"/>
          <w:sz w:val="22"/>
          <w:szCs w:val="22"/>
          <w:shd w:val="clear" w:color="auto" w:fill="FFFFFF"/>
        </w:rPr>
        <w:t>-LA</w:t>
      </w:r>
      <w:r>
        <w:rPr>
          <w:rStyle w:val="normaltextrun"/>
          <w:rFonts w:cs="Arial"/>
          <w:color w:val="000000"/>
          <w:sz w:val="22"/>
          <w:szCs w:val="22"/>
          <w:shd w:val="clear" w:color="auto" w:fill="FFFFFF"/>
        </w:rPr>
        <w:t xml:space="preserve"> did not achieve its milestone expectations for output 3 in 2020.</w:t>
      </w:r>
      <w:r w:rsidR="00792AD5">
        <w:rPr>
          <w:rStyle w:val="normaltextrun"/>
          <w:rFonts w:cs="Arial"/>
          <w:color w:val="000000"/>
          <w:sz w:val="22"/>
          <w:szCs w:val="22"/>
          <w:shd w:val="clear" w:color="auto" w:fill="FFFFFF"/>
        </w:rPr>
        <w:t xml:space="preserve"> </w:t>
      </w:r>
      <w:r w:rsidR="00CC6749">
        <w:rPr>
          <w:rStyle w:val="normaltextrun"/>
          <w:rFonts w:cs="Arial"/>
          <w:color w:val="000000"/>
          <w:sz w:val="22"/>
          <w:szCs w:val="22"/>
          <w:shd w:val="clear" w:color="auto" w:fill="FFFFFF"/>
        </w:rPr>
        <w:t xml:space="preserve">SIP-LA </w:t>
      </w:r>
      <w:r w:rsidR="00275BC6">
        <w:rPr>
          <w:rStyle w:val="normaltextrun"/>
          <w:rFonts w:cs="Arial"/>
          <w:color w:val="000000"/>
          <w:sz w:val="22"/>
          <w:szCs w:val="22"/>
          <w:shd w:val="clear" w:color="auto" w:fill="FFFFFF"/>
        </w:rPr>
        <w:t xml:space="preserve">did not have </w:t>
      </w:r>
      <w:r w:rsidR="00CC6749">
        <w:rPr>
          <w:rStyle w:val="normaltextrun"/>
          <w:rFonts w:cs="Arial"/>
          <w:color w:val="000000"/>
          <w:sz w:val="22"/>
          <w:szCs w:val="22"/>
          <w:shd w:val="clear" w:color="auto" w:fill="FFFFFF"/>
        </w:rPr>
        <w:t xml:space="preserve">any </w:t>
      </w:r>
      <w:r w:rsidR="000A45D5">
        <w:rPr>
          <w:rStyle w:val="normaltextrun"/>
          <w:rFonts w:cs="Arial"/>
          <w:color w:val="000000"/>
          <w:sz w:val="22"/>
          <w:szCs w:val="22"/>
          <w:shd w:val="clear" w:color="auto" w:fill="FFFFFF"/>
        </w:rPr>
        <w:t>blended finance investments</w:t>
      </w:r>
      <w:r w:rsidR="00CC6749">
        <w:rPr>
          <w:rStyle w:val="normaltextrun"/>
          <w:rFonts w:cs="Arial"/>
          <w:color w:val="000000"/>
          <w:sz w:val="22"/>
          <w:szCs w:val="22"/>
          <w:shd w:val="clear" w:color="auto" w:fill="FFFFFF"/>
        </w:rPr>
        <w:t xml:space="preserve"> that </w:t>
      </w:r>
      <w:r w:rsidR="00CC6749" w:rsidRPr="00285C2C">
        <w:rPr>
          <w:rStyle w:val="normaltextrun"/>
          <w:rFonts w:cs="Arial"/>
          <w:color w:val="000000"/>
          <w:sz w:val="22"/>
          <w:szCs w:val="22"/>
          <w:shd w:val="clear" w:color="auto" w:fill="FFFFFF"/>
        </w:rPr>
        <w:t>reached financial close</w:t>
      </w:r>
      <w:r w:rsidR="00DF22C7">
        <w:rPr>
          <w:rStyle w:val="normaltextrun"/>
          <w:rFonts w:cs="Arial"/>
          <w:color w:val="000000"/>
          <w:sz w:val="22"/>
          <w:szCs w:val="22"/>
          <w:shd w:val="clear" w:color="auto" w:fill="FFFFFF"/>
        </w:rPr>
        <w:t xml:space="preserve"> in 2020</w:t>
      </w:r>
      <w:r w:rsidR="001A49C3" w:rsidRPr="00285C2C">
        <w:rPr>
          <w:rStyle w:val="normaltextrun"/>
          <w:rFonts w:cs="Arial"/>
          <w:color w:val="000000"/>
          <w:sz w:val="22"/>
          <w:szCs w:val="22"/>
          <w:shd w:val="clear" w:color="auto" w:fill="FFFFFF"/>
        </w:rPr>
        <w:t xml:space="preserve"> (output indicator 3.1)</w:t>
      </w:r>
      <w:r w:rsidR="00CC6749" w:rsidRPr="00285C2C">
        <w:rPr>
          <w:rStyle w:val="normaltextrun"/>
          <w:rFonts w:cs="Arial"/>
          <w:color w:val="000000"/>
          <w:sz w:val="22"/>
          <w:szCs w:val="22"/>
          <w:shd w:val="clear" w:color="auto" w:fill="FFFFFF"/>
        </w:rPr>
        <w:t xml:space="preserve">. </w:t>
      </w:r>
      <w:r w:rsidR="00DF22C7">
        <w:rPr>
          <w:rStyle w:val="normaltextrun"/>
          <w:rFonts w:cs="Arial"/>
          <w:color w:val="000000"/>
          <w:sz w:val="22"/>
          <w:szCs w:val="22"/>
          <w:shd w:val="clear" w:color="auto" w:fill="FFFFFF"/>
        </w:rPr>
        <w:t xml:space="preserve">SIP-LA did not achieve its milestones for </w:t>
      </w:r>
      <w:r w:rsidR="008922C2" w:rsidRPr="00285C2C">
        <w:rPr>
          <w:rStyle w:val="normaltextrun"/>
          <w:rFonts w:cs="Arial"/>
          <w:color w:val="000000"/>
          <w:sz w:val="22"/>
          <w:szCs w:val="22"/>
          <w:shd w:val="clear" w:color="auto" w:fill="FFFFFF"/>
        </w:rPr>
        <w:t>the</w:t>
      </w:r>
      <w:r w:rsidR="000A45D5" w:rsidRPr="00285C2C">
        <w:rPr>
          <w:rStyle w:val="normaltextrun"/>
          <w:rFonts w:cs="Arial"/>
          <w:color w:val="000000"/>
          <w:sz w:val="22"/>
          <w:szCs w:val="22"/>
          <w:shd w:val="clear" w:color="auto" w:fill="FFFFFF"/>
        </w:rPr>
        <w:t xml:space="preserve"> </w:t>
      </w:r>
      <w:r w:rsidR="001A49C3" w:rsidRPr="00285C2C">
        <w:rPr>
          <w:rStyle w:val="normaltextrun"/>
          <w:rFonts w:cs="Arial"/>
          <w:color w:val="000000"/>
          <w:sz w:val="22"/>
          <w:szCs w:val="22"/>
          <w:shd w:val="clear" w:color="auto" w:fill="FFFFFF"/>
        </w:rPr>
        <w:t>related</w:t>
      </w:r>
      <w:r w:rsidR="000A45D5" w:rsidRPr="00285C2C">
        <w:rPr>
          <w:rStyle w:val="normaltextrun"/>
          <w:rFonts w:cs="Arial"/>
          <w:color w:val="000000"/>
          <w:sz w:val="22"/>
          <w:szCs w:val="22"/>
          <w:shd w:val="clear" w:color="auto" w:fill="FFFFFF"/>
        </w:rPr>
        <w:t xml:space="preserve"> </w:t>
      </w:r>
      <w:r w:rsidR="001A49C3" w:rsidRPr="00285C2C">
        <w:rPr>
          <w:rStyle w:val="normaltextrun"/>
          <w:rFonts w:cs="Arial"/>
          <w:color w:val="000000"/>
          <w:sz w:val="22"/>
          <w:szCs w:val="22"/>
          <w:shd w:val="clear" w:color="auto" w:fill="FFFFFF"/>
        </w:rPr>
        <w:t xml:space="preserve">output indicators for </w:t>
      </w:r>
      <w:r w:rsidR="000A45D5" w:rsidRPr="00285C2C">
        <w:rPr>
          <w:rStyle w:val="normaltextrun"/>
          <w:rFonts w:cs="Arial"/>
          <w:color w:val="000000"/>
          <w:sz w:val="22"/>
          <w:szCs w:val="22"/>
          <w:shd w:val="clear" w:color="auto" w:fill="FFFFFF"/>
        </w:rPr>
        <w:t>volume of private fina</w:t>
      </w:r>
      <w:r w:rsidR="0048542A" w:rsidRPr="00285C2C">
        <w:rPr>
          <w:rStyle w:val="normaltextrun"/>
          <w:rFonts w:cs="Arial"/>
          <w:color w:val="000000"/>
          <w:sz w:val="22"/>
          <w:szCs w:val="22"/>
          <w:shd w:val="clear" w:color="auto" w:fill="FFFFFF"/>
        </w:rPr>
        <w:t>n</w:t>
      </w:r>
      <w:r w:rsidR="000A45D5" w:rsidRPr="00285C2C">
        <w:rPr>
          <w:rStyle w:val="normaltextrun"/>
          <w:rFonts w:cs="Arial"/>
          <w:color w:val="000000"/>
          <w:sz w:val="22"/>
          <w:szCs w:val="22"/>
          <w:shd w:val="clear" w:color="auto" w:fill="FFFFFF"/>
        </w:rPr>
        <w:t xml:space="preserve">ce leveraged </w:t>
      </w:r>
      <w:r w:rsidR="001A49C3" w:rsidRPr="00285C2C">
        <w:rPr>
          <w:rStyle w:val="normaltextrun"/>
          <w:rFonts w:cs="Arial"/>
          <w:color w:val="000000"/>
          <w:sz w:val="22"/>
          <w:szCs w:val="22"/>
          <w:shd w:val="clear" w:color="auto" w:fill="FFFFFF"/>
        </w:rPr>
        <w:t xml:space="preserve">(output </w:t>
      </w:r>
      <w:r w:rsidR="00F860E8" w:rsidRPr="00285C2C">
        <w:rPr>
          <w:rStyle w:val="normaltextrun"/>
          <w:rFonts w:cs="Arial"/>
          <w:color w:val="000000"/>
          <w:sz w:val="22"/>
          <w:szCs w:val="22"/>
          <w:shd w:val="clear" w:color="auto" w:fill="FFFFFF"/>
        </w:rPr>
        <w:t xml:space="preserve">indicator </w:t>
      </w:r>
      <w:r w:rsidR="001A49C3" w:rsidRPr="00285C2C">
        <w:rPr>
          <w:rStyle w:val="normaltextrun"/>
          <w:rFonts w:cs="Arial"/>
          <w:color w:val="000000"/>
          <w:sz w:val="22"/>
          <w:szCs w:val="22"/>
          <w:shd w:val="clear" w:color="auto" w:fill="FFFFFF"/>
        </w:rPr>
        <w:t xml:space="preserve">3.2) </w:t>
      </w:r>
      <w:r w:rsidR="000A45D5" w:rsidRPr="00285C2C">
        <w:rPr>
          <w:rStyle w:val="normaltextrun"/>
          <w:rFonts w:cs="Arial"/>
          <w:color w:val="000000"/>
          <w:sz w:val="22"/>
          <w:szCs w:val="22"/>
          <w:shd w:val="clear" w:color="auto" w:fill="FFFFFF"/>
        </w:rPr>
        <w:t xml:space="preserve">and installed capacity of clean energy </w:t>
      </w:r>
      <w:r w:rsidR="001A49C3" w:rsidRPr="00285C2C">
        <w:rPr>
          <w:rStyle w:val="normaltextrun"/>
          <w:rFonts w:cs="Arial"/>
          <w:color w:val="000000"/>
          <w:sz w:val="22"/>
          <w:szCs w:val="22"/>
          <w:shd w:val="clear" w:color="auto" w:fill="FFFFFF"/>
        </w:rPr>
        <w:t xml:space="preserve">(output </w:t>
      </w:r>
      <w:r w:rsidR="00F860E8" w:rsidRPr="00285C2C">
        <w:rPr>
          <w:rStyle w:val="normaltextrun"/>
          <w:rFonts w:cs="Arial"/>
          <w:color w:val="000000"/>
          <w:sz w:val="22"/>
          <w:szCs w:val="22"/>
          <w:shd w:val="clear" w:color="auto" w:fill="FFFFFF"/>
        </w:rPr>
        <w:t xml:space="preserve">indicator </w:t>
      </w:r>
      <w:r w:rsidR="001A49C3" w:rsidRPr="00285C2C">
        <w:rPr>
          <w:rStyle w:val="normaltextrun"/>
          <w:rFonts w:cs="Arial"/>
          <w:color w:val="000000"/>
          <w:sz w:val="22"/>
          <w:szCs w:val="22"/>
          <w:shd w:val="clear" w:color="auto" w:fill="FFFFFF"/>
        </w:rPr>
        <w:t xml:space="preserve">3.3) </w:t>
      </w:r>
      <w:r w:rsidR="000A45D5" w:rsidRPr="00285C2C">
        <w:rPr>
          <w:rStyle w:val="normaltextrun"/>
          <w:rFonts w:cs="Arial"/>
          <w:color w:val="000000"/>
          <w:sz w:val="22"/>
          <w:szCs w:val="22"/>
          <w:shd w:val="clear" w:color="auto" w:fill="FFFFFF"/>
        </w:rPr>
        <w:t xml:space="preserve">are </w:t>
      </w:r>
      <w:r w:rsidR="008922C2" w:rsidRPr="00B865A9">
        <w:rPr>
          <w:rStyle w:val="normaltextrun"/>
          <w:rFonts w:cs="Arial"/>
          <w:color w:val="000000"/>
          <w:sz w:val="22"/>
          <w:szCs w:val="22"/>
          <w:shd w:val="clear" w:color="auto" w:fill="FFFFFF"/>
        </w:rPr>
        <w:t>also</w:t>
      </w:r>
      <w:r w:rsidR="000A45D5" w:rsidRPr="00B865A9">
        <w:rPr>
          <w:rStyle w:val="normaltextrun"/>
          <w:rFonts w:cs="Arial"/>
          <w:color w:val="000000"/>
          <w:sz w:val="22"/>
          <w:szCs w:val="22"/>
          <w:shd w:val="clear" w:color="auto" w:fill="FFFFFF"/>
        </w:rPr>
        <w:t xml:space="preserve"> </w:t>
      </w:r>
      <w:r w:rsidR="0048542A" w:rsidRPr="00B865A9">
        <w:rPr>
          <w:rStyle w:val="normaltextrun"/>
          <w:rFonts w:cs="Arial"/>
          <w:color w:val="000000"/>
          <w:sz w:val="22"/>
          <w:szCs w:val="22"/>
          <w:shd w:val="clear" w:color="auto" w:fill="FFFFFF"/>
        </w:rPr>
        <w:t>zero.</w:t>
      </w:r>
    </w:p>
    <w:p w14:paraId="0B4C4043" w14:textId="77777777" w:rsidR="004138AE" w:rsidRDefault="004138AE" w:rsidP="00BC0962">
      <w:pPr>
        <w:autoSpaceDE w:val="0"/>
        <w:autoSpaceDN w:val="0"/>
        <w:adjustRightInd w:val="0"/>
        <w:spacing w:before="120" w:after="120"/>
        <w:jc w:val="both"/>
        <w:rPr>
          <w:rStyle w:val="normaltextrun"/>
          <w:rFonts w:cs="Arial"/>
          <w:color w:val="000000"/>
          <w:sz w:val="22"/>
          <w:szCs w:val="22"/>
          <w:shd w:val="clear" w:color="auto" w:fill="FFFFFF"/>
        </w:rPr>
      </w:pPr>
    </w:p>
    <w:p w14:paraId="53C4361D" w14:textId="66951787" w:rsidR="00505D01" w:rsidRDefault="00505D01" w:rsidP="00624DE7">
      <w:pPr>
        <w:autoSpaceDE w:val="0"/>
        <w:autoSpaceDN w:val="0"/>
        <w:adjustRightInd w:val="0"/>
        <w:spacing w:before="120" w:after="120"/>
        <w:jc w:val="both"/>
        <w:rPr>
          <w:rFonts w:cs="Arial"/>
          <w:sz w:val="22"/>
          <w:szCs w:val="22"/>
        </w:rPr>
      </w:pPr>
      <w:r w:rsidRPr="00B83764">
        <w:rPr>
          <w:rFonts w:cs="Arial"/>
          <w:sz w:val="22"/>
          <w:szCs w:val="22"/>
        </w:rPr>
        <w:t>The failure to achieve these outputs is</w:t>
      </w:r>
      <w:r>
        <w:rPr>
          <w:rFonts w:cs="Arial"/>
          <w:sz w:val="22"/>
          <w:szCs w:val="22"/>
        </w:rPr>
        <w:t xml:space="preserve"> due to multiple reasons including market context (relatively thin market opportunity in Peru and increasingly in Mexico given political context), degree of competition with other market investors (e.g. a deal falling through as a result of a developer choosing alternative investors), and earlier governance within the partnership that might have led to inefficiencies or miscommunication. T</w:t>
      </w:r>
      <w:r w:rsidRPr="00B83764">
        <w:rPr>
          <w:rFonts w:cs="Arial"/>
          <w:sz w:val="22"/>
          <w:szCs w:val="22"/>
        </w:rPr>
        <w:t xml:space="preserve">he </w:t>
      </w:r>
      <w:r>
        <w:rPr>
          <w:rFonts w:cs="Arial"/>
          <w:sz w:val="22"/>
          <w:szCs w:val="22"/>
        </w:rPr>
        <w:t>5 month</w:t>
      </w:r>
      <w:r w:rsidRPr="00B83764">
        <w:rPr>
          <w:rFonts w:cs="Arial"/>
          <w:sz w:val="22"/>
          <w:szCs w:val="22"/>
        </w:rPr>
        <w:t xml:space="preserve"> pause in project origination necessitated by the Strategic Review</w:t>
      </w:r>
      <w:r>
        <w:rPr>
          <w:rFonts w:cs="Arial"/>
          <w:bCs/>
          <w:sz w:val="22"/>
          <w:szCs w:val="22"/>
        </w:rPr>
        <w:t xml:space="preserve"> and </w:t>
      </w:r>
      <w:r w:rsidRPr="00B83764">
        <w:rPr>
          <w:rFonts w:cs="Arial"/>
          <w:bCs/>
          <w:sz w:val="22"/>
          <w:szCs w:val="22"/>
        </w:rPr>
        <w:t xml:space="preserve">which </w:t>
      </w:r>
      <w:r>
        <w:rPr>
          <w:rFonts w:cs="Arial"/>
          <w:bCs/>
          <w:sz w:val="22"/>
          <w:szCs w:val="22"/>
        </w:rPr>
        <w:t xml:space="preserve">both </w:t>
      </w:r>
      <w:r w:rsidRPr="00B83764">
        <w:rPr>
          <w:rFonts w:cs="Arial"/>
          <w:bCs/>
          <w:sz w:val="22"/>
          <w:szCs w:val="22"/>
        </w:rPr>
        <w:t xml:space="preserve">IDB </w:t>
      </w:r>
      <w:r>
        <w:rPr>
          <w:rFonts w:cs="Arial"/>
          <w:bCs/>
          <w:sz w:val="22"/>
          <w:szCs w:val="22"/>
        </w:rPr>
        <w:t>and BEIS</w:t>
      </w:r>
      <w:r w:rsidRPr="00B83764">
        <w:rPr>
          <w:rFonts w:cs="Arial"/>
          <w:bCs/>
          <w:sz w:val="22"/>
          <w:szCs w:val="22"/>
        </w:rPr>
        <w:t xml:space="preserve"> engaged in with good </w:t>
      </w:r>
      <w:r w:rsidRPr="178D3ACD">
        <w:rPr>
          <w:rFonts w:cs="Arial"/>
          <w:sz w:val="22"/>
          <w:szCs w:val="22"/>
        </w:rPr>
        <w:t>faith</w:t>
      </w:r>
      <w:r>
        <w:rPr>
          <w:rFonts w:cs="Arial"/>
          <w:sz w:val="22"/>
          <w:szCs w:val="22"/>
        </w:rPr>
        <w:t>, might have concluded sooner but cannot alone explain the programme not meeting expectations</w:t>
      </w:r>
      <w:r w:rsidR="00272885">
        <w:rPr>
          <w:rFonts w:cs="Arial"/>
          <w:sz w:val="22"/>
          <w:szCs w:val="22"/>
        </w:rPr>
        <w:t>.</w:t>
      </w:r>
    </w:p>
    <w:p w14:paraId="41980F74" w14:textId="1A233565" w:rsidR="000F5531" w:rsidRDefault="003F648F" w:rsidP="00624DE7">
      <w:pPr>
        <w:autoSpaceDE w:val="0"/>
        <w:autoSpaceDN w:val="0"/>
        <w:adjustRightInd w:val="0"/>
        <w:spacing w:before="120" w:after="120"/>
        <w:jc w:val="both"/>
        <w:rPr>
          <w:rStyle w:val="normaltextrun"/>
          <w:rFonts w:cs="Arial"/>
          <w:color w:val="000000"/>
          <w:sz w:val="22"/>
          <w:szCs w:val="22"/>
          <w:shd w:val="clear" w:color="auto" w:fill="FFFFFF"/>
        </w:rPr>
      </w:pPr>
      <w:r w:rsidRPr="00B865A9">
        <w:rPr>
          <w:rStyle w:val="normaltextrun"/>
          <w:rFonts w:cs="Arial"/>
          <w:color w:val="000000"/>
          <w:sz w:val="22"/>
          <w:szCs w:val="22"/>
          <w:shd w:val="clear" w:color="auto" w:fill="FFFFFF"/>
        </w:rPr>
        <w:t xml:space="preserve">Prior to the pause, IDB had submitted </w:t>
      </w:r>
      <w:r w:rsidR="00942E33" w:rsidRPr="00B865A9">
        <w:rPr>
          <w:rStyle w:val="normaltextrun"/>
          <w:rFonts w:cs="Arial"/>
          <w:color w:val="000000"/>
          <w:sz w:val="22"/>
          <w:szCs w:val="22"/>
          <w:shd w:val="clear" w:color="auto" w:fill="FFFFFF"/>
        </w:rPr>
        <w:t>two</w:t>
      </w:r>
      <w:r w:rsidR="00331B03" w:rsidRPr="00B865A9">
        <w:rPr>
          <w:rStyle w:val="normaltextrun"/>
          <w:rFonts w:cs="Arial"/>
          <w:color w:val="000000"/>
          <w:sz w:val="22"/>
          <w:szCs w:val="22"/>
          <w:shd w:val="clear" w:color="auto" w:fill="FFFFFF"/>
        </w:rPr>
        <w:t xml:space="preserve"> investment proposal</w:t>
      </w:r>
      <w:r w:rsidR="00942E33" w:rsidRPr="00B865A9">
        <w:rPr>
          <w:rStyle w:val="normaltextrun"/>
          <w:rFonts w:cs="Arial"/>
          <w:color w:val="000000"/>
          <w:sz w:val="22"/>
          <w:szCs w:val="22"/>
          <w:shd w:val="clear" w:color="auto" w:fill="FFFFFF"/>
        </w:rPr>
        <w:t>s</w:t>
      </w:r>
      <w:r w:rsidR="00331B03" w:rsidRPr="00B865A9">
        <w:rPr>
          <w:rStyle w:val="normaltextrun"/>
          <w:rFonts w:cs="Arial"/>
          <w:color w:val="000000"/>
          <w:sz w:val="22"/>
          <w:szCs w:val="22"/>
          <w:shd w:val="clear" w:color="auto" w:fill="FFFFFF"/>
        </w:rPr>
        <w:t xml:space="preserve"> to BEIS</w:t>
      </w:r>
      <w:r w:rsidR="001E2CD3">
        <w:rPr>
          <w:rStyle w:val="normaltextrun"/>
          <w:rFonts w:cs="Arial"/>
          <w:color w:val="000000"/>
          <w:sz w:val="22"/>
          <w:szCs w:val="22"/>
          <w:shd w:val="clear" w:color="auto" w:fill="FFFFFF"/>
        </w:rPr>
        <w:t xml:space="preserve">: </w:t>
      </w:r>
      <w:r w:rsidR="00BC6573" w:rsidRPr="00B865A9">
        <w:rPr>
          <w:sz w:val="22"/>
          <w:szCs w:val="22"/>
        </w:rPr>
        <w:t xml:space="preserve">Electribus Bogota </w:t>
      </w:r>
      <w:r w:rsidR="00674D02" w:rsidRPr="00B865A9">
        <w:rPr>
          <w:sz w:val="22"/>
          <w:szCs w:val="22"/>
        </w:rPr>
        <w:t xml:space="preserve">($10m) </w:t>
      </w:r>
      <w:r w:rsidR="00BC6573" w:rsidRPr="00B865A9">
        <w:rPr>
          <w:sz w:val="22"/>
          <w:szCs w:val="22"/>
        </w:rPr>
        <w:t xml:space="preserve">and </w:t>
      </w:r>
      <w:r w:rsidR="00317C6D" w:rsidRPr="00B865A9">
        <w:rPr>
          <w:sz w:val="22"/>
          <w:szCs w:val="22"/>
        </w:rPr>
        <w:t>Colombia Renewable Energy</w:t>
      </w:r>
      <w:r w:rsidR="00BC6573" w:rsidRPr="00B865A9">
        <w:rPr>
          <w:sz w:val="22"/>
          <w:szCs w:val="22"/>
        </w:rPr>
        <w:t xml:space="preserve"> </w:t>
      </w:r>
      <w:r w:rsidR="00317C6D" w:rsidRPr="00B865A9">
        <w:rPr>
          <w:sz w:val="22"/>
          <w:szCs w:val="22"/>
        </w:rPr>
        <w:t>T</w:t>
      </w:r>
      <w:r w:rsidR="00BC6573" w:rsidRPr="00B865A9">
        <w:rPr>
          <w:sz w:val="22"/>
          <w:szCs w:val="22"/>
        </w:rPr>
        <w:t>ender</w:t>
      </w:r>
      <w:r w:rsidR="00317C6D" w:rsidRPr="00B865A9">
        <w:rPr>
          <w:sz w:val="22"/>
          <w:szCs w:val="22"/>
        </w:rPr>
        <w:t xml:space="preserve"> Facility</w:t>
      </w:r>
      <w:r w:rsidR="00674D02" w:rsidRPr="00B865A9">
        <w:rPr>
          <w:sz w:val="22"/>
          <w:szCs w:val="22"/>
        </w:rPr>
        <w:t xml:space="preserve"> ($30m</w:t>
      </w:r>
      <w:r w:rsidR="00BC6573" w:rsidRPr="00B865A9">
        <w:rPr>
          <w:sz w:val="22"/>
          <w:szCs w:val="22"/>
        </w:rPr>
        <w:t>)</w:t>
      </w:r>
      <w:r w:rsidR="00331B03" w:rsidRPr="00B865A9">
        <w:rPr>
          <w:rStyle w:val="normaltextrun"/>
          <w:rFonts w:cs="Arial"/>
          <w:color w:val="000000"/>
          <w:sz w:val="22"/>
          <w:szCs w:val="22"/>
          <w:shd w:val="clear" w:color="auto" w:fill="FFFFFF"/>
        </w:rPr>
        <w:t xml:space="preserve">. </w:t>
      </w:r>
      <w:r w:rsidR="00CA3622" w:rsidRPr="00B865A9">
        <w:rPr>
          <w:rStyle w:val="normaltextrun"/>
          <w:rFonts w:cs="Arial"/>
          <w:color w:val="000000"/>
          <w:sz w:val="22"/>
          <w:szCs w:val="22"/>
          <w:shd w:val="clear" w:color="auto" w:fill="FFFFFF"/>
        </w:rPr>
        <w:t xml:space="preserve">SIP-LA had a third active project in 2020 that </w:t>
      </w:r>
      <w:r w:rsidR="008474F8">
        <w:rPr>
          <w:rStyle w:val="normaltextrun"/>
          <w:rFonts w:cs="Arial"/>
          <w:color w:val="000000"/>
          <w:sz w:val="22"/>
          <w:szCs w:val="22"/>
          <w:shd w:val="clear" w:color="auto" w:fill="FFFFFF"/>
        </w:rPr>
        <w:t>had been</w:t>
      </w:r>
      <w:r w:rsidR="008474F8" w:rsidRPr="00B865A9">
        <w:rPr>
          <w:rStyle w:val="normaltextrun"/>
          <w:rFonts w:cs="Arial"/>
          <w:color w:val="000000"/>
          <w:sz w:val="22"/>
          <w:szCs w:val="22"/>
          <w:shd w:val="clear" w:color="auto" w:fill="FFFFFF"/>
        </w:rPr>
        <w:t xml:space="preserve"> </w:t>
      </w:r>
      <w:r w:rsidR="00CA3622" w:rsidRPr="00B865A9">
        <w:rPr>
          <w:rStyle w:val="normaltextrun"/>
          <w:rFonts w:cs="Arial"/>
          <w:color w:val="000000"/>
          <w:sz w:val="22"/>
          <w:szCs w:val="22"/>
          <w:shd w:val="clear" w:color="auto" w:fill="FFFFFF"/>
        </w:rPr>
        <w:t xml:space="preserve">approved in 2019: </w:t>
      </w:r>
      <w:r w:rsidR="00CA3622" w:rsidRPr="00B865A9">
        <w:rPr>
          <w:rFonts w:cs="Arial"/>
          <w:sz w:val="22"/>
          <w:szCs w:val="22"/>
          <w:lang w:eastAsia="en-GB"/>
        </w:rPr>
        <w:t xml:space="preserve">Green FDIC </w:t>
      </w:r>
      <w:proofErr w:type="spellStart"/>
      <w:r w:rsidR="00CA3622" w:rsidRPr="00B865A9">
        <w:rPr>
          <w:rFonts w:cs="Arial"/>
          <w:sz w:val="22"/>
          <w:szCs w:val="22"/>
          <w:lang w:eastAsia="en-GB"/>
        </w:rPr>
        <w:t>Origo</w:t>
      </w:r>
      <w:proofErr w:type="spellEnd"/>
      <w:r w:rsidR="00CA3622" w:rsidRPr="00B865A9">
        <w:rPr>
          <w:rFonts w:cs="Arial"/>
          <w:sz w:val="22"/>
          <w:szCs w:val="22"/>
          <w:lang w:eastAsia="en-GB"/>
        </w:rPr>
        <w:t xml:space="preserve"> Brazil ($10m)</w:t>
      </w:r>
      <w:r w:rsidR="0096650B" w:rsidRPr="00B865A9">
        <w:rPr>
          <w:rStyle w:val="normaltextrun"/>
          <w:rFonts w:cs="Arial"/>
          <w:color w:val="000000"/>
          <w:sz w:val="22"/>
          <w:szCs w:val="22"/>
          <w:shd w:val="clear" w:color="auto" w:fill="FFFFFF"/>
        </w:rPr>
        <w:t>.</w:t>
      </w:r>
      <w:r w:rsidR="00440A7E" w:rsidRPr="00B865A9">
        <w:rPr>
          <w:rStyle w:val="normaltextrun"/>
          <w:rFonts w:cs="Arial"/>
          <w:color w:val="000000"/>
          <w:sz w:val="22"/>
          <w:szCs w:val="22"/>
          <w:shd w:val="clear" w:color="auto" w:fill="FFFFFF"/>
        </w:rPr>
        <w:t xml:space="preserve"> </w:t>
      </w:r>
      <w:r w:rsidR="00331B03" w:rsidRPr="00B865A9">
        <w:rPr>
          <w:rStyle w:val="normaltextrun"/>
          <w:rFonts w:cs="Arial"/>
          <w:color w:val="000000"/>
          <w:sz w:val="22"/>
          <w:szCs w:val="22"/>
          <w:shd w:val="clear" w:color="auto" w:fill="FFFFFF"/>
        </w:rPr>
        <w:t>IDB had also developed a promising pipeline of investments</w:t>
      </w:r>
      <w:r w:rsidR="00942E33" w:rsidRPr="00B865A9">
        <w:rPr>
          <w:rStyle w:val="normaltextrun"/>
          <w:rFonts w:cs="Arial"/>
          <w:color w:val="000000"/>
          <w:sz w:val="22"/>
          <w:szCs w:val="22"/>
          <w:shd w:val="clear" w:color="auto" w:fill="FFFFFF"/>
        </w:rPr>
        <w:t xml:space="preserve"> that were anticipated to be submitted to BEIS later in 2020.</w:t>
      </w:r>
      <w:r w:rsidR="00A50465" w:rsidRPr="00B865A9">
        <w:rPr>
          <w:rStyle w:val="normaltextrun"/>
          <w:rFonts w:cs="Arial"/>
          <w:color w:val="000000"/>
          <w:sz w:val="22"/>
          <w:szCs w:val="22"/>
          <w:shd w:val="clear" w:color="auto" w:fill="FFFFFF"/>
        </w:rPr>
        <w:t xml:space="preserve"> </w:t>
      </w:r>
      <w:r w:rsidR="006B53BE" w:rsidRPr="00B865A9">
        <w:rPr>
          <w:rStyle w:val="normaltextrun"/>
          <w:rFonts w:cs="Arial"/>
          <w:color w:val="000000"/>
          <w:sz w:val="22"/>
          <w:szCs w:val="22"/>
          <w:shd w:val="clear" w:color="auto" w:fill="FFFFFF"/>
        </w:rPr>
        <w:t xml:space="preserve">At the point that the project was paused, the pipeline included </w:t>
      </w:r>
      <w:r w:rsidR="00524D6F" w:rsidRPr="00B865A9">
        <w:rPr>
          <w:rStyle w:val="normaltextrun"/>
          <w:rFonts w:cs="Arial"/>
          <w:color w:val="000000"/>
          <w:sz w:val="22"/>
          <w:szCs w:val="22"/>
          <w:shd w:val="clear" w:color="auto" w:fill="FFFFFF"/>
        </w:rPr>
        <w:t>four SIP-LA projects totalling approximately $30m SIP-LA investment</w:t>
      </w:r>
      <w:r w:rsidR="0006098B">
        <w:rPr>
          <w:rStyle w:val="normaltextrun"/>
          <w:rFonts w:cs="Arial"/>
          <w:color w:val="000000"/>
          <w:sz w:val="22"/>
          <w:szCs w:val="22"/>
          <w:shd w:val="clear" w:color="auto" w:fill="FFFFFF"/>
        </w:rPr>
        <w:t>. Because of the project pause, these projects</w:t>
      </w:r>
      <w:r w:rsidR="00AC4CB1" w:rsidRPr="00B865A9">
        <w:rPr>
          <w:rStyle w:val="normaltextrun"/>
          <w:rFonts w:cs="Arial"/>
          <w:color w:val="000000"/>
          <w:sz w:val="22"/>
          <w:szCs w:val="22"/>
          <w:shd w:val="clear" w:color="auto" w:fill="FFFFFF"/>
        </w:rPr>
        <w:t xml:space="preserve"> went on to reach financial close through alternative funding mechanisms</w:t>
      </w:r>
      <w:r w:rsidR="0006098B">
        <w:rPr>
          <w:rStyle w:val="normaltextrun"/>
          <w:rFonts w:cs="Arial"/>
          <w:color w:val="000000"/>
          <w:sz w:val="22"/>
          <w:szCs w:val="22"/>
          <w:shd w:val="clear" w:color="auto" w:fill="FFFFFF"/>
        </w:rPr>
        <w:t xml:space="preserve"> under different financing arrangements</w:t>
      </w:r>
      <w:r w:rsidR="00AC4CB1" w:rsidRPr="00B865A9">
        <w:rPr>
          <w:rStyle w:val="normaltextrun"/>
          <w:rFonts w:cs="Arial"/>
          <w:color w:val="000000"/>
          <w:sz w:val="22"/>
          <w:szCs w:val="22"/>
          <w:shd w:val="clear" w:color="auto" w:fill="FFFFFF"/>
        </w:rPr>
        <w:t>.</w:t>
      </w:r>
      <w:r w:rsidR="004F624D" w:rsidRPr="00B865A9">
        <w:rPr>
          <w:rStyle w:val="FootnoteReference"/>
          <w:rFonts w:cs="Arial"/>
          <w:color w:val="000000"/>
          <w:sz w:val="22"/>
          <w:szCs w:val="22"/>
          <w:shd w:val="clear" w:color="auto" w:fill="FFFFFF"/>
        </w:rPr>
        <w:footnoteReference w:id="15"/>
      </w:r>
      <w:r w:rsidR="00AC4CB1" w:rsidRPr="00B865A9">
        <w:rPr>
          <w:rStyle w:val="normaltextrun"/>
          <w:rFonts w:cs="Arial"/>
          <w:color w:val="000000"/>
          <w:sz w:val="22"/>
          <w:szCs w:val="22"/>
          <w:shd w:val="clear" w:color="auto" w:fill="FFFFFF"/>
        </w:rPr>
        <w:t xml:space="preserve"> </w:t>
      </w:r>
    </w:p>
    <w:p w14:paraId="032D2A3F" w14:textId="509B2712" w:rsidR="00D17451" w:rsidRDefault="006545F6" w:rsidP="00624DE7">
      <w:pPr>
        <w:autoSpaceDE w:val="0"/>
        <w:autoSpaceDN w:val="0"/>
        <w:adjustRightInd w:val="0"/>
        <w:spacing w:before="120" w:after="120"/>
        <w:jc w:val="both"/>
        <w:rPr>
          <w:rStyle w:val="normaltextrun"/>
          <w:rFonts w:cs="Arial"/>
          <w:color w:val="000000"/>
          <w:sz w:val="22"/>
          <w:szCs w:val="22"/>
          <w:shd w:val="clear" w:color="auto" w:fill="FFFFFF"/>
        </w:rPr>
      </w:pPr>
      <w:r w:rsidRPr="00BB17B3">
        <w:rPr>
          <w:rStyle w:val="normaltextrun"/>
          <w:rFonts w:cs="Arial"/>
          <w:color w:val="000000"/>
          <w:sz w:val="22"/>
          <w:szCs w:val="22"/>
          <w:shd w:val="clear" w:color="auto" w:fill="FFFFFF"/>
        </w:rPr>
        <w:t xml:space="preserve">The lack of progress against SIP-LA’s 2020 blended finance milestones is also due to ongoing </w:t>
      </w:r>
      <w:r w:rsidR="00C13F23" w:rsidRPr="00BB17B3">
        <w:rPr>
          <w:rStyle w:val="normaltextrun"/>
          <w:rFonts w:cs="Arial"/>
          <w:color w:val="000000"/>
          <w:sz w:val="22"/>
          <w:szCs w:val="22"/>
          <w:shd w:val="clear" w:color="auto" w:fill="FFFFFF"/>
        </w:rPr>
        <w:t xml:space="preserve">challenges </w:t>
      </w:r>
      <w:r w:rsidR="0071402D" w:rsidRPr="00BB17B3">
        <w:rPr>
          <w:rStyle w:val="normaltextrun"/>
          <w:rFonts w:cs="Arial"/>
          <w:color w:val="000000"/>
          <w:sz w:val="22"/>
          <w:szCs w:val="22"/>
          <w:shd w:val="clear" w:color="auto" w:fill="FFFFFF"/>
        </w:rPr>
        <w:t>of delivering investments in</w:t>
      </w:r>
      <w:r w:rsidR="00C13F23" w:rsidRPr="00BB17B3">
        <w:rPr>
          <w:rStyle w:val="normaltextrun"/>
          <w:rFonts w:cs="Arial"/>
          <w:color w:val="000000"/>
          <w:sz w:val="22"/>
          <w:szCs w:val="22"/>
          <w:shd w:val="clear" w:color="auto" w:fill="FFFFFF"/>
        </w:rPr>
        <w:t xml:space="preserve"> SIP-LA’s markets.</w:t>
      </w:r>
      <w:r w:rsidR="0071402D">
        <w:rPr>
          <w:rStyle w:val="normaltextrun"/>
          <w:rFonts w:cs="Arial"/>
          <w:color w:val="000000"/>
          <w:sz w:val="22"/>
          <w:szCs w:val="22"/>
          <w:shd w:val="clear" w:color="auto" w:fill="FFFFFF"/>
        </w:rPr>
        <w:t xml:space="preserve"> </w:t>
      </w:r>
      <w:r w:rsidR="008C5CBE">
        <w:rPr>
          <w:rStyle w:val="normaltextrun"/>
          <w:rFonts w:cs="Arial"/>
          <w:color w:val="000000"/>
          <w:sz w:val="22"/>
          <w:szCs w:val="22"/>
          <w:shd w:val="clear" w:color="auto" w:fill="FFFFFF"/>
        </w:rPr>
        <w:t>In 2020 t</w:t>
      </w:r>
      <w:r w:rsidR="003473C2">
        <w:rPr>
          <w:rStyle w:val="normaltextrun"/>
          <w:rFonts w:cs="Arial"/>
          <w:color w:val="000000"/>
          <w:sz w:val="22"/>
          <w:szCs w:val="22"/>
          <w:shd w:val="clear" w:color="auto" w:fill="FFFFFF"/>
        </w:rPr>
        <w:t xml:space="preserve">wo </w:t>
      </w:r>
      <w:r w:rsidR="008C5CBE">
        <w:rPr>
          <w:rStyle w:val="normaltextrun"/>
          <w:rFonts w:cs="Arial"/>
          <w:color w:val="000000"/>
          <w:sz w:val="22"/>
          <w:szCs w:val="22"/>
          <w:shd w:val="clear" w:color="auto" w:fill="FFFFFF"/>
        </w:rPr>
        <w:t>promising</w:t>
      </w:r>
      <w:r w:rsidR="003473C2">
        <w:rPr>
          <w:rStyle w:val="normaltextrun"/>
          <w:rFonts w:cs="Arial"/>
          <w:color w:val="000000"/>
          <w:sz w:val="22"/>
          <w:szCs w:val="22"/>
          <w:shd w:val="clear" w:color="auto" w:fill="FFFFFF"/>
        </w:rPr>
        <w:t xml:space="preserve"> projects from SIP-LA’s </w:t>
      </w:r>
      <w:r w:rsidR="008C5CBE">
        <w:rPr>
          <w:rStyle w:val="normaltextrun"/>
          <w:rFonts w:cs="Arial"/>
          <w:color w:val="000000"/>
          <w:sz w:val="22"/>
          <w:szCs w:val="22"/>
          <w:shd w:val="clear" w:color="auto" w:fill="FFFFFF"/>
        </w:rPr>
        <w:t xml:space="preserve">pipeline from SIP-LA’s pipeline due to external contexts. </w:t>
      </w:r>
      <w:r w:rsidR="00F36B6C">
        <w:rPr>
          <w:rStyle w:val="normaltextrun"/>
          <w:rFonts w:cs="Arial"/>
          <w:color w:val="000000"/>
          <w:sz w:val="22"/>
          <w:szCs w:val="22"/>
          <w:shd w:val="clear" w:color="auto" w:fill="FFFFFF"/>
        </w:rPr>
        <w:t>O</w:t>
      </w:r>
      <w:r w:rsidR="00F30424">
        <w:rPr>
          <w:rStyle w:val="normaltextrun"/>
          <w:rFonts w:cs="Arial"/>
          <w:color w:val="000000"/>
          <w:sz w:val="22"/>
          <w:szCs w:val="22"/>
          <w:shd w:val="clear" w:color="auto" w:fill="FFFFFF"/>
        </w:rPr>
        <w:t xml:space="preserve">ne </w:t>
      </w:r>
      <w:r w:rsidR="00BB334F">
        <w:rPr>
          <w:rStyle w:val="normaltextrun"/>
          <w:rFonts w:cs="Arial"/>
          <w:color w:val="000000"/>
          <w:sz w:val="22"/>
          <w:szCs w:val="22"/>
          <w:shd w:val="clear" w:color="auto" w:fill="FFFFFF"/>
        </w:rPr>
        <w:t xml:space="preserve">project </w:t>
      </w:r>
      <w:r w:rsidR="008C5CBE">
        <w:rPr>
          <w:rStyle w:val="normaltextrun"/>
          <w:rFonts w:cs="Arial"/>
          <w:color w:val="000000"/>
          <w:sz w:val="22"/>
          <w:szCs w:val="22"/>
          <w:shd w:val="clear" w:color="auto" w:fill="FFFFFF"/>
        </w:rPr>
        <w:t xml:space="preserve">was dropped from SIP-LA’s pipeline due to </w:t>
      </w:r>
      <w:r w:rsidR="00DD5019">
        <w:rPr>
          <w:rStyle w:val="normaltextrun"/>
          <w:rFonts w:cs="Arial"/>
          <w:color w:val="000000"/>
          <w:sz w:val="22"/>
          <w:szCs w:val="22"/>
          <w:shd w:val="clear" w:color="auto" w:fill="FFFFFF"/>
        </w:rPr>
        <w:t xml:space="preserve">regulatory changes that </w:t>
      </w:r>
      <w:r w:rsidR="00CA668A">
        <w:rPr>
          <w:rStyle w:val="normaltextrun"/>
          <w:rFonts w:cs="Arial"/>
          <w:color w:val="000000"/>
          <w:sz w:val="22"/>
          <w:szCs w:val="22"/>
          <w:shd w:val="clear" w:color="auto" w:fill="FFFFFF"/>
        </w:rPr>
        <w:t xml:space="preserve">led the developer to pursue an alternative business model and subsequent cancellation of the project. </w:t>
      </w:r>
      <w:r w:rsidR="00BB334F">
        <w:rPr>
          <w:rStyle w:val="normaltextrun"/>
          <w:rFonts w:cs="Arial"/>
          <w:color w:val="000000"/>
          <w:sz w:val="22"/>
          <w:szCs w:val="22"/>
          <w:shd w:val="clear" w:color="auto" w:fill="FFFFFF"/>
        </w:rPr>
        <w:t xml:space="preserve">Another </w:t>
      </w:r>
      <w:r w:rsidR="007C0760">
        <w:rPr>
          <w:rStyle w:val="normaltextrun"/>
          <w:rFonts w:cs="Arial"/>
          <w:color w:val="000000"/>
          <w:sz w:val="22"/>
          <w:szCs w:val="22"/>
          <w:shd w:val="clear" w:color="auto" w:fill="FFFFFF"/>
        </w:rPr>
        <w:t>was dro</w:t>
      </w:r>
      <w:r w:rsidR="00DC5584">
        <w:rPr>
          <w:rStyle w:val="normaltextrun"/>
          <w:rFonts w:cs="Arial"/>
          <w:color w:val="000000"/>
          <w:sz w:val="22"/>
          <w:szCs w:val="22"/>
          <w:shd w:val="clear" w:color="auto" w:fill="FFFFFF"/>
        </w:rPr>
        <w:t>p</w:t>
      </w:r>
      <w:r w:rsidR="007C0760">
        <w:rPr>
          <w:rStyle w:val="normaltextrun"/>
          <w:rFonts w:cs="Arial"/>
          <w:color w:val="000000"/>
          <w:sz w:val="22"/>
          <w:szCs w:val="22"/>
          <w:shd w:val="clear" w:color="auto" w:fill="FFFFFF"/>
        </w:rPr>
        <w:t>ped from the SIP-LA pipeline following changes to the project sponsor.</w:t>
      </w:r>
    </w:p>
    <w:p w14:paraId="23C188D8" w14:textId="0A712477" w:rsidR="00D17451" w:rsidRPr="00E45C4E" w:rsidRDefault="00D17451" w:rsidP="00624DE7">
      <w:pPr>
        <w:autoSpaceDE w:val="0"/>
        <w:autoSpaceDN w:val="0"/>
        <w:adjustRightInd w:val="0"/>
        <w:spacing w:before="120" w:after="120"/>
        <w:jc w:val="both"/>
        <w:rPr>
          <w:rFonts w:cs="Arial"/>
          <w:color w:val="000000"/>
          <w:sz w:val="22"/>
          <w:szCs w:val="22"/>
          <w:shd w:val="clear" w:color="auto" w:fill="FFFFFF"/>
        </w:rPr>
      </w:pPr>
      <w:r>
        <w:rPr>
          <w:rFonts w:cs="Arial"/>
          <w:sz w:val="22"/>
          <w:szCs w:val="22"/>
        </w:rPr>
        <w:t xml:space="preserve">In 2020 </w:t>
      </w:r>
      <w:r w:rsidR="005A5A1F">
        <w:rPr>
          <w:rFonts w:cs="Arial"/>
          <w:sz w:val="22"/>
          <w:szCs w:val="22"/>
        </w:rPr>
        <w:t>SIP-LA’s pipeline was weighted to transactions in Colombia and Brazil</w:t>
      </w:r>
      <w:r w:rsidR="005D6D9F">
        <w:rPr>
          <w:rFonts w:cs="Arial"/>
          <w:sz w:val="22"/>
          <w:szCs w:val="22"/>
        </w:rPr>
        <w:t xml:space="preserve"> where market conditions were temporally more favourable.</w:t>
      </w:r>
      <w:r>
        <w:rPr>
          <w:rFonts w:cs="Arial"/>
          <w:sz w:val="22"/>
          <w:szCs w:val="22"/>
        </w:rPr>
        <w:t xml:space="preserve"> P</w:t>
      </w:r>
      <w:r w:rsidRPr="0076071D">
        <w:rPr>
          <w:rFonts w:cs="Arial"/>
          <w:sz w:val="22"/>
          <w:szCs w:val="22"/>
        </w:rPr>
        <w:t xml:space="preserve">olitical transitions </w:t>
      </w:r>
      <w:r>
        <w:rPr>
          <w:rFonts w:cs="Arial"/>
          <w:sz w:val="22"/>
          <w:szCs w:val="22"/>
        </w:rPr>
        <w:t xml:space="preserve">in Mexico and Peru </w:t>
      </w:r>
      <w:r w:rsidR="005D6D9F">
        <w:rPr>
          <w:rFonts w:cs="Arial"/>
          <w:sz w:val="22"/>
          <w:szCs w:val="22"/>
        </w:rPr>
        <w:t xml:space="preserve">in 2020/21 </w:t>
      </w:r>
      <w:r>
        <w:rPr>
          <w:rFonts w:cs="Arial"/>
          <w:sz w:val="22"/>
          <w:szCs w:val="22"/>
        </w:rPr>
        <w:t>have ma</w:t>
      </w:r>
      <w:r w:rsidR="005D6D9F">
        <w:rPr>
          <w:rFonts w:cs="Arial"/>
          <w:sz w:val="22"/>
          <w:szCs w:val="22"/>
        </w:rPr>
        <w:t>de it more prudent for SIP-LA to focus its pipeline in other geographies, although it is anticipated that SIP-LA will focus more on developing investments in Mexico and Peru in 2021/22</w:t>
      </w:r>
      <w:r>
        <w:rPr>
          <w:rFonts w:cs="Arial"/>
          <w:sz w:val="22"/>
          <w:szCs w:val="22"/>
        </w:rPr>
        <w:t>, with a view to ultimately achieving a more balanced portfolio in time.</w:t>
      </w:r>
    </w:p>
    <w:p w14:paraId="468EC393" w14:textId="38921846" w:rsidR="006267EA" w:rsidRPr="008326A1" w:rsidRDefault="006267EA" w:rsidP="008326A1">
      <w:pPr>
        <w:spacing w:after="120"/>
        <w:jc w:val="both"/>
        <w:rPr>
          <w:rFonts w:cs="Arial"/>
          <w:b/>
          <w:bCs/>
          <w:sz w:val="22"/>
          <w:szCs w:val="22"/>
        </w:rPr>
      </w:pPr>
      <w:r w:rsidRPr="008326A1">
        <w:rPr>
          <w:rFonts w:cs="Arial"/>
          <w:b/>
          <w:bCs/>
          <w:sz w:val="22"/>
          <w:szCs w:val="22"/>
        </w:rPr>
        <w:t>Describe any changes to this output, and any planned changes as a result of this review</w:t>
      </w:r>
    </w:p>
    <w:p w14:paraId="1E3713B7" w14:textId="18A5701A" w:rsidR="00423397" w:rsidRPr="00F6371E" w:rsidRDefault="00423397" w:rsidP="008326A1">
      <w:pPr>
        <w:spacing w:after="120"/>
        <w:jc w:val="both"/>
        <w:textAlignment w:val="baseline"/>
        <w:rPr>
          <w:rFonts w:cs="Arial"/>
          <w:sz w:val="22"/>
          <w:szCs w:val="22"/>
          <w:lang w:eastAsia="en-GB"/>
        </w:rPr>
      </w:pPr>
      <w:r w:rsidRPr="00F6371E">
        <w:rPr>
          <w:rFonts w:cs="Arial"/>
          <w:sz w:val="22"/>
          <w:szCs w:val="22"/>
          <w:lang w:eastAsia="en-GB"/>
        </w:rPr>
        <w:t>This </w:t>
      </w:r>
      <w:r w:rsidR="00F6371E" w:rsidRPr="00F6371E">
        <w:rPr>
          <w:rFonts w:cs="Arial"/>
          <w:sz w:val="22"/>
          <w:szCs w:val="22"/>
          <w:lang w:eastAsia="en-GB"/>
        </w:rPr>
        <w:t>o</w:t>
      </w:r>
      <w:r w:rsidRPr="00F6371E">
        <w:rPr>
          <w:rFonts w:cs="Arial"/>
          <w:sz w:val="22"/>
          <w:szCs w:val="22"/>
          <w:lang w:eastAsia="en-GB"/>
        </w:rPr>
        <w:t>utput </w:t>
      </w:r>
      <w:r w:rsidR="00C4068B" w:rsidRPr="00F6371E">
        <w:rPr>
          <w:rFonts w:cs="Arial"/>
          <w:sz w:val="22"/>
          <w:szCs w:val="22"/>
          <w:lang w:eastAsia="en-GB"/>
        </w:rPr>
        <w:t>was</w:t>
      </w:r>
      <w:r w:rsidRPr="00F6371E">
        <w:rPr>
          <w:rFonts w:cs="Arial"/>
          <w:sz w:val="22"/>
          <w:szCs w:val="22"/>
          <w:lang w:eastAsia="en-GB"/>
        </w:rPr>
        <w:t xml:space="preserve"> reviewed as part of the log frame review and blended finance results will be captured within ‘Output 3’, </w:t>
      </w:r>
      <w:r w:rsidR="00F6371E" w:rsidRPr="00F6371E">
        <w:rPr>
          <w:rFonts w:cs="Arial"/>
          <w:sz w:val="22"/>
          <w:szCs w:val="22"/>
          <w:lang w:eastAsia="en-GB"/>
        </w:rPr>
        <w:t>which</w:t>
      </w:r>
      <w:r w:rsidRPr="00F6371E">
        <w:rPr>
          <w:rFonts w:cs="Arial"/>
          <w:sz w:val="22"/>
          <w:szCs w:val="22"/>
          <w:lang w:eastAsia="en-GB"/>
        </w:rPr>
        <w:t xml:space="preserve"> measure</w:t>
      </w:r>
      <w:r w:rsidR="00F6371E" w:rsidRPr="00F6371E">
        <w:rPr>
          <w:rFonts w:cs="Arial"/>
          <w:sz w:val="22"/>
          <w:szCs w:val="22"/>
          <w:lang w:eastAsia="en-GB"/>
        </w:rPr>
        <w:t>s</w:t>
      </w:r>
      <w:r w:rsidRPr="00F6371E">
        <w:rPr>
          <w:rFonts w:cs="Arial"/>
          <w:sz w:val="22"/>
          <w:szCs w:val="22"/>
          <w:lang w:eastAsia="en-GB"/>
        </w:rPr>
        <w:t xml:space="preserve"> the number of investments made with SIP-LA funds, private finance leveraged and level of installed capacity of clean energy generated. </w:t>
      </w:r>
      <w:r w:rsidR="00147A66" w:rsidRPr="009803EC">
        <w:rPr>
          <w:rFonts w:cs="Arial"/>
          <w:sz w:val="22"/>
          <w:szCs w:val="22"/>
          <w:lang w:eastAsia="en-GB"/>
        </w:rPr>
        <w:t>T</w:t>
      </w:r>
      <w:r w:rsidR="000F6EFD" w:rsidRPr="00513E41">
        <w:rPr>
          <w:rFonts w:cs="Arial"/>
          <w:sz w:val="22"/>
          <w:szCs w:val="22"/>
          <w:lang w:eastAsia="en-GB"/>
        </w:rPr>
        <w:t xml:space="preserve">he </w:t>
      </w:r>
      <w:r w:rsidRPr="00513E41">
        <w:rPr>
          <w:rFonts w:cs="Arial"/>
          <w:sz w:val="22"/>
          <w:szCs w:val="22"/>
          <w:lang w:eastAsia="en-GB"/>
        </w:rPr>
        <w:t>2019</w:t>
      </w:r>
      <w:r w:rsidR="000F6EFD" w:rsidRPr="00513E41">
        <w:rPr>
          <w:rFonts w:cs="Arial"/>
          <w:sz w:val="22"/>
          <w:szCs w:val="22"/>
          <w:lang w:eastAsia="en-GB"/>
        </w:rPr>
        <w:t xml:space="preserve"> Annual Review </w:t>
      </w:r>
      <w:r w:rsidR="005A3C9F" w:rsidRPr="009803EC">
        <w:rPr>
          <w:rFonts w:cs="Arial"/>
          <w:sz w:val="22"/>
          <w:szCs w:val="22"/>
          <w:lang w:eastAsia="en-GB"/>
        </w:rPr>
        <w:t>weighted SIP-LA’s blended finance o</w:t>
      </w:r>
      <w:r w:rsidRPr="00513E41">
        <w:rPr>
          <w:rFonts w:cs="Arial"/>
          <w:sz w:val="22"/>
          <w:szCs w:val="22"/>
          <w:lang w:eastAsia="en-GB"/>
        </w:rPr>
        <w:t>utput at</w:t>
      </w:r>
      <w:r w:rsidR="000F6EFD" w:rsidRPr="00513E41">
        <w:rPr>
          <w:rFonts w:cs="Arial"/>
          <w:sz w:val="22"/>
          <w:szCs w:val="22"/>
          <w:lang w:eastAsia="en-GB"/>
        </w:rPr>
        <w:t xml:space="preserve"> </w:t>
      </w:r>
      <w:r w:rsidRPr="00513E41">
        <w:rPr>
          <w:rFonts w:cs="Arial"/>
          <w:sz w:val="22"/>
          <w:szCs w:val="22"/>
          <w:lang w:eastAsia="en-GB"/>
        </w:rPr>
        <w:t>75%</w:t>
      </w:r>
      <w:r w:rsidR="000F6EFD" w:rsidRPr="00513E41">
        <w:rPr>
          <w:rFonts w:cs="Arial"/>
          <w:sz w:val="22"/>
          <w:szCs w:val="22"/>
          <w:lang w:eastAsia="en-GB"/>
        </w:rPr>
        <w:t>.</w:t>
      </w:r>
      <w:r w:rsidR="005A3C9F" w:rsidRPr="009803EC">
        <w:rPr>
          <w:rFonts w:cs="Arial"/>
          <w:sz w:val="22"/>
          <w:szCs w:val="22"/>
          <w:lang w:eastAsia="en-GB"/>
        </w:rPr>
        <w:t xml:space="preserve"> </w:t>
      </w:r>
      <w:r w:rsidR="009D2785" w:rsidRPr="009803EC">
        <w:rPr>
          <w:rFonts w:cs="Arial"/>
          <w:sz w:val="22"/>
          <w:szCs w:val="22"/>
          <w:lang w:eastAsia="en-GB"/>
        </w:rPr>
        <w:t>This has been reduced to 50% to allow greater weighting for SIP-LA’s private sector technical assistance</w:t>
      </w:r>
      <w:r w:rsidR="009803EC">
        <w:rPr>
          <w:rFonts w:cs="Arial"/>
          <w:sz w:val="22"/>
          <w:szCs w:val="22"/>
          <w:lang w:eastAsia="en-GB"/>
        </w:rPr>
        <w:t xml:space="preserve">, which is now a distinct </w:t>
      </w:r>
      <w:r w:rsidR="00853E74">
        <w:rPr>
          <w:rFonts w:cs="Arial"/>
          <w:sz w:val="22"/>
          <w:szCs w:val="22"/>
          <w:lang w:eastAsia="en-GB"/>
        </w:rPr>
        <w:t>output indicator (previously combined with public sector technical assistance under one indicator)</w:t>
      </w:r>
      <w:r w:rsidR="009D2785" w:rsidRPr="009803EC">
        <w:rPr>
          <w:rFonts w:cs="Arial"/>
          <w:sz w:val="22"/>
          <w:szCs w:val="22"/>
          <w:lang w:eastAsia="en-GB"/>
        </w:rPr>
        <w:t>.</w:t>
      </w:r>
    </w:p>
    <w:p w14:paraId="6E106A5D" w14:textId="589E7DCB" w:rsidR="006267EA" w:rsidRPr="0010529B" w:rsidRDefault="006267EA" w:rsidP="008326A1">
      <w:pPr>
        <w:spacing w:after="120"/>
        <w:jc w:val="both"/>
        <w:rPr>
          <w:rFonts w:eastAsiaTheme="minorHAnsi" w:cs="Arial"/>
          <w:color w:val="000000"/>
          <w:sz w:val="22"/>
          <w:szCs w:val="22"/>
        </w:rPr>
      </w:pPr>
      <w:r w:rsidRPr="0010529B">
        <w:rPr>
          <w:rFonts w:cs="Arial"/>
          <w:b/>
          <w:sz w:val="22"/>
          <w:szCs w:val="22"/>
        </w:rPr>
        <w:t>Progress on recommendations from the previous AR, lessons learned this year and recommendations for the year ahead</w:t>
      </w:r>
      <w:r w:rsidRPr="0010529B">
        <w:rPr>
          <w:rFonts w:eastAsiaTheme="minorHAnsi" w:cs="Arial"/>
          <w:color w:val="000000"/>
          <w:sz w:val="22"/>
          <w:szCs w:val="22"/>
        </w:rPr>
        <w:t xml:space="preserve"> </w:t>
      </w:r>
    </w:p>
    <w:p w14:paraId="58700644" w14:textId="27A51CC2" w:rsidR="0090548D" w:rsidRDefault="00E81859" w:rsidP="00C21041">
      <w:pPr>
        <w:spacing w:after="120"/>
        <w:jc w:val="both"/>
        <w:rPr>
          <w:rFonts w:cs="Arial"/>
          <w:sz w:val="22"/>
          <w:szCs w:val="22"/>
        </w:rPr>
      </w:pPr>
      <w:r w:rsidRPr="00513E41">
        <w:rPr>
          <w:rFonts w:cs="Arial"/>
          <w:sz w:val="22"/>
          <w:szCs w:val="22"/>
        </w:rPr>
        <w:t xml:space="preserve">The 2019 Annual Review did not include any recommendations specific </w:t>
      </w:r>
      <w:r w:rsidR="00CD6F96" w:rsidRPr="00513E41">
        <w:rPr>
          <w:rFonts w:cs="Arial"/>
          <w:sz w:val="22"/>
          <w:szCs w:val="22"/>
        </w:rPr>
        <w:t>to</w:t>
      </w:r>
      <w:r w:rsidRPr="00513E41">
        <w:rPr>
          <w:rFonts w:cs="Arial"/>
          <w:sz w:val="22"/>
          <w:szCs w:val="22"/>
        </w:rPr>
        <w:t xml:space="preserve"> output 3</w:t>
      </w:r>
      <w:r w:rsidR="00E95085" w:rsidRPr="00513E41">
        <w:rPr>
          <w:rFonts w:cs="Arial"/>
          <w:sz w:val="22"/>
          <w:szCs w:val="22"/>
        </w:rPr>
        <w:t xml:space="preserve">. </w:t>
      </w:r>
      <w:r w:rsidR="009816EC" w:rsidRPr="00513E41">
        <w:rPr>
          <w:rFonts w:cs="Arial"/>
          <w:sz w:val="22"/>
          <w:szCs w:val="22"/>
        </w:rPr>
        <w:t>The</w:t>
      </w:r>
      <w:r w:rsidR="00883405">
        <w:rPr>
          <w:rFonts w:cs="Arial"/>
          <w:sz w:val="22"/>
          <w:szCs w:val="22"/>
        </w:rPr>
        <w:t xml:space="preserve"> </w:t>
      </w:r>
      <w:r w:rsidR="009816EC" w:rsidRPr="00513E41">
        <w:rPr>
          <w:rFonts w:cs="Arial"/>
          <w:sz w:val="22"/>
          <w:szCs w:val="22"/>
        </w:rPr>
        <w:t xml:space="preserve">2019 Annual Review reported </w:t>
      </w:r>
      <w:r w:rsidR="007C27F7" w:rsidRPr="00513E41">
        <w:rPr>
          <w:rFonts w:cs="Arial"/>
          <w:sz w:val="22"/>
          <w:szCs w:val="22"/>
        </w:rPr>
        <w:t>that unforeseen</w:t>
      </w:r>
      <w:r w:rsidR="009816EC" w:rsidRPr="00513E41">
        <w:rPr>
          <w:rFonts w:cs="Arial"/>
          <w:sz w:val="22"/>
          <w:szCs w:val="22"/>
        </w:rPr>
        <w:t xml:space="preserve"> market </w:t>
      </w:r>
      <w:r w:rsidR="007C27F7" w:rsidRPr="00513E41">
        <w:rPr>
          <w:rFonts w:cs="Arial"/>
          <w:sz w:val="22"/>
          <w:szCs w:val="22"/>
        </w:rPr>
        <w:t xml:space="preserve">conditions had inhibited </w:t>
      </w:r>
      <w:r w:rsidR="003C777D" w:rsidRPr="00513E41">
        <w:rPr>
          <w:rFonts w:cs="Arial"/>
          <w:sz w:val="22"/>
          <w:szCs w:val="22"/>
        </w:rPr>
        <w:t>the development of SIP-LA’s investment pipeline at the start of the programme.</w:t>
      </w:r>
      <w:r w:rsidR="000E0B50" w:rsidRPr="00513E41">
        <w:rPr>
          <w:rFonts w:cs="Arial"/>
          <w:sz w:val="22"/>
          <w:szCs w:val="22"/>
        </w:rPr>
        <w:t xml:space="preserve"> </w:t>
      </w:r>
      <w:r w:rsidR="00002717" w:rsidRPr="00513E41">
        <w:rPr>
          <w:rFonts w:cs="Arial"/>
          <w:sz w:val="22"/>
          <w:szCs w:val="22"/>
        </w:rPr>
        <w:t xml:space="preserve">A learning from 2020 is that </w:t>
      </w:r>
      <w:r w:rsidR="006928A4" w:rsidRPr="00513E41">
        <w:rPr>
          <w:rFonts w:cs="Arial"/>
          <w:sz w:val="22"/>
          <w:szCs w:val="22"/>
        </w:rPr>
        <w:t>dynamic and unexpected</w:t>
      </w:r>
      <w:r w:rsidR="00002717" w:rsidRPr="00513E41">
        <w:rPr>
          <w:rFonts w:cs="Arial"/>
          <w:sz w:val="22"/>
          <w:szCs w:val="22"/>
        </w:rPr>
        <w:t xml:space="preserve"> </w:t>
      </w:r>
      <w:r w:rsidR="00537202" w:rsidRPr="00513E41">
        <w:rPr>
          <w:rFonts w:cs="Arial"/>
          <w:sz w:val="22"/>
          <w:szCs w:val="22"/>
        </w:rPr>
        <w:t xml:space="preserve">market conditions </w:t>
      </w:r>
      <w:r w:rsidR="006928A4" w:rsidRPr="00513E41">
        <w:rPr>
          <w:rFonts w:cs="Arial"/>
          <w:sz w:val="22"/>
          <w:szCs w:val="22"/>
        </w:rPr>
        <w:t xml:space="preserve">have </w:t>
      </w:r>
      <w:r w:rsidR="00537202" w:rsidRPr="00513E41">
        <w:rPr>
          <w:rFonts w:cs="Arial"/>
          <w:sz w:val="22"/>
          <w:szCs w:val="22"/>
        </w:rPr>
        <w:t>continue</w:t>
      </w:r>
      <w:r w:rsidR="006928A4" w:rsidRPr="00513E41">
        <w:rPr>
          <w:rFonts w:cs="Arial"/>
          <w:sz w:val="22"/>
          <w:szCs w:val="22"/>
        </w:rPr>
        <w:t xml:space="preserve">d to </w:t>
      </w:r>
      <w:r w:rsidR="001A7B6A">
        <w:rPr>
          <w:rFonts w:cs="Arial"/>
          <w:sz w:val="22"/>
          <w:szCs w:val="22"/>
        </w:rPr>
        <w:t xml:space="preserve">present a challenge for delivering SIP-LA blended finance investments. In response, IDB </w:t>
      </w:r>
      <w:r w:rsidR="00537202" w:rsidRPr="00513E41">
        <w:rPr>
          <w:rFonts w:cs="Arial"/>
          <w:sz w:val="22"/>
          <w:szCs w:val="22"/>
        </w:rPr>
        <w:t xml:space="preserve">impact </w:t>
      </w:r>
      <w:r w:rsidR="002906C2">
        <w:rPr>
          <w:rFonts w:cs="Arial"/>
          <w:sz w:val="22"/>
          <w:szCs w:val="22"/>
        </w:rPr>
        <w:t>have temporarily</w:t>
      </w:r>
      <w:r w:rsidR="00A36E97">
        <w:rPr>
          <w:rFonts w:cs="Arial"/>
          <w:sz w:val="22"/>
          <w:szCs w:val="22"/>
        </w:rPr>
        <w:t xml:space="preserve"> </w:t>
      </w:r>
      <w:r w:rsidR="001723C5" w:rsidRPr="00513E41">
        <w:rPr>
          <w:rFonts w:cs="Arial"/>
          <w:sz w:val="22"/>
          <w:szCs w:val="22"/>
        </w:rPr>
        <w:t xml:space="preserve">prioritised </w:t>
      </w:r>
      <w:r w:rsidR="0090548D">
        <w:rPr>
          <w:rFonts w:cs="Arial"/>
          <w:sz w:val="22"/>
          <w:szCs w:val="22"/>
        </w:rPr>
        <w:t>those</w:t>
      </w:r>
      <w:r w:rsidR="001723C5" w:rsidRPr="00513E41">
        <w:rPr>
          <w:rFonts w:cs="Arial"/>
          <w:sz w:val="22"/>
          <w:szCs w:val="22"/>
        </w:rPr>
        <w:t xml:space="preserve"> </w:t>
      </w:r>
      <w:r w:rsidR="0090548D" w:rsidRPr="00513E41">
        <w:rPr>
          <w:rFonts w:cs="Arial"/>
          <w:sz w:val="22"/>
          <w:szCs w:val="22"/>
        </w:rPr>
        <w:t>markets with the most promising investment opportunities</w:t>
      </w:r>
      <w:r w:rsidR="0090548D">
        <w:rPr>
          <w:rFonts w:cs="Arial"/>
          <w:sz w:val="22"/>
          <w:szCs w:val="22"/>
        </w:rPr>
        <w:t xml:space="preserve"> </w:t>
      </w:r>
      <w:r w:rsidR="002906C2">
        <w:rPr>
          <w:rFonts w:cs="Arial"/>
          <w:sz w:val="22"/>
          <w:szCs w:val="22"/>
        </w:rPr>
        <w:t>for achieving</w:t>
      </w:r>
      <w:r w:rsidR="0090548D">
        <w:rPr>
          <w:rFonts w:cs="Arial"/>
          <w:sz w:val="22"/>
          <w:szCs w:val="22"/>
        </w:rPr>
        <w:t xml:space="preserve"> transformational change</w:t>
      </w:r>
      <w:r w:rsidR="00584E7B">
        <w:rPr>
          <w:rFonts w:cs="Arial"/>
          <w:sz w:val="22"/>
          <w:szCs w:val="22"/>
        </w:rPr>
        <w:t xml:space="preserve"> now</w:t>
      </w:r>
      <w:r w:rsidR="00A36E97">
        <w:rPr>
          <w:rFonts w:cs="Arial"/>
          <w:sz w:val="22"/>
          <w:szCs w:val="22"/>
        </w:rPr>
        <w:t xml:space="preserve">, with a view to </w:t>
      </w:r>
      <w:r w:rsidR="00584E7B">
        <w:rPr>
          <w:rFonts w:cs="Arial"/>
          <w:sz w:val="22"/>
          <w:szCs w:val="22"/>
        </w:rPr>
        <w:t>focusing on other SIP-LA markets later in the programme</w:t>
      </w:r>
      <w:r w:rsidR="0090548D" w:rsidRPr="00C21041">
        <w:rPr>
          <w:rFonts w:cs="Arial"/>
          <w:sz w:val="22"/>
          <w:szCs w:val="22"/>
        </w:rPr>
        <w:t>.</w:t>
      </w:r>
      <w:r w:rsidR="002906C2">
        <w:rPr>
          <w:rFonts w:cs="Arial"/>
          <w:sz w:val="22"/>
          <w:szCs w:val="22"/>
        </w:rPr>
        <w:t xml:space="preserve"> IDB have also developed projects that are </w:t>
      </w:r>
      <w:r w:rsidR="00783402">
        <w:rPr>
          <w:rFonts w:cs="Arial"/>
          <w:sz w:val="22"/>
          <w:szCs w:val="22"/>
        </w:rPr>
        <w:t>more resilient to changing political contexts.</w:t>
      </w:r>
      <w:r w:rsidR="00783402">
        <w:rPr>
          <w:rStyle w:val="FootnoteReference"/>
          <w:rFonts w:cs="Arial"/>
          <w:sz w:val="22"/>
          <w:szCs w:val="22"/>
        </w:rPr>
        <w:footnoteReference w:id="16"/>
      </w:r>
    </w:p>
    <w:p w14:paraId="36CFDF34" w14:textId="044CF687" w:rsidR="00726F31" w:rsidRPr="00513E41" w:rsidRDefault="007F3F49" w:rsidP="00A55379">
      <w:pPr>
        <w:keepNext/>
        <w:spacing w:after="120"/>
        <w:textAlignment w:val="center"/>
        <w:rPr>
          <w:rFonts w:cs="Arial"/>
          <w:iCs/>
          <w:sz w:val="22"/>
          <w:szCs w:val="22"/>
        </w:rPr>
      </w:pPr>
      <w:r w:rsidRPr="00513E41">
        <w:rPr>
          <w:rFonts w:cs="Arial"/>
          <w:iCs/>
          <w:sz w:val="22"/>
          <w:szCs w:val="22"/>
        </w:rPr>
        <w:lastRenderedPageBreak/>
        <w:t xml:space="preserve">The recommendations for </w:t>
      </w:r>
      <w:r w:rsidR="00726F31" w:rsidRPr="00513E41">
        <w:rPr>
          <w:rFonts w:cs="Arial"/>
          <w:iCs/>
          <w:sz w:val="22"/>
          <w:szCs w:val="22"/>
        </w:rPr>
        <w:t xml:space="preserve">the remainder of </w:t>
      </w:r>
      <w:r w:rsidRPr="00513E41">
        <w:rPr>
          <w:rFonts w:cs="Arial"/>
          <w:iCs/>
          <w:sz w:val="22"/>
          <w:szCs w:val="22"/>
        </w:rPr>
        <w:t>2021 are</w:t>
      </w:r>
      <w:r w:rsidR="004D7C18">
        <w:rPr>
          <w:rFonts w:cs="Arial"/>
          <w:iCs/>
          <w:sz w:val="22"/>
          <w:szCs w:val="22"/>
        </w:rPr>
        <w:t>:</w:t>
      </w:r>
    </w:p>
    <w:p w14:paraId="5098C5C4" w14:textId="6204613A" w:rsidR="00726F31" w:rsidRPr="0052744F" w:rsidRDefault="00726F31" w:rsidP="00D93F68">
      <w:pPr>
        <w:pStyle w:val="ListParagraph"/>
        <w:numPr>
          <w:ilvl w:val="0"/>
          <w:numId w:val="12"/>
        </w:numPr>
        <w:spacing w:after="120"/>
        <w:textAlignment w:val="center"/>
        <w:rPr>
          <w:rFonts w:cs="Arial"/>
          <w:b/>
          <w:bCs/>
          <w:iCs/>
          <w:sz w:val="22"/>
          <w:szCs w:val="22"/>
        </w:rPr>
      </w:pPr>
      <w:r w:rsidRPr="0052744F">
        <w:rPr>
          <w:b/>
          <w:bCs/>
          <w:sz w:val="22"/>
          <w:szCs w:val="22"/>
        </w:rPr>
        <w:t>Delivery</w:t>
      </w:r>
      <w:r w:rsidRPr="0052744F">
        <w:rPr>
          <w:sz w:val="22"/>
          <w:szCs w:val="22"/>
        </w:rPr>
        <w:t xml:space="preserve"> - IDB to demonstrate evidence of work to identify investments in all of SIP-LA’s countries</w:t>
      </w:r>
      <w:r w:rsidR="0034155F">
        <w:rPr>
          <w:sz w:val="22"/>
          <w:szCs w:val="22"/>
        </w:rPr>
        <w:t xml:space="preserve">, including Peru, </w:t>
      </w:r>
      <w:r w:rsidRPr="0052744F">
        <w:rPr>
          <w:sz w:val="22"/>
          <w:szCs w:val="22"/>
        </w:rPr>
        <w:t>at investment pipeline meetings with BEIS.</w:t>
      </w:r>
    </w:p>
    <w:p w14:paraId="72E86FF0" w14:textId="75F8707F" w:rsidR="003D222C" w:rsidRPr="006778A3" w:rsidRDefault="003D222C" w:rsidP="006778A3">
      <w:pPr>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cs="Arial"/>
          <w:bCs/>
          <w:sz w:val="22"/>
          <w:szCs w:val="22"/>
        </w:rPr>
      </w:pPr>
      <w:r w:rsidRPr="006778A3">
        <w:rPr>
          <w:rFonts w:cs="Arial"/>
          <w:b/>
          <w:bCs/>
          <w:sz w:val="22"/>
          <w:szCs w:val="22"/>
        </w:rPr>
        <w:t xml:space="preserve">D: PROJECT PERFORMANCE NOT CAPTURED BY OUTPUTS </w:t>
      </w:r>
    </w:p>
    <w:p w14:paraId="67EDF8A5" w14:textId="15A4CBD8" w:rsidR="00AC1C59" w:rsidRDefault="00321A65">
      <w:pPr>
        <w:spacing w:after="120"/>
        <w:jc w:val="both"/>
        <w:rPr>
          <w:color w:val="000000" w:themeColor="text1"/>
          <w:sz w:val="22"/>
          <w:szCs w:val="22"/>
        </w:rPr>
      </w:pPr>
      <w:r w:rsidRPr="009A6481">
        <w:rPr>
          <w:rFonts w:cs="Arial"/>
          <w:color w:val="000000"/>
          <w:sz w:val="22"/>
          <w:szCs w:val="22"/>
        </w:rPr>
        <w:t xml:space="preserve">In 2020, </w:t>
      </w:r>
      <w:r w:rsidR="00AA44F6">
        <w:rPr>
          <w:rFonts w:cs="Arial"/>
          <w:color w:val="000000"/>
          <w:sz w:val="22"/>
          <w:szCs w:val="22"/>
        </w:rPr>
        <w:t xml:space="preserve">SIP-LA </w:t>
      </w:r>
      <w:r w:rsidR="00986337">
        <w:rPr>
          <w:rFonts w:cs="Arial"/>
          <w:color w:val="000000"/>
          <w:sz w:val="22"/>
          <w:szCs w:val="22"/>
        </w:rPr>
        <w:t xml:space="preserve">delivered 10 </w:t>
      </w:r>
      <w:r w:rsidRPr="009A6481">
        <w:rPr>
          <w:rFonts w:cs="Arial"/>
          <w:color w:val="000000"/>
          <w:sz w:val="22"/>
          <w:szCs w:val="22"/>
        </w:rPr>
        <w:t>workshops, capacity building and training events in Colombia, Mexico and Brazil.</w:t>
      </w:r>
      <w:r w:rsidR="00845692">
        <w:rPr>
          <w:rFonts w:cs="Arial"/>
          <w:color w:val="000000"/>
          <w:sz w:val="22"/>
          <w:szCs w:val="22"/>
        </w:rPr>
        <w:t xml:space="preserve"> </w:t>
      </w:r>
      <w:r w:rsidR="00DA2FE9">
        <w:rPr>
          <w:rFonts w:cs="Arial"/>
          <w:color w:val="000000"/>
          <w:sz w:val="22"/>
          <w:szCs w:val="22"/>
        </w:rPr>
        <w:t xml:space="preserve">SIP-LA events planned for Peru in 2020 were postponed due to ongoing political uncertainty. </w:t>
      </w:r>
      <w:r w:rsidR="00C21041">
        <w:rPr>
          <w:color w:val="000000" w:themeColor="text1"/>
          <w:sz w:val="22"/>
          <w:szCs w:val="22"/>
        </w:rPr>
        <w:t xml:space="preserve">IDB also delivered 21 studies and publications in 2020. </w:t>
      </w:r>
      <w:r w:rsidR="00DA2FE9">
        <w:rPr>
          <w:rFonts w:cs="Arial"/>
          <w:bCs/>
          <w:color w:val="000000"/>
          <w:sz w:val="22"/>
          <w:szCs w:val="22"/>
        </w:rPr>
        <w:t>These</w:t>
      </w:r>
      <w:r w:rsidR="00525556">
        <w:rPr>
          <w:color w:val="000000" w:themeColor="text1"/>
          <w:sz w:val="22"/>
          <w:szCs w:val="22"/>
        </w:rPr>
        <w:t xml:space="preserve"> </w:t>
      </w:r>
      <w:r w:rsidR="00C21041">
        <w:rPr>
          <w:color w:val="000000" w:themeColor="text1"/>
          <w:sz w:val="22"/>
          <w:szCs w:val="22"/>
        </w:rPr>
        <w:t xml:space="preserve">publications and </w:t>
      </w:r>
      <w:r w:rsidR="00525556">
        <w:rPr>
          <w:color w:val="000000" w:themeColor="text1"/>
          <w:sz w:val="22"/>
          <w:szCs w:val="22"/>
        </w:rPr>
        <w:t xml:space="preserve">events target </w:t>
      </w:r>
      <w:r w:rsidR="00DA2FE9">
        <w:rPr>
          <w:color w:val="000000" w:themeColor="text1"/>
          <w:sz w:val="22"/>
          <w:szCs w:val="22"/>
        </w:rPr>
        <w:t xml:space="preserve">public and private sector actors </w:t>
      </w:r>
      <w:r w:rsidR="00C21041">
        <w:rPr>
          <w:color w:val="000000" w:themeColor="text1"/>
          <w:sz w:val="22"/>
          <w:szCs w:val="22"/>
        </w:rPr>
        <w:t>working in sustainable infrastructure</w:t>
      </w:r>
      <w:r w:rsidR="00525556">
        <w:rPr>
          <w:color w:val="000000" w:themeColor="text1"/>
          <w:sz w:val="22"/>
          <w:szCs w:val="22"/>
        </w:rPr>
        <w:t xml:space="preserve"> and are </w:t>
      </w:r>
      <w:r w:rsidR="00C21041">
        <w:rPr>
          <w:color w:val="000000" w:themeColor="text1"/>
          <w:sz w:val="22"/>
          <w:szCs w:val="22"/>
        </w:rPr>
        <w:t>designed</w:t>
      </w:r>
      <w:r w:rsidR="00525556">
        <w:rPr>
          <w:color w:val="000000" w:themeColor="text1"/>
          <w:sz w:val="22"/>
          <w:szCs w:val="22"/>
        </w:rPr>
        <w:t xml:space="preserve"> to </w:t>
      </w:r>
      <w:r w:rsidR="00E87447">
        <w:rPr>
          <w:color w:val="000000" w:themeColor="text1"/>
          <w:sz w:val="22"/>
          <w:szCs w:val="22"/>
        </w:rPr>
        <w:t xml:space="preserve">disseminate and advance </w:t>
      </w:r>
      <w:r w:rsidR="00C21041">
        <w:rPr>
          <w:color w:val="000000" w:themeColor="text1"/>
          <w:sz w:val="22"/>
          <w:szCs w:val="22"/>
        </w:rPr>
        <w:t>learnings from</w:t>
      </w:r>
      <w:r w:rsidR="00E87447">
        <w:rPr>
          <w:color w:val="000000" w:themeColor="text1"/>
          <w:sz w:val="22"/>
          <w:szCs w:val="22"/>
        </w:rPr>
        <w:t xml:space="preserve"> SIP</w:t>
      </w:r>
      <w:r w:rsidR="00C21041">
        <w:rPr>
          <w:color w:val="000000" w:themeColor="text1"/>
          <w:sz w:val="22"/>
          <w:szCs w:val="22"/>
        </w:rPr>
        <w:t>-LA</w:t>
      </w:r>
      <w:r w:rsidR="00E87447">
        <w:rPr>
          <w:color w:val="000000" w:themeColor="text1"/>
          <w:sz w:val="22"/>
          <w:szCs w:val="22"/>
        </w:rPr>
        <w:t xml:space="preserve"> technical assistance support.</w:t>
      </w:r>
      <w:r w:rsidR="00C21041">
        <w:rPr>
          <w:color w:val="000000" w:themeColor="text1"/>
          <w:sz w:val="22"/>
          <w:szCs w:val="22"/>
        </w:rPr>
        <w:t xml:space="preserve"> </w:t>
      </w:r>
    </w:p>
    <w:p w14:paraId="6E2CCEFE" w14:textId="53806F41" w:rsidR="002609FD" w:rsidRPr="00755991" w:rsidRDefault="002609FD" w:rsidP="002609FD">
      <w:pPr>
        <w:spacing w:after="120"/>
        <w:jc w:val="both"/>
      </w:pPr>
      <w:r>
        <w:rPr>
          <w:rFonts w:cs="Arial"/>
          <w:bCs/>
          <w:sz w:val="22"/>
          <w:szCs w:val="22"/>
        </w:rPr>
        <w:t xml:space="preserve">SIP-LA achieved much in 2020 that is not formally captured in the programme log frame or Annual Review process, including work to support </w:t>
      </w:r>
      <w:r w:rsidRPr="00513E41">
        <w:rPr>
          <w:rFonts w:cs="Arial"/>
          <w:bCs/>
          <w:sz w:val="22"/>
          <w:szCs w:val="22"/>
        </w:rPr>
        <w:t>UK international climate objectives in Latin America</w:t>
      </w:r>
      <w:r>
        <w:rPr>
          <w:rFonts w:cs="Arial"/>
          <w:bCs/>
          <w:sz w:val="22"/>
          <w:szCs w:val="22"/>
        </w:rPr>
        <w:t xml:space="preserve"> and wider support to IDB climate activities. </w:t>
      </w:r>
      <w:r w:rsidRPr="00513E41">
        <w:rPr>
          <w:rFonts w:cs="Arial"/>
          <w:bCs/>
          <w:sz w:val="22"/>
          <w:szCs w:val="22"/>
        </w:rPr>
        <w:t xml:space="preserve">These activities are not systematically </w:t>
      </w:r>
      <w:r>
        <w:rPr>
          <w:rFonts w:cs="Arial"/>
          <w:bCs/>
          <w:sz w:val="22"/>
          <w:szCs w:val="22"/>
        </w:rPr>
        <w:t>reported</w:t>
      </w:r>
      <w:r w:rsidRPr="00513E41">
        <w:rPr>
          <w:rFonts w:cs="Arial"/>
          <w:bCs/>
          <w:sz w:val="22"/>
          <w:szCs w:val="22"/>
        </w:rPr>
        <w:t xml:space="preserve"> or measured and there is a risk that SIP-LA is not fully capturing its full value in supporting UK climate objectives, enabling wider emissions, or achieving broader development benefits.</w:t>
      </w:r>
    </w:p>
    <w:p w14:paraId="203CD435" w14:textId="05D10A2D" w:rsidR="009D4811" w:rsidRPr="009D4811" w:rsidRDefault="009D4811" w:rsidP="00CB392D">
      <w:pPr>
        <w:autoSpaceDE w:val="0"/>
        <w:autoSpaceDN w:val="0"/>
        <w:adjustRightInd w:val="0"/>
        <w:spacing w:after="120"/>
        <w:rPr>
          <w:rFonts w:ascii="ArialMT" w:eastAsiaTheme="minorHAnsi" w:hAnsi="ArialMT" w:cs="ArialMT"/>
          <w:b/>
          <w:bCs/>
          <w:sz w:val="22"/>
          <w:szCs w:val="22"/>
        </w:rPr>
      </w:pPr>
      <w:r w:rsidRPr="009D4811">
        <w:rPr>
          <w:rFonts w:ascii="ArialMT" w:eastAsiaTheme="minorHAnsi" w:hAnsi="ArialMT" w:cs="ArialMT"/>
          <w:b/>
          <w:bCs/>
          <w:sz w:val="22"/>
          <w:szCs w:val="22"/>
        </w:rPr>
        <w:t>Recommendation</w:t>
      </w:r>
      <w:r w:rsidR="00820822">
        <w:rPr>
          <w:rFonts w:ascii="ArialMT" w:eastAsiaTheme="minorHAnsi" w:hAnsi="ArialMT" w:cs="ArialMT"/>
          <w:b/>
          <w:bCs/>
          <w:sz w:val="22"/>
          <w:szCs w:val="22"/>
        </w:rPr>
        <w:t>s</w:t>
      </w:r>
      <w:r w:rsidR="00607DEE">
        <w:rPr>
          <w:rFonts w:ascii="ArialMT" w:eastAsiaTheme="minorHAnsi" w:hAnsi="ArialMT" w:cs="ArialMT"/>
          <w:b/>
          <w:bCs/>
          <w:sz w:val="22"/>
          <w:szCs w:val="22"/>
        </w:rPr>
        <w:t xml:space="preserve"> for the remainder of 2021</w:t>
      </w:r>
    </w:p>
    <w:p w14:paraId="7144893E" w14:textId="5C519F50" w:rsidR="00726F31" w:rsidRDefault="00607DEE" w:rsidP="00755991">
      <w:pPr>
        <w:pStyle w:val="ListParagraph"/>
        <w:numPr>
          <w:ilvl w:val="0"/>
          <w:numId w:val="12"/>
        </w:numPr>
        <w:spacing w:after="120"/>
        <w:ind w:left="714" w:hanging="357"/>
        <w:contextualSpacing w:val="0"/>
        <w:jc w:val="both"/>
        <w:rPr>
          <w:sz w:val="22"/>
          <w:szCs w:val="22"/>
        </w:rPr>
      </w:pPr>
      <w:r w:rsidRPr="007F4391">
        <w:rPr>
          <w:b/>
          <w:bCs/>
          <w:sz w:val="22"/>
          <w:szCs w:val="22"/>
        </w:rPr>
        <w:t>Communications</w:t>
      </w:r>
      <w:r w:rsidRPr="007F4391">
        <w:rPr>
          <w:sz w:val="22"/>
          <w:szCs w:val="22"/>
        </w:rPr>
        <w:t xml:space="preserve"> - </w:t>
      </w:r>
      <w:r w:rsidR="00726F31" w:rsidRPr="007F4391">
        <w:rPr>
          <w:sz w:val="22"/>
          <w:szCs w:val="22"/>
        </w:rPr>
        <w:t>BEIS and IDB to agree and implement a SIP-LA communications plan in line with the SIP-LA communication strategy, to include better dissemination of SIP-LA outputs (incl. publications) and promote programme learning and visibility at COP26</w:t>
      </w:r>
      <w:r w:rsidR="00315F70">
        <w:rPr>
          <w:sz w:val="22"/>
          <w:szCs w:val="22"/>
        </w:rPr>
        <w:t>.</w:t>
      </w:r>
    </w:p>
    <w:p w14:paraId="4259A870" w14:textId="37C9C64E" w:rsidR="00050D34" w:rsidRPr="00050D34" w:rsidRDefault="00050D34" w:rsidP="00050D34">
      <w:pPr>
        <w:pStyle w:val="ListParagraph"/>
        <w:numPr>
          <w:ilvl w:val="0"/>
          <w:numId w:val="12"/>
        </w:numPr>
        <w:tabs>
          <w:tab w:val="left" w:pos="6915"/>
          <w:tab w:val="left" w:pos="9495"/>
        </w:tabs>
        <w:spacing w:after="120"/>
        <w:ind w:left="714" w:hanging="357"/>
        <w:contextualSpacing w:val="0"/>
        <w:jc w:val="both"/>
        <w:rPr>
          <w:rFonts w:cs="Arial"/>
          <w:bCs/>
          <w:sz w:val="22"/>
          <w:szCs w:val="22"/>
        </w:rPr>
      </w:pPr>
      <w:r w:rsidRPr="004C7474">
        <w:rPr>
          <w:rFonts w:cs="Arial"/>
          <w:b/>
          <w:sz w:val="22"/>
          <w:szCs w:val="22"/>
        </w:rPr>
        <w:t xml:space="preserve">Monitoring, Evaluation and learning </w:t>
      </w:r>
      <w:r w:rsidRPr="004C7474">
        <w:rPr>
          <w:rFonts w:cs="Arial"/>
          <w:sz w:val="22"/>
          <w:szCs w:val="22"/>
        </w:rPr>
        <w:t>- BEIS and IDB</w:t>
      </w:r>
      <w:r>
        <w:rPr>
          <w:rFonts w:cs="Arial"/>
          <w:bCs/>
          <w:sz w:val="22"/>
          <w:szCs w:val="22"/>
        </w:rPr>
        <w:t xml:space="preserve"> should consider how to better capture SIP-LA’s full value, including how SIP-LA delivers improved gender outcomes, supports UK climate objectives, and enables low carbon activity in other areas of IDB.</w:t>
      </w:r>
      <w:r w:rsidRPr="178D3ACD">
        <w:rPr>
          <w:rFonts w:cs="Arial"/>
          <w:sz w:val="22"/>
          <w:szCs w:val="22"/>
        </w:rPr>
        <w:t xml:space="preserve"> </w:t>
      </w:r>
    </w:p>
    <w:p w14:paraId="7D07A5C2" w14:textId="7B548ED5" w:rsidR="003D222C" w:rsidRPr="00503637" w:rsidRDefault="003D222C" w:rsidP="00503637">
      <w:pPr>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cs="Arial"/>
          <w:bCs/>
          <w:sz w:val="22"/>
          <w:szCs w:val="22"/>
        </w:rPr>
      </w:pPr>
      <w:r w:rsidRPr="006778A3">
        <w:rPr>
          <w:rFonts w:cs="Arial"/>
          <w:b/>
          <w:bCs/>
          <w:sz w:val="22"/>
          <w:szCs w:val="22"/>
        </w:rPr>
        <w:t xml:space="preserve">E: RISK </w:t>
      </w:r>
    </w:p>
    <w:p w14:paraId="3C5CF6C8" w14:textId="33915D45" w:rsidR="00B74143" w:rsidRPr="004204FC" w:rsidRDefault="00B74143" w:rsidP="004204FC">
      <w:pPr>
        <w:spacing w:after="120"/>
        <w:rPr>
          <w:rFonts w:cs="Arial"/>
          <w:b/>
          <w:sz w:val="22"/>
          <w:szCs w:val="22"/>
        </w:rPr>
      </w:pPr>
      <w:r w:rsidRPr="006778A3">
        <w:rPr>
          <w:rFonts w:cs="Arial"/>
          <w:b/>
          <w:bCs/>
          <w:sz w:val="22"/>
          <w:szCs w:val="22"/>
        </w:rPr>
        <w:t xml:space="preserve">Overall risk rating: </w:t>
      </w:r>
      <w:r w:rsidR="004204FC">
        <w:rPr>
          <w:rFonts w:cs="Arial"/>
          <w:b/>
          <w:bCs/>
          <w:sz w:val="22"/>
          <w:szCs w:val="22"/>
        </w:rPr>
        <w:t>Major</w:t>
      </w:r>
    </w:p>
    <w:p w14:paraId="3EDE3F9F" w14:textId="4F292F65" w:rsidR="00820822" w:rsidRPr="00513E41" w:rsidRDefault="00193C40" w:rsidP="00513E41">
      <w:pPr>
        <w:spacing w:after="120"/>
        <w:jc w:val="both"/>
        <w:rPr>
          <w:rFonts w:cs="Arial"/>
          <w:sz w:val="22"/>
          <w:szCs w:val="22"/>
        </w:rPr>
      </w:pPr>
      <w:r w:rsidRPr="00513E41">
        <w:rPr>
          <w:rFonts w:cs="Arial"/>
          <w:sz w:val="22"/>
          <w:szCs w:val="22"/>
        </w:rPr>
        <w:t>The programme’s r</w:t>
      </w:r>
      <w:r w:rsidR="008A7668" w:rsidRPr="00513E41">
        <w:rPr>
          <w:rFonts w:cs="Arial"/>
          <w:sz w:val="22"/>
          <w:szCs w:val="22"/>
        </w:rPr>
        <w:t xml:space="preserve">isk profile is </w:t>
      </w:r>
      <w:r w:rsidRPr="00513E41">
        <w:rPr>
          <w:rFonts w:cs="Arial"/>
          <w:sz w:val="22"/>
          <w:szCs w:val="22"/>
        </w:rPr>
        <w:t>m</w:t>
      </w:r>
      <w:r w:rsidR="008A7668" w:rsidRPr="00513E41">
        <w:rPr>
          <w:rFonts w:cs="Arial"/>
          <w:sz w:val="22"/>
          <w:szCs w:val="22"/>
        </w:rPr>
        <w:t xml:space="preserve">ajor due to </w:t>
      </w:r>
      <w:r w:rsidR="00820822" w:rsidRPr="00513E41">
        <w:rPr>
          <w:rFonts w:cs="Arial"/>
          <w:sz w:val="22"/>
          <w:szCs w:val="22"/>
        </w:rPr>
        <w:t>lack of delivery against blended finance expectations</w:t>
      </w:r>
      <w:r w:rsidRPr="00513E41">
        <w:rPr>
          <w:rFonts w:cs="Arial"/>
          <w:sz w:val="22"/>
          <w:szCs w:val="22"/>
        </w:rPr>
        <w:t>, following initial programme delays and the pause in project origination</w:t>
      </w:r>
      <w:r w:rsidR="00820822" w:rsidRPr="00513E41">
        <w:rPr>
          <w:rFonts w:cs="Arial"/>
          <w:sz w:val="22"/>
          <w:szCs w:val="22"/>
        </w:rPr>
        <w:t>.</w:t>
      </w:r>
      <w:r w:rsidRPr="00513E41">
        <w:rPr>
          <w:rFonts w:cs="Arial"/>
          <w:sz w:val="22"/>
          <w:szCs w:val="22"/>
        </w:rPr>
        <w:t xml:space="preserve"> </w:t>
      </w:r>
      <w:r w:rsidR="00820822" w:rsidRPr="00513E41">
        <w:rPr>
          <w:rFonts w:cs="Arial"/>
          <w:sz w:val="22"/>
          <w:szCs w:val="22"/>
        </w:rPr>
        <w:t xml:space="preserve">BEIS and IDB are mitigating this </w:t>
      </w:r>
      <w:r w:rsidRPr="00513E41">
        <w:rPr>
          <w:rFonts w:cs="Arial"/>
          <w:sz w:val="22"/>
          <w:szCs w:val="22"/>
        </w:rPr>
        <w:t xml:space="preserve">risk </w:t>
      </w:r>
      <w:r w:rsidR="00820822" w:rsidRPr="00513E41">
        <w:rPr>
          <w:rFonts w:cs="Arial"/>
          <w:sz w:val="22"/>
          <w:szCs w:val="22"/>
        </w:rPr>
        <w:t>by re-evaluating SIP-LA’s milestones</w:t>
      </w:r>
      <w:r w:rsidRPr="00513E41">
        <w:rPr>
          <w:rFonts w:cs="Arial"/>
          <w:sz w:val="22"/>
          <w:szCs w:val="22"/>
        </w:rPr>
        <w:t xml:space="preserve"> and </w:t>
      </w:r>
      <w:r w:rsidR="00F02B3B" w:rsidRPr="00513E41">
        <w:rPr>
          <w:rFonts w:cs="Arial"/>
          <w:sz w:val="22"/>
          <w:szCs w:val="22"/>
        </w:rPr>
        <w:t>identifying SIP-LA technical assistance proposals that can directly facilitate SIP-LA investments.</w:t>
      </w:r>
    </w:p>
    <w:p w14:paraId="4850A3FE" w14:textId="576F4DA4" w:rsidR="00A472CA" w:rsidRPr="00513E41" w:rsidRDefault="00A472CA" w:rsidP="00A472CA">
      <w:pPr>
        <w:spacing w:after="120"/>
        <w:jc w:val="both"/>
        <w:rPr>
          <w:rFonts w:cs="Arial"/>
          <w:sz w:val="22"/>
          <w:szCs w:val="22"/>
        </w:rPr>
      </w:pPr>
      <w:r w:rsidRPr="00513E41">
        <w:rPr>
          <w:rFonts w:cs="Arial"/>
          <w:sz w:val="22"/>
          <w:szCs w:val="22"/>
        </w:rPr>
        <w:t xml:space="preserve">Some risks removed or downgraded since last </w:t>
      </w:r>
      <w:r w:rsidR="00F02B3B" w:rsidRPr="00513E41">
        <w:rPr>
          <w:rFonts w:cs="Arial"/>
          <w:sz w:val="22"/>
          <w:szCs w:val="22"/>
        </w:rPr>
        <w:t xml:space="preserve">Annual Review and following the SIP-LA Strategic Review. For example the prior risk that </w:t>
      </w:r>
      <w:r w:rsidR="00F02B3B" w:rsidRPr="00513E41">
        <w:rPr>
          <w:rFonts w:cs="Arial"/>
          <w:i/>
          <w:iCs/>
          <w:sz w:val="22"/>
          <w:szCs w:val="22"/>
        </w:rPr>
        <w:t>‘</w:t>
      </w:r>
      <w:r w:rsidRPr="00513E41">
        <w:rPr>
          <w:rFonts w:cs="Arial"/>
          <w:i/>
          <w:iCs/>
          <w:sz w:val="22"/>
          <w:szCs w:val="22"/>
        </w:rPr>
        <w:t>IDB’s internal processes do not align with BEIS’ M&amp;E requirements</w:t>
      </w:r>
      <w:r w:rsidR="00F02B3B" w:rsidRPr="00513E41">
        <w:rPr>
          <w:rFonts w:cs="Arial"/>
          <w:i/>
          <w:iCs/>
          <w:sz w:val="22"/>
          <w:szCs w:val="22"/>
        </w:rPr>
        <w:t>’</w:t>
      </w:r>
      <w:r w:rsidR="00F02B3B" w:rsidRPr="00513E41">
        <w:rPr>
          <w:rFonts w:cs="Arial"/>
          <w:sz w:val="22"/>
          <w:szCs w:val="22"/>
        </w:rPr>
        <w:t xml:space="preserve"> has been </w:t>
      </w:r>
      <w:r w:rsidRPr="00513E41">
        <w:rPr>
          <w:rFonts w:cs="Arial"/>
          <w:sz w:val="22"/>
          <w:szCs w:val="22"/>
        </w:rPr>
        <w:t xml:space="preserve">downgraded </w:t>
      </w:r>
      <w:r w:rsidR="00F02B3B" w:rsidRPr="00513E41">
        <w:rPr>
          <w:rFonts w:cs="Arial"/>
          <w:sz w:val="22"/>
          <w:szCs w:val="22"/>
        </w:rPr>
        <w:t>following</w:t>
      </w:r>
      <w:r w:rsidR="003372F3" w:rsidRPr="00513E41">
        <w:rPr>
          <w:rFonts w:cs="Arial"/>
          <w:sz w:val="22"/>
          <w:szCs w:val="22"/>
        </w:rPr>
        <w:t xml:space="preserve"> the Strategic Review and work to improve the programme’s log frame and VFM Framework. There are </w:t>
      </w:r>
      <w:r w:rsidR="008109A4" w:rsidRPr="00513E41">
        <w:rPr>
          <w:rFonts w:cs="Arial"/>
          <w:sz w:val="22"/>
          <w:szCs w:val="22"/>
        </w:rPr>
        <w:t>one</w:t>
      </w:r>
      <w:r w:rsidR="003372F3" w:rsidRPr="00513E41">
        <w:rPr>
          <w:rFonts w:cs="Arial"/>
          <w:sz w:val="22"/>
          <w:szCs w:val="22"/>
        </w:rPr>
        <w:t xml:space="preserve"> new risk</w:t>
      </w:r>
      <w:r w:rsidR="008109A4" w:rsidRPr="00513E41">
        <w:rPr>
          <w:rFonts w:cs="Arial"/>
          <w:sz w:val="22"/>
          <w:szCs w:val="22"/>
        </w:rPr>
        <w:t xml:space="preserve"> that BEIS and IDB do not fully capture SIP-LA’s </w:t>
      </w:r>
      <w:r w:rsidR="00964492" w:rsidRPr="00513E41">
        <w:rPr>
          <w:rFonts w:cs="Arial"/>
          <w:sz w:val="22"/>
          <w:szCs w:val="22"/>
        </w:rPr>
        <w:t xml:space="preserve">benefits, particularly in relation to gender and </w:t>
      </w:r>
      <w:r w:rsidR="00964492">
        <w:rPr>
          <w:rFonts w:cs="Arial"/>
          <w:sz w:val="22"/>
          <w:szCs w:val="22"/>
        </w:rPr>
        <w:t xml:space="preserve">the value that SIP-LA </w:t>
      </w:r>
      <w:r w:rsidR="00111991">
        <w:rPr>
          <w:rFonts w:cs="Arial"/>
          <w:sz w:val="22"/>
          <w:szCs w:val="22"/>
        </w:rPr>
        <w:t xml:space="preserve">has </w:t>
      </w:r>
      <w:r w:rsidR="00514A32">
        <w:rPr>
          <w:rFonts w:cs="Arial"/>
          <w:sz w:val="22"/>
          <w:szCs w:val="22"/>
        </w:rPr>
        <w:t>in respect to IDB’s wider</w:t>
      </w:r>
      <w:r w:rsidR="00111991">
        <w:rPr>
          <w:rFonts w:cs="Arial"/>
          <w:sz w:val="22"/>
          <w:szCs w:val="22"/>
        </w:rPr>
        <w:t xml:space="preserve"> climate change</w:t>
      </w:r>
      <w:r w:rsidR="00514A32">
        <w:rPr>
          <w:rFonts w:cs="Arial"/>
          <w:sz w:val="22"/>
          <w:szCs w:val="22"/>
        </w:rPr>
        <w:t xml:space="preserve"> work.</w:t>
      </w:r>
    </w:p>
    <w:p w14:paraId="3A15CB90" w14:textId="5529C2B4" w:rsidR="00B05CDB" w:rsidRDefault="00B74143" w:rsidP="006778A3">
      <w:pPr>
        <w:spacing w:after="120"/>
        <w:rPr>
          <w:rFonts w:cs="Arial"/>
          <w:b/>
          <w:bCs/>
          <w:sz w:val="22"/>
          <w:szCs w:val="22"/>
        </w:rPr>
      </w:pPr>
      <w:r w:rsidRPr="006778A3">
        <w:rPr>
          <w:rFonts w:cs="Arial"/>
          <w:b/>
          <w:bCs/>
          <w:sz w:val="22"/>
          <w:szCs w:val="22"/>
        </w:rPr>
        <w:t>Current risks</w:t>
      </w:r>
    </w:p>
    <w:tbl>
      <w:tblPr>
        <w:tblStyle w:val="TableGrid"/>
        <w:tblW w:w="5000" w:type="pct"/>
        <w:jc w:val="center"/>
        <w:tblLayout w:type="fixed"/>
        <w:tblLook w:val="04A0" w:firstRow="1" w:lastRow="0" w:firstColumn="1" w:lastColumn="0" w:noHBand="0" w:noVBand="1"/>
      </w:tblPr>
      <w:tblGrid>
        <w:gridCol w:w="2622"/>
        <w:gridCol w:w="4744"/>
        <w:gridCol w:w="1650"/>
      </w:tblGrid>
      <w:tr w:rsidR="00503637" w14:paraId="17CD6C1D" w14:textId="77777777" w:rsidTr="0018195D">
        <w:trPr>
          <w:trHeight w:val="283"/>
          <w:jc w:val="center"/>
        </w:trPr>
        <w:tc>
          <w:tcPr>
            <w:tcW w:w="14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207A50" w14:textId="77777777" w:rsidR="00503637" w:rsidRPr="00686ED9" w:rsidRDefault="00503637" w:rsidP="00503637">
            <w:pPr>
              <w:spacing w:after="120"/>
              <w:contextualSpacing/>
              <w:rPr>
                <w:rFonts w:cs="Arial"/>
                <w:b/>
                <w:sz w:val="20"/>
                <w:szCs w:val="20"/>
              </w:rPr>
            </w:pPr>
            <w:r w:rsidRPr="00686ED9">
              <w:rPr>
                <w:rFonts w:cs="Arial"/>
                <w:b/>
                <w:sz w:val="20"/>
                <w:szCs w:val="20"/>
              </w:rPr>
              <w:t xml:space="preserve">Risk description </w:t>
            </w:r>
          </w:p>
        </w:tc>
        <w:tc>
          <w:tcPr>
            <w:tcW w:w="2631"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01131A" w14:textId="60B27FE1" w:rsidR="00503637" w:rsidRPr="00686ED9" w:rsidRDefault="00503637" w:rsidP="00503637">
            <w:pPr>
              <w:spacing w:after="120"/>
              <w:rPr>
                <w:rFonts w:cs="Arial"/>
                <w:b/>
                <w:sz w:val="20"/>
                <w:szCs w:val="20"/>
              </w:rPr>
            </w:pPr>
            <w:r w:rsidRPr="00686ED9">
              <w:rPr>
                <w:rFonts w:cs="Arial"/>
                <w:b/>
                <w:sz w:val="20"/>
                <w:szCs w:val="20"/>
              </w:rPr>
              <w:t>Risk response</w:t>
            </w:r>
          </w:p>
        </w:tc>
        <w:tc>
          <w:tcPr>
            <w:tcW w:w="91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A3ED711" w14:textId="64648856" w:rsidR="00503637" w:rsidRPr="00686ED9" w:rsidRDefault="00503637" w:rsidP="00503637">
            <w:pPr>
              <w:spacing w:after="120"/>
              <w:rPr>
                <w:rFonts w:cs="Arial"/>
                <w:b/>
                <w:sz w:val="20"/>
                <w:szCs w:val="20"/>
              </w:rPr>
            </w:pPr>
            <w:r w:rsidRPr="00686ED9">
              <w:rPr>
                <w:rFonts w:cs="Arial"/>
                <w:b/>
                <w:sz w:val="20"/>
                <w:szCs w:val="20"/>
              </w:rPr>
              <w:t xml:space="preserve">Risk rating </w:t>
            </w:r>
          </w:p>
        </w:tc>
      </w:tr>
      <w:tr w:rsidR="00503637" w14:paraId="10868931" w14:textId="77777777" w:rsidTr="0018195D">
        <w:trPr>
          <w:trHeight w:val="583"/>
          <w:jc w:val="center"/>
        </w:trPr>
        <w:tc>
          <w:tcPr>
            <w:tcW w:w="1454" w:type="pct"/>
            <w:tcBorders>
              <w:top w:val="single" w:sz="4" w:space="0" w:color="auto"/>
              <w:left w:val="single" w:sz="4" w:space="0" w:color="auto"/>
              <w:bottom w:val="single" w:sz="4" w:space="0" w:color="auto"/>
              <w:right w:val="single" w:sz="4" w:space="0" w:color="auto"/>
            </w:tcBorders>
            <w:hideMark/>
          </w:tcPr>
          <w:p w14:paraId="3EB94C35" w14:textId="77777777" w:rsidR="00503637" w:rsidRPr="00686ED9" w:rsidRDefault="00503637" w:rsidP="008A7668">
            <w:pPr>
              <w:rPr>
                <w:rFonts w:cs="Arial"/>
                <w:b/>
                <w:color w:val="000000"/>
                <w:sz w:val="20"/>
                <w:szCs w:val="20"/>
                <w:shd w:val="clear" w:color="auto" w:fill="FFFFFF"/>
              </w:rPr>
            </w:pPr>
            <w:r w:rsidRPr="00686ED9">
              <w:rPr>
                <w:rFonts w:cs="Arial"/>
                <w:b/>
                <w:color w:val="000000"/>
                <w:sz w:val="20"/>
                <w:szCs w:val="20"/>
                <w:shd w:val="clear" w:color="auto" w:fill="FFFFFF"/>
              </w:rPr>
              <w:t xml:space="preserve">Delivery Risk: </w:t>
            </w:r>
          </w:p>
          <w:p w14:paraId="65AD6584" w14:textId="34D9D524" w:rsidR="00503637" w:rsidRPr="00686ED9" w:rsidRDefault="00503637" w:rsidP="00503637">
            <w:pPr>
              <w:spacing w:after="120"/>
              <w:rPr>
                <w:rFonts w:cs="Arial"/>
                <w:b/>
                <w:color w:val="000000"/>
                <w:sz w:val="20"/>
                <w:szCs w:val="20"/>
                <w:shd w:val="clear" w:color="auto" w:fill="FFFFFF"/>
              </w:rPr>
            </w:pPr>
            <w:r w:rsidRPr="00686ED9">
              <w:rPr>
                <w:rFonts w:cs="Arial"/>
                <w:color w:val="000000"/>
                <w:sz w:val="20"/>
                <w:szCs w:val="20"/>
                <w:shd w:val="clear" w:color="auto" w:fill="FFFFFF"/>
              </w:rPr>
              <w:t xml:space="preserve">There is a risk that </w:t>
            </w:r>
            <w:r w:rsidR="008A7668" w:rsidRPr="00686ED9">
              <w:rPr>
                <w:rFonts w:cs="Arial"/>
                <w:color w:val="000000"/>
                <w:sz w:val="20"/>
                <w:szCs w:val="20"/>
                <w:shd w:val="clear" w:color="auto" w:fill="FFFFFF"/>
              </w:rPr>
              <w:t xml:space="preserve">SIP does not complete its business case expectations </w:t>
            </w:r>
            <w:r w:rsidR="005565DC" w:rsidRPr="00686ED9">
              <w:rPr>
                <w:rFonts w:cs="Arial"/>
                <w:color w:val="000000"/>
                <w:sz w:val="20"/>
                <w:szCs w:val="20"/>
                <w:shd w:val="clear" w:color="auto" w:fill="FFFFFF"/>
              </w:rPr>
              <w:t>in the remainder of the programme</w:t>
            </w:r>
            <w:r w:rsidRPr="00686ED9">
              <w:rPr>
                <w:rFonts w:cs="Arial"/>
                <w:color w:val="000000"/>
                <w:sz w:val="20"/>
                <w:szCs w:val="20"/>
                <w:shd w:val="clear" w:color="auto" w:fill="FFFFFF"/>
              </w:rPr>
              <w:t>.</w:t>
            </w:r>
          </w:p>
        </w:tc>
        <w:tc>
          <w:tcPr>
            <w:tcW w:w="2631" w:type="pct"/>
            <w:tcBorders>
              <w:top w:val="single" w:sz="4" w:space="0" w:color="auto"/>
              <w:left w:val="single" w:sz="4" w:space="0" w:color="auto"/>
              <w:bottom w:val="single" w:sz="4" w:space="0" w:color="auto"/>
              <w:right w:val="single" w:sz="4" w:space="0" w:color="auto"/>
            </w:tcBorders>
            <w:hideMark/>
          </w:tcPr>
          <w:p w14:paraId="3D94701F" w14:textId="58A2852F" w:rsidR="00143051" w:rsidRPr="00686ED9" w:rsidRDefault="005565DC" w:rsidP="005565DC">
            <w:pPr>
              <w:pStyle w:val="ListParagraph"/>
              <w:numPr>
                <w:ilvl w:val="0"/>
                <w:numId w:val="1"/>
              </w:numPr>
              <w:spacing w:after="120"/>
              <w:ind w:left="221" w:hanging="221"/>
              <w:contextualSpacing w:val="0"/>
              <w:rPr>
                <w:rFonts w:cs="Arial"/>
                <w:sz w:val="20"/>
              </w:rPr>
            </w:pPr>
            <w:r w:rsidRPr="00686ED9">
              <w:rPr>
                <w:rFonts w:cs="Arial"/>
                <w:sz w:val="20"/>
              </w:rPr>
              <w:t xml:space="preserve">BEIS and IDB to assess </w:t>
            </w:r>
            <w:r w:rsidR="00143051" w:rsidRPr="00686ED9">
              <w:rPr>
                <w:rFonts w:cs="Arial"/>
                <w:sz w:val="20"/>
              </w:rPr>
              <w:t xml:space="preserve">delivery expectations </w:t>
            </w:r>
            <w:r w:rsidR="00BD522F">
              <w:rPr>
                <w:rFonts w:cs="Arial"/>
                <w:sz w:val="20"/>
              </w:rPr>
              <w:t xml:space="preserve">for 2022 </w:t>
            </w:r>
            <w:r w:rsidR="00143051" w:rsidRPr="00686ED9">
              <w:rPr>
                <w:rFonts w:cs="Arial"/>
                <w:sz w:val="20"/>
              </w:rPr>
              <w:t>and option</w:t>
            </w:r>
            <w:r w:rsidR="00BD522F">
              <w:rPr>
                <w:rFonts w:cs="Arial"/>
                <w:sz w:val="20"/>
              </w:rPr>
              <w:t>s for handling.</w:t>
            </w:r>
          </w:p>
          <w:p w14:paraId="481C781B" w14:textId="4211BD35" w:rsidR="00503637" w:rsidRPr="00686ED9" w:rsidRDefault="00503637" w:rsidP="005565DC">
            <w:pPr>
              <w:pStyle w:val="ListParagraph"/>
              <w:numPr>
                <w:ilvl w:val="0"/>
                <w:numId w:val="1"/>
              </w:numPr>
              <w:spacing w:after="120"/>
              <w:ind w:left="221" w:hanging="221"/>
              <w:contextualSpacing w:val="0"/>
              <w:rPr>
                <w:rFonts w:cs="Arial"/>
                <w:sz w:val="20"/>
              </w:rPr>
            </w:pPr>
            <w:r w:rsidRPr="00686ED9">
              <w:rPr>
                <w:rFonts w:cs="Arial"/>
                <w:sz w:val="20"/>
              </w:rPr>
              <w:t>BEIS to maintain oversight of the speed and quality of implementation through implementation meetings (at least monthly) with IDB and British Embassy colleagues.</w:t>
            </w:r>
          </w:p>
          <w:p w14:paraId="07388704" w14:textId="0A88F9B0" w:rsidR="00503637" w:rsidRPr="00686ED9" w:rsidRDefault="00503637" w:rsidP="005639EC">
            <w:pPr>
              <w:pStyle w:val="ListParagraph"/>
              <w:numPr>
                <w:ilvl w:val="0"/>
                <w:numId w:val="1"/>
              </w:numPr>
              <w:spacing w:after="120"/>
              <w:ind w:left="222" w:hanging="222"/>
              <w:rPr>
                <w:rFonts w:cs="Arial"/>
                <w:sz w:val="20"/>
              </w:rPr>
            </w:pPr>
            <w:r w:rsidRPr="00686ED9">
              <w:rPr>
                <w:rFonts w:cs="Arial"/>
                <w:sz w:val="20"/>
              </w:rPr>
              <w:t xml:space="preserve">BEIS and IDB </w:t>
            </w:r>
            <w:r w:rsidR="005565DC" w:rsidRPr="00686ED9">
              <w:rPr>
                <w:rFonts w:cs="Arial"/>
                <w:sz w:val="20"/>
              </w:rPr>
              <w:t>to continue</w:t>
            </w:r>
            <w:r w:rsidRPr="00686ED9">
              <w:rPr>
                <w:rFonts w:cs="Arial"/>
                <w:sz w:val="20"/>
              </w:rPr>
              <w:t xml:space="preserve"> formal review meetings each year to assess the performance of the programme and introduce remedial actions. </w:t>
            </w:r>
          </w:p>
        </w:tc>
        <w:tc>
          <w:tcPr>
            <w:tcW w:w="915" w:type="pct"/>
            <w:tcBorders>
              <w:top w:val="single" w:sz="4" w:space="0" w:color="auto"/>
              <w:left w:val="single" w:sz="4" w:space="0" w:color="auto"/>
              <w:bottom w:val="single" w:sz="4" w:space="0" w:color="auto"/>
              <w:right w:val="single" w:sz="4" w:space="0" w:color="auto"/>
            </w:tcBorders>
            <w:hideMark/>
          </w:tcPr>
          <w:p w14:paraId="0B2E768C" w14:textId="77777777" w:rsidR="00503637" w:rsidRPr="00686ED9" w:rsidRDefault="00503637" w:rsidP="00503637">
            <w:pPr>
              <w:spacing w:after="120"/>
              <w:rPr>
                <w:rFonts w:cs="Arial"/>
                <w:sz w:val="20"/>
                <w:szCs w:val="20"/>
              </w:rPr>
            </w:pPr>
            <w:r w:rsidRPr="00686ED9">
              <w:rPr>
                <w:rFonts w:cs="Arial"/>
                <w:sz w:val="20"/>
                <w:szCs w:val="20"/>
              </w:rPr>
              <w:t>Major</w:t>
            </w:r>
          </w:p>
        </w:tc>
      </w:tr>
      <w:tr w:rsidR="00503637" w14:paraId="4A000C16" w14:textId="77777777" w:rsidTr="0018195D">
        <w:trPr>
          <w:trHeight w:val="583"/>
          <w:jc w:val="center"/>
        </w:trPr>
        <w:tc>
          <w:tcPr>
            <w:tcW w:w="1454" w:type="pct"/>
            <w:tcBorders>
              <w:top w:val="single" w:sz="4" w:space="0" w:color="auto"/>
              <w:left w:val="single" w:sz="4" w:space="0" w:color="auto"/>
              <w:bottom w:val="single" w:sz="4" w:space="0" w:color="auto"/>
              <w:right w:val="single" w:sz="4" w:space="0" w:color="auto"/>
            </w:tcBorders>
          </w:tcPr>
          <w:p w14:paraId="1449D659" w14:textId="77777777" w:rsidR="00503637" w:rsidRPr="00686ED9" w:rsidRDefault="00503637" w:rsidP="00143051">
            <w:pPr>
              <w:spacing w:after="120"/>
              <w:contextualSpacing/>
              <w:rPr>
                <w:rFonts w:cs="Arial"/>
                <w:color w:val="000000"/>
                <w:sz w:val="20"/>
                <w:szCs w:val="20"/>
                <w:shd w:val="clear" w:color="auto" w:fill="FFFFFF"/>
              </w:rPr>
            </w:pPr>
            <w:r w:rsidRPr="00686ED9">
              <w:rPr>
                <w:rFonts w:cs="Arial"/>
                <w:b/>
                <w:color w:val="000000"/>
                <w:sz w:val="20"/>
                <w:szCs w:val="20"/>
                <w:shd w:val="clear" w:color="auto" w:fill="FFFFFF"/>
              </w:rPr>
              <w:lastRenderedPageBreak/>
              <w:t>Delivery risk:</w:t>
            </w:r>
            <w:r w:rsidRPr="00686ED9">
              <w:rPr>
                <w:rFonts w:cs="Arial"/>
                <w:color w:val="000000"/>
                <w:sz w:val="20"/>
                <w:szCs w:val="20"/>
                <w:shd w:val="clear" w:color="auto" w:fill="FFFFFF"/>
              </w:rPr>
              <w:t xml:space="preserve"> </w:t>
            </w:r>
          </w:p>
          <w:p w14:paraId="6FB0DAFD" w14:textId="6FDA0995" w:rsidR="00503637" w:rsidRPr="00686ED9" w:rsidRDefault="00503637" w:rsidP="00503637">
            <w:pPr>
              <w:spacing w:after="120"/>
              <w:rPr>
                <w:rFonts w:cs="Arial"/>
                <w:color w:val="000000"/>
                <w:sz w:val="20"/>
                <w:szCs w:val="20"/>
                <w:shd w:val="clear" w:color="auto" w:fill="FFFFFF"/>
              </w:rPr>
            </w:pPr>
            <w:r w:rsidRPr="00686ED9">
              <w:rPr>
                <w:rFonts w:cs="Arial"/>
                <w:color w:val="000000"/>
                <w:sz w:val="20"/>
                <w:szCs w:val="20"/>
                <w:shd w:val="clear" w:color="auto" w:fill="FFFFFF"/>
              </w:rPr>
              <w:t xml:space="preserve">There is a risk that blended finance investments cannot be identified within the four countries which are within SIP-LA’s sectors, and meet BEIS’ expectations of additionality, transformational change, and mobilisation of private finance.  </w:t>
            </w:r>
          </w:p>
          <w:p w14:paraId="6ECE00C3" w14:textId="77777777" w:rsidR="00503637" w:rsidRPr="00686ED9" w:rsidRDefault="00503637" w:rsidP="00503637">
            <w:pPr>
              <w:spacing w:after="120"/>
              <w:rPr>
                <w:rFonts w:cs="Arial"/>
                <w:b/>
                <w:color w:val="000000"/>
                <w:sz w:val="20"/>
                <w:szCs w:val="20"/>
                <w:shd w:val="clear" w:color="auto" w:fill="FFFFFF"/>
              </w:rPr>
            </w:pPr>
          </w:p>
        </w:tc>
        <w:tc>
          <w:tcPr>
            <w:tcW w:w="2631" w:type="pct"/>
            <w:tcBorders>
              <w:top w:val="single" w:sz="4" w:space="0" w:color="auto"/>
              <w:left w:val="single" w:sz="4" w:space="0" w:color="auto"/>
              <w:bottom w:val="single" w:sz="4" w:space="0" w:color="auto"/>
              <w:right w:val="single" w:sz="4" w:space="0" w:color="auto"/>
            </w:tcBorders>
            <w:hideMark/>
          </w:tcPr>
          <w:p w14:paraId="7000258F" w14:textId="77777777" w:rsidR="00503637" w:rsidRPr="00686ED9" w:rsidRDefault="00503637" w:rsidP="005565DC">
            <w:pPr>
              <w:pStyle w:val="ListParagraph"/>
              <w:numPr>
                <w:ilvl w:val="0"/>
                <w:numId w:val="1"/>
              </w:numPr>
              <w:spacing w:after="120"/>
              <w:ind w:left="221" w:hanging="221"/>
              <w:contextualSpacing w:val="0"/>
              <w:rPr>
                <w:rFonts w:cs="Arial"/>
                <w:sz w:val="20"/>
              </w:rPr>
            </w:pPr>
            <w:r w:rsidRPr="00686ED9">
              <w:rPr>
                <w:rFonts w:cs="Arial"/>
                <w:sz w:val="20"/>
              </w:rPr>
              <w:t xml:space="preserve">BEIS funds dedicated technical advisors within IDB Invest to ensure the blended finance operations are additional and respond to BEIS priorities. </w:t>
            </w:r>
          </w:p>
          <w:p w14:paraId="48FE78A6" w14:textId="15DEAFB3" w:rsidR="00503637" w:rsidRPr="00686ED9" w:rsidRDefault="00503637" w:rsidP="007D286F">
            <w:pPr>
              <w:pStyle w:val="ListParagraph"/>
              <w:numPr>
                <w:ilvl w:val="0"/>
                <w:numId w:val="1"/>
              </w:numPr>
              <w:spacing w:after="120"/>
              <w:ind w:left="221" w:hanging="221"/>
              <w:contextualSpacing w:val="0"/>
              <w:rPr>
                <w:rFonts w:cs="Arial"/>
                <w:sz w:val="20"/>
              </w:rPr>
            </w:pPr>
            <w:r w:rsidRPr="00686ED9">
              <w:rPr>
                <w:rFonts w:cs="Arial"/>
                <w:sz w:val="20"/>
              </w:rPr>
              <w:t xml:space="preserve">IDB </w:t>
            </w:r>
            <w:r w:rsidR="00355707" w:rsidRPr="00686ED9">
              <w:rPr>
                <w:rFonts w:cs="Arial"/>
                <w:sz w:val="20"/>
              </w:rPr>
              <w:t>describes</w:t>
            </w:r>
            <w:r w:rsidRPr="00686ED9">
              <w:rPr>
                <w:rFonts w:cs="Arial"/>
                <w:sz w:val="20"/>
              </w:rPr>
              <w:t xml:space="preserve"> how each </w:t>
            </w:r>
            <w:r w:rsidR="00355707" w:rsidRPr="00686ED9">
              <w:rPr>
                <w:rFonts w:cs="Arial"/>
                <w:sz w:val="20"/>
              </w:rPr>
              <w:t xml:space="preserve">SIP-LA </w:t>
            </w:r>
            <w:r w:rsidRPr="00686ED9">
              <w:rPr>
                <w:rFonts w:cs="Arial"/>
                <w:sz w:val="20"/>
              </w:rPr>
              <w:t xml:space="preserve">investment </w:t>
            </w:r>
            <w:r w:rsidR="00355707" w:rsidRPr="00686ED9">
              <w:rPr>
                <w:rFonts w:cs="Arial"/>
                <w:sz w:val="20"/>
              </w:rPr>
              <w:t>is expected to be</w:t>
            </w:r>
            <w:r w:rsidRPr="00686ED9">
              <w:rPr>
                <w:rFonts w:cs="Arial"/>
                <w:sz w:val="20"/>
              </w:rPr>
              <w:t xml:space="preserve"> additional</w:t>
            </w:r>
            <w:r w:rsidR="00355707" w:rsidRPr="00686ED9">
              <w:rPr>
                <w:rFonts w:cs="Arial"/>
                <w:sz w:val="20"/>
              </w:rPr>
              <w:t xml:space="preserve"> and</w:t>
            </w:r>
            <w:r w:rsidRPr="00686ED9">
              <w:rPr>
                <w:rFonts w:cs="Arial"/>
                <w:sz w:val="20"/>
              </w:rPr>
              <w:t xml:space="preserve"> transformati</w:t>
            </w:r>
            <w:r w:rsidR="00355707" w:rsidRPr="00686ED9">
              <w:rPr>
                <w:rFonts w:cs="Arial"/>
                <w:sz w:val="20"/>
              </w:rPr>
              <w:t>onal</w:t>
            </w:r>
            <w:r w:rsidRPr="00686ED9">
              <w:rPr>
                <w:rFonts w:cs="Arial"/>
                <w:sz w:val="20"/>
              </w:rPr>
              <w:t xml:space="preserve"> and </w:t>
            </w:r>
            <w:r w:rsidR="00355707" w:rsidRPr="00686ED9">
              <w:rPr>
                <w:rFonts w:cs="Arial"/>
                <w:sz w:val="20"/>
              </w:rPr>
              <w:t xml:space="preserve">reports </w:t>
            </w:r>
            <w:r w:rsidRPr="00686ED9">
              <w:rPr>
                <w:rFonts w:cs="Arial"/>
                <w:sz w:val="20"/>
              </w:rPr>
              <w:t>the expected volumes of mobilised capital</w:t>
            </w:r>
            <w:r w:rsidR="00335461" w:rsidRPr="00686ED9">
              <w:rPr>
                <w:rFonts w:cs="Arial"/>
                <w:sz w:val="20"/>
              </w:rPr>
              <w:t>.</w:t>
            </w:r>
          </w:p>
          <w:p w14:paraId="14EC157E" w14:textId="12E1E86D" w:rsidR="007D286F" w:rsidRPr="00686ED9" w:rsidRDefault="00111991" w:rsidP="006242E0">
            <w:pPr>
              <w:pStyle w:val="ListParagraph"/>
              <w:numPr>
                <w:ilvl w:val="0"/>
                <w:numId w:val="1"/>
              </w:numPr>
              <w:spacing w:after="120"/>
              <w:ind w:left="221" w:hanging="221"/>
              <w:contextualSpacing w:val="0"/>
              <w:rPr>
                <w:rFonts w:cs="Arial"/>
                <w:sz w:val="20"/>
              </w:rPr>
            </w:pPr>
            <w:r>
              <w:rPr>
                <w:rFonts w:cs="Arial"/>
                <w:sz w:val="20"/>
              </w:rPr>
              <w:t>IDB e</w:t>
            </w:r>
            <w:r w:rsidR="007D286F" w:rsidRPr="00686ED9">
              <w:rPr>
                <w:rFonts w:cs="Arial"/>
                <w:sz w:val="20"/>
              </w:rPr>
              <w:t>ngage</w:t>
            </w:r>
            <w:r>
              <w:rPr>
                <w:rFonts w:cs="Arial"/>
                <w:sz w:val="20"/>
              </w:rPr>
              <w:t>s</w:t>
            </w:r>
            <w:r w:rsidR="007D286F" w:rsidRPr="00686ED9">
              <w:rPr>
                <w:rFonts w:cs="Arial"/>
                <w:sz w:val="20"/>
              </w:rPr>
              <w:t xml:space="preserve"> with UK embassy teams</w:t>
            </w:r>
            <w:r w:rsidR="0093142F">
              <w:rPr>
                <w:rFonts w:cs="Arial"/>
                <w:sz w:val="20"/>
              </w:rPr>
              <w:t xml:space="preserve"> to utilise HMG resource and identify </w:t>
            </w:r>
            <w:r w:rsidR="00D85E25">
              <w:rPr>
                <w:rFonts w:cs="Arial"/>
                <w:sz w:val="20"/>
              </w:rPr>
              <w:t>investment opportunities.</w:t>
            </w:r>
          </w:p>
          <w:p w14:paraId="36D2C9E2" w14:textId="6A5F2DF2" w:rsidR="006242E0" w:rsidRPr="00686ED9" w:rsidRDefault="00D85E25" w:rsidP="005639EC">
            <w:pPr>
              <w:pStyle w:val="ListParagraph"/>
              <w:numPr>
                <w:ilvl w:val="0"/>
                <w:numId w:val="1"/>
              </w:numPr>
              <w:spacing w:after="120"/>
              <w:ind w:left="222" w:hanging="222"/>
              <w:rPr>
                <w:rFonts w:cs="Arial"/>
                <w:sz w:val="20"/>
              </w:rPr>
            </w:pPr>
            <w:r>
              <w:rPr>
                <w:rFonts w:cs="Arial"/>
                <w:sz w:val="20"/>
              </w:rPr>
              <w:t xml:space="preserve">SIP-LA technical assistance focuses on </w:t>
            </w:r>
            <w:r w:rsidR="00E22F3D">
              <w:rPr>
                <w:rFonts w:cs="Arial"/>
                <w:sz w:val="20"/>
              </w:rPr>
              <w:t xml:space="preserve">removing </w:t>
            </w:r>
            <w:r w:rsidR="007E519F">
              <w:rPr>
                <w:rFonts w:cs="Arial"/>
                <w:sz w:val="20"/>
              </w:rPr>
              <w:t>market barriers and directly facilitating SIP-LA investment opportunities.</w:t>
            </w:r>
            <w:r w:rsidR="006242E0" w:rsidRPr="00686ED9">
              <w:rPr>
                <w:rFonts w:cs="Arial"/>
                <w:sz w:val="20"/>
              </w:rPr>
              <w:t xml:space="preserve"> </w:t>
            </w:r>
          </w:p>
        </w:tc>
        <w:tc>
          <w:tcPr>
            <w:tcW w:w="915" w:type="pct"/>
            <w:tcBorders>
              <w:top w:val="single" w:sz="4" w:space="0" w:color="auto"/>
              <w:left w:val="single" w:sz="4" w:space="0" w:color="auto"/>
              <w:bottom w:val="single" w:sz="4" w:space="0" w:color="auto"/>
              <w:right w:val="single" w:sz="4" w:space="0" w:color="auto"/>
            </w:tcBorders>
            <w:hideMark/>
          </w:tcPr>
          <w:p w14:paraId="0C8E4BD6" w14:textId="77777777" w:rsidR="00503637" w:rsidRPr="00686ED9" w:rsidRDefault="00503637" w:rsidP="00503637">
            <w:pPr>
              <w:spacing w:after="120"/>
              <w:rPr>
                <w:rFonts w:cs="Arial"/>
                <w:sz w:val="20"/>
                <w:szCs w:val="20"/>
              </w:rPr>
            </w:pPr>
            <w:r w:rsidRPr="00686ED9">
              <w:rPr>
                <w:rFonts w:cs="Arial"/>
                <w:sz w:val="20"/>
                <w:szCs w:val="20"/>
              </w:rPr>
              <w:t>Major</w:t>
            </w:r>
          </w:p>
        </w:tc>
      </w:tr>
      <w:tr w:rsidR="000A3743" w14:paraId="08807BAA" w14:textId="77777777" w:rsidTr="0018195D">
        <w:trPr>
          <w:trHeight w:val="1725"/>
          <w:jc w:val="center"/>
        </w:trPr>
        <w:tc>
          <w:tcPr>
            <w:tcW w:w="1454" w:type="pct"/>
            <w:tcBorders>
              <w:top w:val="single" w:sz="4" w:space="0" w:color="auto"/>
              <w:left w:val="single" w:sz="4" w:space="0" w:color="auto"/>
              <w:bottom w:val="single" w:sz="4" w:space="0" w:color="auto"/>
              <w:right w:val="single" w:sz="4" w:space="0" w:color="auto"/>
            </w:tcBorders>
          </w:tcPr>
          <w:p w14:paraId="7DCF967F" w14:textId="77777777" w:rsidR="000A3743" w:rsidRPr="00686ED9" w:rsidRDefault="000A3743" w:rsidP="000A3743">
            <w:pPr>
              <w:spacing w:after="120"/>
              <w:contextualSpacing/>
              <w:rPr>
                <w:rFonts w:cs="Arial"/>
                <w:b/>
                <w:sz w:val="20"/>
                <w:szCs w:val="20"/>
              </w:rPr>
            </w:pPr>
            <w:r w:rsidRPr="00686ED9">
              <w:rPr>
                <w:rFonts w:cs="Arial"/>
                <w:b/>
                <w:sz w:val="20"/>
                <w:szCs w:val="20"/>
              </w:rPr>
              <w:t>Market risk:</w:t>
            </w:r>
          </w:p>
          <w:p w14:paraId="37D40D76" w14:textId="1FCD8824" w:rsidR="000A3743" w:rsidRPr="00686ED9" w:rsidRDefault="000A3743" w:rsidP="000A3743">
            <w:pPr>
              <w:spacing w:after="120"/>
              <w:contextualSpacing/>
              <w:rPr>
                <w:rFonts w:cs="Arial"/>
                <w:b/>
                <w:sz w:val="20"/>
                <w:szCs w:val="20"/>
              </w:rPr>
            </w:pPr>
            <w:r w:rsidRPr="00686ED9">
              <w:rPr>
                <w:rFonts w:cs="Arial"/>
                <w:sz w:val="20"/>
                <w:szCs w:val="20"/>
              </w:rPr>
              <w:t xml:space="preserve">There is a risk that political support for both NDC implementation and private sector participation might change in light of the impacts of political transitions. </w:t>
            </w:r>
          </w:p>
        </w:tc>
        <w:tc>
          <w:tcPr>
            <w:tcW w:w="2631" w:type="pct"/>
            <w:tcBorders>
              <w:top w:val="single" w:sz="4" w:space="0" w:color="auto"/>
              <w:left w:val="single" w:sz="4" w:space="0" w:color="auto"/>
              <w:bottom w:val="single" w:sz="4" w:space="0" w:color="auto"/>
              <w:right w:val="single" w:sz="4" w:space="0" w:color="auto"/>
            </w:tcBorders>
          </w:tcPr>
          <w:p w14:paraId="5D1546BA" w14:textId="50A1BB83" w:rsidR="000A3743" w:rsidRPr="00686ED9" w:rsidRDefault="000A3743" w:rsidP="000A3743">
            <w:pPr>
              <w:pStyle w:val="ListParagraph"/>
              <w:numPr>
                <w:ilvl w:val="0"/>
                <w:numId w:val="1"/>
              </w:numPr>
              <w:spacing w:after="120"/>
              <w:ind w:left="221" w:hanging="221"/>
              <w:contextualSpacing w:val="0"/>
              <w:rPr>
                <w:rFonts w:cs="Arial"/>
                <w:sz w:val="20"/>
              </w:rPr>
            </w:pPr>
            <w:r w:rsidRPr="00686ED9">
              <w:rPr>
                <w:rFonts w:cs="Arial"/>
                <w:sz w:val="20"/>
              </w:rPr>
              <w:t xml:space="preserve">IDB </w:t>
            </w:r>
            <w:r>
              <w:rPr>
                <w:rFonts w:cs="Arial"/>
                <w:sz w:val="20"/>
              </w:rPr>
              <w:t>are building a diverse portfolio of projects that can suitably accommodate market and political risk, f</w:t>
            </w:r>
            <w:r w:rsidRPr="00686ED9">
              <w:rPr>
                <w:rFonts w:cs="Arial"/>
                <w:sz w:val="20"/>
              </w:rPr>
              <w:t xml:space="preserve">or example, working closely with sub-national administrations and the private sector. </w:t>
            </w:r>
          </w:p>
        </w:tc>
        <w:tc>
          <w:tcPr>
            <w:tcW w:w="915" w:type="pct"/>
            <w:tcBorders>
              <w:top w:val="single" w:sz="4" w:space="0" w:color="auto"/>
              <w:left w:val="single" w:sz="4" w:space="0" w:color="auto"/>
              <w:bottom w:val="single" w:sz="4" w:space="0" w:color="auto"/>
              <w:right w:val="single" w:sz="4" w:space="0" w:color="auto"/>
            </w:tcBorders>
          </w:tcPr>
          <w:p w14:paraId="144725C4" w14:textId="528EE4CA" w:rsidR="000A3743" w:rsidRPr="00686ED9" w:rsidRDefault="000A3743" w:rsidP="000A3743">
            <w:pPr>
              <w:spacing w:after="120"/>
              <w:rPr>
                <w:rFonts w:cs="Arial"/>
                <w:sz w:val="20"/>
                <w:szCs w:val="20"/>
              </w:rPr>
            </w:pPr>
            <w:r>
              <w:rPr>
                <w:rFonts w:cs="Arial"/>
                <w:sz w:val="20"/>
                <w:szCs w:val="20"/>
              </w:rPr>
              <w:t>Major</w:t>
            </w:r>
          </w:p>
        </w:tc>
      </w:tr>
      <w:tr w:rsidR="000A3743" w14:paraId="5B39B9DD" w14:textId="77777777" w:rsidTr="0018195D">
        <w:trPr>
          <w:trHeight w:val="1725"/>
          <w:jc w:val="center"/>
        </w:trPr>
        <w:tc>
          <w:tcPr>
            <w:tcW w:w="1454" w:type="pct"/>
            <w:tcBorders>
              <w:top w:val="single" w:sz="4" w:space="0" w:color="auto"/>
              <w:left w:val="single" w:sz="4" w:space="0" w:color="auto"/>
              <w:bottom w:val="single" w:sz="4" w:space="0" w:color="auto"/>
              <w:right w:val="single" w:sz="4" w:space="0" w:color="auto"/>
            </w:tcBorders>
            <w:hideMark/>
          </w:tcPr>
          <w:p w14:paraId="7EDC7C6F" w14:textId="77777777" w:rsidR="000A3743" w:rsidRPr="00686ED9" w:rsidRDefault="000A3743" w:rsidP="000A3743">
            <w:pPr>
              <w:spacing w:after="120"/>
              <w:contextualSpacing/>
              <w:rPr>
                <w:rFonts w:cs="Arial"/>
                <w:sz w:val="20"/>
                <w:szCs w:val="20"/>
              </w:rPr>
            </w:pPr>
            <w:r w:rsidRPr="00686ED9">
              <w:rPr>
                <w:rFonts w:cs="Arial"/>
                <w:b/>
                <w:sz w:val="20"/>
                <w:szCs w:val="20"/>
              </w:rPr>
              <w:t>Delivery risk</w:t>
            </w:r>
            <w:r w:rsidRPr="00686ED9">
              <w:rPr>
                <w:rFonts w:cs="Arial"/>
                <w:sz w:val="20"/>
                <w:szCs w:val="20"/>
              </w:rPr>
              <w:t xml:space="preserve">: </w:t>
            </w:r>
          </w:p>
          <w:p w14:paraId="6B9EA35C" w14:textId="77777777" w:rsidR="000A3743" w:rsidRPr="00686ED9" w:rsidRDefault="000A3743" w:rsidP="000A3743">
            <w:pPr>
              <w:spacing w:after="120"/>
              <w:contextualSpacing/>
              <w:rPr>
                <w:rFonts w:cs="Arial"/>
                <w:b/>
                <w:color w:val="000000"/>
                <w:sz w:val="20"/>
                <w:szCs w:val="20"/>
                <w:shd w:val="clear" w:color="auto" w:fill="FFFFFF"/>
              </w:rPr>
            </w:pPr>
            <w:r w:rsidRPr="00686ED9">
              <w:rPr>
                <w:rFonts w:cs="Arial"/>
                <w:sz w:val="20"/>
                <w:szCs w:val="20"/>
              </w:rPr>
              <w:t xml:space="preserve">There is a risk that, by working through a multilateral development bank, there is little UK visibility or attribution to UK funding. </w:t>
            </w:r>
          </w:p>
        </w:tc>
        <w:tc>
          <w:tcPr>
            <w:tcW w:w="2631" w:type="pct"/>
            <w:tcBorders>
              <w:top w:val="single" w:sz="4" w:space="0" w:color="auto"/>
              <w:left w:val="single" w:sz="4" w:space="0" w:color="auto"/>
              <w:bottom w:val="single" w:sz="4" w:space="0" w:color="auto"/>
              <w:right w:val="single" w:sz="4" w:space="0" w:color="auto"/>
            </w:tcBorders>
            <w:hideMark/>
          </w:tcPr>
          <w:p w14:paraId="3FEDF622" w14:textId="41DE7C1E" w:rsidR="000A3743" w:rsidRPr="00686ED9" w:rsidRDefault="000A3743" w:rsidP="000A3743">
            <w:pPr>
              <w:pStyle w:val="ListParagraph"/>
              <w:numPr>
                <w:ilvl w:val="0"/>
                <w:numId w:val="1"/>
              </w:numPr>
              <w:spacing w:after="120"/>
              <w:ind w:left="221" w:hanging="221"/>
              <w:contextualSpacing w:val="0"/>
              <w:rPr>
                <w:rFonts w:cs="Arial"/>
                <w:sz w:val="20"/>
              </w:rPr>
            </w:pPr>
            <w:r w:rsidRPr="00686ED9">
              <w:rPr>
                <w:rFonts w:cs="Arial"/>
                <w:sz w:val="20"/>
              </w:rPr>
              <w:t>IDB will implement the SIP-LA communication strategy for UK branding, visibility, and positioning.</w:t>
            </w:r>
          </w:p>
          <w:p w14:paraId="27085DFB" w14:textId="77777777" w:rsidR="000A3743" w:rsidRPr="00686ED9" w:rsidRDefault="000A3743" w:rsidP="000A3743">
            <w:pPr>
              <w:pStyle w:val="ListParagraph"/>
              <w:numPr>
                <w:ilvl w:val="0"/>
                <w:numId w:val="1"/>
              </w:numPr>
              <w:spacing w:after="120"/>
              <w:ind w:left="222" w:hanging="222"/>
              <w:rPr>
                <w:rFonts w:cs="Arial"/>
                <w:sz w:val="20"/>
              </w:rPr>
            </w:pPr>
            <w:r w:rsidRPr="00686ED9">
              <w:rPr>
                <w:rFonts w:cs="Arial"/>
                <w:sz w:val="20"/>
              </w:rPr>
              <w:t xml:space="preserve">BEIS will disseminate SIP-LA activities and achievements to colleagues in post in a timely manner </w:t>
            </w:r>
          </w:p>
        </w:tc>
        <w:tc>
          <w:tcPr>
            <w:tcW w:w="915" w:type="pct"/>
            <w:tcBorders>
              <w:top w:val="single" w:sz="4" w:space="0" w:color="auto"/>
              <w:left w:val="single" w:sz="4" w:space="0" w:color="auto"/>
              <w:bottom w:val="single" w:sz="4" w:space="0" w:color="auto"/>
              <w:right w:val="single" w:sz="4" w:space="0" w:color="auto"/>
            </w:tcBorders>
            <w:hideMark/>
          </w:tcPr>
          <w:p w14:paraId="2ABACC3B" w14:textId="77777777" w:rsidR="000A3743" w:rsidRPr="00686ED9" w:rsidRDefault="000A3743" w:rsidP="000A3743">
            <w:pPr>
              <w:spacing w:after="120"/>
              <w:rPr>
                <w:rFonts w:cs="Arial"/>
                <w:sz w:val="20"/>
                <w:szCs w:val="20"/>
              </w:rPr>
            </w:pPr>
            <w:r w:rsidRPr="00686ED9">
              <w:rPr>
                <w:rFonts w:cs="Arial"/>
                <w:sz w:val="20"/>
                <w:szCs w:val="20"/>
              </w:rPr>
              <w:t>Moderate</w:t>
            </w:r>
          </w:p>
        </w:tc>
      </w:tr>
      <w:tr w:rsidR="000A3743" w14:paraId="0A476DB4" w14:textId="77777777" w:rsidTr="0018195D">
        <w:trPr>
          <w:trHeight w:val="1422"/>
          <w:jc w:val="center"/>
        </w:trPr>
        <w:tc>
          <w:tcPr>
            <w:tcW w:w="1454" w:type="pct"/>
            <w:tcBorders>
              <w:top w:val="single" w:sz="4" w:space="0" w:color="auto"/>
              <w:left w:val="single" w:sz="4" w:space="0" w:color="auto"/>
              <w:bottom w:val="single" w:sz="4" w:space="0" w:color="auto"/>
              <w:right w:val="single" w:sz="4" w:space="0" w:color="auto"/>
            </w:tcBorders>
          </w:tcPr>
          <w:p w14:paraId="652F1806" w14:textId="77777777" w:rsidR="000A3743" w:rsidRPr="00686ED9" w:rsidRDefault="000A3743" w:rsidP="000A3743">
            <w:pPr>
              <w:spacing w:after="120"/>
              <w:contextualSpacing/>
              <w:rPr>
                <w:rFonts w:cs="Arial"/>
                <w:b/>
                <w:sz w:val="20"/>
                <w:szCs w:val="20"/>
              </w:rPr>
            </w:pPr>
            <w:r w:rsidRPr="00686ED9">
              <w:rPr>
                <w:rFonts w:cs="Arial"/>
                <w:b/>
                <w:sz w:val="20"/>
                <w:szCs w:val="20"/>
              </w:rPr>
              <w:t>MEL</w:t>
            </w:r>
          </w:p>
          <w:p w14:paraId="056C3159" w14:textId="3543FF0A" w:rsidR="000A3743" w:rsidRPr="00686ED9" w:rsidRDefault="000A3743" w:rsidP="000A3743">
            <w:pPr>
              <w:spacing w:after="120"/>
              <w:contextualSpacing/>
              <w:rPr>
                <w:rFonts w:cs="Arial"/>
                <w:sz w:val="20"/>
                <w:szCs w:val="20"/>
              </w:rPr>
            </w:pPr>
            <w:r w:rsidRPr="00686ED9">
              <w:rPr>
                <w:rFonts w:cs="Arial"/>
                <w:sz w:val="20"/>
                <w:szCs w:val="20"/>
              </w:rPr>
              <w:t>Programme doesn’t capture or show its full value in respect to partnership with IDB and gender impact</w:t>
            </w:r>
          </w:p>
        </w:tc>
        <w:tc>
          <w:tcPr>
            <w:tcW w:w="2631" w:type="pct"/>
            <w:tcBorders>
              <w:top w:val="single" w:sz="4" w:space="0" w:color="auto"/>
              <w:left w:val="single" w:sz="4" w:space="0" w:color="auto"/>
              <w:bottom w:val="single" w:sz="4" w:space="0" w:color="auto"/>
              <w:right w:val="single" w:sz="4" w:space="0" w:color="auto"/>
            </w:tcBorders>
          </w:tcPr>
          <w:p w14:paraId="383522C2" w14:textId="21ADA512" w:rsidR="000A3743" w:rsidRPr="00686ED9" w:rsidRDefault="000A3743" w:rsidP="000A3743">
            <w:pPr>
              <w:pStyle w:val="ListParagraph"/>
              <w:numPr>
                <w:ilvl w:val="0"/>
                <w:numId w:val="1"/>
              </w:numPr>
              <w:spacing w:after="120"/>
              <w:ind w:left="222" w:hanging="222"/>
              <w:rPr>
                <w:rFonts w:cs="Arial"/>
                <w:sz w:val="20"/>
              </w:rPr>
            </w:pPr>
            <w:r w:rsidRPr="00686ED9">
              <w:rPr>
                <w:rFonts w:cs="Arial"/>
                <w:sz w:val="20"/>
              </w:rPr>
              <w:t xml:space="preserve">BEIS and IDB </w:t>
            </w:r>
            <w:r>
              <w:rPr>
                <w:rFonts w:cs="Arial"/>
                <w:sz w:val="20"/>
              </w:rPr>
              <w:t>are</w:t>
            </w:r>
            <w:r w:rsidRPr="00686ED9">
              <w:rPr>
                <w:rFonts w:cs="Arial"/>
                <w:sz w:val="20"/>
              </w:rPr>
              <w:t xml:space="preserve"> develop</w:t>
            </w:r>
            <w:r>
              <w:rPr>
                <w:rFonts w:cs="Arial"/>
                <w:sz w:val="20"/>
              </w:rPr>
              <w:t>ing</w:t>
            </w:r>
            <w:r w:rsidRPr="00686ED9">
              <w:rPr>
                <w:rFonts w:cs="Arial"/>
                <w:sz w:val="20"/>
              </w:rPr>
              <w:t xml:space="preserve"> improved MEL </w:t>
            </w:r>
            <w:r>
              <w:rPr>
                <w:rFonts w:cs="Arial"/>
                <w:sz w:val="20"/>
              </w:rPr>
              <w:t xml:space="preserve">reporting </w:t>
            </w:r>
            <w:r w:rsidRPr="00686ED9">
              <w:rPr>
                <w:rFonts w:cs="Arial"/>
                <w:sz w:val="20"/>
              </w:rPr>
              <w:t xml:space="preserve">metrics for both </w:t>
            </w:r>
            <w:r>
              <w:rPr>
                <w:rFonts w:cs="Arial"/>
                <w:sz w:val="20"/>
              </w:rPr>
              <w:t xml:space="preserve">SIP-LA’s outcomes in delivering improved gender outcomes and wider partnership </w:t>
            </w:r>
            <w:r w:rsidRPr="178D3ACD">
              <w:rPr>
                <w:rFonts w:cs="Arial"/>
                <w:sz w:val="20"/>
              </w:rPr>
              <w:t>work.</w:t>
            </w:r>
          </w:p>
          <w:p w14:paraId="22ADC80D" w14:textId="1CEE1A8A" w:rsidR="000A3743" w:rsidRPr="00686ED9" w:rsidRDefault="000A3743" w:rsidP="009D73D6">
            <w:pPr>
              <w:pStyle w:val="ListParagraph"/>
              <w:spacing w:after="120"/>
              <w:ind w:left="222"/>
              <w:rPr>
                <w:sz w:val="20"/>
              </w:rPr>
            </w:pPr>
          </w:p>
        </w:tc>
        <w:tc>
          <w:tcPr>
            <w:tcW w:w="915" w:type="pct"/>
            <w:tcBorders>
              <w:top w:val="single" w:sz="4" w:space="0" w:color="auto"/>
              <w:left w:val="single" w:sz="4" w:space="0" w:color="auto"/>
              <w:bottom w:val="single" w:sz="4" w:space="0" w:color="auto"/>
              <w:right w:val="single" w:sz="4" w:space="0" w:color="auto"/>
            </w:tcBorders>
          </w:tcPr>
          <w:p w14:paraId="5B2A8BF0" w14:textId="68181C05" w:rsidR="000A3743" w:rsidRPr="00686ED9" w:rsidRDefault="000A3743" w:rsidP="000A3743">
            <w:pPr>
              <w:spacing w:after="120"/>
              <w:ind w:left="157" w:hanging="157"/>
              <w:rPr>
                <w:rFonts w:cs="Arial"/>
                <w:sz w:val="20"/>
                <w:szCs w:val="20"/>
              </w:rPr>
            </w:pPr>
            <w:r w:rsidRPr="00686ED9">
              <w:rPr>
                <w:rFonts w:cs="Arial"/>
                <w:sz w:val="20"/>
                <w:szCs w:val="20"/>
              </w:rPr>
              <w:t>Moderate</w:t>
            </w:r>
          </w:p>
        </w:tc>
      </w:tr>
      <w:tr w:rsidR="000A3743" w14:paraId="37FFE92A" w14:textId="77777777" w:rsidTr="0018195D">
        <w:trPr>
          <w:trHeight w:val="583"/>
          <w:jc w:val="center"/>
        </w:trPr>
        <w:tc>
          <w:tcPr>
            <w:tcW w:w="1454" w:type="pct"/>
            <w:tcBorders>
              <w:top w:val="single" w:sz="4" w:space="0" w:color="auto"/>
              <w:left w:val="single" w:sz="4" w:space="0" w:color="auto"/>
              <w:bottom w:val="single" w:sz="4" w:space="0" w:color="auto"/>
              <w:right w:val="single" w:sz="4" w:space="0" w:color="auto"/>
            </w:tcBorders>
          </w:tcPr>
          <w:p w14:paraId="5DC6BCC9" w14:textId="77777777" w:rsidR="000A3743" w:rsidRPr="00686ED9" w:rsidRDefault="000A3743" w:rsidP="000A3743">
            <w:pPr>
              <w:rPr>
                <w:rFonts w:cs="Arial"/>
                <w:b/>
                <w:sz w:val="20"/>
                <w:szCs w:val="20"/>
              </w:rPr>
            </w:pPr>
            <w:r w:rsidRPr="00686ED9">
              <w:rPr>
                <w:rFonts w:cs="Arial"/>
                <w:b/>
                <w:sz w:val="20"/>
                <w:szCs w:val="20"/>
              </w:rPr>
              <w:t>Contextual:</w:t>
            </w:r>
          </w:p>
          <w:p w14:paraId="007AB47B" w14:textId="2C455545" w:rsidR="000A3743" w:rsidRPr="00686ED9" w:rsidRDefault="000A3743" w:rsidP="000A3743">
            <w:pPr>
              <w:spacing w:after="120"/>
              <w:rPr>
                <w:rFonts w:cs="Arial"/>
                <w:b/>
                <w:sz w:val="20"/>
                <w:szCs w:val="20"/>
              </w:rPr>
            </w:pPr>
            <w:r w:rsidRPr="00686ED9">
              <w:rPr>
                <w:rFonts w:cs="Arial"/>
                <w:sz w:val="20"/>
                <w:szCs w:val="20"/>
              </w:rPr>
              <w:t>There is a risk that SIP-LA’s interventions in each country are not aligned with other HMG priorities.</w:t>
            </w:r>
          </w:p>
        </w:tc>
        <w:tc>
          <w:tcPr>
            <w:tcW w:w="2631" w:type="pct"/>
            <w:tcBorders>
              <w:top w:val="single" w:sz="4" w:space="0" w:color="auto"/>
              <w:left w:val="single" w:sz="4" w:space="0" w:color="auto"/>
              <w:bottom w:val="single" w:sz="4" w:space="0" w:color="auto"/>
              <w:right w:val="single" w:sz="4" w:space="0" w:color="auto"/>
            </w:tcBorders>
          </w:tcPr>
          <w:p w14:paraId="273FC416" w14:textId="43AB3377" w:rsidR="000A3743" w:rsidRPr="00686ED9" w:rsidRDefault="000A3743" w:rsidP="000A3743">
            <w:pPr>
              <w:pStyle w:val="ListParagraph"/>
              <w:numPr>
                <w:ilvl w:val="0"/>
                <w:numId w:val="1"/>
              </w:numPr>
              <w:spacing w:after="120"/>
              <w:ind w:left="221" w:hanging="221"/>
              <w:contextualSpacing w:val="0"/>
              <w:rPr>
                <w:rFonts w:cs="Arial"/>
                <w:sz w:val="20"/>
              </w:rPr>
            </w:pPr>
            <w:r w:rsidRPr="00686ED9">
              <w:rPr>
                <w:rFonts w:cs="Arial"/>
                <w:sz w:val="20"/>
              </w:rPr>
              <w:t>IDB submits project proposals that BEIS assesses for complementarity with HMG priorities in consultation with FCDO.</w:t>
            </w:r>
          </w:p>
          <w:p w14:paraId="7E6A7CDD" w14:textId="1738D21C" w:rsidR="000A3743" w:rsidRPr="00686ED9" w:rsidRDefault="000A3743" w:rsidP="000A3743">
            <w:pPr>
              <w:pStyle w:val="ListParagraph"/>
              <w:numPr>
                <w:ilvl w:val="0"/>
                <w:numId w:val="1"/>
              </w:numPr>
              <w:spacing w:after="120"/>
              <w:ind w:left="221" w:hanging="221"/>
              <w:contextualSpacing w:val="0"/>
              <w:rPr>
                <w:rFonts w:cs="Arial"/>
                <w:sz w:val="20"/>
              </w:rPr>
            </w:pPr>
            <w:r w:rsidRPr="00686ED9">
              <w:rPr>
                <w:rFonts w:cs="Arial"/>
                <w:sz w:val="20"/>
              </w:rPr>
              <w:t>IDB meets with FCDO embassy teams and coordinates with HMG programme delivery partners directly where appropriate.</w:t>
            </w:r>
          </w:p>
        </w:tc>
        <w:tc>
          <w:tcPr>
            <w:tcW w:w="915" w:type="pct"/>
            <w:tcBorders>
              <w:top w:val="single" w:sz="4" w:space="0" w:color="auto"/>
              <w:left w:val="single" w:sz="4" w:space="0" w:color="auto"/>
              <w:bottom w:val="single" w:sz="4" w:space="0" w:color="auto"/>
              <w:right w:val="single" w:sz="4" w:space="0" w:color="auto"/>
            </w:tcBorders>
          </w:tcPr>
          <w:p w14:paraId="5645349A" w14:textId="3E15F62F" w:rsidR="000A3743" w:rsidRPr="00686ED9" w:rsidRDefault="00984C8B" w:rsidP="000A3743">
            <w:pPr>
              <w:spacing w:after="120"/>
              <w:rPr>
                <w:rFonts w:cs="Arial"/>
                <w:sz w:val="20"/>
                <w:szCs w:val="20"/>
              </w:rPr>
            </w:pPr>
            <w:r>
              <w:rPr>
                <w:rFonts w:cs="Arial"/>
                <w:sz w:val="20"/>
                <w:szCs w:val="20"/>
              </w:rPr>
              <w:t>Moderate</w:t>
            </w:r>
          </w:p>
        </w:tc>
      </w:tr>
    </w:tbl>
    <w:p w14:paraId="619CB4F1" w14:textId="06EC17BB" w:rsidR="00C02208" w:rsidRDefault="00B74143" w:rsidP="00D44215">
      <w:pPr>
        <w:spacing w:before="120" w:after="120"/>
        <w:rPr>
          <w:rFonts w:cs="Arial"/>
          <w:b/>
          <w:bCs/>
          <w:sz w:val="22"/>
          <w:szCs w:val="22"/>
        </w:rPr>
      </w:pPr>
      <w:r w:rsidRPr="006778A3">
        <w:rPr>
          <w:rFonts w:cs="Arial"/>
          <w:b/>
          <w:bCs/>
          <w:sz w:val="22"/>
          <w:szCs w:val="22"/>
        </w:rPr>
        <w:t>Outstanding actions from risk assessment</w:t>
      </w:r>
    </w:p>
    <w:p w14:paraId="42867710" w14:textId="381305F1" w:rsidR="003D222C" w:rsidRPr="00C366D4" w:rsidRDefault="00F96957" w:rsidP="00513E41">
      <w:pPr>
        <w:spacing w:before="120" w:after="120"/>
        <w:jc w:val="both"/>
        <w:rPr>
          <w:rFonts w:cs="Arial"/>
          <w:sz w:val="22"/>
          <w:szCs w:val="22"/>
        </w:rPr>
      </w:pPr>
      <w:r>
        <w:rPr>
          <w:rFonts w:cs="Arial"/>
          <w:sz w:val="22"/>
          <w:szCs w:val="22"/>
        </w:rPr>
        <w:t>There are no outstanding actions</w:t>
      </w:r>
      <w:r w:rsidRPr="00C366D4">
        <w:rPr>
          <w:rFonts w:cs="Arial"/>
          <w:sz w:val="22"/>
          <w:szCs w:val="22"/>
        </w:rPr>
        <w:t xml:space="preserve"> </w:t>
      </w:r>
      <w:r w:rsidR="00C02208" w:rsidRPr="00C366D4">
        <w:rPr>
          <w:rFonts w:cs="Arial"/>
          <w:sz w:val="22"/>
          <w:szCs w:val="22"/>
        </w:rPr>
        <w:t xml:space="preserve">– BEIS and IDB </w:t>
      </w:r>
      <w:r w:rsidR="00565051">
        <w:rPr>
          <w:rFonts w:cs="Arial"/>
          <w:sz w:val="22"/>
          <w:szCs w:val="22"/>
        </w:rPr>
        <w:t xml:space="preserve">have </w:t>
      </w:r>
      <w:r w:rsidR="00C02208" w:rsidRPr="00C366D4">
        <w:rPr>
          <w:rFonts w:cs="Arial"/>
          <w:sz w:val="22"/>
          <w:szCs w:val="22"/>
        </w:rPr>
        <w:t>taken several actions as a result of the last risk assessment</w:t>
      </w:r>
      <w:r w:rsidR="000817BD">
        <w:rPr>
          <w:rFonts w:cs="Arial"/>
          <w:sz w:val="22"/>
          <w:szCs w:val="22"/>
        </w:rPr>
        <w:t>, which are related to the completed recommendations</w:t>
      </w:r>
      <w:r w:rsidR="00C02208" w:rsidRPr="00C366D4">
        <w:rPr>
          <w:rFonts w:cs="Arial"/>
          <w:sz w:val="22"/>
          <w:szCs w:val="22"/>
        </w:rPr>
        <w:t>.</w:t>
      </w:r>
    </w:p>
    <w:p w14:paraId="6AD924C1" w14:textId="3CF450AE" w:rsidR="00C02208" w:rsidRPr="00C366D4" w:rsidRDefault="004F59CC" w:rsidP="000A3743">
      <w:pPr>
        <w:keepNext/>
        <w:spacing w:before="120" w:after="120" w:line="276" w:lineRule="auto"/>
        <w:jc w:val="both"/>
        <w:rPr>
          <w:b/>
          <w:sz w:val="22"/>
          <w:szCs w:val="22"/>
        </w:rPr>
      </w:pPr>
      <w:r w:rsidRPr="00C366D4">
        <w:rPr>
          <w:b/>
          <w:sz w:val="22"/>
          <w:szCs w:val="22"/>
        </w:rPr>
        <w:t>Update on COVID-19 risk</w:t>
      </w:r>
    </w:p>
    <w:p w14:paraId="76692A07" w14:textId="3C1348DE" w:rsidR="00FA486B" w:rsidRPr="00C366D4" w:rsidRDefault="00FA486B" w:rsidP="00F826AE">
      <w:pPr>
        <w:pStyle w:val="CommentText"/>
        <w:jc w:val="both"/>
        <w:rPr>
          <w:sz w:val="22"/>
          <w:szCs w:val="22"/>
        </w:rPr>
      </w:pPr>
      <w:r w:rsidRPr="00C366D4">
        <w:rPr>
          <w:rFonts w:cs="Arial"/>
          <w:bCs/>
          <w:sz w:val="22"/>
          <w:szCs w:val="22"/>
        </w:rPr>
        <w:t xml:space="preserve">COVID-19 had some limited impact on delivery of </w:t>
      </w:r>
      <w:r w:rsidR="00E62375" w:rsidRPr="00C366D4">
        <w:rPr>
          <w:rFonts w:cs="Arial"/>
          <w:bCs/>
          <w:sz w:val="22"/>
          <w:szCs w:val="22"/>
        </w:rPr>
        <w:t xml:space="preserve">SIP-LA’s </w:t>
      </w:r>
      <w:r w:rsidRPr="00C366D4">
        <w:rPr>
          <w:rFonts w:cs="Arial"/>
          <w:bCs/>
          <w:sz w:val="22"/>
          <w:szCs w:val="22"/>
        </w:rPr>
        <w:t>technical assistance.</w:t>
      </w:r>
      <w:r w:rsidRPr="00C366D4">
        <w:rPr>
          <w:sz w:val="22"/>
          <w:szCs w:val="22"/>
        </w:rPr>
        <w:t xml:space="preserve"> </w:t>
      </w:r>
      <w:r w:rsidR="00E62375" w:rsidRPr="00C366D4">
        <w:rPr>
          <w:sz w:val="22"/>
          <w:szCs w:val="22"/>
        </w:rPr>
        <w:t>Some events had to be postponed until 2021, which had limited impact on deliver</w:t>
      </w:r>
      <w:r w:rsidR="00C366D4" w:rsidRPr="00C366D4">
        <w:rPr>
          <w:sz w:val="22"/>
          <w:szCs w:val="22"/>
        </w:rPr>
        <w:t>y</w:t>
      </w:r>
      <w:r w:rsidR="00E62375" w:rsidRPr="00C366D4">
        <w:rPr>
          <w:sz w:val="22"/>
          <w:szCs w:val="22"/>
        </w:rPr>
        <w:t>.</w:t>
      </w:r>
      <w:r w:rsidR="00C366D4" w:rsidRPr="00C366D4">
        <w:rPr>
          <w:sz w:val="22"/>
          <w:szCs w:val="22"/>
        </w:rPr>
        <w:t xml:space="preserve"> COVID-19 directly led to the delay in an achieved value under output 1.1, </w:t>
      </w:r>
      <w:r w:rsidR="00066CB2">
        <w:rPr>
          <w:rFonts w:eastAsiaTheme="minorEastAsia" w:cs="Arial"/>
          <w:sz w:val="22"/>
          <w:szCs w:val="22"/>
        </w:rPr>
        <w:t xml:space="preserve">COVID-19 impacted the delivery of some outputs through its impact on domestic political priorities, specifically in relation to </w:t>
      </w:r>
      <w:r w:rsidR="00066CB2">
        <w:rPr>
          <w:rFonts w:cs="Arial"/>
          <w:sz w:val="22"/>
          <w:szCs w:val="22"/>
        </w:rPr>
        <w:t>green taxes and climate finance vehicles legal reform, which originally was planned as</w:t>
      </w:r>
      <w:r w:rsidR="00066CB2">
        <w:rPr>
          <w:rFonts w:eastAsiaTheme="minorEastAsia" w:cs="Arial"/>
          <w:sz w:val="22"/>
          <w:szCs w:val="22"/>
        </w:rPr>
        <w:t xml:space="preserve"> </w:t>
      </w:r>
      <w:r w:rsidR="00066CB2">
        <w:rPr>
          <w:rFonts w:cs="Arial"/>
          <w:sz w:val="22"/>
          <w:szCs w:val="22"/>
        </w:rPr>
        <w:t xml:space="preserve">the “Clean Growth </w:t>
      </w:r>
      <w:r w:rsidR="00066CB2">
        <w:rPr>
          <w:rFonts w:cs="Arial"/>
          <w:sz w:val="22"/>
          <w:szCs w:val="22"/>
        </w:rPr>
        <w:lastRenderedPageBreak/>
        <w:t>Draft Bill in Colombia” to be presented in 2020, but was finally postponed to 2021</w:t>
      </w:r>
      <w:r w:rsidR="000817BD">
        <w:rPr>
          <w:rFonts w:cs="Arial"/>
          <w:sz w:val="22"/>
          <w:szCs w:val="22"/>
        </w:rPr>
        <w:t>.</w:t>
      </w:r>
      <w:r w:rsidR="008A659E">
        <w:rPr>
          <w:rStyle w:val="FootnoteReference"/>
          <w:rFonts w:cs="Arial"/>
          <w:sz w:val="22"/>
          <w:szCs w:val="22"/>
        </w:rPr>
        <w:footnoteReference w:id="17"/>
      </w:r>
      <w:r w:rsidR="000817BD">
        <w:rPr>
          <w:sz w:val="22"/>
          <w:szCs w:val="22"/>
        </w:rPr>
        <w:t xml:space="preserve"> </w:t>
      </w:r>
      <w:r w:rsidRPr="00C366D4">
        <w:rPr>
          <w:sz w:val="22"/>
          <w:szCs w:val="22"/>
        </w:rPr>
        <w:t>COVID-19 market impacts have not negatively affected the delivery of SIP-LA’s blended finance investments. These market changes may increase demand for SIP-LA investments as countries across Latin-America expand sustainable infrastructure sectors as part of their ‘green recovery’.</w:t>
      </w:r>
      <w:r w:rsidR="00EB4592">
        <w:rPr>
          <w:sz w:val="22"/>
          <w:szCs w:val="22"/>
        </w:rPr>
        <w:t xml:space="preserve"> BEIS and IDB will continue to monitor as a part of SIP-LA’s COVID-19 risk assessment.</w:t>
      </w:r>
    </w:p>
    <w:p w14:paraId="03C8085E" w14:textId="58C1366B" w:rsidR="00FA486B" w:rsidRPr="00FA486B" w:rsidRDefault="00FA486B" w:rsidP="00FA486B">
      <w:pPr>
        <w:spacing w:before="120" w:after="120"/>
        <w:jc w:val="both"/>
        <w:rPr>
          <w:bCs/>
          <w:sz w:val="22"/>
          <w:szCs w:val="22"/>
        </w:rPr>
      </w:pPr>
      <w:r w:rsidRPr="00C366D4">
        <w:rPr>
          <w:sz w:val="22"/>
          <w:szCs w:val="22"/>
        </w:rPr>
        <w:t>SIP-LA teams in IDB and BEIS both adopted remote working arrangements in March 2020. This had some limited impact on team resource and capacity in 2020, although the new working arrangements have not impacted programme delivery.</w:t>
      </w:r>
      <w:r w:rsidRPr="007429DE">
        <w:rPr>
          <w:bCs/>
          <w:sz w:val="22"/>
          <w:szCs w:val="22"/>
        </w:rPr>
        <w:t xml:space="preserve"> </w:t>
      </w:r>
    </w:p>
    <w:p w14:paraId="7B3F03F1" w14:textId="72B88B5D" w:rsidR="003D222C" w:rsidRPr="00852C36" w:rsidRDefault="003D222C" w:rsidP="00E66202">
      <w:pPr>
        <w:keepNext/>
        <w:pBdr>
          <w:top w:val="single" w:sz="4" w:space="1" w:color="auto"/>
          <w:left w:val="single" w:sz="4" w:space="4" w:color="auto"/>
          <w:bottom w:val="single" w:sz="4" w:space="1" w:color="auto"/>
          <w:right w:val="single" w:sz="4" w:space="4" w:color="auto"/>
        </w:pBdr>
        <w:shd w:val="clear" w:color="auto" w:fill="D9E2F3" w:themeFill="accent1" w:themeFillTint="33"/>
        <w:spacing w:after="120"/>
        <w:rPr>
          <w:rFonts w:cs="Arial"/>
          <w:sz w:val="22"/>
          <w:szCs w:val="22"/>
        </w:rPr>
      </w:pPr>
      <w:r w:rsidRPr="006778A3">
        <w:rPr>
          <w:rFonts w:cs="Arial"/>
          <w:b/>
          <w:sz w:val="22"/>
          <w:szCs w:val="22"/>
        </w:rPr>
        <w:t xml:space="preserve">F: PROGRAMME MANAGEMENT: </w:t>
      </w:r>
      <w:bookmarkStart w:id="0" w:name="_Hlk21353049"/>
      <w:r w:rsidRPr="006778A3">
        <w:rPr>
          <w:rFonts w:cs="Arial"/>
          <w:b/>
          <w:sz w:val="22"/>
          <w:szCs w:val="22"/>
        </w:rPr>
        <w:t xml:space="preserve">DELIVERY, COMMERCIAL &amp; FINANCIAL PERFORMANCE </w:t>
      </w:r>
      <w:bookmarkEnd w:id="0"/>
    </w:p>
    <w:p w14:paraId="3B873EA5" w14:textId="15A75DD6" w:rsidR="003D222C" w:rsidRPr="00005AA8" w:rsidRDefault="003D222C" w:rsidP="00513E41">
      <w:pPr>
        <w:spacing w:after="120"/>
        <w:jc w:val="both"/>
        <w:rPr>
          <w:rFonts w:cs="Arial"/>
          <w:b/>
          <w:sz w:val="22"/>
          <w:szCs w:val="22"/>
        </w:rPr>
      </w:pPr>
      <w:r w:rsidRPr="00005AA8">
        <w:rPr>
          <w:rFonts w:cs="Arial"/>
          <w:b/>
          <w:sz w:val="22"/>
          <w:szCs w:val="22"/>
        </w:rPr>
        <w:t xml:space="preserve">Summarise the performance of partners and BEIS, notably on commercial and financial issues, and including consideration of </w:t>
      </w:r>
      <w:proofErr w:type="spellStart"/>
      <w:r w:rsidRPr="00005AA8">
        <w:rPr>
          <w:rFonts w:cs="Arial"/>
          <w:b/>
          <w:sz w:val="22"/>
          <w:szCs w:val="22"/>
        </w:rPr>
        <w:t>VfM</w:t>
      </w:r>
      <w:proofErr w:type="spellEnd"/>
      <w:r w:rsidRPr="00005AA8">
        <w:rPr>
          <w:rFonts w:cs="Arial"/>
          <w:b/>
          <w:sz w:val="22"/>
          <w:szCs w:val="22"/>
        </w:rPr>
        <w:t xml:space="preserve"> measures of economy and efficiency</w:t>
      </w:r>
    </w:p>
    <w:p w14:paraId="62E94840" w14:textId="6E3CA89A" w:rsidR="00F53C24" w:rsidRPr="00A069A2" w:rsidRDefault="00F53C24">
      <w:pPr>
        <w:spacing w:before="120" w:after="120"/>
        <w:jc w:val="both"/>
        <w:rPr>
          <w:lang w:val="en"/>
        </w:rPr>
      </w:pPr>
      <w:r>
        <w:rPr>
          <w:rFonts w:cs="Arial"/>
          <w:b/>
          <w:bCs/>
          <w:i/>
          <w:sz w:val="22"/>
          <w:szCs w:val="22"/>
          <w:u w:val="single"/>
          <w:lang w:val="en" w:eastAsia="en-GB"/>
        </w:rPr>
        <w:t>Delivery Performance</w:t>
      </w:r>
      <w:r w:rsidR="007223B9" w:rsidRPr="00A16CA5">
        <w:rPr>
          <w:rFonts w:cs="Arial"/>
          <w:i/>
          <w:iCs/>
          <w:sz w:val="20"/>
          <w:szCs w:val="20"/>
        </w:rPr>
        <w:t>  </w:t>
      </w:r>
    </w:p>
    <w:p w14:paraId="1C735C3B" w14:textId="77777777" w:rsidR="00450030" w:rsidRPr="00503637" w:rsidRDefault="00450030" w:rsidP="00450030">
      <w:pPr>
        <w:spacing w:after="120"/>
        <w:jc w:val="both"/>
        <w:rPr>
          <w:rFonts w:cs="Arial"/>
          <w:b/>
          <w:bCs/>
          <w:i/>
          <w:sz w:val="22"/>
          <w:szCs w:val="22"/>
        </w:rPr>
      </w:pPr>
      <w:r w:rsidRPr="00503637">
        <w:rPr>
          <w:rFonts w:cs="Arial"/>
          <w:b/>
          <w:bCs/>
          <w:i/>
          <w:sz w:val="22"/>
          <w:szCs w:val="22"/>
        </w:rPr>
        <w:t>Quality of financial management</w:t>
      </w:r>
    </w:p>
    <w:p w14:paraId="274F869B" w14:textId="3DF06EA5" w:rsidR="00F53C24" w:rsidRDefault="003D1A7D" w:rsidP="00450030">
      <w:pPr>
        <w:spacing w:before="120" w:after="120"/>
        <w:jc w:val="both"/>
        <w:rPr>
          <w:rFonts w:cs="Arial"/>
          <w:b/>
          <w:bCs/>
          <w:i/>
          <w:sz w:val="22"/>
          <w:szCs w:val="22"/>
          <w:u w:val="single"/>
          <w:lang w:val="en" w:eastAsia="en-GB"/>
        </w:rPr>
      </w:pPr>
      <w:r>
        <w:rPr>
          <w:rFonts w:cs="Arial"/>
          <w:bCs/>
          <w:iCs/>
          <w:sz w:val="22"/>
          <w:szCs w:val="22"/>
        </w:rPr>
        <w:t xml:space="preserve">In 2020 </w:t>
      </w:r>
      <w:r w:rsidR="0012026B">
        <w:rPr>
          <w:rFonts w:cs="Arial"/>
          <w:bCs/>
          <w:iCs/>
          <w:sz w:val="22"/>
          <w:szCs w:val="22"/>
        </w:rPr>
        <w:t xml:space="preserve">IDB </w:t>
      </w:r>
      <w:r w:rsidR="006518AF">
        <w:rPr>
          <w:rFonts w:cs="Arial"/>
          <w:bCs/>
          <w:iCs/>
          <w:sz w:val="22"/>
          <w:szCs w:val="22"/>
        </w:rPr>
        <w:t xml:space="preserve">reported </w:t>
      </w:r>
      <w:r w:rsidR="00A462FF">
        <w:rPr>
          <w:rFonts w:cs="Arial"/>
          <w:bCs/>
          <w:iCs/>
          <w:sz w:val="22"/>
          <w:szCs w:val="22"/>
        </w:rPr>
        <w:t xml:space="preserve">financial information to BEIS in line with the SIP-LA business case expectations and BEIS ICF </w:t>
      </w:r>
      <w:r w:rsidR="00771EBE">
        <w:rPr>
          <w:rFonts w:cs="Arial"/>
          <w:bCs/>
          <w:iCs/>
          <w:sz w:val="22"/>
          <w:szCs w:val="22"/>
        </w:rPr>
        <w:t xml:space="preserve">portfolio </w:t>
      </w:r>
      <w:r w:rsidR="008162E7">
        <w:rPr>
          <w:rFonts w:cs="Arial"/>
          <w:bCs/>
          <w:iCs/>
          <w:sz w:val="22"/>
          <w:szCs w:val="22"/>
        </w:rPr>
        <w:t xml:space="preserve">requirements. </w:t>
      </w:r>
      <w:r w:rsidR="00450030" w:rsidRPr="004D3D20">
        <w:rPr>
          <w:rFonts w:cs="Arial"/>
          <w:bCs/>
          <w:iCs/>
          <w:sz w:val="22"/>
          <w:szCs w:val="22"/>
        </w:rPr>
        <w:t>IDB administers and accounts for the programme resources in accordance with its financial regulations</w:t>
      </w:r>
      <w:r w:rsidR="00856381">
        <w:rPr>
          <w:rFonts w:cs="Arial"/>
          <w:bCs/>
          <w:iCs/>
          <w:sz w:val="22"/>
          <w:szCs w:val="22"/>
        </w:rPr>
        <w:t xml:space="preserve"> and </w:t>
      </w:r>
      <w:r w:rsidR="00450030" w:rsidRPr="004D3D20">
        <w:rPr>
          <w:rFonts w:cs="Arial"/>
          <w:bCs/>
          <w:iCs/>
          <w:sz w:val="22"/>
          <w:szCs w:val="22"/>
        </w:rPr>
        <w:t xml:space="preserve">provides unaudited financial statements of programme activity </w:t>
      </w:r>
      <w:r w:rsidR="00856381">
        <w:rPr>
          <w:rFonts w:cs="Arial"/>
          <w:bCs/>
          <w:iCs/>
          <w:sz w:val="22"/>
          <w:szCs w:val="22"/>
        </w:rPr>
        <w:t>to BEIS at the end of each year</w:t>
      </w:r>
      <w:r w:rsidR="00450030" w:rsidRPr="004D3D20">
        <w:rPr>
          <w:rFonts w:cs="Arial"/>
          <w:bCs/>
          <w:iCs/>
          <w:sz w:val="22"/>
          <w:szCs w:val="22"/>
        </w:rPr>
        <w:t>.</w:t>
      </w:r>
      <w:r w:rsidR="00856381">
        <w:rPr>
          <w:rFonts w:cs="Arial"/>
          <w:bCs/>
          <w:iCs/>
          <w:sz w:val="22"/>
          <w:szCs w:val="22"/>
        </w:rPr>
        <w:t xml:space="preserve"> </w:t>
      </w:r>
      <w:r w:rsidR="006411E6">
        <w:rPr>
          <w:rFonts w:cs="Arial"/>
          <w:bCs/>
          <w:iCs/>
          <w:sz w:val="22"/>
          <w:szCs w:val="22"/>
        </w:rPr>
        <w:t xml:space="preserve">Additionally, </w:t>
      </w:r>
      <w:r w:rsidR="00856381">
        <w:rPr>
          <w:rFonts w:cs="Arial"/>
          <w:bCs/>
          <w:iCs/>
          <w:sz w:val="22"/>
          <w:szCs w:val="22"/>
        </w:rPr>
        <w:t>IDB</w:t>
      </w:r>
      <w:r w:rsidR="00450030" w:rsidRPr="004D3D20">
        <w:rPr>
          <w:rFonts w:cs="Arial"/>
          <w:bCs/>
          <w:iCs/>
          <w:sz w:val="22"/>
          <w:szCs w:val="22"/>
        </w:rPr>
        <w:t xml:space="preserve"> </w:t>
      </w:r>
      <w:r w:rsidR="006411E6">
        <w:rPr>
          <w:rFonts w:cs="Arial"/>
          <w:bCs/>
          <w:iCs/>
          <w:sz w:val="22"/>
          <w:szCs w:val="22"/>
        </w:rPr>
        <w:t xml:space="preserve">responded promptly to </w:t>
      </w:r>
      <w:r w:rsidR="00E32E42">
        <w:rPr>
          <w:rFonts w:cs="Arial"/>
          <w:bCs/>
          <w:iCs/>
          <w:sz w:val="22"/>
          <w:szCs w:val="22"/>
        </w:rPr>
        <w:t>information requests regarding financial management in 202</w:t>
      </w:r>
      <w:r w:rsidR="006221ED">
        <w:rPr>
          <w:rFonts w:cs="Arial"/>
          <w:bCs/>
          <w:iCs/>
          <w:sz w:val="22"/>
          <w:szCs w:val="22"/>
        </w:rPr>
        <w:t>0</w:t>
      </w:r>
      <w:r w:rsidR="00E32E42">
        <w:rPr>
          <w:rFonts w:cs="Arial"/>
          <w:bCs/>
          <w:iCs/>
          <w:sz w:val="22"/>
          <w:szCs w:val="22"/>
        </w:rPr>
        <w:t xml:space="preserve">. </w:t>
      </w:r>
      <w:r w:rsidR="006221ED">
        <w:rPr>
          <w:rFonts w:cs="Arial"/>
          <w:bCs/>
          <w:iCs/>
          <w:sz w:val="22"/>
          <w:szCs w:val="22"/>
        </w:rPr>
        <w:t xml:space="preserve">As a part of the Strategic Review, </w:t>
      </w:r>
      <w:r w:rsidR="00450030" w:rsidRPr="004D3D20">
        <w:rPr>
          <w:rFonts w:cs="Arial"/>
          <w:bCs/>
          <w:iCs/>
          <w:sz w:val="22"/>
          <w:szCs w:val="22"/>
        </w:rPr>
        <w:t xml:space="preserve">BEIS </w:t>
      </w:r>
      <w:r w:rsidR="00450030">
        <w:rPr>
          <w:rFonts w:cs="Arial"/>
          <w:bCs/>
          <w:iCs/>
          <w:sz w:val="22"/>
          <w:szCs w:val="22"/>
        </w:rPr>
        <w:t xml:space="preserve">and IDB </w:t>
      </w:r>
      <w:r w:rsidR="006221ED">
        <w:rPr>
          <w:rFonts w:cs="Arial"/>
          <w:bCs/>
          <w:iCs/>
          <w:sz w:val="22"/>
          <w:szCs w:val="22"/>
        </w:rPr>
        <w:t xml:space="preserve">developed a Value for Money Framework for the programme in 2020, which provides additional reported metrics and includes financial information relating to </w:t>
      </w:r>
      <w:r w:rsidR="00232B64">
        <w:rPr>
          <w:rFonts w:cs="Arial"/>
          <w:bCs/>
          <w:iCs/>
          <w:sz w:val="22"/>
          <w:szCs w:val="22"/>
        </w:rPr>
        <w:t xml:space="preserve">the SIP-LA portfolio and individual projects which has </w:t>
      </w:r>
      <w:r w:rsidR="002434AC">
        <w:rPr>
          <w:rFonts w:cs="Arial"/>
          <w:bCs/>
          <w:iCs/>
          <w:sz w:val="22"/>
          <w:szCs w:val="22"/>
        </w:rPr>
        <w:t xml:space="preserve">further </w:t>
      </w:r>
      <w:r w:rsidR="00232B64">
        <w:rPr>
          <w:rFonts w:cs="Arial"/>
          <w:bCs/>
          <w:iCs/>
          <w:sz w:val="22"/>
          <w:szCs w:val="22"/>
        </w:rPr>
        <w:t xml:space="preserve">facilitated </w:t>
      </w:r>
      <w:r w:rsidR="002434AC">
        <w:rPr>
          <w:rFonts w:cs="Arial"/>
          <w:bCs/>
          <w:iCs/>
          <w:sz w:val="22"/>
          <w:szCs w:val="22"/>
        </w:rPr>
        <w:t>financial management.</w:t>
      </w:r>
      <w:r w:rsidR="00450030" w:rsidRPr="004D3D20">
        <w:rPr>
          <w:rFonts w:cs="Arial"/>
          <w:bCs/>
          <w:iCs/>
          <w:sz w:val="22"/>
          <w:szCs w:val="22"/>
        </w:rPr>
        <w:t xml:space="preserve"> </w:t>
      </w:r>
    </w:p>
    <w:p w14:paraId="56169CA4" w14:textId="7BBB609D" w:rsidR="00512EC0" w:rsidRPr="00513E41" w:rsidRDefault="00512EC0" w:rsidP="00513E41">
      <w:pPr>
        <w:keepNext/>
        <w:spacing w:after="120"/>
        <w:jc w:val="both"/>
        <w:rPr>
          <w:rFonts w:cs="Arial"/>
          <w:b/>
          <w:bCs/>
          <w:i/>
          <w:sz w:val="22"/>
          <w:szCs w:val="22"/>
          <w:u w:val="single"/>
          <w:lang w:val="en" w:eastAsia="en-GB"/>
        </w:rPr>
      </w:pPr>
      <w:r w:rsidRPr="00513E41">
        <w:rPr>
          <w:rStyle w:val="normaltextrun"/>
          <w:rFonts w:cs="Arial"/>
          <w:b/>
          <w:bCs/>
          <w:i/>
          <w:iCs/>
          <w:color w:val="000000"/>
          <w:sz w:val="22"/>
          <w:szCs w:val="22"/>
          <w:shd w:val="clear" w:color="auto" w:fill="FFFFFF"/>
          <w:lang w:val="en"/>
        </w:rPr>
        <w:t>Value-for-Money performance compared with the original Value-for-Money proposition of the business case, and assessment of whether the continues to represent value-for-money. </w:t>
      </w:r>
      <w:r w:rsidRPr="00513E41">
        <w:rPr>
          <w:rStyle w:val="eop"/>
          <w:rFonts w:cs="Arial"/>
          <w:i/>
          <w:iCs/>
          <w:color w:val="000000"/>
          <w:sz w:val="22"/>
          <w:szCs w:val="22"/>
          <w:shd w:val="clear" w:color="auto" w:fill="FFFFFF"/>
        </w:rPr>
        <w:t> </w:t>
      </w:r>
    </w:p>
    <w:p w14:paraId="30ABE06C" w14:textId="4CF50AA1" w:rsidR="00806E26" w:rsidRPr="00005AA8" w:rsidRDefault="00806E26" w:rsidP="00517ECE">
      <w:pPr>
        <w:spacing w:before="120" w:after="120"/>
        <w:jc w:val="both"/>
        <w:rPr>
          <w:rFonts w:cs="Arial"/>
          <w:i/>
          <w:sz w:val="22"/>
          <w:szCs w:val="22"/>
          <w:lang w:val="en" w:eastAsia="en-GB"/>
        </w:rPr>
      </w:pPr>
      <w:r w:rsidRPr="00005AA8">
        <w:rPr>
          <w:rFonts w:cs="Arial"/>
          <w:i/>
          <w:sz w:val="22"/>
          <w:szCs w:val="22"/>
          <w:u w:val="single"/>
          <w:lang w:val="en" w:eastAsia="en-GB"/>
        </w:rPr>
        <w:t>Economy</w:t>
      </w:r>
      <w:r w:rsidRPr="00005AA8">
        <w:rPr>
          <w:rFonts w:cs="Arial"/>
          <w:i/>
          <w:sz w:val="22"/>
          <w:szCs w:val="22"/>
          <w:lang w:val="en" w:eastAsia="en-GB"/>
        </w:rPr>
        <w:t>: Are we or our partners buying inputs of the appropriate quality at the right price?   </w:t>
      </w:r>
    </w:p>
    <w:p w14:paraId="31E18721" w14:textId="01B29398" w:rsidR="00806E26" w:rsidRPr="00005AA8" w:rsidRDefault="00806E26" w:rsidP="00872CBB">
      <w:pPr>
        <w:spacing w:after="120"/>
        <w:jc w:val="both"/>
        <w:rPr>
          <w:rFonts w:cs="Arial"/>
          <w:sz w:val="22"/>
          <w:szCs w:val="22"/>
        </w:rPr>
      </w:pPr>
      <w:r w:rsidRPr="00005AA8">
        <w:rPr>
          <w:rFonts w:cs="Arial"/>
          <w:sz w:val="22"/>
          <w:szCs w:val="22"/>
        </w:rPr>
        <w:t xml:space="preserve">IDB charge </w:t>
      </w:r>
      <w:r w:rsidR="00A028E3" w:rsidRPr="00005AA8">
        <w:rPr>
          <w:rFonts w:cs="Arial"/>
          <w:sz w:val="22"/>
          <w:szCs w:val="22"/>
        </w:rPr>
        <w:t xml:space="preserve">fees of </w:t>
      </w:r>
      <w:r w:rsidRPr="00005AA8">
        <w:rPr>
          <w:rFonts w:cs="Arial"/>
          <w:sz w:val="22"/>
          <w:szCs w:val="22"/>
        </w:rPr>
        <w:t xml:space="preserve">5% </w:t>
      </w:r>
      <w:r w:rsidR="00152902" w:rsidRPr="00005AA8">
        <w:rPr>
          <w:rFonts w:cs="Arial"/>
          <w:sz w:val="22"/>
          <w:szCs w:val="22"/>
        </w:rPr>
        <w:t xml:space="preserve">for </w:t>
      </w:r>
      <w:r w:rsidR="00A028E3" w:rsidRPr="00005AA8">
        <w:rPr>
          <w:rFonts w:cs="Arial"/>
          <w:sz w:val="22"/>
          <w:szCs w:val="22"/>
        </w:rPr>
        <w:t>technical assistance</w:t>
      </w:r>
      <w:r w:rsidRPr="00005AA8">
        <w:rPr>
          <w:rFonts w:cs="Arial"/>
          <w:sz w:val="22"/>
          <w:szCs w:val="22"/>
        </w:rPr>
        <w:t xml:space="preserve"> and 2.5% for blended finance activities. Th</w:t>
      </w:r>
      <w:r w:rsidR="00152902" w:rsidRPr="00005AA8">
        <w:rPr>
          <w:rFonts w:cs="Arial"/>
          <w:sz w:val="22"/>
          <w:szCs w:val="22"/>
        </w:rPr>
        <w:t>ese</w:t>
      </w:r>
      <w:r w:rsidRPr="00005AA8">
        <w:rPr>
          <w:rFonts w:cs="Arial"/>
          <w:sz w:val="22"/>
          <w:szCs w:val="22"/>
        </w:rPr>
        <w:t xml:space="preserve"> fee</w:t>
      </w:r>
      <w:r w:rsidR="00152902" w:rsidRPr="00005AA8">
        <w:rPr>
          <w:rFonts w:cs="Arial"/>
          <w:sz w:val="22"/>
          <w:szCs w:val="22"/>
        </w:rPr>
        <w:t xml:space="preserve">s </w:t>
      </w:r>
      <w:r w:rsidR="00A80D0E" w:rsidRPr="00005AA8">
        <w:rPr>
          <w:rFonts w:cs="Arial"/>
          <w:sz w:val="22"/>
          <w:szCs w:val="22"/>
        </w:rPr>
        <w:t>relate to the</w:t>
      </w:r>
      <w:r w:rsidRPr="00005AA8">
        <w:rPr>
          <w:rFonts w:cs="Arial"/>
          <w:sz w:val="22"/>
          <w:szCs w:val="22"/>
        </w:rPr>
        <w:t xml:space="preserve"> amounts allocated to the technical </w:t>
      </w:r>
      <w:r w:rsidR="00D452C7" w:rsidRPr="00005AA8">
        <w:rPr>
          <w:rFonts w:cs="Arial"/>
          <w:sz w:val="22"/>
          <w:szCs w:val="22"/>
        </w:rPr>
        <w:t>assistance</w:t>
      </w:r>
      <w:r w:rsidRPr="00005AA8">
        <w:rPr>
          <w:rFonts w:cs="Arial"/>
          <w:sz w:val="22"/>
          <w:szCs w:val="22"/>
        </w:rPr>
        <w:t xml:space="preserve"> and blended finance </w:t>
      </w:r>
      <w:r w:rsidR="00D452C7" w:rsidRPr="00005AA8">
        <w:rPr>
          <w:rFonts w:cs="Arial"/>
          <w:sz w:val="22"/>
          <w:szCs w:val="22"/>
        </w:rPr>
        <w:t>budgets</w:t>
      </w:r>
      <w:r w:rsidRPr="00005AA8">
        <w:rPr>
          <w:rFonts w:cs="Arial"/>
          <w:sz w:val="22"/>
          <w:szCs w:val="22"/>
        </w:rPr>
        <w:t xml:space="preserve"> from each BEIS contribution</w:t>
      </w:r>
      <w:r w:rsidR="00F23767">
        <w:rPr>
          <w:rFonts w:cs="Arial"/>
          <w:sz w:val="22"/>
          <w:szCs w:val="22"/>
        </w:rPr>
        <w:t xml:space="preserve"> to SIP-LA</w:t>
      </w:r>
      <w:r w:rsidRPr="00005AA8">
        <w:rPr>
          <w:rFonts w:cs="Arial"/>
          <w:sz w:val="22"/>
          <w:szCs w:val="22"/>
        </w:rPr>
        <w:t xml:space="preserve">. </w:t>
      </w:r>
      <w:r w:rsidR="000A33CD" w:rsidRPr="00005AA8">
        <w:rPr>
          <w:rFonts w:cs="Arial"/>
          <w:sz w:val="22"/>
          <w:szCs w:val="22"/>
        </w:rPr>
        <w:t xml:space="preserve">Technical assistance fees </w:t>
      </w:r>
      <w:r w:rsidR="0008701B" w:rsidRPr="00005AA8">
        <w:rPr>
          <w:rFonts w:cs="Arial"/>
          <w:sz w:val="22"/>
          <w:szCs w:val="22"/>
        </w:rPr>
        <w:t>include</w:t>
      </w:r>
      <w:r w:rsidR="000A33CD" w:rsidRPr="00005AA8">
        <w:rPr>
          <w:rFonts w:cs="Arial"/>
          <w:sz w:val="22"/>
          <w:szCs w:val="22"/>
        </w:rPr>
        <w:t xml:space="preserve"> the costs of operation, origination, design, due diligence, and administration. </w:t>
      </w:r>
      <w:r w:rsidR="001B3AAD">
        <w:rPr>
          <w:rFonts w:cs="Arial"/>
          <w:sz w:val="22"/>
          <w:szCs w:val="22"/>
        </w:rPr>
        <w:t>B</w:t>
      </w:r>
      <w:r w:rsidR="000A33CD" w:rsidRPr="00005AA8">
        <w:rPr>
          <w:rFonts w:cs="Arial"/>
          <w:sz w:val="22"/>
          <w:szCs w:val="22"/>
        </w:rPr>
        <w:t>lended finance</w:t>
      </w:r>
      <w:r w:rsidR="001B3AAD">
        <w:rPr>
          <w:rFonts w:cs="Arial"/>
          <w:sz w:val="22"/>
          <w:szCs w:val="22"/>
        </w:rPr>
        <w:t xml:space="preserve"> fees </w:t>
      </w:r>
      <w:r w:rsidR="000A33CD" w:rsidRPr="00005AA8">
        <w:rPr>
          <w:rFonts w:cs="Arial"/>
          <w:sz w:val="22"/>
          <w:szCs w:val="22"/>
        </w:rPr>
        <w:t xml:space="preserve">cover </w:t>
      </w:r>
      <w:r w:rsidR="001B3AAD">
        <w:rPr>
          <w:rFonts w:cs="Arial"/>
          <w:sz w:val="22"/>
          <w:szCs w:val="22"/>
        </w:rPr>
        <w:t xml:space="preserve">the costs of project </w:t>
      </w:r>
      <w:r w:rsidR="000A33CD" w:rsidRPr="00005AA8">
        <w:rPr>
          <w:rFonts w:cs="Arial"/>
          <w:sz w:val="22"/>
          <w:szCs w:val="22"/>
        </w:rPr>
        <w:t xml:space="preserve">origination, portfolio management, due diligence, risk, and commercial appraisal. </w:t>
      </w:r>
      <w:r w:rsidRPr="00005AA8">
        <w:rPr>
          <w:rFonts w:cs="Arial"/>
          <w:sz w:val="22"/>
          <w:szCs w:val="22"/>
        </w:rPr>
        <w:t xml:space="preserve">The combined expected fees for </w:t>
      </w:r>
      <w:r w:rsidR="004C18C9" w:rsidRPr="00005AA8">
        <w:rPr>
          <w:rFonts w:cs="Arial"/>
          <w:sz w:val="22"/>
          <w:szCs w:val="22"/>
        </w:rPr>
        <w:t xml:space="preserve">SIP-LA’s </w:t>
      </w:r>
      <w:r w:rsidRPr="00005AA8">
        <w:rPr>
          <w:rFonts w:cs="Arial"/>
          <w:sz w:val="22"/>
          <w:szCs w:val="22"/>
        </w:rPr>
        <w:t xml:space="preserve">administrative costs are comparable </w:t>
      </w:r>
      <w:r w:rsidR="004C18C9" w:rsidRPr="00005AA8">
        <w:rPr>
          <w:rFonts w:cs="Arial"/>
          <w:sz w:val="22"/>
          <w:szCs w:val="22"/>
        </w:rPr>
        <w:t>to those</w:t>
      </w:r>
      <w:r w:rsidRPr="00005AA8">
        <w:rPr>
          <w:rFonts w:cs="Arial"/>
          <w:sz w:val="22"/>
          <w:szCs w:val="22"/>
        </w:rPr>
        <w:t xml:space="preserve"> charge</w:t>
      </w:r>
      <w:r w:rsidR="00C639C2">
        <w:rPr>
          <w:rFonts w:cs="Arial"/>
          <w:sz w:val="22"/>
          <w:szCs w:val="22"/>
        </w:rPr>
        <w:t>.</w:t>
      </w:r>
      <w:r w:rsidR="003336D5">
        <w:rPr>
          <w:rFonts w:cs="Arial"/>
          <w:sz w:val="22"/>
          <w:szCs w:val="22"/>
        </w:rPr>
        <w:t xml:space="preserve"> </w:t>
      </w:r>
      <w:r w:rsidR="00C639C2">
        <w:rPr>
          <w:rFonts w:cs="Arial"/>
          <w:sz w:val="22"/>
          <w:szCs w:val="22"/>
        </w:rPr>
        <w:t>SIP-LA’s d</w:t>
      </w:r>
      <w:r w:rsidRPr="00005AA8">
        <w:rPr>
          <w:rFonts w:cs="Arial"/>
          <w:sz w:val="22"/>
          <w:szCs w:val="22"/>
        </w:rPr>
        <w:t xml:space="preserve">irect fund expenses </w:t>
      </w:r>
      <w:r w:rsidR="00DC07F0" w:rsidRPr="00005AA8">
        <w:rPr>
          <w:rFonts w:cs="Arial"/>
          <w:sz w:val="22"/>
          <w:szCs w:val="22"/>
        </w:rPr>
        <w:t>include the</w:t>
      </w:r>
      <w:r w:rsidRPr="00005AA8">
        <w:rPr>
          <w:rFonts w:cs="Arial"/>
          <w:sz w:val="22"/>
          <w:szCs w:val="22"/>
        </w:rPr>
        <w:t xml:space="preserve"> costs </w:t>
      </w:r>
      <w:r w:rsidR="00CF7810" w:rsidRPr="00005AA8">
        <w:rPr>
          <w:rFonts w:cs="Arial"/>
          <w:sz w:val="22"/>
          <w:szCs w:val="22"/>
        </w:rPr>
        <w:t>of</w:t>
      </w:r>
      <w:r w:rsidRPr="00005AA8">
        <w:rPr>
          <w:rFonts w:cs="Arial"/>
          <w:sz w:val="22"/>
          <w:szCs w:val="22"/>
        </w:rPr>
        <w:t xml:space="preserve"> </w:t>
      </w:r>
      <w:r w:rsidR="00CF7810" w:rsidRPr="00005AA8">
        <w:rPr>
          <w:rFonts w:cs="Arial"/>
          <w:sz w:val="22"/>
          <w:szCs w:val="22"/>
        </w:rPr>
        <w:t>t</w:t>
      </w:r>
      <w:r w:rsidRPr="00005AA8">
        <w:rPr>
          <w:rFonts w:cs="Arial"/>
          <w:sz w:val="22"/>
          <w:szCs w:val="22"/>
        </w:rPr>
        <w:t xml:space="preserve">echnical </w:t>
      </w:r>
      <w:r w:rsidR="00CF7810" w:rsidRPr="00005AA8">
        <w:rPr>
          <w:rFonts w:cs="Arial"/>
          <w:sz w:val="22"/>
          <w:szCs w:val="22"/>
        </w:rPr>
        <w:t>a</w:t>
      </w:r>
      <w:r w:rsidRPr="00005AA8">
        <w:rPr>
          <w:rFonts w:cs="Arial"/>
          <w:sz w:val="22"/>
          <w:szCs w:val="22"/>
        </w:rPr>
        <w:t>dvisor</w:t>
      </w:r>
      <w:r w:rsidR="00CF7810" w:rsidRPr="00005AA8">
        <w:rPr>
          <w:rFonts w:cs="Arial"/>
          <w:sz w:val="22"/>
          <w:szCs w:val="22"/>
        </w:rPr>
        <w:t xml:space="preserve"> support</w:t>
      </w:r>
      <w:r w:rsidRPr="00005AA8">
        <w:rPr>
          <w:rFonts w:cs="Arial"/>
          <w:sz w:val="22"/>
          <w:szCs w:val="22"/>
        </w:rPr>
        <w:t>.</w:t>
      </w:r>
    </w:p>
    <w:p w14:paraId="1FBD0423" w14:textId="65E00ABE" w:rsidR="00C471F5" w:rsidRPr="00005AA8" w:rsidRDefault="00B407F3" w:rsidP="00677F17">
      <w:pPr>
        <w:spacing w:after="120"/>
        <w:jc w:val="both"/>
        <w:rPr>
          <w:rFonts w:cs="Arial"/>
          <w:i/>
          <w:sz w:val="22"/>
          <w:szCs w:val="22"/>
        </w:rPr>
      </w:pPr>
      <w:r>
        <w:rPr>
          <w:rFonts w:cs="Arial"/>
          <w:sz w:val="22"/>
          <w:szCs w:val="22"/>
        </w:rPr>
        <w:t xml:space="preserve">Following the adoption of the new VFM Framework in 2020, </w:t>
      </w:r>
      <w:r w:rsidR="008341E5" w:rsidRPr="00005AA8">
        <w:rPr>
          <w:rFonts w:cs="Arial"/>
          <w:sz w:val="22"/>
          <w:szCs w:val="22"/>
        </w:rPr>
        <w:t xml:space="preserve">IDB provided </w:t>
      </w:r>
      <w:r w:rsidR="003D02C6" w:rsidRPr="00005AA8">
        <w:rPr>
          <w:rFonts w:cs="Arial"/>
          <w:sz w:val="22"/>
          <w:szCs w:val="22"/>
        </w:rPr>
        <w:t xml:space="preserve">qualitative and quantitative </w:t>
      </w:r>
      <w:r w:rsidR="00210D83" w:rsidRPr="00005AA8">
        <w:rPr>
          <w:rFonts w:cs="Arial"/>
          <w:sz w:val="22"/>
          <w:szCs w:val="22"/>
        </w:rPr>
        <w:t>information relating to SIP-LA input costs at project and portfolio level in the SIP-LA VFM framework</w:t>
      </w:r>
      <w:r w:rsidR="003D02C6" w:rsidRPr="00005AA8">
        <w:rPr>
          <w:rFonts w:cs="Arial"/>
          <w:sz w:val="22"/>
          <w:szCs w:val="22"/>
        </w:rPr>
        <w:t>.</w:t>
      </w:r>
      <w:r w:rsidR="00044A3F" w:rsidRPr="00005AA8">
        <w:rPr>
          <w:rFonts w:cs="Arial"/>
          <w:sz w:val="22"/>
          <w:szCs w:val="22"/>
        </w:rPr>
        <w:t xml:space="preserve"> </w:t>
      </w:r>
      <w:r w:rsidR="00BF680E">
        <w:rPr>
          <w:rFonts w:cs="Arial"/>
          <w:sz w:val="22"/>
          <w:szCs w:val="22"/>
        </w:rPr>
        <w:t xml:space="preserve">This provides substantial information about SIP-LA projects </w:t>
      </w:r>
      <w:r w:rsidR="00D43474">
        <w:rPr>
          <w:rFonts w:cs="Arial"/>
          <w:sz w:val="22"/>
          <w:szCs w:val="22"/>
        </w:rPr>
        <w:t>inputs</w:t>
      </w:r>
      <w:r w:rsidR="009E6D11">
        <w:rPr>
          <w:rFonts w:cs="Arial"/>
          <w:sz w:val="22"/>
          <w:szCs w:val="22"/>
        </w:rPr>
        <w:t xml:space="preserve"> and represents a significant improvement in reporting</w:t>
      </w:r>
      <w:r w:rsidR="00D43474">
        <w:rPr>
          <w:rFonts w:cs="Arial"/>
          <w:sz w:val="22"/>
          <w:szCs w:val="22"/>
        </w:rPr>
        <w:t xml:space="preserve">. </w:t>
      </w:r>
    </w:p>
    <w:p w14:paraId="6021A699" w14:textId="3EE4E289" w:rsidR="00700939" w:rsidRPr="00005AA8" w:rsidRDefault="691268C8" w:rsidP="7DB99BF5">
      <w:pPr>
        <w:spacing w:after="120"/>
        <w:jc w:val="both"/>
        <w:rPr>
          <w:rFonts w:cs="Arial"/>
          <w:i/>
          <w:sz w:val="22"/>
          <w:szCs w:val="22"/>
          <w:lang w:val="en" w:eastAsia="en-GB"/>
        </w:rPr>
      </w:pPr>
      <w:r w:rsidRPr="00005AA8">
        <w:rPr>
          <w:rFonts w:cs="Arial"/>
          <w:i/>
          <w:sz w:val="22"/>
          <w:szCs w:val="22"/>
          <w:u w:val="single"/>
          <w:lang w:val="en" w:eastAsia="en-GB"/>
        </w:rPr>
        <w:t>Efficiency</w:t>
      </w:r>
      <w:r w:rsidRPr="00005AA8">
        <w:rPr>
          <w:rFonts w:cs="Arial"/>
          <w:i/>
          <w:sz w:val="22"/>
          <w:szCs w:val="22"/>
          <w:lang w:val="en" w:eastAsia="en-GB"/>
        </w:rPr>
        <w:t>: How well are we or our partner converting inputs into Outputs?  </w:t>
      </w:r>
    </w:p>
    <w:p w14:paraId="2D846E05" w14:textId="77777777" w:rsidR="00F33FD6" w:rsidRPr="00CF1EC5" w:rsidRDefault="0059447A" w:rsidP="008E7E71">
      <w:pPr>
        <w:spacing w:after="120"/>
        <w:jc w:val="both"/>
        <w:rPr>
          <w:rFonts w:cs="Arial"/>
          <w:color w:val="000000"/>
          <w:sz w:val="22"/>
          <w:szCs w:val="22"/>
          <w:shd w:val="clear" w:color="auto" w:fill="FFFFFF"/>
        </w:rPr>
      </w:pPr>
      <w:r w:rsidRPr="00005AA8">
        <w:rPr>
          <w:rFonts w:cs="Arial"/>
          <w:color w:val="000000"/>
          <w:sz w:val="22"/>
          <w:szCs w:val="22"/>
          <w:shd w:val="clear" w:color="auto" w:fill="FFFFFF"/>
        </w:rPr>
        <w:t xml:space="preserve">At year-end 2020, </w:t>
      </w:r>
      <w:r w:rsidRPr="00CF1EC5">
        <w:rPr>
          <w:rFonts w:cs="Arial"/>
          <w:color w:val="000000"/>
          <w:sz w:val="22"/>
          <w:szCs w:val="22"/>
          <w:shd w:val="clear" w:color="auto" w:fill="FFFFFF"/>
        </w:rPr>
        <w:t xml:space="preserve">32%, ($2,139,505) of the SIP technical assistance portfolio (for both public and private sector technical assistance) had been disbursed and 18% ($1,248,454) had been </w:t>
      </w:r>
      <w:r w:rsidRPr="00CF1EC5">
        <w:rPr>
          <w:rFonts w:cs="Arial"/>
          <w:color w:val="000000"/>
          <w:sz w:val="22"/>
          <w:szCs w:val="22"/>
          <w:shd w:val="clear" w:color="auto" w:fill="FFFFFF"/>
        </w:rPr>
        <w:lastRenderedPageBreak/>
        <w:t xml:space="preserve">committed pending disbursement. Approx. 50% of technical assistance resources approved were disbursed or committed. </w:t>
      </w:r>
    </w:p>
    <w:p w14:paraId="3A484192" w14:textId="49A85EEC" w:rsidR="00252825" w:rsidRPr="00005AA8" w:rsidRDefault="00044A3F" w:rsidP="00984C8B">
      <w:pPr>
        <w:keepNext/>
        <w:spacing w:before="120"/>
        <w:rPr>
          <w:rFonts w:cs="Arial"/>
          <w:i/>
          <w:sz w:val="22"/>
          <w:szCs w:val="22"/>
          <w:lang w:val="en" w:eastAsia="en-GB"/>
        </w:rPr>
      </w:pPr>
      <w:r w:rsidRPr="00CF1EC5">
        <w:rPr>
          <w:rFonts w:cs="Arial"/>
          <w:b/>
          <w:i/>
          <w:sz w:val="22"/>
          <w:szCs w:val="22"/>
          <w:lang w:val="en" w:eastAsia="en-GB"/>
        </w:rPr>
        <w:t>Efficiency of IDB’s delivery:</w:t>
      </w:r>
      <w:r w:rsidRPr="00CF1EC5">
        <w:rPr>
          <w:rFonts w:cs="Arial"/>
          <w:i/>
          <w:sz w:val="22"/>
          <w:szCs w:val="22"/>
          <w:lang w:val="en" w:eastAsia="en-GB"/>
        </w:rPr>
        <w:t xml:space="preserve"> </w:t>
      </w:r>
    </w:p>
    <w:p w14:paraId="38D3D4F5" w14:textId="5293523E" w:rsidR="00044A3F" w:rsidRPr="0076071D" w:rsidRDefault="003F4DB0" w:rsidP="5A3005B7">
      <w:pPr>
        <w:pStyle w:val="NormalWeb"/>
        <w:spacing w:before="120" w:beforeAutospacing="0" w:after="120" w:afterAutospacing="0"/>
        <w:jc w:val="both"/>
        <w:rPr>
          <w:rFonts w:ascii="Arial" w:hAnsi="Arial" w:cs="Arial"/>
          <w:sz w:val="22"/>
          <w:szCs w:val="22"/>
          <w:lang w:val="en" w:eastAsia="en-GB"/>
        </w:rPr>
      </w:pPr>
      <w:r>
        <w:rPr>
          <w:rFonts w:ascii="Arial" w:hAnsi="Arial" w:cs="Arial"/>
          <w:sz w:val="22"/>
          <w:szCs w:val="22"/>
          <w:lang w:val="en" w:eastAsia="en-GB"/>
        </w:rPr>
        <w:t xml:space="preserve">In 2020 </w:t>
      </w:r>
      <w:r w:rsidR="00044A3F" w:rsidRPr="0076071D">
        <w:rPr>
          <w:rFonts w:ascii="Arial" w:hAnsi="Arial" w:cs="Arial"/>
          <w:sz w:val="22"/>
          <w:szCs w:val="22"/>
          <w:lang w:val="en" w:eastAsia="en-GB"/>
        </w:rPr>
        <w:t>BEIS and IDB worked to ensure project origination is led by a coherent strategic approach for the programme. The development of overarching principles for project identification and holistic approaches for delivering technical assistance and blended finance in each country will</w:t>
      </w:r>
      <w:r>
        <w:rPr>
          <w:rFonts w:ascii="Arial" w:hAnsi="Arial" w:cs="Arial"/>
          <w:sz w:val="22"/>
          <w:szCs w:val="22"/>
          <w:lang w:val="en" w:eastAsia="en-GB"/>
        </w:rPr>
        <w:t xml:space="preserve"> now</w:t>
      </w:r>
      <w:r w:rsidR="00044A3F" w:rsidRPr="0076071D">
        <w:rPr>
          <w:rFonts w:ascii="Arial" w:hAnsi="Arial" w:cs="Arial"/>
          <w:sz w:val="22"/>
          <w:szCs w:val="22"/>
          <w:lang w:val="en" w:eastAsia="en-GB"/>
        </w:rPr>
        <w:t xml:space="preserve"> improve the efficiency of approvals and align programme progress with reprofiled milestones. </w:t>
      </w:r>
    </w:p>
    <w:p w14:paraId="01EE9BFA" w14:textId="53B6D460" w:rsidR="00044A3F" w:rsidRPr="0076071D" w:rsidRDefault="00044A3F" w:rsidP="00D44215">
      <w:pPr>
        <w:pStyle w:val="NormalWeb"/>
        <w:spacing w:before="0" w:beforeAutospacing="0" w:after="120" w:afterAutospacing="0"/>
        <w:jc w:val="both"/>
        <w:rPr>
          <w:rFonts w:ascii="Arial" w:hAnsi="Arial" w:cs="Arial"/>
          <w:sz w:val="22"/>
          <w:szCs w:val="22"/>
        </w:rPr>
      </w:pPr>
      <w:r w:rsidRPr="0076071D">
        <w:rPr>
          <w:rFonts w:ascii="Arial" w:hAnsi="Arial" w:cs="Arial"/>
          <w:sz w:val="22"/>
          <w:szCs w:val="22"/>
          <w:lang w:val="en" w:eastAsia="en-GB"/>
        </w:rPr>
        <w:t xml:space="preserve">SIP-LA benefits from economies of scale by its ability to deliver through IDB’s existing structures, systems, and in-country presence. IDB technical advisers can draw upon specialist resources from across the organisation according to need. A core feature of the programme is the delivery partnership between the </w:t>
      </w:r>
      <w:r w:rsidRPr="0076071D">
        <w:rPr>
          <w:rFonts w:ascii="Arial" w:hAnsi="Arial" w:cs="Arial"/>
          <w:sz w:val="22"/>
          <w:szCs w:val="22"/>
        </w:rPr>
        <w:t>public sector and private investment arms of IDB.</w:t>
      </w:r>
      <w:r w:rsidR="006A1567">
        <w:rPr>
          <w:rFonts w:ascii="Arial" w:hAnsi="Arial" w:cs="Arial"/>
          <w:sz w:val="22"/>
          <w:szCs w:val="22"/>
        </w:rPr>
        <w:t xml:space="preserve"> This will be improved by the steps taken under the Strategic Review to better align SIP-LA</w:t>
      </w:r>
      <w:r w:rsidRPr="0076071D">
        <w:rPr>
          <w:rFonts w:ascii="Arial" w:hAnsi="Arial" w:cs="Arial"/>
          <w:sz w:val="22"/>
          <w:szCs w:val="22"/>
        </w:rPr>
        <w:t xml:space="preserve"> </w:t>
      </w:r>
      <w:r w:rsidR="006A1567">
        <w:rPr>
          <w:rFonts w:ascii="Arial" w:hAnsi="Arial" w:cs="Arial"/>
          <w:sz w:val="22"/>
          <w:szCs w:val="22"/>
        </w:rPr>
        <w:t xml:space="preserve">technical assistance and blended finance. </w:t>
      </w:r>
      <w:r w:rsidR="00052CC1">
        <w:rPr>
          <w:rFonts w:ascii="Arial" w:hAnsi="Arial" w:cs="Arial"/>
          <w:sz w:val="22"/>
          <w:szCs w:val="22"/>
        </w:rPr>
        <w:t>In 2020, IDB also started meeting HMG embassy teams to improve coordination with UK programmes and utilise UK expertise, thereby further improving the efficiency of IDB delivery.</w:t>
      </w:r>
    </w:p>
    <w:p w14:paraId="39E27C25" w14:textId="77777777" w:rsidR="00044A3F" w:rsidRPr="0076071D" w:rsidRDefault="00044A3F" w:rsidP="00D44215">
      <w:pPr>
        <w:pStyle w:val="NormalWeb"/>
        <w:spacing w:before="0" w:beforeAutospacing="0" w:after="120" w:afterAutospacing="0"/>
        <w:jc w:val="both"/>
        <w:rPr>
          <w:rFonts w:ascii="Arial" w:hAnsi="Arial" w:cs="Arial"/>
          <w:sz w:val="22"/>
          <w:szCs w:val="22"/>
          <w:lang w:val="en" w:eastAsia="en-GB"/>
        </w:rPr>
      </w:pPr>
      <w:r w:rsidRPr="0076071D">
        <w:rPr>
          <w:rFonts w:ascii="Arial" w:hAnsi="Arial" w:cs="Arial"/>
          <w:sz w:val="22"/>
          <w:szCs w:val="22"/>
          <w:u w:val="single"/>
          <w:lang w:val="en" w:eastAsia="en-GB"/>
        </w:rPr>
        <w:t>Effectiveness</w:t>
      </w:r>
      <w:r w:rsidRPr="0076071D">
        <w:rPr>
          <w:rFonts w:ascii="Arial" w:hAnsi="Arial" w:cs="Arial"/>
          <w:sz w:val="22"/>
          <w:szCs w:val="22"/>
          <w:lang w:val="en" w:eastAsia="en-GB"/>
        </w:rPr>
        <w:t xml:space="preserve">: Are </w:t>
      </w:r>
      <w:r w:rsidRPr="0076071D">
        <w:rPr>
          <w:rFonts w:ascii="Arial" w:hAnsi="Arial" w:cs="Arial"/>
          <w:sz w:val="22"/>
          <w:szCs w:val="22"/>
        </w:rPr>
        <w:t xml:space="preserve">Outputs achieving outcomes? </w:t>
      </w:r>
      <w:r w:rsidRPr="0076071D">
        <w:rPr>
          <w:rFonts w:ascii="Arial" w:hAnsi="Arial" w:cs="Arial"/>
          <w:sz w:val="22"/>
          <w:szCs w:val="22"/>
        </w:rPr>
        <w:tab/>
      </w:r>
      <w:r w:rsidRPr="0076071D">
        <w:rPr>
          <w:rFonts w:ascii="Arial" w:hAnsi="Arial" w:cs="Arial"/>
          <w:sz w:val="22"/>
          <w:szCs w:val="22"/>
          <w:lang w:val="en" w:eastAsia="en-GB"/>
        </w:rPr>
        <w:t xml:space="preserve"> </w:t>
      </w:r>
    </w:p>
    <w:p w14:paraId="40C1655F" w14:textId="3D2B5BD6" w:rsidR="00044A3F" w:rsidRPr="0076071D" w:rsidRDefault="00044A3F" w:rsidP="00D44215">
      <w:pPr>
        <w:pStyle w:val="NormalWeb"/>
        <w:spacing w:before="0" w:beforeAutospacing="0" w:after="120" w:afterAutospacing="0"/>
        <w:jc w:val="both"/>
        <w:rPr>
          <w:rFonts w:ascii="Arial" w:hAnsi="Arial" w:cs="Arial"/>
          <w:color w:val="000000"/>
          <w:sz w:val="22"/>
          <w:szCs w:val="22"/>
        </w:rPr>
      </w:pPr>
      <w:r w:rsidRPr="0076071D">
        <w:rPr>
          <w:rFonts w:ascii="Arial" w:hAnsi="Arial" w:cs="Arial"/>
          <w:color w:val="000000" w:themeColor="text1"/>
          <w:sz w:val="22"/>
          <w:szCs w:val="22"/>
        </w:rPr>
        <w:t>Due to the lack of blended finance investments made and the requirement to reprofile milestones, it is too early to evaluate performance against outcomes. Th</w:t>
      </w:r>
      <w:r w:rsidR="004640D8">
        <w:rPr>
          <w:rFonts w:ascii="Arial" w:hAnsi="Arial" w:cs="Arial"/>
          <w:color w:val="000000" w:themeColor="text1"/>
          <w:sz w:val="22"/>
          <w:szCs w:val="22"/>
        </w:rPr>
        <w:t xml:space="preserve">e lack of SIP-LA investments is predominantly due to the initial </w:t>
      </w:r>
      <w:r w:rsidRPr="0076071D">
        <w:rPr>
          <w:rFonts w:ascii="Arial" w:hAnsi="Arial" w:cs="Arial"/>
          <w:color w:val="000000" w:themeColor="text1"/>
          <w:sz w:val="22"/>
          <w:szCs w:val="22"/>
        </w:rPr>
        <w:t xml:space="preserve">delays to pipeline establishment and those incurred by the region’s political transitions. </w:t>
      </w:r>
      <w:r w:rsidR="00110D04">
        <w:rPr>
          <w:rFonts w:ascii="Arial" w:hAnsi="Arial" w:cs="Arial"/>
          <w:color w:val="000000" w:themeColor="text1"/>
          <w:sz w:val="22"/>
          <w:szCs w:val="22"/>
        </w:rPr>
        <w:t xml:space="preserve">In 2020 IDB </w:t>
      </w:r>
      <w:r w:rsidRPr="0076071D">
        <w:rPr>
          <w:rFonts w:ascii="Arial" w:hAnsi="Arial" w:cs="Arial"/>
          <w:color w:val="000000" w:themeColor="text1"/>
          <w:sz w:val="22"/>
          <w:szCs w:val="22"/>
        </w:rPr>
        <w:t>reprofile</w:t>
      </w:r>
      <w:r w:rsidR="00110D04">
        <w:rPr>
          <w:rFonts w:ascii="Arial" w:hAnsi="Arial" w:cs="Arial"/>
          <w:color w:val="000000" w:themeColor="text1"/>
          <w:sz w:val="22"/>
          <w:szCs w:val="22"/>
        </w:rPr>
        <w:t>d</w:t>
      </w:r>
      <w:r w:rsidRPr="0076071D">
        <w:rPr>
          <w:rFonts w:ascii="Arial" w:hAnsi="Arial" w:cs="Arial"/>
          <w:color w:val="000000" w:themeColor="text1"/>
          <w:sz w:val="22"/>
          <w:szCs w:val="22"/>
        </w:rPr>
        <w:t xml:space="preserve"> </w:t>
      </w:r>
      <w:r w:rsidR="00110D04">
        <w:rPr>
          <w:rFonts w:ascii="Arial" w:hAnsi="Arial" w:cs="Arial"/>
          <w:color w:val="000000" w:themeColor="text1"/>
          <w:sz w:val="22"/>
          <w:szCs w:val="22"/>
        </w:rPr>
        <w:t>SIP-LA’s</w:t>
      </w:r>
      <w:r w:rsidR="00110D04" w:rsidRPr="0076071D">
        <w:rPr>
          <w:rFonts w:ascii="Arial" w:hAnsi="Arial" w:cs="Arial"/>
          <w:color w:val="000000" w:themeColor="text1"/>
          <w:sz w:val="22"/>
          <w:szCs w:val="22"/>
        </w:rPr>
        <w:t xml:space="preserve"> </w:t>
      </w:r>
      <w:r w:rsidR="00110D04">
        <w:rPr>
          <w:rFonts w:ascii="Arial" w:hAnsi="Arial" w:cs="Arial"/>
          <w:color w:val="000000" w:themeColor="text1"/>
          <w:sz w:val="22"/>
          <w:szCs w:val="22"/>
        </w:rPr>
        <w:t>b</w:t>
      </w:r>
      <w:r w:rsidRPr="0076071D">
        <w:rPr>
          <w:rFonts w:ascii="Arial" w:hAnsi="Arial" w:cs="Arial"/>
          <w:color w:val="000000" w:themeColor="text1"/>
          <w:sz w:val="22"/>
          <w:szCs w:val="22"/>
        </w:rPr>
        <w:t>lended finance milestones</w:t>
      </w:r>
      <w:r w:rsidR="00110D04">
        <w:rPr>
          <w:rFonts w:ascii="Arial" w:hAnsi="Arial" w:cs="Arial"/>
          <w:color w:val="000000" w:themeColor="text1"/>
          <w:sz w:val="22"/>
          <w:szCs w:val="22"/>
        </w:rPr>
        <w:t xml:space="preserve"> </w:t>
      </w:r>
      <w:r w:rsidR="00471E99">
        <w:rPr>
          <w:rFonts w:ascii="Arial" w:hAnsi="Arial" w:cs="Arial"/>
          <w:color w:val="000000" w:themeColor="text1"/>
          <w:sz w:val="22"/>
          <w:szCs w:val="22"/>
        </w:rPr>
        <w:t>for</w:t>
      </w:r>
      <w:r w:rsidR="009E1BAB">
        <w:rPr>
          <w:rFonts w:ascii="Arial" w:hAnsi="Arial" w:cs="Arial"/>
          <w:color w:val="000000" w:themeColor="text1"/>
          <w:sz w:val="22"/>
          <w:szCs w:val="22"/>
        </w:rPr>
        <w:t xml:space="preserve"> a </w:t>
      </w:r>
      <w:r w:rsidR="00471E99">
        <w:rPr>
          <w:rFonts w:ascii="Arial" w:hAnsi="Arial" w:cs="Arial"/>
          <w:color w:val="000000" w:themeColor="text1"/>
          <w:sz w:val="22"/>
          <w:szCs w:val="22"/>
        </w:rPr>
        <w:t xml:space="preserve">discussion on the remainder of the programme by BEIS and IDB. </w:t>
      </w:r>
    </w:p>
    <w:p w14:paraId="565AB465" w14:textId="504536C4" w:rsidR="00044A3F" w:rsidRPr="0076071D" w:rsidRDefault="00044A3F" w:rsidP="0018195D">
      <w:pPr>
        <w:pStyle w:val="NormalWeb"/>
        <w:keepNext/>
        <w:spacing w:before="0" w:beforeAutospacing="0" w:after="120" w:afterAutospacing="0"/>
        <w:jc w:val="both"/>
        <w:rPr>
          <w:rFonts w:ascii="Arial" w:hAnsi="Arial" w:cs="Arial"/>
          <w:sz w:val="22"/>
          <w:szCs w:val="22"/>
          <w:lang w:val="en" w:eastAsia="en-GB"/>
        </w:rPr>
      </w:pPr>
      <w:r w:rsidRPr="0076071D">
        <w:rPr>
          <w:rFonts w:ascii="Arial" w:hAnsi="Arial" w:cs="Arial"/>
          <w:color w:val="000000" w:themeColor="text1"/>
          <w:sz w:val="22"/>
          <w:szCs w:val="22"/>
          <w:u w:val="single"/>
        </w:rPr>
        <w:t>Equity</w:t>
      </w:r>
      <w:r w:rsidRPr="0076071D">
        <w:rPr>
          <w:rFonts w:ascii="Arial" w:hAnsi="Arial" w:cs="Arial"/>
          <w:color w:val="000000" w:themeColor="text1"/>
          <w:sz w:val="22"/>
          <w:szCs w:val="22"/>
        </w:rPr>
        <w:t xml:space="preserve">: Are results equitably distributed? </w:t>
      </w:r>
    </w:p>
    <w:p w14:paraId="70C75A15" w14:textId="4436D708" w:rsidR="00044A3F" w:rsidRPr="0076071D" w:rsidRDefault="00044A3F" w:rsidP="00D44215">
      <w:pPr>
        <w:spacing w:after="120"/>
        <w:jc w:val="both"/>
        <w:rPr>
          <w:rFonts w:cs="Arial"/>
          <w:sz w:val="22"/>
          <w:szCs w:val="22"/>
        </w:rPr>
      </w:pPr>
      <w:r w:rsidRPr="0076071D">
        <w:rPr>
          <w:rFonts w:cs="Arial"/>
          <w:sz w:val="22"/>
          <w:szCs w:val="22"/>
        </w:rPr>
        <w:t>IDB delivers activities against robust environmental and social safeguard policies, standards, and guidelines. IDB has a clear mandate to consider climate and poverty alleviation, with particular regard to gender equality.</w:t>
      </w:r>
      <w:r w:rsidR="00471E99">
        <w:rPr>
          <w:rFonts w:cs="Arial"/>
          <w:sz w:val="22"/>
          <w:szCs w:val="22"/>
        </w:rPr>
        <w:t xml:space="preserve"> In 2020, IDB reported additional </w:t>
      </w:r>
      <w:r w:rsidR="000F7D0A">
        <w:rPr>
          <w:rFonts w:cs="Arial"/>
          <w:sz w:val="22"/>
          <w:szCs w:val="22"/>
        </w:rPr>
        <w:t>information in the SIP-LA VFM framework</w:t>
      </w:r>
      <w:r w:rsidR="00D2558E">
        <w:rPr>
          <w:rFonts w:cs="Arial"/>
          <w:sz w:val="22"/>
          <w:szCs w:val="22"/>
        </w:rPr>
        <w:t xml:space="preserve">, including information on </w:t>
      </w:r>
      <w:r w:rsidR="00FC756D">
        <w:rPr>
          <w:rFonts w:cs="Arial"/>
          <w:sz w:val="22"/>
          <w:szCs w:val="22"/>
        </w:rPr>
        <w:t>the relative budgetary split of SIP-LA’s resources across its four countries.</w:t>
      </w:r>
    </w:p>
    <w:p w14:paraId="2AD7DE34" w14:textId="54B6E6DC" w:rsidR="00044A3F" w:rsidRPr="0076071D" w:rsidRDefault="00727BF3" w:rsidP="00D44215">
      <w:pPr>
        <w:spacing w:after="120"/>
        <w:jc w:val="both"/>
        <w:rPr>
          <w:rFonts w:cs="Arial"/>
          <w:bCs/>
          <w:sz w:val="22"/>
          <w:szCs w:val="22"/>
        </w:rPr>
      </w:pPr>
      <w:r>
        <w:rPr>
          <w:rFonts w:cs="Arial"/>
          <w:sz w:val="22"/>
          <w:szCs w:val="22"/>
        </w:rPr>
        <w:t>In 2020 t</w:t>
      </w:r>
      <w:r w:rsidR="004C6836">
        <w:rPr>
          <w:rFonts w:cs="Arial"/>
          <w:sz w:val="22"/>
          <w:szCs w:val="22"/>
        </w:rPr>
        <w:t xml:space="preserve">he majority of programme achievements were delivered in </w:t>
      </w:r>
      <w:r>
        <w:rPr>
          <w:rFonts w:cs="Arial"/>
          <w:sz w:val="22"/>
          <w:szCs w:val="22"/>
        </w:rPr>
        <w:t>Colombia and Brazil. P</w:t>
      </w:r>
      <w:r w:rsidR="00044A3F" w:rsidRPr="0076071D">
        <w:rPr>
          <w:rFonts w:cs="Arial"/>
          <w:sz w:val="22"/>
          <w:szCs w:val="22"/>
        </w:rPr>
        <w:t xml:space="preserve">olitical transitions </w:t>
      </w:r>
      <w:r>
        <w:rPr>
          <w:rFonts w:cs="Arial"/>
          <w:sz w:val="22"/>
          <w:szCs w:val="22"/>
        </w:rPr>
        <w:t xml:space="preserve">in Mexico and Peru have </w:t>
      </w:r>
      <w:r w:rsidR="00D2558E">
        <w:rPr>
          <w:rFonts w:cs="Arial"/>
          <w:sz w:val="22"/>
          <w:szCs w:val="22"/>
        </w:rPr>
        <w:t xml:space="preserve">made delivering more challenging and IDB have prioritised projects in markets that afford more immediate opportunities for transformational change, with a view to </w:t>
      </w:r>
      <w:r w:rsidR="007D1697">
        <w:rPr>
          <w:rFonts w:cs="Arial"/>
          <w:sz w:val="22"/>
          <w:szCs w:val="22"/>
        </w:rPr>
        <w:t xml:space="preserve">ultimately </w:t>
      </w:r>
      <w:r w:rsidR="00D2558E">
        <w:rPr>
          <w:rFonts w:cs="Arial"/>
          <w:sz w:val="22"/>
          <w:szCs w:val="22"/>
        </w:rPr>
        <w:t>achieving a more balanced</w:t>
      </w:r>
      <w:r w:rsidR="007D1697">
        <w:rPr>
          <w:rFonts w:cs="Arial"/>
          <w:sz w:val="22"/>
          <w:szCs w:val="22"/>
        </w:rPr>
        <w:t xml:space="preserve"> portfolio in time</w:t>
      </w:r>
      <w:r w:rsidR="00D2558E">
        <w:rPr>
          <w:rFonts w:cs="Arial"/>
          <w:sz w:val="22"/>
          <w:szCs w:val="22"/>
        </w:rPr>
        <w:t xml:space="preserve">. </w:t>
      </w:r>
      <w:r w:rsidR="00044A3F" w:rsidRPr="0076071D">
        <w:rPr>
          <w:rFonts w:cs="Arial"/>
          <w:sz w:val="22"/>
          <w:szCs w:val="22"/>
        </w:rPr>
        <w:t>BEIS and IDB teams should continue to draw upon the diplomatic networks holding strong relationships with government stakeholders in the partner countries. Relationship development through these networks and the establishment of successful technical assistance should be drawn upon to ensure that the SIP-LA results are equitably distributed across the region.</w:t>
      </w:r>
      <w:r w:rsidR="00044A3F" w:rsidRPr="0076071D">
        <w:rPr>
          <w:rFonts w:cs="Arial"/>
          <w:bCs/>
          <w:sz w:val="22"/>
          <w:szCs w:val="22"/>
        </w:rPr>
        <w:t xml:space="preserve"> </w:t>
      </w:r>
    </w:p>
    <w:p w14:paraId="2235AB12" w14:textId="77777777" w:rsidR="00163F3E" w:rsidRPr="00005AA8" w:rsidRDefault="00163F3E" w:rsidP="00D44215">
      <w:pPr>
        <w:spacing w:after="120"/>
        <w:jc w:val="both"/>
        <w:rPr>
          <w:rFonts w:cs="Arial"/>
          <w:b/>
          <w:i/>
          <w:sz w:val="22"/>
          <w:szCs w:val="22"/>
          <w:lang w:val="en" w:eastAsia="en-GB"/>
        </w:rPr>
      </w:pPr>
      <w:r w:rsidRPr="00005AA8">
        <w:rPr>
          <w:rFonts w:cs="Arial"/>
          <w:b/>
          <w:i/>
          <w:sz w:val="22"/>
          <w:szCs w:val="22"/>
          <w:lang w:val="en" w:eastAsia="en-GB"/>
        </w:rPr>
        <w:t xml:space="preserve">Assessment of whether the programme continues to represent </w:t>
      </w:r>
      <w:proofErr w:type="spellStart"/>
      <w:r w:rsidRPr="00005AA8">
        <w:rPr>
          <w:rFonts w:cs="Arial"/>
          <w:b/>
          <w:i/>
          <w:sz w:val="22"/>
          <w:szCs w:val="22"/>
          <w:lang w:val="en" w:eastAsia="en-GB"/>
        </w:rPr>
        <w:t>VfM</w:t>
      </w:r>
      <w:proofErr w:type="spellEnd"/>
    </w:p>
    <w:p w14:paraId="1095A837" w14:textId="6D42C001" w:rsidR="00844E81" w:rsidRDefault="005415F2" w:rsidP="00D44215">
      <w:pPr>
        <w:spacing w:after="120"/>
        <w:jc w:val="both"/>
        <w:rPr>
          <w:rFonts w:cs="Arial"/>
          <w:sz w:val="22"/>
          <w:szCs w:val="22"/>
        </w:rPr>
      </w:pPr>
      <w:r w:rsidRPr="0052744F">
        <w:rPr>
          <w:rFonts w:cs="Arial"/>
          <w:sz w:val="22"/>
          <w:szCs w:val="22"/>
        </w:rPr>
        <w:t xml:space="preserve">In 2020 </w:t>
      </w:r>
      <w:r w:rsidR="00163F3E" w:rsidRPr="0052744F">
        <w:rPr>
          <w:rFonts w:cs="Arial"/>
          <w:sz w:val="22"/>
          <w:szCs w:val="22"/>
        </w:rPr>
        <w:t xml:space="preserve">SIP-LA </w:t>
      </w:r>
      <w:r w:rsidRPr="0052744F">
        <w:rPr>
          <w:rFonts w:cs="Arial"/>
          <w:sz w:val="22"/>
          <w:szCs w:val="22"/>
        </w:rPr>
        <w:t xml:space="preserve">did </w:t>
      </w:r>
      <w:r w:rsidR="00163F3E" w:rsidRPr="0052744F">
        <w:rPr>
          <w:rFonts w:cs="Arial"/>
          <w:sz w:val="22"/>
          <w:szCs w:val="22"/>
        </w:rPr>
        <w:t>not perform against Business Case expectations</w:t>
      </w:r>
      <w:r w:rsidR="00AF3220" w:rsidRPr="0052744F">
        <w:rPr>
          <w:rFonts w:cs="Arial"/>
          <w:sz w:val="22"/>
          <w:szCs w:val="22"/>
        </w:rPr>
        <w:t xml:space="preserve"> regarding </w:t>
      </w:r>
      <w:proofErr w:type="spellStart"/>
      <w:r w:rsidR="00AF3220" w:rsidRPr="0052744F">
        <w:rPr>
          <w:rFonts w:cs="Arial"/>
          <w:sz w:val="22"/>
          <w:szCs w:val="22"/>
        </w:rPr>
        <w:t>VfM</w:t>
      </w:r>
      <w:proofErr w:type="spellEnd"/>
      <w:r w:rsidR="00750DCF" w:rsidRPr="0052744F">
        <w:rPr>
          <w:rFonts w:cs="Arial"/>
          <w:sz w:val="22"/>
          <w:szCs w:val="22"/>
        </w:rPr>
        <w:t xml:space="preserve"> largely due to delays in</w:t>
      </w:r>
      <w:r w:rsidR="00C679C8" w:rsidRPr="0052744F">
        <w:rPr>
          <w:rFonts w:cs="Arial"/>
          <w:sz w:val="22"/>
          <w:szCs w:val="22"/>
        </w:rPr>
        <w:t xml:space="preserve"> relation to blended finance. The </w:t>
      </w:r>
      <w:r w:rsidR="008246BC" w:rsidRPr="0052744F">
        <w:rPr>
          <w:rFonts w:cs="Arial"/>
          <w:sz w:val="22"/>
          <w:szCs w:val="22"/>
        </w:rPr>
        <w:t xml:space="preserve">business case expectations </w:t>
      </w:r>
      <w:r w:rsidR="0026037F" w:rsidRPr="0052744F">
        <w:rPr>
          <w:rFonts w:cs="Arial"/>
          <w:sz w:val="22"/>
          <w:szCs w:val="22"/>
        </w:rPr>
        <w:t xml:space="preserve">are no longer a </w:t>
      </w:r>
      <w:r w:rsidR="007F4391">
        <w:rPr>
          <w:rFonts w:cs="Arial"/>
          <w:sz w:val="22"/>
          <w:szCs w:val="22"/>
        </w:rPr>
        <w:t>meaningful</w:t>
      </w:r>
      <w:r w:rsidR="0026037F" w:rsidRPr="0052744F">
        <w:rPr>
          <w:rFonts w:cs="Arial"/>
          <w:sz w:val="22"/>
          <w:szCs w:val="22"/>
        </w:rPr>
        <w:t xml:space="preserve"> indication of SIP-LA’s expected </w:t>
      </w:r>
      <w:r w:rsidR="006A1D45" w:rsidRPr="0052744F">
        <w:rPr>
          <w:rFonts w:cs="Arial"/>
          <w:sz w:val="22"/>
          <w:szCs w:val="22"/>
        </w:rPr>
        <w:t xml:space="preserve">results given the earlier delays in blended finance deliver documented in the last two Annual Reviews. </w:t>
      </w:r>
      <w:r w:rsidR="00844E81" w:rsidRPr="0052744F">
        <w:rPr>
          <w:rFonts w:cs="Arial"/>
          <w:sz w:val="22"/>
          <w:szCs w:val="22"/>
        </w:rPr>
        <w:t xml:space="preserve">The expected </w:t>
      </w:r>
      <w:proofErr w:type="spellStart"/>
      <w:r w:rsidR="00844E81" w:rsidRPr="0052744F">
        <w:rPr>
          <w:rFonts w:cs="Arial"/>
          <w:sz w:val="22"/>
          <w:szCs w:val="22"/>
        </w:rPr>
        <w:t>VfM</w:t>
      </w:r>
      <w:proofErr w:type="spellEnd"/>
      <w:r w:rsidR="00844E81" w:rsidRPr="0052744F">
        <w:rPr>
          <w:rFonts w:cs="Arial"/>
          <w:sz w:val="22"/>
          <w:szCs w:val="22"/>
        </w:rPr>
        <w:t xml:space="preserve"> of the programme has still been reduced by delays in blended finance delivery. </w:t>
      </w:r>
    </w:p>
    <w:p w14:paraId="2E975B42" w14:textId="6BFEDE3B" w:rsidR="005F46D4" w:rsidRPr="00D93F68" w:rsidRDefault="006A1D45" w:rsidP="00272D65">
      <w:pPr>
        <w:spacing w:after="120"/>
        <w:jc w:val="both"/>
        <w:rPr>
          <w:rFonts w:cs="Arial"/>
          <w:sz w:val="22"/>
          <w:szCs w:val="22"/>
        </w:rPr>
      </w:pPr>
      <w:r>
        <w:rPr>
          <w:rFonts w:cs="Arial"/>
          <w:sz w:val="22"/>
          <w:szCs w:val="22"/>
        </w:rPr>
        <w:t xml:space="preserve">However, SIP-LA has made significant improvements in both </w:t>
      </w:r>
      <w:r w:rsidR="00383A3F">
        <w:rPr>
          <w:rFonts w:cs="Arial"/>
          <w:sz w:val="22"/>
          <w:szCs w:val="22"/>
        </w:rPr>
        <w:t xml:space="preserve">its delivery of the Strategic Review outcomes and subsequent early signs of programme performance </w:t>
      </w:r>
      <w:r w:rsidR="00A132A3">
        <w:rPr>
          <w:rFonts w:cs="Arial"/>
          <w:sz w:val="22"/>
          <w:szCs w:val="22"/>
        </w:rPr>
        <w:t xml:space="preserve">in 2021. </w:t>
      </w:r>
      <w:r w:rsidR="000E1CDA">
        <w:rPr>
          <w:rFonts w:cs="Arial"/>
          <w:sz w:val="22"/>
          <w:szCs w:val="22"/>
        </w:rPr>
        <w:t xml:space="preserve">The programme has </w:t>
      </w:r>
      <w:r w:rsidR="009272ED">
        <w:rPr>
          <w:rFonts w:cs="Arial"/>
          <w:sz w:val="22"/>
          <w:szCs w:val="22"/>
        </w:rPr>
        <w:t xml:space="preserve">developed promising technical assistance packages for Colombia and Brazil, with Mexico and Peru are expected to follow shortly. SIP-LA </w:t>
      </w:r>
      <w:r w:rsidR="00B16E4B">
        <w:rPr>
          <w:rFonts w:cs="Arial"/>
          <w:sz w:val="22"/>
          <w:szCs w:val="22"/>
        </w:rPr>
        <w:t xml:space="preserve">has a promising </w:t>
      </w:r>
      <w:r w:rsidR="00A977B8">
        <w:rPr>
          <w:rFonts w:cs="Arial"/>
          <w:sz w:val="22"/>
          <w:szCs w:val="22"/>
        </w:rPr>
        <w:t>blended finance pipeline</w:t>
      </w:r>
      <w:r w:rsidR="00B16E4B">
        <w:rPr>
          <w:rFonts w:cs="Arial"/>
          <w:sz w:val="22"/>
          <w:szCs w:val="22"/>
        </w:rPr>
        <w:t xml:space="preserve"> with investments that should enable SIP-LA’s business case results and transformational objectives.</w:t>
      </w:r>
      <w:r w:rsidR="00844E81" w:rsidRPr="00844E81">
        <w:rPr>
          <w:rFonts w:cs="Arial"/>
          <w:sz w:val="22"/>
          <w:szCs w:val="22"/>
        </w:rPr>
        <w:t xml:space="preserve"> </w:t>
      </w:r>
      <w:r w:rsidR="00844E81" w:rsidRPr="00BA757F">
        <w:rPr>
          <w:rFonts w:cs="Arial"/>
          <w:sz w:val="22"/>
          <w:szCs w:val="22"/>
        </w:rPr>
        <w:t xml:space="preserve">Potential impacts to </w:t>
      </w:r>
      <w:proofErr w:type="spellStart"/>
      <w:r w:rsidR="00844E81" w:rsidRPr="00BA757F">
        <w:rPr>
          <w:rFonts w:cs="Arial"/>
          <w:sz w:val="22"/>
          <w:szCs w:val="22"/>
        </w:rPr>
        <w:t>VfM</w:t>
      </w:r>
      <w:proofErr w:type="spellEnd"/>
      <w:r w:rsidR="00844E81" w:rsidRPr="00BA757F">
        <w:rPr>
          <w:rFonts w:cs="Arial"/>
          <w:sz w:val="22"/>
          <w:szCs w:val="22"/>
        </w:rPr>
        <w:t xml:space="preserve"> associated with administrative fees are justified by the scoping and due diligence undertaken for the planned investments in 2020. </w:t>
      </w:r>
    </w:p>
    <w:tbl>
      <w:tblPr>
        <w:tblStyle w:val="TableGrid"/>
        <w:tblW w:w="0" w:type="auto"/>
        <w:tblInd w:w="-5" w:type="dxa"/>
        <w:tblLook w:val="04A0" w:firstRow="1" w:lastRow="0" w:firstColumn="1" w:lastColumn="0" w:noHBand="0" w:noVBand="1"/>
      </w:tblPr>
      <w:tblGrid>
        <w:gridCol w:w="4508"/>
        <w:gridCol w:w="2268"/>
      </w:tblGrid>
      <w:tr w:rsidR="00052CC1" w:rsidRPr="006778A3" w14:paraId="237FE329" w14:textId="77777777" w:rsidTr="00830D08">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1FF5132" w14:textId="77777777" w:rsidR="003D222C" w:rsidRPr="006778A3" w:rsidRDefault="003D222C" w:rsidP="00503637">
            <w:pPr>
              <w:spacing w:after="120"/>
              <w:rPr>
                <w:rFonts w:cs="Arial"/>
                <w:sz w:val="22"/>
                <w:szCs w:val="22"/>
              </w:rPr>
            </w:pPr>
            <w:r w:rsidRPr="006778A3">
              <w:rPr>
                <w:rFonts w:cs="Arial"/>
                <w:sz w:val="22"/>
                <w:szCs w:val="22"/>
              </w:rPr>
              <w:t>Date of last narrative financial report</w:t>
            </w:r>
          </w:p>
        </w:tc>
        <w:tc>
          <w:tcPr>
            <w:tcW w:w="2268" w:type="dxa"/>
            <w:tcBorders>
              <w:top w:val="single" w:sz="4" w:space="0" w:color="auto"/>
              <w:left w:val="single" w:sz="4" w:space="0" w:color="auto"/>
              <w:bottom w:val="single" w:sz="4" w:space="0" w:color="auto"/>
              <w:right w:val="single" w:sz="4" w:space="0" w:color="auto"/>
            </w:tcBorders>
          </w:tcPr>
          <w:p w14:paraId="2ADAB5DF" w14:textId="4445C22F" w:rsidR="003D222C" w:rsidRPr="006778A3" w:rsidRDefault="00872014" w:rsidP="00503637">
            <w:pPr>
              <w:spacing w:after="120"/>
              <w:rPr>
                <w:rFonts w:cs="Arial"/>
                <w:sz w:val="22"/>
                <w:szCs w:val="22"/>
              </w:rPr>
            </w:pPr>
            <w:r>
              <w:rPr>
                <w:rFonts w:cs="Arial"/>
                <w:sz w:val="22"/>
                <w:szCs w:val="22"/>
              </w:rPr>
              <w:t>08.06.21</w:t>
            </w:r>
          </w:p>
        </w:tc>
      </w:tr>
      <w:tr w:rsidR="00052CC1" w:rsidRPr="006778A3" w14:paraId="1FE89B21" w14:textId="77777777" w:rsidTr="00830D08">
        <w:tc>
          <w:tcPr>
            <w:tcW w:w="450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3A69BE" w14:textId="77777777" w:rsidR="003D222C" w:rsidRPr="006778A3" w:rsidRDefault="003D222C" w:rsidP="00503637">
            <w:pPr>
              <w:spacing w:after="120"/>
              <w:rPr>
                <w:rFonts w:cs="Arial"/>
                <w:sz w:val="22"/>
                <w:szCs w:val="22"/>
              </w:rPr>
            </w:pPr>
            <w:r w:rsidRPr="006778A3">
              <w:rPr>
                <w:rFonts w:cs="Arial"/>
                <w:sz w:val="22"/>
                <w:szCs w:val="22"/>
              </w:rPr>
              <w:lastRenderedPageBreak/>
              <w:t>Date of last audited annual statement</w:t>
            </w:r>
          </w:p>
        </w:tc>
        <w:tc>
          <w:tcPr>
            <w:tcW w:w="2268" w:type="dxa"/>
            <w:tcBorders>
              <w:top w:val="single" w:sz="4" w:space="0" w:color="auto"/>
              <w:left w:val="single" w:sz="4" w:space="0" w:color="auto"/>
              <w:bottom w:val="single" w:sz="4" w:space="0" w:color="auto"/>
              <w:right w:val="single" w:sz="4" w:space="0" w:color="auto"/>
            </w:tcBorders>
          </w:tcPr>
          <w:p w14:paraId="67F793A9" w14:textId="7DB533FA" w:rsidR="003D222C" w:rsidRPr="006778A3" w:rsidRDefault="00872014" w:rsidP="00503637">
            <w:pPr>
              <w:spacing w:after="120"/>
              <w:rPr>
                <w:rFonts w:cs="Arial"/>
                <w:sz w:val="22"/>
                <w:szCs w:val="22"/>
              </w:rPr>
            </w:pPr>
            <w:r>
              <w:rPr>
                <w:rFonts w:cs="Arial"/>
                <w:sz w:val="22"/>
                <w:szCs w:val="22"/>
              </w:rPr>
              <w:t>08.06.21</w:t>
            </w:r>
          </w:p>
        </w:tc>
      </w:tr>
    </w:tbl>
    <w:p w14:paraId="37BC1B62" w14:textId="77777777" w:rsidR="005727F9" w:rsidRDefault="005727F9" w:rsidP="00503637">
      <w:pPr>
        <w:spacing w:after="120"/>
        <w:rPr>
          <w:rFonts w:cs="Arial"/>
          <w:sz w:val="22"/>
          <w:szCs w:val="22"/>
        </w:rPr>
        <w:sectPr w:rsidR="005727F9" w:rsidSect="00830D08">
          <w:headerReference w:type="even" r:id="rId15"/>
          <w:headerReference w:type="default" r:id="rId16"/>
          <w:footerReference w:type="even" r:id="rId17"/>
          <w:footerReference w:type="default" r:id="rId18"/>
          <w:headerReference w:type="first" r:id="rId19"/>
          <w:footerReference w:type="first" r:id="rId20"/>
          <w:pgSz w:w="11906" w:h="16838"/>
          <w:pgMar w:top="709" w:right="1440" w:bottom="709" w:left="1440" w:header="708" w:footer="708" w:gutter="0"/>
          <w:cols w:space="708"/>
          <w:docGrid w:linePitch="360"/>
        </w:sectPr>
      </w:pPr>
    </w:p>
    <w:p w14:paraId="7D53EDBB" w14:textId="430C6B06" w:rsidR="002B3995" w:rsidRPr="002B3995" w:rsidRDefault="00C04ADF">
      <w:pPr>
        <w:spacing w:before="120" w:after="120" w:line="276" w:lineRule="auto"/>
        <w:jc w:val="both"/>
        <w:rPr>
          <w:b/>
          <w:sz w:val="22"/>
          <w:szCs w:val="22"/>
        </w:rPr>
      </w:pPr>
      <w:r>
        <w:rPr>
          <w:b/>
          <w:bCs/>
          <w:sz w:val="22"/>
          <w:szCs w:val="22"/>
        </w:rPr>
        <w:lastRenderedPageBreak/>
        <w:t>Annex A</w:t>
      </w:r>
      <w:r w:rsidR="002B3995" w:rsidRPr="002B3995">
        <w:rPr>
          <w:b/>
          <w:sz w:val="22"/>
          <w:szCs w:val="22"/>
        </w:rPr>
        <w:t>: Theory of Change</w:t>
      </w:r>
    </w:p>
    <w:p w14:paraId="17D40B35" w14:textId="77777777" w:rsidR="002B3995" w:rsidRDefault="002B3995" w:rsidP="002B3995"/>
    <w:p w14:paraId="3CBEB5DD" w14:textId="5D500316" w:rsidR="002B3995" w:rsidRDefault="0003B195" w:rsidP="002B3995">
      <w:bookmarkStart w:id="1" w:name="_Toc491443558"/>
      <w:bookmarkStart w:id="2" w:name="_Toc492562896"/>
      <w:bookmarkStart w:id="3" w:name="_Toc493776581"/>
      <w:bookmarkStart w:id="4" w:name="_Toc494357656"/>
      <w:r>
        <w:rPr>
          <w:noProof/>
        </w:rPr>
        <w:drawing>
          <wp:inline distT="0" distB="0" distL="0" distR="0" wp14:anchorId="719507AA" wp14:editId="4FDC434F">
            <wp:extent cx="5731510" cy="434975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1">
                      <a:extLst>
                        <a:ext uri="{28A0092B-C50C-407E-A947-70E740481C1C}">
                          <a14:useLocalDpi xmlns:a14="http://schemas.microsoft.com/office/drawing/2010/main" val="0"/>
                        </a:ext>
                      </a:extLst>
                    </a:blip>
                    <a:srcRect l="9686" t="697" r="8405"/>
                    <a:stretch>
                      <a:fillRect/>
                    </a:stretch>
                  </pic:blipFill>
                  <pic:spPr>
                    <a:xfrm>
                      <a:off x="0" y="0"/>
                      <a:ext cx="5731510" cy="4349750"/>
                    </a:xfrm>
                    <a:prstGeom prst="rect">
                      <a:avLst/>
                    </a:prstGeom>
                  </pic:spPr>
                </pic:pic>
              </a:graphicData>
            </a:graphic>
          </wp:inline>
        </w:drawing>
      </w:r>
      <w:bookmarkEnd w:id="1"/>
      <w:bookmarkEnd w:id="2"/>
      <w:bookmarkEnd w:id="3"/>
      <w:bookmarkEnd w:id="4"/>
    </w:p>
    <w:p w14:paraId="7B53AF4E" w14:textId="77777777" w:rsidR="002B3995" w:rsidRDefault="002B3995" w:rsidP="002B3995"/>
    <w:p w14:paraId="5917E87A" w14:textId="420833BC" w:rsidR="00D02828" w:rsidRDefault="004176DD">
      <w:pPr>
        <w:spacing w:after="120"/>
        <w:rPr>
          <w:rFonts w:cs="Arial"/>
          <w:b/>
          <w:bCs/>
          <w:sz w:val="22"/>
          <w:szCs w:val="22"/>
          <w:lang w:val="pt-BR"/>
        </w:rPr>
      </w:pPr>
      <w:r w:rsidRPr="00513E41">
        <w:rPr>
          <w:rFonts w:cs="Arial"/>
          <w:b/>
          <w:bCs/>
          <w:sz w:val="22"/>
          <w:szCs w:val="22"/>
          <w:lang w:val="pt-BR"/>
        </w:rPr>
        <w:t>Annex B</w:t>
      </w:r>
      <w:r w:rsidR="00D02828">
        <w:rPr>
          <w:rFonts w:cs="Arial"/>
          <w:b/>
          <w:bCs/>
          <w:sz w:val="22"/>
          <w:szCs w:val="22"/>
          <w:lang w:val="pt-BR"/>
        </w:rPr>
        <w:t xml:space="preserve"> – </w:t>
      </w:r>
      <w:r w:rsidR="00916DC3">
        <w:rPr>
          <w:rFonts w:cs="Arial"/>
          <w:b/>
          <w:bCs/>
          <w:sz w:val="22"/>
          <w:szCs w:val="22"/>
          <w:lang w:val="pt-BR"/>
        </w:rPr>
        <w:t>Results achieved under o</w:t>
      </w:r>
      <w:r w:rsidR="00D02828">
        <w:rPr>
          <w:rFonts w:cs="Arial"/>
          <w:b/>
          <w:bCs/>
          <w:sz w:val="22"/>
          <w:szCs w:val="22"/>
          <w:lang w:val="pt-BR"/>
        </w:rPr>
        <w:t xml:space="preserve">utcome </w:t>
      </w:r>
      <w:r w:rsidR="00916DC3">
        <w:rPr>
          <w:rFonts w:cs="Arial"/>
          <w:b/>
          <w:bCs/>
          <w:sz w:val="22"/>
          <w:szCs w:val="22"/>
          <w:lang w:val="pt-BR"/>
        </w:rPr>
        <w:t xml:space="preserve">indicator </w:t>
      </w:r>
      <w:r w:rsidR="00D02828">
        <w:rPr>
          <w:rFonts w:cs="Arial"/>
          <w:b/>
          <w:bCs/>
          <w:sz w:val="22"/>
          <w:szCs w:val="22"/>
          <w:lang w:val="pt-BR"/>
        </w:rPr>
        <w:t>1</w:t>
      </w:r>
    </w:p>
    <w:p w14:paraId="0DBA114E" w14:textId="72695D89" w:rsidR="00D02828" w:rsidRPr="0064313C" w:rsidRDefault="00D02828" w:rsidP="00D93F68">
      <w:pPr>
        <w:pStyle w:val="ListParagraph"/>
        <w:numPr>
          <w:ilvl w:val="0"/>
          <w:numId w:val="3"/>
        </w:numPr>
        <w:spacing w:after="120"/>
        <w:contextualSpacing w:val="0"/>
        <w:jc w:val="both"/>
        <w:rPr>
          <w:rFonts w:ascii="Calibri" w:hAnsi="Calibri"/>
          <w:sz w:val="22"/>
          <w:szCs w:val="22"/>
          <w:lang w:val="en-US"/>
        </w:rPr>
      </w:pPr>
      <w:r w:rsidRPr="0064313C">
        <w:rPr>
          <w:b/>
          <w:bCs/>
          <w:sz w:val="22"/>
          <w:szCs w:val="22"/>
          <w:lang w:val="en-US"/>
        </w:rPr>
        <w:t>Colombia Renewable Energy</w:t>
      </w:r>
      <w:r>
        <w:rPr>
          <w:sz w:val="22"/>
          <w:szCs w:val="22"/>
          <w:lang w:val="en-US"/>
        </w:rPr>
        <w:t xml:space="preserve"> – SIP-LA support to Colombia’s Energy Sector Transformation Mission Roadmap led to </w:t>
      </w:r>
      <w:r>
        <w:rPr>
          <w:rFonts w:cs="Arial"/>
          <w:sz w:val="22"/>
          <w:szCs w:val="22"/>
        </w:rPr>
        <w:t>t</w:t>
      </w:r>
      <w:r w:rsidRPr="0064313C">
        <w:rPr>
          <w:rFonts w:cs="Arial"/>
          <w:sz w:val="22"/>
          <w:szCs w:val="22"/>
        </w:rPr>
        <w:t>hree low</w:t>
      </w:r>
      <w:r w:rsidR="00936846">
        <w:rPr>
          <w:rFonts w:cs="Arial"/>
          <w:sz w:val="22"/>
          <w:szCs w:val="22"/>
        </w:rPr>
        <w:t xml:space="preserve"> </w:t>
      </w:r>
      <w:r w:rsidRPr="0064313C">
        <w:rPr>
          <w:rFonts w:cs="Arial"/>
          <w:sz w:val="22"/>
          <w:szCs w:val="22"/>
        </w:rPr>
        <w:t xml:space="preserve">carbon policies </w:t>
      </w:r>
      <w:r>
        <w:rPr>
          <w:rFonts w:cs="Arial"/>
          <w:sz w:val="22"/>
          <w:szCs w:val="22"/>
        </w:rPr>
        <w:t xml:space="preserve">in the </w:t>
      </w:r>
      <w:r w:rsidRPr="0064313C">
        <w:rPr>
          <w:rFonts w:cs="Arial"/>
          <w:sz w:val="22"/>
          <w:szCs w:val="22"/>
        </w:rPr>
        <w:t xml:space="preserve">planning and procurement processes </w:t>
      </w:r>
      <w:r>
        <w:rPr>
          <w:rFonts w:cs="Arial"/>
          <w:sz w:val="22"/>
          <w:szCs w:val="22"/>
        </w:rPr>
        <w:t>of</w:t>
      </w:r>
      <w:r w:rsidRPr="00DA3008">
        <w:rPr>
          <w:rFonts w:cs="Arial"/>
          <w:sz w:val="22"/>
          <w:szCs w:val="22"/>
        </w:rPr>
        <w:t xml:space="preserve"> </w:t>
      </w:r>
      <w:r>
        <w:rPr>
          <w:rFonts w:cs="Arial"/>
          <w:sz w:val="22"/>
          <w:szCs w:val="22"/>
        </w:rPr>
        <w:t>renewable energy</w:t>
      </w:r>
      <w:r w:rsidRPr="0064313C">
        <w:rPr>
          <w:rFonts w:cs="Arial"/>
          <w:sz w:val="22"/>
          <w:szCs w:val="22"/>
        </w:rPr>
        <w:t xml:space="preserve"> infrastructure investments</w:t>
      </w:r>
      <w:r>
        <w:rPr>
          <w:rFonts w:cs="Arial"/>
          <w:sz w:val="22"/>
          <w:szCs w:val="22"/>
        </w:rPr>
        <w:t xml:space="preserve"> in</w:t>
      </w:r>
      <w:r w:rsidRPr="0064313C">
        <w:rPr>
          <w:rFonts w:cs="Arial"/>
          <w:sz w:val="22"/>
          <w:szCs w:val="22"/>
        </w:rPr>
        <w:t xml:space="preserve"> </w:t>
      </w:r>
      <w:r>
        <w:rPr>
          <w:rFonts w:cs="Arial"/>
          <w:sz w:val="22"/>
          <w:szCs w:val="22"/>
        </w:rPr>
        <w:t>Colombia’s Ministry of Mines and Energy (MME):</w:t>
      </w:r>
      <w:r w:rsidRPr="0064313C">
        <w:rPr>
          <w:rFonts w:cs="Arial"/>
          <w:sz w:val="22"/>
          <w:szCs w:val="22"/>
        </w:rPr>
        <w:t xml:space="preserve"> 1) </w:t>
      </w:r>
      <w:r>
        <w:rPr>
          <w:color w:val="000000" w:themeColor="text1"/>
          <w:sz w:val="22"/>
          <w:szCs w:val="22"/>
        </w:rPr>
        <w:t>the t</w:t>
      </w:r>
      <w:r w:rsidRPr="0064313C">
        <w:rPr>
          <w:color w:val="000000" w:themeColor="text1"/>
          <w:sz w:val="22"/>
          <w:szCs w:val="22"/>
        </w:rPr>
        <w:t xml:space="preserve">echnical update </w:t>
      </w:r>
      <w:r>
        <w:rPr>
          <w:color w:val="000000" w:themeColor="text1"/>
          <w:sz w:val="22"/>
          <w:szCs w:val="22"/>
        </w:rPr>
        <w:t xml:space="preserve">to the </w:t>
      </w:r>
      <w:r w:rsidRPr="0064313C">
        <w:rPr>
          <w:color w:val="000000" w:themeColor="text1"/>
          <w:sz w:val="22"/>
          <w:szCs w:val="22"/>
        </w:rPr>
        <w:t xml:space="preserve">regulation of electric assets; 2) </w:t>
      </w:r>
      <w:r>
        <w:rPr>
          <w:color w:val="000000" w:themeColor="text1"/>
          <w:sz w:val="22"/>
          <w:szCs w:val="22"/>
        </w:rPr>
        <w:t>the r</w:t>
      </w:r>
      <w:r w:rsidRPr="0064313C">
        <w:rPr>
          <w:color w:val="000000" w:themeColor="text1"/>
          <w:sz w:val="22"/>
          <w:szCs w:val="22"/>
        </w:rPr>
        <w:t xml:space="preserve">esolution </w:t>
      </w:r>
      <w:r>
        <w:rPr>
          <w:color w:val="000000" w:themeColor="text1"/>
          <w:sz w:val="22"/>
          <w:szCs w:val="22"/>
        </w:rPr>
        <w:t>of</w:t>
      </w:r>
      <w:r w:rsidRPr="0064313C">
        <w:rPr>
          <w:color w:val="000000" w:themeColor="text1"/>
          <w:sz w:val="22"/>
          <w:szCs w:val="22"/>
        </w:rPr>
        <w:t xml:space="preserve"> the allocation of connection points; 3</w:t>
      </w:r>
      <w:r>
        <w:rPr>
          <w:color w:val="000000" w:themeColor="text1"/>
          <w:sz w:val="22"/>
          <w:szCs w:val="22"/>
        </w:rPr>
        <w:t>)</w:t>
      </w:r>
      <w:r w:rsidRPr="0064313C">
        <w:rPr>
          <w:color w:val="000000" w:themeColor="text1"/>
          <w:sz w:val="22"/>
          <w:szCs w:val="22"/>
        </w:rPr>
        <w:t xml:space="preserve"> </w:t>
      </w:r>
      <w:r>
        <w:rPr>
          <w:color w:val="000000" w:themeColor="text1"/>
          <w:sz w:val="22"/>
          <w:szCs w:val="22"/>
        </w:rPr>
        <w:t>the improvement</w:t>
      </w:r>
      <w:r w:rsidRPr="0064313C">
        <w:rPr>
          <w:color w:val="000000" w:themeColor="text1"/>
          <w:sz w:val="22"/>
          <w:szCs w:val="22"/>
        </w:rPr>
        <w:t xml:space="preserve"> </w:t>
      </w:r>
      <w:r>
        <w:rPr>
          <w:color w:val="000000" w:themeColor="text1"/>
          <w:sz w:val="22"/>
          <w:szCs w:val="22"/>
        </w:rPr>
        <w:t xml:space="preserve">of </w:t>
      </w:r>
      <w:r w:rsidRPr="0064313C">
        <w:rPr>
          <w:color w:val="000000" w:themeColor="text1"/>
          <w:sz w:val="22"/>
          <w:szCs w:val="22"/>
        </w:rPr>
        <w:t>money collection</w:t>
      </w:r>
      <w:r>
        <w:rPr>
          <w:color w:val="000000" w:themeColor="text1"/>
          <w:sz w:val="22"/>
          <w:szCs w:val="22"/>
        </w:rPr>
        <w:t xml:space="preserve"> processes for</w:t>
      </w:r>
      <w:r w:rsidRPr="0064313C">
        <w:rPr>
          <w:color w:val="000000" w:themeColor="text1"/>
          <w:sz w:val="22"/>
          <w:szCs w:val="22"/>
        </w:rPr>
        <w:t xml:space="preserve"> off-grid systems.</w:t>
      </w:r>
    </w:p>
    <w:p w14:paraId="363687D2" w14:textId="4F365218" w:rsidR="00D02828" w:rsidRPr="00E71B80" w:rsidRDefault="00D02828" w:rsidP="00D93F68">
      <w:pPr>
        <w:pStyle w:val="ListParagraph"/>
        <w:numPr>
          <w:ilvl w:val="0"/>
          <w:numId w:val="3"/>
        </w:numPr>
        <w:spacing w:after="120"/>
        <w:contextualSpacing w:val="0"/>
        <w:jc w:val="both"/>
        <w:rPr>
          <w:rFonts w:ascii="Calibri" w:hAnsi="Calibri"/>
          <w:sz w:val="22"/>
          <w:szCs w:val="22"/>
          <w:lang w:val="en-US"/>
        </w:rPr>
      </w:pPr>
      <w:r w:rsidRPr="00E71B80">
        <w:rPr>
          <w:rFonts w:cs="Arial"/>
          <w:b/>
          <w:bCs/>
          <w:sz w:val="22"/>
          <w:szCs w:val="22"/>
        </w:rPr>
        <w:t xml:space="preserve">Colombia Electromobility </w:t>
      </w:r>
      <w:r w:rsidRPr="00E71B80">
        <w:rPr>
          <w:rFonts w:cs="Arial"/>
          <w:sz w:val="22"/>
          <w:szCs w:val="22"/>
        </w:rPr>
        <w:t xml:space="preserve">– SIP-LA </w:t>
      </w:r>
      <w:r>
        <w:rPr>
          <w:rFonts w:cs="Arial"/>
          <w:sz w:val="22"/>
          <w:szCs w:val="22"/>
        </w:rPr>
        <w:t>support to the Government of Colombia</w:t>
      </w:r>
      <w:r w:rsidRPr="00E71B80">
        <w:rPr>
          <w:rFonts w:cs="Arial"/>
          <w:sz w:val="22"/>
          <w:szCs w:val="22"/>
        </w:rPr>
        <w:t xml:space="preserve"> led to led to the adoption of </w:t>
      </w:r>
      <w:r w:rsidRPr="00E71B80">
        <w:rPr>
          <w:rFonts w:eastAsiaTheme="minorHAnsi" w:cs="Arial"/>
          <w:sz w:val="22"/>
          <w:szCs w:val="22"/>
        </w:rPr>
        <w:t>one</w:t>
      </w:r>
      <w:r w:rsidRPr="00E71B80">
        <w:rPr>
          <w:rFonts w:eastAsiaTheme="minorHAnsi" w:cs="Arial"/>
          <w:b/>
          <w:bCs/>
          <w:sz w:val="22"/>
          <w:szCs w:val="22"/>
        </w:rPr>
        <w:t xml:space="preserve"> </w:t>
      </w:r>
      <w:r w:rsidRPr="00E71B80">
        <w:rPr>
          <w:rFonts w:eastAsiaTheme="minorHAnsi" w:cs="Arial"/>
          <w:sz w:val="22"/>
          <w:szCs w:val="22"/>
        </w:rPr>
        <w:t>low</w:t>
      </w:r>
      <w:r w:rsidR="00936846">
        <w:rPr>
          <w:rFonts w:eastAsiaTheme="minorHAnsi" w:cs="Arial"/>
          <w:sz w:val="22"/>
          <w:szCs w:val="22"/>
        </w:rPr>
        <w:t xml:space="preserve"> </w:t>
      </w:r>
      <w:r w:rsidRPr="00E71B80">
        <w:rPr>
          <w:rFonts w:eastAsiaTheme="minorHAnsi" w:cs="Arial"/>
          <w:sz w:val="22"/>
          <w:szCs w:val="22"/>
        </w:rPr>
        <w:t xml:space="preserve">carbon policy </w:t>
      </w:r>
      <w:r w:rsidRPr="00E71B80">
        <w:rPr>
          <w:rFonts w:cstheme="minorHAnsi"/>
          <w:sz w:val="22"/>
          <w:szCs w:val="22"/>
          <w:lang w:val="en-US"/>
        </w:rPr>
        <w:t>Colombia adopted in 2019 the Electric Mobility Law (Law 1964 of 2019) which sets ambitious goals for the incorporation of electric vehicles in the country</w:t>
      </w:r>
      <w:r w:rsidRPr="00E71B80">
        <w:rPr>
          <w:rFonts w:eastAsiaTheme="minorHAnsi" w:cs="Arial"/>
          <w:sz w:val="22"/>
          <w:szCs w:val="22"/>
        </w:rPr>
        <w:t>.</w:t>
      </w:r>
      <w:r w:rsidRPr="00E71B80">
        <w:rPr>
          <w:rStyle w:val="FootnoteReference"/>
          <w:rFonts w:eastAsiaTheme="minorHAnsi" w:cs="Arial"/>
          <w:sz w:val="22"/>
          <w:szCs w:val="22"/>
        </w:rPr>
        <w:footnoteReference w:id="18"/>
      </w:r>
      <w:r w:rsidRPr="00E71B80">
        <w:rPr>
          <w:rFonts w:eastAsiaTheme="minorHAnsi" w:cs="Arial"/>
          <w:sz w:val="22"/>
          <w:szCs w:val="22"/>
        </w:rPr>
        <w:t xml:space="preserve">  </w:t>
      </w:r>
    </w:p>
    <w:p w14:paraId="65055CC0" w14:textId="489AF7D2" w:rsidR="00D02828" w:rsidRPr="00592163" w:rsidRDefault="00D02828" w:rsidP="00D93F68">
      <w:pPr>
        <w:pStyle w:val="ListParagraph"/>
        <w:numPr>
          <w:ilvl w:val="0"/>
          <w:numId w:val="3"/>
        </w:numPr>
        <w:spacing w:after="120"/>
        <w:contextualSpacing w:val="0"/>
        <w:jc w:val="both"/>
        <w:rPr>
          <w:rFonts w:ascii="Calibri" w:eastAsiaTheme="minorHAnsi" w:hAnsi="Calibri"/>
          <w:sz w:val="22"/>
          <w:szCs w:val="22"/>
          <w:lang w:val="en-US"/>
        </w:rPr>
      </w:pPr>
      <w:r w:rsidRPr="00592163">
        <w:rPr>
          <w:rFonts w:eastAsiaTheme="minorHAnsi" w:cs="Arial"/>
          <w:b/>
          <w:color w:val="000000" w:themeColor="text1"/>
          <w:sz w:val="22"/>
          <w:szCs w:val="22"/>
        </w:rPr>
        <w:t>Mexico Sustainable transport</w:t>
      </w:r>
      <w:r w:rsidRPr="00592163">
        <w:rPr>
          <w:rFonts w:eastAsiaTheme="minorHAnsi" w:cs="Arial"/>
          <w:color w:val="000000" w:themeColor="text1"/>
          <w:sz w:val="22"/>
          <w:szCs w:val="22"/>
        </w:rPr>
        <w:t xml:space="preserve"> – SIP</w:t>
      </w:r>
      <w:r>
        <w:rPr>
          <w:rFonts w:eastAsiaTheme="minorHAnsi" w:cs="Arial"/>
          <w:color w:val="000000" w:themeColor="text1"/>
          <w:sz w:val="22"/>
          <w:szCs w:val="22"/>
        </w:rPr>
        <w:t>-LA</w:t>
      </w:r>
      <w:r w:rsidRPr="00592163">
        <w:rPr>
          <w:rFonts w:eastAsiaTheme="minorHAnsi" w:cs="Arial"/>
          <w:color w:val="000000" w:themeColor="text1"/>
          <w:sz w:val="22"/>
          <w:szCs w:val="22"/>
        </w:rPr>
        <w:t xml:space="preserve"> </w:t>
      </w:r>
      <w:r>
        <w:rPr>
          <w:rFonts w:eastAsiaTheme="minorHAnsi" w:cs="Arial"/>
          <w:color w:val="000000" w:themeColor="text1"/>
          <w:sz w:val="22"/>
          <w:szCs w:val="22"/>
        </w:rPr>
        <w:t>support to Mexico City</w:t>
      </w:r>
      <w:r w:rsidRPr="00592163">
        <w:rPr>
          <w:rFonts w:eastAsiaTheme="minorHAnsi" w:cs="Arial"/>
          <w:color w:val="000000" w:themeColor="text1"/>
          <w:sz w:val="22"/>
          <w:szCs w:val="22"/>
        </w:rPr>
        <w:t xml:space="preserve"> led to three regulatory changes </w:t>
      </w:r>
      <w:r>
        <w:rPr>
          <w:rFonts w:eastAsiaTheme="minorHAnsi" w:cs="Arial"/>
          <w:color w:val="000000" w:themeColor="text1"/>
          <w:sz w:val="22"/>
          <w:szCs w:val="22"/>
        </w:rPr>
        <w:t>to</w:t>
      </w:r>
      <w:r w:rsidRPr="00592163">
        <w:rPr>
          <w:rFonts w:eastAsiaTheme="minorHAnsi" w:cs="Arial"/>
          <w:color w:val="000000" w:themeColor="text1"/>
          <w:sz w:val="22"/>
          <w:szCs w:val="22"/>
        </w:rPr>
        <w:t xml:space="preserve"> sustainable mass transit </w:t>
      </w:r>
      <w:r>
        <w:rPr>
          <w:rFonts w:eastAsiaTheme="minorHAnsi" w:cs="Arial"/>
          <w:color w:val="000000" w:themeColor="text1"/>
          <w:sz w:val="22"/>
          <w:szCs w:val="22"/>
        </w:rPr>
        <w:t xml:space="preserve">policies </w:t>
      </w:r>
      <w:r w:rsidRPr="00592163">
        <w:rPr>
          <w:rFonts w:eastAsiaTheme="minorHAnsi" w:cs="Arial"/>
          <w:color w:val="000000" w:themeColor="text1"/>
          <w:sz w:val="22"/>
          <w:szCs w:val="22"/>
        </w:rPr>
        <w:t>in Mexico City</w:t>
      </w:r>
      <w:r>
        <w:rPr>
          <w:rFonts w:eastAsiaTheme="minorHAnsi" w:cs="Arial"/>
          <w:color w:val="000000" w:themeColor="text1"/>
          <w:sz w:val="22"/>
          <w:szCs w:val="22"/>
        </w:rPr>
        <w:t>, which included</w:t>
      </w:r>
      <w:r w:rsidRPr="00592163">
        <w:rPr>
          <w:rFonts w:eastAsiaTheme="minorHAnsi" w:cs="Arial"/>
          <w:color w:val="000000" w:themeColor="text1"/>
          <w:sz w:val="22"/>
          <w:szCs w:val="22"/>
        </w:rPr>
        <w:t xml:space="preserve">: 1) </w:t>
      </w:r>
      <w:r>
        <w:rPr>
          <w:rFonts w:cs="Arial"/>
          <w:color w:val="000000" w:themeColor="text1"/>
          <w:sz w:val="22"/>
          <w:szCs w:val="22"/>
        </w:rPr>
        <w:t>the R</w:t>
      </w:r>
      <w:r w:rsidRPr="00592163">
        <w:rPr>
          <w:rFonts w:cs="Arial"/>
          <w:color w:val="000000" w:themeColor="text1"/>
          <w:sz w:val="22"/>
          <w:szCs w:val="22"/>
        </w:rPr>
        <w:t>oad Safety Program,</w:t>
      </w:r>
      <w:r w:rsidRPr="00592163">
        <w:rPr>
          <w:rStyle w:val="FootnoteReference"/>
          <w:rFonts w:cs="Arial"/>
          <w:color w:val="000000" w:themeColor="text1"/>
          <w:sz w:val="22"/>
          <w:szCs w:val="22"/>
        </w:rPr>
        <w:footnoteReference w:id="19"/>
      </w:r>
      <w:r w:rsidRPr="00592163">
        <w:rPr>
          <w:rFonts w:cs="Arial"/>
          <w:color w:val="000000" w:themeColor="text1"/>
          <w:sz w:val="22"/>
          <w:szCs w:val="22"/>
        </w:rPr>
        <w:t xml:space="preserve"> 2) the Metrobus ticketing system Policy in the City of Mexico, and 3) best practices </w:t>
      </w:r>
      <w:r>
        <w:rPr>
          <w:rFonts w:cs="Arial"/>
          <w:color w:val="000000" w:themeColor="text1"/>
          <w:sz w:val="22"/>
          <w:szCs w:val="22"/>
        </w:rPr>
        <w:t>for</w:t>
      </w:r>
      <w:r w:rsidRPr="00592163">
        <w:rPr>
          <w:rFonts w:cs="Arial"/>
          <w:color w:val="000000" w:themeColor="text1"/>
          <w:sz w:val="22"/>
          <w:szCs w:val="22"/>
        </w:rPr>
        <w:t xml:space="preserve"> sustainable micro</w:t>
      </w:r>
      <w:r>
        <w:rPr>
          <w:rFonts w:cs="Arial"/>
          <w:color w:val="000000" w:themeColor="text1"/>
          <w:sz w:val="22"/>
          <w:szCs w:val="22"/>
        </w:rPr>
        <w:t>-</w:t>
      </w:r>
      <w:r w:rsidRPr="00592163">
        <w:rPr>
          <w:rFonts w:cs="Arial"/>
          <w:color w:val="000000" w:themeColor="text1"/>
          <w:sz w:val="22"/>
          <w:szCs w:val="22"/>
        </w:rPr>
        <w:t>mobility.</w:t>
      </w:r>
    </w:p>
    <w:p w14:paraId="19C42D4F" w14:textId="77777777" w:rsidR="00D02828" w:rsidRPr="00050896" w:rsidRDefault="00D02828" w:rsidP="00D93F68">
      <w:pPr>
        <w:pStyle w:val="ListParagraph"/>
        <w:keepNext/>
        <w:numPr>
          <w:ilvl w:val="0"/>
          <w:numId w:val="3"/>
        </w:numPr>
        <w:autoSpaceDE w:val="0"/>
        <w:autoSpaceDN w:val="0"/>
        <w:adjustRightInd w:val="0"/>
        <w:spacing w:before="120" w:after="120"/>
        <w:ind w:left="714" w:hanging="357"/>
        <w:contextualSpacing w:val="0"/>
        <w:jc w:val="both"/>
        <w:rPr>
          <w:rFonts w:cs="Arial"/>
          <w:sz w:val="22"/>
          <w:szCs w:val="22"/>
          <w:lang w:val="en"/>
        </w:rPr>
      </w:pPr>
      <w:r w:rsidRPr="00050896">
        <w:rPr>
          <w:rFonts w:eastAsiaTheme="minorHAnsi" w:cs="Arial"/>
          <w:b/>
          <w:bCs/>
          <w:sz w:val="22"/>
          <w:szCs w:val="22"/>
        </w:rPr>
        <w:lastRenderedPageBreak/>
        <w:t xml:space="preserve">Waste Management </w:t>
      </w:r>
      <w:r w:rsidRPr="00050896">
        <w:rPr>
          <w:b/>
          <w:bCs/>
          <w:sz w:val="22"/>
          <w:szCs w:val="22"/>
        </w:rPr>
        <w:t xml:space="preserve">in </w:t>
      </w:r>
      <w:r w:rsidRPr="00050896">
        <w:rPr>
          <w:rFonts w:eastAsiaTheme="minorHAnsi" w:cs="Arial"/>
          <w:b/>
          <w:bCs/>
          <w:sz w:val="22"/>
          <w:szCs w:val="22"/>
        </w:rPr>
        <w:t xml:space="preserve">Mexico </w:t>
      </w:r>
      <w:r w:rsidRPr="00050896">
        <w:rPr>
          <w:rFonts w:eastAsiaTheme="minorHAnsi" w:cs="Arial"/>
          <w:sz w:val="22"/>
          <w:szCs w:val="22"/>
        </w:rPr>
        <w:t>–</w:t>
      </w:r>
      <w:r w:rsidRPr="00050896">
        <w:rPr>
          <w:rFonts w:cs="Arial"/>
          <w:sz w:val="22"/>
          <w:szCs w:val="22"/>
        </w:rPr>
        <w:t xml:space="preserve"> SIP-LA </w:t>
      </w:r>
      <w:r>
        <w:rPr>
          <w:rFonts w:cs="Arial"/>
          <w:sz w:val="22"/>
          <w:szCs w:val="22"/>
        </w:rPr>
        <w:t xml:space="preserve">support to the city of </w:t>
      </w:r>
      <w:r w:rsidRPr="00050896">
        <w:rPr>
          <w:rFonts w:eastAsiaTheme="minorHAnsi" w:cs="Arial"/>
          <w:sz w:val="22"/>
          <w:szCs w:val="22"/>
        </w:rPr>
        <w:t>Mérida</w:t>
      </w:r>
      <w:r>
        <w:rPr>
          <w:rFonts w:cs="Arial"/>
          <w:sz w:val="22"/>
          <w:szCs w:val="22"/>
        </w:rPr>
        <w:t xml:space="preserve"> </w:t>
      </w:r>
      <w:r w:rsidRPr="00050896">
        <w:rPr>
          <w:rFonts w:cs="Arial"/>
          <w:sz w:val="22"/>
          <w:szCs w:val="22"/>
        </w:rPr>
        <w:t xml:space="preserve">led to the adoption of one new regulation relating to the inclusion of an advisory council on solid waste management in the municipal regulations of </w:t>
      </w:r>
      <w:r w:rsidRPr="00050896">
        <w:rPr>
          <w:rFonts w:eastAsiaTheme="minorHAnsi" w:cs="Arial"/>
          <w:sz w:val="22"/>
          <w:szCs w:val="22"/>
        </w:rPr>
        <w:t>Mérida</w:t>
      </w:r>
      <w:r w:rsidRPr="00050896">
        <w:rPr>
          <w:rFonts w:eastAsiaTheme="minorHAnsi" w:cs="Arial"/>
          <w:color w:val="000000" w:themeColor="text1"/>
          <w:sz w:val="22"/>
          <w:szCs w:val="22"/>
        </w:rPr>
        <w:t>.</w:t>
      </w:r>
    </w:p>
    <w:p w14:paraId="5EE5E1B0" w14:textId="7CB16A51" w:rsidR="00687D24" w:rsidRDefault="00D02828" w:rsidP="00513E41">
      <w:pPr>
        <w:keepNext/>
        <w:spacing w:after="120"/>
        <w:rPr>
          <w:b/>
          <w:bCs/>
          <w:sz w:val="22"/>
          <w:szCs w:val="22"/>
        </w:rPr>
      </w:pPr>
      <w:r>
        <w:rPr>
          <w:rFonts w:cs="Arial"/>
          <w:b/>
          <w:bCs/>
          <w:sz w:val="22"/>
          <w:szCs w:val="22"/>
          <w:lang w:val="pt-BR"/>
        </w:rPr>
        <w:t>Annex C</w:t>
      </w:r>
      <w:r w:rsidR="004176DD" w:rsidRPr="00513E41">
        <w:rPr>
          <w:rFonts w:cs="Arial"/>
          <w:b/>
          <w:bCs/>
          <w:sz w:val="22"/>
          <w:szCs w:val="22"/>
          <w:lang w:val="pt-BR"/>
        </w:rPr>
        <w:t xml:space="preserve"> – SIP-LA events </w:t>
      </w:r>
      <w:r w:rsidR="00935C9A" w:rsidRPr="00513E41">
        <w:rPr>
          <w:rFonts w:cs="Arial"/>
          <w:b/>
          <w:bCs/>
          <w:sz w:val="22"/>
          <w:szCs w:val="22"/>
          <w:lang w:val="pt-BR"/>
        </w:rPr>
        <w:t>delivered in 2020</w:t>
      </w:r>
    </w:p>
    <w:tbl>
      <w:tblPr>
        <w:tblStyle w:val="TableGrid"/>
        <w:tblW w:w="5000" w:type="pct"/>
        <w:tblLook w:val="04A0" w:firstRow="1" w:lastRow="0" w:firstColumn="1" w:lastColumn="0" w:noHBand="0" w:noVBand="1"/>
      </w:tblPr>
      <w:tblGrid>
        <w:gridCol w:w="8075"/>
        <w:gridCol w:w="941"/>
      </w:tblGrid>
      <w:tr w:rsidR="006A44EC" w:rsidRPr="00F94D51" w14:paraId="02F33BF0" w14:textId="77777777" w:rsidTr="00844E81">
        <w:tc>
          <w:tcPr>
            <w:tcW w:w="4478" w:type="pct"/>
            <w:shd w:val="clear" w:color="auto" w:fill="D9E2F3" w:themeFill="accent1" w:themeFillTint="33"/>
          </w:tcPr>
          <w:p w14:paraId="64825705" w14:textId="68913C14" w:rsidR="006A44EC" w:rsidRPr="00EF414A" w:rsidRDefault="00935C9A" w:rsidP="00844E81">
            <w:pPr>
              <w:keepNext/>
              <w:spacing w:after="120"/>
              <w:rPr>
                <w:rFonts w:cs="Arial"/>
                <w:b/>
                <w:sz w:val="20"/>
                <w:szCs w:val="20"/>
              </w:rPr>
            </w:pPr>
            <w:r>
              <w:rPr>
                <w:rFonts w:cs="Arial"/>
                <w:b/>
                <w:sz w:val="20"/>
                <w:szCs w:val="20"/>
              </w:rPr>
              <w:t>SIP-LA e</w:t>
            </w:r>
            <w:r w:rsidR="006A44EC" w:rsidRPr="00EF414A">
              <w:rPr>
                <w:rFonts w:cs="Arial"/>
                <w:b/>
                <w:sz w:val="20"/>
                <w:szCs w:val="20"/>
              </w:rPr>
              <w:t>vent</w:t>
            </w:r>
            <w:r>
              <w:rPr>
                <w:rFonts w:cs="Arial"/>
                <w:b/>
                <w:sz w:val="20"/>
                <w:szCs w:val="20"/>
              </w:rPr>
              <w:t>s delivered in 2020</w:t>
            </w:r>
          </w:p>
        </w:tc>
        <w:tc>
          <w:tcPr>
            <w:tcW w:w="522" w:type="pct"/>
            <w:shd w:val="clear" w:color="auto" w:fill="D9E2F3" w:themeFill="accent1" w:themeFillTint="33"/>
          </w:tcPr>
          <w:p w14:paraId="77513F38" w14:textId="77777777" w:rsidR="006A44EC" w:rsidRPr="00EF414A" w:rsidRDefault="006A44EC" w:rsidP="00844E81">
            <w:pPr>
              <w:spacing w:after="120"/>
              <w:rPr>
                <w:rFonts w:cs="Arial"/>
                <w:b/>
                <w:sz w:val="20"/>
                <w:szCs w:val="20"/>
              </w:rPr>
            </w:pPr>
            <w:r w:rsidRPr="00EF414A">
              <w:rPr>
                <w:rFonts w:cs="Arial"/>
                <w:b/>
                <w:sz w:val="20"/>
                <w:szCs w:val="20"/>
              </w:rPr>
              <w:t>N</w:t>
            </w:r>
            <w:r>
              <w:rPr>
                <w:rFonts w:cs="Arial"/>
                <w:b/>
                <w:sz w:val="20"/>
                <w:szCs w:val="20"/>
              </w:rPr>
              <w:t>o. of events</w:t>
            </w:r>
          </w:p>
        </w:tc>
      </w:tr>
      <w:tr w:rsidR="006A44EC" w:rsidRPr="00F94D51" w14:paraId="7E0288E8" w14:textId="77777777" w:rsidTr="00844E81">
        <w:tc>
          <w:tcPr>
            <w:tcW w:w="4478" w:type="pct"/>
          </w:tcPr>
          <w:p w14:paraId="484F0B94" w14:textId="266FA3C4" w:rsidR="006A44EC" w:rsidRPr="00EF414A" w:rsidRDefault="000E37EE" w:rsidP="00844E81">
            <w:pPr>
              <w:spacing w:after="120"/>
              <w:jc w:val="both"/>
              <w:rPr>
                <w:rFonts w:eastAsiaTheme="minorHAnsi" w:cs="Arial"/>
                <w:bCs/>
                <w:color w:val="000000"/>
                <w:sz w:val="20"/>
                <w:szCs w:val="20"/>
              </w:rPr>
            </w:pPr>
            <w:r>
              <w:rPr>
                <w:rFonts w:eastAsiaTheme="minorHAnsi" w:cs="Arial"/>
                <w:bCs/>
                <w:color w:val="000000"/>
                <w:sz w:val="20"/>
                <w:szCs w:val="20"/>
              </w:rPr>
              <w:t>A w</w:t>
            </w:r>
            <w:r w:rsidR="006A44EC" w:rsidRPr="00EF414A">
              <w:rPr>
                <w:rFonts w:eastAsiaTheme="minorHAnsi" w:cs="Arial"/>
                <w:bCs/>
                <w:color w:val="000000"/>
                <w:sz w:val="20"/>
                <w:szCs w:val="20"/>
              </w:rPr>
              <w:t>orkshop for financing the acquisition of the fleet for a new BRT line in Mexico City</w:t>
            </w:r>
          </w:p>
        </w:tc>
        <w:tc>
          <w:tcPr>
            <w:tcW w:w="522" w:type="pct"/>
          </w:tcPr>
          <w:p w14:paraId="1B7BF8BF" w14:textId="77777777" w:rsidR="006A44EC" w:rsidRPr="00EF414A" w:rsidRDefault="006A44EC" w:rsidP="00844E81">
            <w:pPr>
              <w:autoSpaceDE w:val="0"/>
              <w:autoSpaceDN w:val="0"/>
              <w:adjustRightInd w:val="0"/>
              <w:spacing w:after="120"/>
              <w:rPr>
                <w:rFonts w:eastAsiaTheme="minorHAnsi" w:cs="Arial"/>
                <w:bCs/>
                <w:color w:val="000000"/>
                <w:sz w:val="20"/>
                <w:szCs w:val="20"/>
              </w:rPr>
            </w:pPr>
            <w:r w:rsidRPr="00EF414A">
              <w:rPr>
                <w:rFonts w:eastAsiaTheme="minorHAnsi" w:cs="Arial"/>
                <w:bCs/>
                <w:color w:val="000000"/>
                <w:sz w:val="20"/>
                <w:szCs w:val="20"/>
              </w:rPr>
              <w:t>1</w:t>
            </w:r>
          </w:p>
        </w:tc>
      </w:tr>
      <w:tr w:rsidR="006A44EC" w:rsidRPr="00F94D51" w14:paraId="4A697B19" w14:textId="77777777" w:rsidTr="00844E81">
        <w:tc>
          <w:tcPr>
            <w:tcW w:w="4478" w:type="pct"/>
          </w:tcPr>
          <w:p w14:paraId="424B1E19" w14:textId="0E5B03E5" w:rsidR="006A44EC" w:rsidRPr="00EF414A" w:rsidRDefault="000E37EE" w:rsidP="00844E81">
            <w:pPr>
              <w:spacing w:after="120"/>
              <w:jc w:val="both"/>
              <w:rPr>
                <w:rFonts w:eastAsiaTheme="minorHAnsi" w:cs="Arial"/>
                <w:bCs/>
                <w:color w:val="000000"/>
                <w:sz w:val="20"/>
                <w:szCs w:val="20"/>
              </w:rPr>
            </w:pPr>
            <w:r>
              <w:rPr>
                <w:rFonts w:eastAsiaTheme="minorHAnsi" w:cs="Arial"/>
                <w:bCs/>
                <w:color w:val="000000"/>
                <w:sz w:val="20"/>
                <w:szCs w:val="20"/>
              </w:rPr>
              <w:t>A w</w:t>
            </w:r>
            <w:r w:rsidR="006A44EC" w:rsidRPr="00EF414A">
              <w:rPr>
                <w:rFonts w:eastAsiaTheme="minorHAnsi" w:cs="Arial"/>
                <w:bCs/>
                <w:color w:val="000000"/>
                <w:sz w:val="20"/>
                <w:szCs w:val="20"/>
              </w:rPr>
              <w:t>orkshop to review the best practices for the regulation of micro mobility services, with the participation of the companies that provide the services in Mexico City</w:t>
            </w:r>
          </w:p>
        </w:tc>
        <w:tc>
          <w:tcPr>
            <w:tcW w:w="522" w:type="pct"/>
          </w:tcPr>
          <w:p w14:paraId="56CE7BA0" w14:textId="77777777" w:rsidR="006A44EC" w:rsidRPr="00EF414A" w:rsidRDefault="006A44EC" w:rsidP="00844E81">
            <w:pPr>
              <w:autoSpaceDE w:val="0"/>
              <w:autoSpaceDN w:val="0"/>
              <w:adjustRightInd w:val="0"/>
              <w:spacing w:after="120"/>
              <w:rPr>
                <w:rFonts w:eastAsiaTheme="minorHAnsi" w:cs="Arial"/>
                <w:bCs/>
                <w:color w:val="000000"/>
                <w:sz w:val="20"/>
                <w:szCs w:val="20"/>
              </w:rPr>
            </w:pPr>
            <w:r w:rsidRPr="00EF414A">
              <w:rPr>
                <w:rFonts w:eastAsiaTheme="minorHAnsi" w:cs="Arial"/>
                <w:bCs/>
                <w:color w:val="000000"/>
                <w:sz w:val="20"/>
                <w:szCs w:val="20"/>
              </w:rPr>
              <w:t>1</w:t>
            </w:r>
          </w:p>
        </w:tc>
      </w:tr>
      <w:tr w:rsidR="006A44EC" w:rsidRPr="00F94D51" w14:paraId="63D5DD22" w14:textId="77777777" w:rsidTr="00844E81">
        <w:tc>
          <w:tcPr>
            <w:tcW w:w="4478" w:type="pct"/>
          </w:tcPr>
          <w:p w14:paraId="4BA43CFB" w14:textId="1FCF963F" w:rsidR="006A44EC" w:rsidRPr="00EF414A" w:rsidRDefault="006A44EC" w:rsidP="00844E81">
            <w:pPr>
              <w:spacing w:after="120"/>
              <w:jc w:val="both"/>
              <w:rPr>
                <w:rFonts w:eastAsiaTheme="minorHAnsi" w:cs="Arial"/>
                <w:bCs/>
                <w:color w:val="000000"/>
                <w:sz w:val="20"/>
                <w:szCs w:val="20"/>
              </w:rPr>
            </w:pPr>
            <w:r>
              <w:rPr>
                <w:rFonts w:eastAsiaTheme="minorHAnsi" w:cs="Arial"/>
                <w:bCs/>
                <w:color w:val="000000"/>
                <w:sz w:val="20"/>
                <w:szCs w:val="20"/>
              </w:rPr>
              <w:t>A</w:t>
            </w:r>
            <w:r w:rsidR="00686BD2">
              <w:rPr>
                <w:rFonts w:eastAsiaTheme="minorHAnsi" w:cs="Arial"/>
                <w:bCs/>
                <w:color w:val="000000"/>
                <w:sz w:val="20"/>
                <w:szCs w:val="20"/>
              </w:rPr>
              <w:t xml:space="preserve"> </w:t>
            </w:r>
            <w:r w:rsidRPr="00EF414A">
              <w:rPr>
                <w:rFonts w:eastAsiaTheme="minorHAnsi" w:cs="Arial"/>
                <w:bCs/>
                <w:color w:val="000000"/>
                <w:sz w:val="20"/>
                <w:szCs w:val="20"/>
              </w:rPr>
              <w:t>webinar</w:t>
            </w:r>
            <w:r>
              <w:rPr>
                <w:rFonts w:eastAsiaTheme="minorHAnsi" w:cs="Arial"/>
                <w:bCs/>
                <w:color w:val="000000"/>
                <w:sz w:val="20"/>
                <w:szCs w:val="20"/>
              </w:rPr>
              <w:t xml:space="preserve"> (presented twice)</w:t>
            </w:r>
            <w:r w:rsidRPr="00EF414A">
              <w:rPr>
                <w:rFonts w:eastAsiaTheme="minorHAnsi" w:cs="Arial"/>
                <w:bCs/>
                <w:color w:val="000000"/>
                <w:sz w:val="20"/>
                <w:szCs w:val="20"/>
              </w:rPr>
              <w:t xml:space="preserve"> to present the methodologies used on the platform, which aim to develop more resilient projects </w:t>
            </w:r>
            <w:r>
              <w:rPr>
                <w:rFonts w:eastAsiaTheme="minorHAnsi" w:cs="Arial"/>
                <w:bCs/>
                <w:color w:val="000000"/>
                <w:sz w:val="20"/>
                <w:szCs w:val="20"/>
              </w:rPr>
              <w:t>(Brazil)</w:t>
            </w:r>
          </w:p>
        </w:tc>
        <w:tc>
          <w:tcPr>
            <w:tcW w:w="522" w:type="pct"/>
          </w:tcPr>
          <w:p w14:paraId="76C44D49" w14:textId="442C8846" w:rsidR="006A44EC" w:rsidRPr="00EF414A" w:rsidRDefault="000E37EE" w:rsidP="00844E81">
            <w:pPr>
              <w:autoSpaceDE w:val="0"/>
              <w:autoSpaceDN w:val="0"/>
              <w:adjustRightInd w:val="0"/>
              <w:spacing w:after="120"/>
              <w:rPr>
                <w:rFonts w:eastAsiaTheme="minorHAnsi" w:cs="Arial"/>
                <w:bCs/>
                <w:color w:val="000000"/>
                <w:sz w:val="20"/>
                <w:szCs w:val="20"/>
              </w:rPr>
            </w:pPr>
            <w:r>
              <w:rPr>
                <w:rFonts w:eastAsiaTheme="minorHAnsi" w:cs="Arial"/>
                <w:bCs/>
                <w:color w:val="000000"/>
                <w:sz w:val="20"/>
                <w:szCs w:val="20"/>
              </w:rPr>
              <w:t>2</w:t>
            </w:r>
          </w:p>
        </w:tc>
      </w:tr>
      <w:tr w:rsidR="006A44EC" w:rsidRPr="00F94D51" w14:paraId="7BA01C09" w14:textId="77777777" w:rsidTr="00844E81">
        <w:tc>
          <w:tcPr>
            <w:tcW w:w="4478" w:type="pct"/>
          </w:tcPr>
          <w:p w14:paraId="1E9145AF" w14:textId="77777777" w:rsidR="006A44EC" w:rsidRPr="00EF414A" w:rsidRDefault="006A44EC" w:rsidP="00844E81">
            <w:pPr>
              <w:spacing w:after="120"/>
              <w:jc w:val="both"/>
              <w:rPr>
                <w:rFonts w:eastAsiaTheme="minorHAnsi" w:cs="Arial"/>
                <w:bCs/>
                <w:color w:val="000000"/>
                <w:sz w:val="20"/>
                <w:szCs w:val="20"/>
              </w:rPr>
            </w:pPr>
            <w:r w:rsidRPr="00EF414A">
              <w:rPr>
                <w:rFonts w:eastAsiaTheme="minorHAnsi" w:cs="Arial"/>
                <w:bCs/>
                <w:color w:val="000000"/>
                <w:sz w:val="20"/>
                <w:szCs w:val="20"/>
              </w:rPr>
              <w:t xml:space="preserve">A webinar on intelligent systems to management of sustainable infrastructure projects </w:t>
            </w:r>
            <w:r>
              <w:rPr>
                <w:rFonts w:eastAsiaTheme="minorHAnsi" w:cs="Arial"/>
                <w:bCs/>
                <w:color w:val="000000"/>
                <w:sz w:val="20"/>
                <w:szCs w:val="20"/>
              </w:rPr>
              <w:t>(Brazil)</w:t>
            </w:r>
          </w:p>
        </w:tc>
        <w:tc>
          <w:tcPr>
            <w:tcW w:w="522" w:type="pct"/>
          </w:tcPr>
          <w:p w14:paraId="462B065E" w14:textId="77777777" w:rsidR="006A44EC" w:rsidRPr="00EF414A" w:rsidRDefault="006A44EC" w:rsidP="00844E81">
            <w:pPr>
              <w:autoSpaceDE w:val="0"/>
              <w:autoSpaceDN w:val="0"/>
              <w:adjustRightInd w:val="0"/>
              <w:spacing w:after="120"/>
              <w:rPr>
                <w:rFonts w:eastAsiaTheme="minorHAnsi" w:cs="Arial"/>
                <w:bCs/>
                <w:color w:val="000000"/>
                <w:sz w:val="20"/>
                <w:szCs w:val="20"/>
              </w:rPr>
            </w:pPr>
            <w:r w:rsidRPr="00EF414A">
              <w:rPr>
                <w:rFonts w:eastAsiaTheme="minorHAnsi" w:cs="Arial"/>
                <w:bCs/>
                <w:color w:val="000000"/>
                <w:sz w:val="20"/>
                <w:szCs w:val="20"/>
              </w:rPr>
              <w:t>1</w:t>
            </w:r>
          </w:p>
        </w:tc>
      </w:tr>
      <w:tr w:rsidR="006A44EC" w:rsidRPr="00F94D51" w14:paraId="15825446" w14:textId="77777777" w:rsidTr="00844E81">
        <w:tc>
          <w:tcPr>
            <w:tcW w:w="4478" w:type="pct"/>
          </w:tcPr>
          <w:p w14:paraId="486087F2" w14:textId="77777777" w:rsidR="006A44EC" w:rsidRPr="00EF414A" w:rsidRDefault="006A44EC" w:rsidP="00844E81">
            <w:pPr>
              <w:spacing w:after="120"/>
              <w:jc w:val="both"/>
              <w:rPr>
                <w:rFonts w:eastAsiaTheme="minorHAnsi" w:cs="Arial"/>
                <w:bCs/>
                <w:color w:val="000000"/>
                <w:sz w:val="20"/>
                <w:szCs w:val="20"/>
              </w:rPr>
            </w:pPr>
            <w:r>
              <w:rPr>
                <w:rFonts w:eastAsiaTheme="minorHAnsi" w:cs="Arial"/>
                <w:bCs/>
                <w:color w:val="000000"/>
                <w:sz w:val="20"/>
                <w:szCs w:val="20"/>
              </w:rPr>
              <w:t>C</w:t>
            </w:r>
            <w:r w:rsidRPr="00EF414A">
              <w:rPr>
                <w:rFonts w:eastAsiaTheme="minorHAnsi" w:cs="Arial"/>
                <w:bCs/>
                <w:color w:val="000000"/>
                <w:sz w:val="20"/>
                <w:szCs w:val="20"/>
              </w:rPr>
              <w:t xml:space="preserve">apacity-building workshop on electromobility </w:t>
            </w:r>
            <w:r>
              <w:rPr>
                <w:rFonts w:eastAsiaTheme="minorHAnsi" w:cs="Arial"/>
                <w:bCs/>
                <w:color w:val="000000"/>
                <w:sz w:val="20"/>
                <w:szCs w:val="20"/>
              </w:rPr>
              <w:t>(Colombia)</w:t>
            </w:r>
          </w:p>
        </w:tc>
        <w:tc>
          <w:tcPr>
            <w:tcW w:w="522" w:type="pct"/>
          </w:tcPr>
          <w:p w14:paraId="3A4C205D" w14:textId="77777777" w:rsidR="006A44EC" w:rsidRPr="00EF414A" w:rsidRDefault="006A44EC" w:rsidP="00844E81">
            <w:pPr>
              <w:autoSpaceDE w:val="0"/>
              <w:autoSpaceDN w:val="0"/>
              <w:adjustRightInd w:val="0"/>
              <w:spacing w:after="120"/>
              <w:rPr>
                <w:rFonts w:eastAsiaTheme="minorHAnsi" w:cs="Arial"/>
                <w:bCs/>
                <w:color w:val="000000"/>
                <w:sz w:val="20"/>
                <w:szCs w:val="20"/>
              </w:rPr>
            </w:pPr>
            <w:r w:rsidRPr="00EF414A">
              <w:rPr>
                <w:rFonts w:eastAsiaTheme="minorHAnsi" w:cs="Arial"/>
                <w:bCs/>
                <w:color w:val="000000"/>
                <w:sz w:val="20"/>
                <w:szCs w:val="20"/>
              </w:rPr>
              <w:t>1</w:t>
            </w:r>
          </w:p>
        </w:tc>
      </w:tr>
      <w:tr w:rsidR="006A44EC" w:rsidRPr="00F94D51" w14:paraId="072901F1" w14:textId="77777777" w:rsidTr="00844E81">
        <w:tc>
          <w:tcPr>
            <w:tcW w:w="4478" w:type="pct"/>
          </w:tcPr>
          <w:p w14:paraId="43E7B5A8" w14:textId="4602662A" w:rsidR="006A44EC" w:rsidRPr="00EF414A" w:rsidRDefault="006A44EC" w:rsidP="00844E81">
            <w:pPr>
              <w:spacing w:after="120"/>
              <w:jc w:val="both"/>
              <w:rPr>
                <w:rFonts w:eastAsiaTheme="minorHAnsi" w:cs="Arial"/>
                <w:bCs/>
                <w:color w:val="000000"/>
                <w:sz w:val="20"/>
                <w:szCs w:val="20"/>
              </w:rPr>
            </w:pPr>
            <w:r w:rsidRPr="00EF414A">
              <w:rPr>
                <w:rFonts w:eastAsiaTheme="minorHAnsi" w:cs="Arial"/>
                <w:bCs/>
                <w:color w:val="000000"/>
                <w:sz w:val="20"/>
                <w:szCs w:val="20"/>
              </w:rPr>
              <w:t xml:space="preserve">5 technical workshops delivered to </w:t>
            </w:r>
            <w:proofErr w:type="spellStart"/>
            <w:r w:rsidRPr="00EF414A">
              <w:rPr>
                <w:rFonts w:eastAsiaTheme="minorHAnsi" w:cs="Arial"/>
                <w:bCs/>
                <w:color w:val="000000"/>
                <w:sz w:val="20"/>
                <w:szCs w:val="20"/>
              </w:rPr>
              <w:t>MetroCali</w:t>
            </w:r>
            <w:proofErr w:type="spellEnd"/>
            <w:r w:rsidRPr="00EF414A">
              <w:rPr>
                <w:rFonts w:eastAsiaTheme="minorHAnsi" w:cs="Arial"/>
                <w:bCs/>
                <w:color w:val="000000"/>
                <w:sz w:val="20"/>
                <w:szCs w:val="20"/>
              </w:rPr>
              <w:t xml:space="preserve"> and private operators of the MIO system in Cali</w:t>
            </w:r>
            <w:r>
              <w:rPr>
                <w:rFonts w:eastAsiaTheme="minorHAnsi" w:cs="Arial"/>
                <w:bCs/>
                <w:color w:val="000000"/>
                <w:sz w:val="20"/>
                <w:szCs w:val="20"/>
              </w:rPr>
              <w:t xml:space="preserve"> (Colombia)</w:t>
            </w:r>
          </w:p>
        </w:tc>
        <w:tc>
          <w:tcPr>
            <w:tcW w:w="522" w:type="pct"/>
          </w:tcPr>
          <w:p w14:paraId="2B30B8A9" w14:textId="77777777" w:rsidR="006A44EC" w:rsidRPr="00EF414A" w:rsidRDefault="006A44EC" w:rsidP="00844E81">
            <w:pPr>
              <w:autoSpaceDE w:val="0"/>
              <w:autoSpaceDN w:val="0"/>
              <w:adjustRightInd w:val="0"/>
              <w:spacing w:after="120"/>
              <w:rPr>
                <w:rFonts w:eastAsiaTheme="minorHAnsi" w:cs="Arial"/>
                <w:bCs/>
                <w:color w:val="000000"/>
                <w:sz w:val="20"/>
                <w:szCs w:val="20"/>
              </w:rPr>
            </w:pPr>
            <w:r w:rsidRPr="00EF414A">
              <w:rPr>
                <w:rFonts w:eastAsiaTheme="minorHAnsi" w:cs="Arial"/>
                <w:bCs/>
                <w:color w:val="000000"/>
                <w:sz w:val="20"/>
                <w:szCs w:val="20"/>
              </w:rPr>
              <w:t>5</w:t>
            </w:r>
          </w:p>
        </w:tc>
      </w:tr>
      <w:tr w:rsidR="00935C9A" w:rsidRPr="00F94D51" w14:paraId="4C3F497C" w14:textId="77777777" w:rsidTr="00844E81">
        <w:tc>
          <w:tcPr>
            <w:tcW w:w="4478" w:type="pct"/>
          </w:tcPr>
          <w:p w14:paraId="37D5A4F7" w14:textId="3C97708C" w:rsidR="00935C9A" w:rsidRPr="00513E41" w:rsidRDefault="00935C9A" w:rsidP="00513E41">
            <w:pPr>
              <w:spacing w:after="120"/>
              <w:jc w:val="right"/>
              <w:rPr>
                <w:rFonts w:eastAsiaTheme="minorHAnsi" w:cs="Arial"/>
                <w:b/>
                <w:color w:val="000000"/>
                <w:sz w:val="20"/>
                <w:szCs w:val="20"/>
              </w:rPr>
            </w:pPr>
            <w:r w:rsidRPr="00513E41">
              <w:rPr>
                <w:rFonts w:eastAsiaTheme="minorHAnsi" w:cs="Arial"/>
                <w:b/>
                <w:color w:val="000000"/>
                <w:sz w:val="20"/>
                <w:szCs w:val="20"/>
              </w:rPr>
              <w:t>Total</w:t>
            </w:r>
          </w:p>
        </w:tc>
        <w:tc>
          <w:tcPr>
            <w:tcW w:w="522" w:type="pct"/>
          </w:tcPr>
          <w:p w14:paraId="1A26595F" w14:textId="4A365C17" w:rsidR="00935C9A" w:rsidRPr="00513E41" w:rsidRDefault="005B0BEF" w:rsidP="00844E81">
            <w:pPr>
              <w:autoSpaceDE w:val="0"/>
              <w:autoSpaceDN w:val="0"/>
              <w:adjustRightInd w:val="0"/>
              <w:spacing w:after="120"/>
              <w:rPr>
                <w:rFonts w:eastAsiaTheme="minorHAnsi" w:cs="Arial"/>
                <w:b/>
                <w:color w:val="000000"/>
                <w:sz w:val="20"/>
                <w:szCs w:val="20"/>
              </w:rPr>
            </w:pPr>
            <w:r w:rsidRPr="00513E41">
              <w:rPr>
                <w:rFonts w:eastAsiaTheme="minorHAnsi" w:cs="Arial"/>
                <w:b/>
                <w:color w:val="000000"/>
                <w:sz w:val="20"/>
                <w:szCs w:val="20"/>
              </w:rPr>
              <w:t>1</w:t>
            </w:r>
            <w:r w:rsidR="000E37EE">
              <w:rPr>
                <w:rFonts w:eastAsiaTheme="minorHAnsi" w:cs="Arial"/>
                <w:b/>
                <w:color w:val="000000"/>
                <w:sz w:val="20"/>
                <w:szCs w:val="20"/>
              </w:rPr>
              <w:t>1</w:t>
            </w:r>
          </w:p>
        </w:tc>
      </w:tr>
    </w:tbl>
    <w:p w14:paraId="38AF9203" w14:textId="2E488F8A" w:rsidR="00ED0725" w:rsidRDefault="00044223" w:rsidP="00C04ADF">
      <w:pPr>
        <w:spacing w:before="120" w:after="120" w:line="276" w:lineRule="auto"/>
        <w:jc w:val="both"/>
        <w:rPr>
          <w:b/>
          <w:bCs/>
          <w:sz w:val="22"/>
          <w:szCs w:val="22"/>
        </w:rPr>
      </w:pPr>
      <w:r w:rsidRPr="0080467A">
        <w:rPr>
          <w:rFonts w:cs="Arial"/>
          <w:b/>
          <w:bCs/>
          <w:sz w:val="22"/>
          <w:szCs w:val="22"/>
          <w:lang w:val="pt-BR"/>
        </w:rPr>
        <w:t xml:space="preserve">Annex </w:t>
      </w:r>
      <w:r w:rsidR="00D02828">
        <w:rPr>
          <w:rFonts w:cs="Arial"/>
          <w:b/>
          <w:bCs/>
          <w:sz w:val="22"/>
          <w:szCs w:val="22"/>
          <w:lang w:val="pt-BR"/>
        </w:rPr>
        <w:t>D</w:t>
      </w:r>
      <w:r w:rsidRPr="0080467A">
        <w:rPr>
          <w:rFonts w:cs="Arial"/>
          <w:b/>
          <w:bCs/>
          <w:sz w:val="22"/>
          <w:szCs w:val="22"/>
          <w:lang w:val="pt-BR"/>
        </w:rPr>
        <w:t xml:space="preserve"> – SIP-LA publications delivered in 2020</w:t>
      </w:r>
    </w:p>
    <w:tbl>
      <w:tblPr>
        <w:tblStyle w:val="TableGrid"/>
        <w:tblW w:w="5000" w:type="pct"/>
        <w:tblLook w:val="04A0" w:firstRow="1" w:lastRow="0" w:firstColumn="1" w:lastColumn="0" w:noHBand="0" w:noVBand="1"/>
      </w:tblPr>
      <w:tblGrid>
        <w:gridCol w:w="439"/>
        <w:gridCol w:w="8577"/>
      </w:tblGrid>
      <w:tr w:rsidR="00F67212" w14:paraId="5A2F65CA" w14:textId="77777777" w:rsidTr="00844E81">
        <w:tc>
          <w:tcPr>
            <w:tcW w:w="233" w:type="pct"/>
            <w:shd w:val="clear" w:color="auto" w:fill="D9E2F3" w:themeFill="accent1" w:themeFillTint="33"/>
          </w:tcPr>
          <w:p w14:paraId="2E556E9C" w14:textId="77777777" w:rsidR="00F67212" w:rsidRPr="00F94D51" w:rsidRDefault="00F67212" w:rsidP="00844E81">
            <w:pPr>
              <w:spacing w:after="120"/>
              <w:rPr>
                <w:rFonts w:cs="Arial"/>
                <w:b/>
                <w:sz w:val="20"/>
                <w:szCs w:val="20"/>
              </w:rPr>
            </w:pPr>
          </w:p>
        </w:tc>
        <w:tc>
          <w:tcPr>
            <w:tcW w:w="4767" w:type="pct"/>
            <w:shd w:val="clear" w:color="auto" w:fill="D9E2F3" w:themeFill="accent1" w:themeFillTint="33"/>
          </w:tcPr>
          <w:p w14:paraId="1E811C82" w14:textId="77777777" w:rsidR="00F67212" w:rsidRPr="00F94D51" w:rsidRDefault="00F67212" w:rsidP="00844E81">
            <w:pPr>
              <w:spacing w:after="120"/>
              <w:rPr>
                <w:rFonts w:cs="Arial"/>
                <w:b/>
                <w:sz w:val="20"/>
                <w:szCs w:val="20"/>
              </w:rPr>
            </w:pPr>
            <w:r w:rsidRPr="00F94D51">
              <w:rPr>
                <w:rFonts w:cs="Arial"/>
                <w:b/>
                <w:sz w:val="20"/>
                <w:szCs w:val="20"/>
              </w:rPr>
              <w:t>Study</w:t>
            </w:r>
          </w:p>
        </w:tc>
      </w:tr>
      <w:tr w:rsidR="00F67212" w14:paraId="3270FF20" w14:textId="77777777" w:rsidTr="00844E81">
        <w:tc>
          <w:tcPr>
            <w:tcW w:w="233" w:type="pct"/>
          </w:tcPr>
          <w:p w14:paraId="6760E9EC" w14:textId="77777777" w:rsidR="00F67212" w:rsidRPr="00F94D51" w:rsidRDefault="00F67212" w:rsidP="00844E81">
            <w:pPr>
              <w:spacing w:after="120"/>
              <w:jc w:val="both"/>
              <w:rPr>
                <w:rFonts w:cs="Arial"/>
                <w:bCs/>
                <w:sz w:val="20"/>
                <w:szCs w:val="20"/>
              </w:rPr>
            </w:pPr>
            <w:r w:rsidRPr="00F94D51">
              <w:rPr>
                <w:rFonts w:cs="Arial"/>
                <w:bCs/>
                <w:sz w:val="20"/>
                <w:szCs w:val="20"/>
              </w:rPr>
              <w:t>1</w:t>
            </w:r>
          </w:p>
        </w:tc>
        <w:tc>
          <w:tcPr>
            <w:tcW w:w="4767" w:type="pct"/>
          </w:tcPr>
          <w:p w14:paraId="0BFAE006"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Planning and implementation guide for Emergent roads </w:t>
            </w:r>
            <w:r>
              <w:rPr>
                <w:rFonts w:eastAsiaTheme="minorHAnsi" w:cs="Arial"/>
                <w:color w:val="000000"/>
                <w:sz w:val="20"/>
                <w:szCs w:val="20"/>
              </w:rPr>
              <w:t>(Mexico)</w:t>
            </w:r>
          </w:p>
        </w:tc>
      </w:tr>
      <w:tr w:rsidR="00F67212" w14:paraId="2BA83AAF" w14:textId="77777777" w:rsidTr="00844E81">
        <w:tc>
          <w:tcPr>
            <w:tcW w:w="233" w:type="pct"/>
          </w:tcPr>
          <w:p w14:paraId="33F84A43" w14:textId="77777777" w:rsidR="00F67212" w:rsidRPr="00F94D51" w:rsidRDefault="00F67212" w:rsidP="00844E81">
            <w:pPr>
              <w:spacing w:after="120"/>
              <w:jc w:val="both"/>
              <w:rPr>
                <w:rFonts w:cs="Arial"/>
                <w:bCs/>
                <w:sz w:val="20"/>
                <w:szCs w:val="20"/>
              </w:rPr>
            </w:pPr>
            <w:r w:rsidRPr="00F94D51">
              <w:rPr>
                <w:rFonts w:cs="Arial"/>
                <w:bCs/>
                <w:sz w:val="20"/>
                <w:szCs w:val="20"/>
              </w:rPr>
              <w:t>2</w:t>
            </w:r>
          </w:p>
        </w:tc>
        <w:tc>
          <w:tcPr>
            <w:tcW w:w="4767" w:type="pct"/>
          </w:tcPr>
          <w:p w14:paraId="5745CBCC"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to identify the plots of land available for post location - cable car </w:t>
            </w:r>
            <w:r>
              <w:rPr>
                <w:rFonts w:eastAsiaTheme="minorHAnsi" w:cs="Arial"/>
                <w:color w:val="000000"/>
                <w:sz w:val="20"/>
                <w:szCs w:val="20"/>
              </w:rPr>
              <w:t>(Mexico)</w:t>
            </w:r>
          </w:p>
        </w:tc>
      </w:tr>
      <w:tr w:rsidR="00F67212" w14:paraId="10E6B501" w14:textId="77777777" w:rsidTr="00844E81">
        <w:tc>
          <w:tcPr>
            <w:tcW w:w="233" w:type="pct"/>
          </w:tcPr>
          <w:p w14:paraId="6FE022CA" w14:textId="77777777" w:rsidR="00F67212" w:rsidRPr="00F94D51" w:rsidRDefault="00F67212" w:rsidP="00844E81">
            <w:pPr>
              <w:spacing w:after="120"/>
              <w:jc w:val="both"/>
              <w:rPr>
                <w:rFonts w:cs="Arial"/>
                <w:bCs/>
                <w:sz w:val="20"/>
                <w:szCs w:val="20"/>
              </w:rPr>
            </w:pPr>
            <w:r w:rsidRPr="00F94D51">
              <w:rPr>
                <w:rFonts w:cs="Arial"/>
                <w:bCs/>
                <w:sz w:val="20"/>
                <w:szCs w:val="20"/>
              </w:rPr>
              <w:t>3</w:t>
            </w:r>
          </w:p>
        </w:tc>
        <w:tc>
          <w:tcPr>
            <w:tcW w:w="4767" w:type="pct"/>
          </w:tcPr>
          <w:p w14:paraId="04A389B6"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to estimate the potential demand for a cable car line in Mexico City </w:t>
            </w:r>
            <w:r>
              <w:rPr>
                <w:rFonts w:eastAsiaTheme="minorHAnsi" w:cs="Arial"/>
                <w:color w:val="000000"/>
                <w:sz w:val="20"/>
                <w:szCs w:val="20"/>
              </w:rPr>
              <w:t>(Mexico)</w:t>
            </w:r>
          </w:p>
        </w:tc>
      </w:tr>
      <w:tr w:rsidR="00F67212" w14:paraId="00B59AB2" w14:textId="77777777" w:rsidTr="00844E81">
        <w:tc>
          <w:tcPr>
            <w:tcW w:w="233" w:type="pct"/>
          </w:tcPr>
          <w:p w14:paraId="7DBAAF71" w14:textId="77777777" w:rsidR="00F67212" w:rsidRPr="00F94D51" w:rsidRDefault="00F67212" w:rsidP="00844E81">
            <w:pPr>
              <w:spacing w:after="120"/>
              <w:jc w:val="both"/>
              <w:rPr>
                <w:rFonts w:cs="Arial"/>
                <w:bCs/>
                <w:sz w:val="20"/>
                <w:szCs w:val="20"/>
              </w:rPr>
            </w:pPr>
            <w:r w:rsidRPr="00F94D51">
              <w:rPr>
                <w:rFonts w:cs="Arial"/>
                <w:bCs/>
                <w:sz w:val="20"/>
                <w:szCs w:val="20"/>
              </w:rPr>
              <w:t>4</w:t>
            </w:r>
          </w:p>
        </w:tc>
        <w:tc>
          <w:tcPr>
            <w:tcW w:w="4767" w:type="pct"/>
          </w:tcPr>
          <w:p w14:paraId="7DE97836"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Cost-benefit analysis of a cable car line </w:t>
            </w:r>
            <w:r>
              <w:rPr>
                <w:rFonts w:eastAsiaTheme="minorHAnsi" w:cs="Arial"/>
                <w:color w:val="000000"/>
                <w:sz w:val="20"/>
                <w:szCs w:val="20"/>
              </w:rPr>
              <w:t>(Mexico)</w:t>
            </w:r>
          </w:p>
        </w:tc>
      </w:tr>
      <w:tr w:rsidR="00F67212" w14:paraId="5961D6E0" w14:textId="77777777" w:rsidTr="00844E81">
        <w:tc>
          <w:tcPr>
            <w:tcW w:w="233" w:type="pct"/>
          </w:tcPr>
          <w:p w14:paraId="51FC4181" w14:textId="77777777" w:rsidR="00F67212" w:rsidRPr="00F94D51" w:rsidRDefault="00F67212" w:rsidP="00844E81">
            <w:pPr>
              <w:spacing w:after="120"/>
              <w:jc w:val="both"/>
              <w:rPr>
                <w:rFonts w:cs="Arial"/>
                <w:bCs/>
                <w:sz w:val="20"/>
                <w:szCs w:val="20"/>
              </w:rPr>
            </w:pPr>
            <w:r w:rsidRPr="00F94D51">
              <w:rPr>
                <w:rFonts w:cs="Arial"/>
                <w:bCs/>
                <w:sz w:val="20"/>
                <w:szCs w:val="20"/>
              </w:rPr>
              <w:t>5</w:t>
            </w:r>
          </w:p>
        </w:tc>
        <w:tc>
          <w:tcPr>
            <w:tcW w:w="4767" w:type="pct"/>
          </w:tcPr>
          <w:p w14:paraId="5569DD76"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on the use of technology for Uber-style public transport service </w:t>
            </w:r>
            <w:r>
              <w:rPr>
                <w:rFonts w:eastAsiaTheme="minorHAnsi" w:cs="Arial"/>
                <w:color w:val="000000"/>
                <w:sz w:val="20"/>
                <w:szCs w:val="20"/>
              </w:rPr>
              <w:t>(Mexico)</w:t>
            </w:r>
          </w:p>
        </w:tc>
      </w:tr>
      <w:tr w:rsidR="00F67212" w14:paraId="38AC5A21" w14:textId="77777777" w:rsidTr="00844E81">
        <w:tc>
          <w:tcPr>
            <w:tcW w:w="233" w:type="pct"/>
          </w:tcPr>
          <w:p w14:paraId="197D3581" w14:textId="77777777" w:rsidR="00F67212" w:rsidRPr="00F94D51" w:rsidRDefault="00F67212" w:rsidP="00844E81">
            <w:pPr>
              <w:spacing w:after="120"/>
              <w:jc w:val="both"/>
              <w:rPr>
                <w:rFonts w:cs="Arial"/>
                <w:bCs/>
                <w:sz w:val="20"/>
                <w:szCs w:val="20"/>
              </w:rPr>
            </w:pPr>
            <w:r w:rsidRPr="00F94D51">
              <w:rPr>
                <w:rFonts w:cs="Arial"/>
                <w:bCs/>
                <w:sz w:val="20"/>
                <w:szCs w:val="20"/>
              </w:rPr>
              <w:t>6</w:t>
            </w:r>
          </w:p>
        </w:tc>
        <w:tc>
          <w:tcPr>
            <w:tcW w:w="4767" w:type="pct"/>
          </w:tcPr>
          <w:p w14:paraId="737A5F71"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to review best practices - </w:t>
            </w:r>
            <w:proofErr w:type="spellStart"/>
            <w:r w:rsidRPr="00F94D51">
              <w:rPr>
                <w:rFonts w:eastAsiaTheme="minorHAnsi" w:cs="Arial"/>
                <w:color w:val="000000"/>
                <w:sz w:val="20"/>
                <w:szCs w:val="20"/>
              </w:rPr>
              <w:t>micromobility</w:t>
            </w:r>
            <w:proofErr w:type="spellEnd"/>
            <w:r w:rsidRPr="00F94D51">
              <w:rPr>
                <w:rFonts w:eastAsiaTheme="minorHAnsi" w:cs="Arial"/>
                <w:color w:val="000000"/>
                <w:sz w:val="20"/>
                <w:szCs w:val="20"/>
              </w:rPr>
              <w:t xml:space="preserve"> </w:t>
            </w:r>
            <w:r>
              <w:rPr>
                <w:rFonts w:eastAsiaTheme="minorHAnsi" w:cs="Arial"/>
                <w:color w:val="000000"/>
                <w:sz w:val="20"/>
                <w:szCs w:val="20"/>
              </w:rPr>
              <w:t>(Mexico)</w:t>
            </w:r>
          </w:p>
        </w:tc>
      </w:tr>
      <w:tr w:rsidR="00F67212" w14:paraId="2AAAC779" w14:textId="77777777" w:rsidTr="00844E81">
        <w:tc>
          <w:tcPr>
            <w:tcW w:w="233" w:type="pct"/>
          </w:tcPr>
          <w:p w14:paraId="470A6301" w14:textId="77777777" w:rsidR="00F67212" w:rsidRPr="00F94D51" w:rsidRDefault="00F67212" w:rsidP="00844E81">
            <w:pPr>
              <w:spacing w:after="120"/>
              <w:jc w:val="both"/>
              <w:rPr>
                <w:rFonts w:cs="Arial"/>
                <w:bCs/>
                <w:sz w:val="20"/>
                <w:szCs w:val="20"/>
              </w:rPr>
            </w:pPr>
            <w:r w:rsidRPr="00F94D51">
              <w:rPr>
                <w:rFonts w:cs="Arial"/>
                <w:bCs/>
                <w:sz w:val="20"/>
                <w:szCs w:val="20"/>
              </w:rPr>
              <w:t>7</w:t>
            </w:r>
          </w:p>
        </w:tc>
        <w:tc>
          <w:tcPr>
            <w:tcW w:w="4767" w:type="pct"/>
          </w:tcPr>
          <w:p w14:paraId="7484EDFC"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Study to review best practices of substitution of Public TTP buses &amp; taxis</w:t>
            </w:r>
            <w:r>
              <w:rPr>
                <w:rFonts w:eastAsiaTheme="minorHAnsi" w:cs="Arial"/>
                <w:color w:val="000000"/>
                <w:sz w:val="20"/>
                <w:szCs w:val="20"/>
              </w:rPr>
              <w:t xml:space="preserve"> (Mexico)</w:t>
            </w:r>
          </w:p>
        </w:tc>
      </w:tr>
      <w:tr w:rsidR="00F67212" w14:paraId="5FD6FBCE" w14:textId="77777777" w:rsidTr="00844E81">
        <w:tc>
          <w:tcPr>
            <w:tcW w:w="233" w:type="pct"/>
          </w:tcPr>
          <w:p w14:paraId="74B32839" w14:textId="77777777" w:rsidR="00F67212" w:rsidRPr="00F94D51" w:rsidRDefault="00F67212" w:rsidP="00844E81">
            <w:pPr>
              <w:spacing w:after="120"/>
              <w:jc w:val="both"/>
              <w:rPr>
                <w:rFonts w:cs="Arial"/>
                <w:bCs/>
                <w:sz w:val="20"/>
                <w:szCs w:val="20"/>
              </w:rPr>
            </w:pPr>
            <w:r w:rsidRPr="00F94D51">
              <w:rPr>
                <w:rFonts w:cs="Arial"/>
                <w:bCs/>
                <w:sz w:val="20"/>
                <w:szCs w:val="20"/>
              </w:rPr>
              <w:t>8</w:t>
            </w:r>
          </w:p>
        </w:tc>
        <w:tc>
          <w:tcPr>
            <w:tcW w:w="4767" w:type="pct"/>
          </w:tcPr>
          <w:p w14:paraId="181B068D"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to diagnose unregulated transport services </w:t>
            </w:r>
            <w:r>
              <w:rPr>
                <w:rFonts w:eastAsiaTheme="minorHAnsi" w:cs="Arial"/>
                <w:color w:val="000000"/>
                <w:sz w:val="20"/>
                <w:szCs w:val="20"/>
              </w:rPr>
              <w:t>(Mexico)</w:t>
            </w:r>
          </w:p>
        </w:tc>
      </w:tr>
      <w:tr w:rsidR="00F67212" w14:paraId="1D984E72" w14:textId="77777777" w:rsidTr="00844E81">
        <w:tc>
          <w:tcPr>
            <w:tcW w:w="233" w:type="pct"/>
          </w:tcPr>
          <w:p w14:paraId="5586EA99" w14:textId="77777777" w:rsidR="00F67212" w:rsidRPr="00F94D51" w:rsidRDefault="00F67212" w:rsidP="00844E81">
            <w:pPr>
              <w:spacing w:after="120"/>
              <w:jc w:val="both"/>
              <w:rPr>
                <w:rFonts w:cs="Arial"/>
                <w:bCs/>
                <w:sz w:val="20"/>
                <w:szCs w:val="20"/>
              </w:rPr>
            </w:pPr>
            <w:r w:rsidRPr="00F94D51">
              <w:rPr>
                <w:rFonts w:cs="Arial"/>
                <w:bCs/>
                <w:sz w:val="20"/>
                <w:szCs w:val="20"/>
              </w:rPr>
              <w:t>9</w:t>
            </w:r>
          </w:p>
        </w:tc>
        <w:tc>
          <w:tcPr>
            <w:tcW w:w="4767" w:type="pct"/>
          </w:tcPr>
          <w:p w14:paraId="33E2C47A"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Study to outline </w:t>
            </w:r>
            <w:proofErr w:type="spellStart"/>
            <w:r w:rsidRPr="00F94D51">
              <w:rPr>
                <w:rFonts w:eastAsiaTheme="minorHAnsi" w:cs="Arial"/>
                <w:color w:val="000000"/>
                <w:sz w:val="20"/>
                <w:szCs w:val="20"/>
              </w:rPr>
              <w:t>ToRs</w:t>
            </w:r>
            <w:proofErr w:type="spellEnd"/>
            <w:r w:rsidRPr="00F94D51">
              <w:rPr>
                <w:rFonts w:eastAsiaTheme="minorHAnsi" w:cs="Arial"/>
                <w:color w:val="000000"/>
                <w:sz w:val="20"/>
                <w:szCs w:val="20"/>
              </w:rPr>
              <w:t xml:space="preserve"> and tendering documents for the concession of a new BRT line</w:t>
            </w:r>
            <w:r>
              <w:rPr>
                <w:rFonts w:eastAsiaTheme="minorHAnsi" w:cs="Arial"/>
                <w:color w:val="000000"/>
                <w:sz w:val="20"/>
                <w:szCs w:val="20"/>
              </w:rPr>
              <w:t xml:space="preserve"> (Mexico)</w:t>
            </w:r>
          </w:p>
        </w:tc>
      </w:tr>
      <w:tr w:rsidR="00F67212" w14:paraId="098DADAB" w14:textId="77777777" w:rsidTr="00844E81">
        <w:tc>
          <w:tcPr>
            <w:tcW w:w="233" w:type="pct"/>
          </w:tcPr>
          <w:p w14:paraId="770621E2" w14:textId="77777777" w:rsidR="00F67212" w:rsidRPr="00F94D51" w:rsidRDefault="00F67212" w:rsidP="00844E81">
            <w:pPr>
              <w:spacing w:after="120"/>
              <w:jc w:val="both"/>
              <w:rPr>
                <w:rFonts w:cs="Arial"/>
                <w:bCs/>
                <w:sz w:val="20"/>
                <w:szCs w:val="20"/>
              </w:rPr>
            </w:pPr>
            <w:r w:rsidRPr="00F94D51">
              <w:rPr>
                <w:rFonts w:cs="Arial"/>
                <w:bCs/>
                <w:sz w:val="20"/>
                <w:szCs w:val="20"/>
              </w:rPr>
              <w:t xml:space="preserve">10 </w:t>
            </w:r>
          </w:p>
        </w:tc>
        <w:tc>
          <w:tcPr>
            <w:tcW w:w="4767" w:type="pct"/>
          </w:tcPr>
          <w:p w14:paraId="414EDD54" w14:textId="77777777" w:rsidR="00F67212" w:rsidRPr="00962AE6" w:rsidRDefault="00F67212" w:rsidP="00844E81">
            <w:pPr>
              <w:spacing w:after="120"/>
              <w:rPr>
                <w:rFonts w:eastAsiaTheme="minorHAnsi" w:cs="Arial"/>
                <w:b/>
                <w:sz w:val="20"/>
                <w:szCs w:val="20"/>
              </w:rPr>
            </w:pPr>
            <w:r w:rsidRPr="00F94D51">
              <w:rPr>
                <w:rFonts w:eastAsiaTheme="minorHAnsi" w:cs="Arial"/>
                <w:color w:val="000000"/>
                <w:sz w:val="20"/>
                <w:szCs w:val="20"/>
              </w:rPr>
              <w:t xml:space="preserve">Design of Technical models for road infrastructure services </w:t>
            </w:r>
            <w:r>
              <w:rPr>
                <w:rFonts w:eastAsiaTheme="minorHAnsi" w:cs="Arial"/>
                <w:color w:val="000000"/>
                <w:sz w:val="20"/>
                <w:szCs w:val="20"/>
              </w:rPr>
              <w:t>(Brazil)</w:t>
            </w:r>
          </w:p>
        </w:tc>
      </w:tr>
      <w:tr w:rsidR="00F67212" w14:paraId="464112BF" w14:textId="77777777" w:rsidTr="00844E81">
        <w:tc>
          <w:tcPr>
            <w:tcW w:w="233" w:type="pct"/>
          </w:tcPr>
          <w:p w14:paraId="1B4C3DE8" w14:textId="77777777" w:rsidR="00F67212" w:rsidRPr="00F94D51" w:rsidRDefault="00F67212" w:rsidP="00844E81">
            <w:pPr>
              <w:spacing w:after="120"/>
              <w:jc w:val="both"/>
              <w:rPr>
                <w:rFonts w:cs="Arial"/>
                <w:bCs/>
                <w:sz w:val="20"/>
                <w:szCs w:val="20"/>
              </w:rPr>
            </w:pPr>
            <w:r w:rsidRPr="00F94D51">
              <w:rPr>
                <w:rFonts w:cs="Arial"/>
                <w:bCs/>
                <w:sz w:val="20"/>
                <w:szCs w:val="20"/>
              </w:rPr>
              <w:t>11</w:t>
            </w:r>
          </w:p>
        </w:tc>
        <w:tc>
          <w:tcPr>
            <w:tcW w:w="4767" w:type="pct"/>
          </w:tcPr>
          <w:p w14:paraId="56EFBD61"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Diagnostics and assessments: of Brazilian municipalities with investment projects</w:t>
            </w:r>
            <w:r>
              <w:rPr>
                <w:rFonts w:eastAsiaTheme="minorHAnsi" w:cs="Arial"/>
                <w:color w:val="000000"/>
                <w:sz w:val="20"/>
                <w:szCs w:val="20"/>
              </w:rPr>
              <w:t xml:space="preserve"> (Brazil)</w:t>
            </w:r>
          </w:p>
        </w:tc>
      </w:tr>
      <w:tr w:rsidR="00F67212" w14:paraId="10E5FA0A" w14:textId="77777777" w:rsidTr="00844E81">
        <w:tc>
          <w:tcPr>
            <w:tcW w:w="233" w:type="pct"/>
          </w:tcPr>
          <w:p w14:paraId="4979016D" w14:textId="77777777" w:rsidR="00F67212" w:rsidRPr="00F94D51" w:rsidRDefault="00F67212" w:rsidP="00844E81">
            <w:pPr>
              <w:spacing w:after="120"/>
              <w:jc w:val="both"/>
              <w:rPr>
                <w:rFonts w:cs="Arial"/>
                <w:bCs/>
                <w:sz w:val="20"/>
                <w:szCs w:val="20"/>
              </w:rPr>
            </w:pPr>
            <w:r w:rsidRPr="00F94D51">
              <w:rPr>
                <w:rFonts w:cs="Arial"/>
                <w:bCs/>
                <w:sz w:val="20"/>
                <w:szCs w:val="20"/>
              </w:rPr>
              <w:t>12</w:t>
            </w:r>
          </w:p>
        </w:tc>
        <w:tc>
          <w:tcPr>
            <w:tcW w:w="4767" w:type="pct"/>
          </w:tcPr>
          <w:p w14:paraId="42389CD9" w14:textId="77777777" w:rsidR="00F67212" w:rsidRPr="00F94D51" w:rsidRDefault="00F67212" w:rsidP="00844E81">
            <w:pPr>
              <w:autoSpaceDE w:val="0"/>
              <w:autoSpaceDN w:val="0"/>
              <w:adjustRightInd w:val="0"/>
              <w:spacing w:after="120"/>
              <w:rPr>
                <w:rFonts w:eastAsiaTheme="minorHAnsi" w:cs="Arial"/>
                <w:color w:val="000000"/>
                <w:sz w:val="20"/>
                <w:szCs w:val="20"/>
              </w:rPr>
            </w:pPr>
            <w:r>
              <w:rPr>
                <w:rFonts w:eastAsiaTheme="minorHAnsi" w:cs="Arial"/>
                <w:color w:val="000000"/>
                <w:sz w:val="20"/>
                <w:szCs w:val="20"/>
              </w:rPr>
              <w:t>Evaluation of energy auction mechanisms risks (Brazil)</w:t>
            </w:r>
          </w:p>
        </w:tc>
      </w:tr>
      <w:tr w:rsidR="00F67212" w14:paraId="629843F2" w14:textId="77777777" w:rsidTr="00844E81">
        <w:tc>
          <w:tcPr>
            <w:tcW w:w="233" w:type="pct"/>
          </w:tcPr>
          <w:p w14:paraId="61B616DD" w14:textId="77777777" w:rsidR="00F67212" w:rsidRPr="00F94D51" w:rsidRDefault="00F67212" w:rsidP="00844E81">
            <w:pPr>
              <w:spacing w:after="120"/>
              <w:jc w:val="both"/>
              <w:rPr>
                <w:rFonts w:cs="Arial"/>
                <w:bCs/>
                <w:sz w:val="20"/>
                <w:szCs w:val="20"/>
              </w:rPr>
            </w:pPr>
            <w:r w:rsidRPr="00F94D51">
              <w:rPr>
                <w:rFonts w:cs="Arial"/>
                <w:bCs/>
                <w:sz w:val="20"/>
                <w:szCs w:val="20"/>
              </w:rPr>
              <w:t>13</w:t>
            </w:r>
          </w:p>
        </w:tc>
        <w:tc>
          <w:tcPr>
            <w:tcW w:w="4767" w:type="pct"/>
          </w:tcPr>
          <w:p w14:paraId="21981632"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Assessment of non-conventional RE sources projects financing</w:t>
            </w:r>
            <w:r>
              <w:rPr>
                <w:rFonts w:eastAsiaTheme="minorHAnsi" w:cs="Arial"/>
                <w:color w:val="000000"/>
                <w:sz w:val="20"/>
                <w:szCs w:val="20"/>
              </w:rPr>
              <w:t xml:space="preserve"> (Colombia)</w:t>
            </w:r>
          </w:p>
        </w:tc>
      </w:tr>
      <w:tr w:rsidR="00F67212" w14:paraId="1A5330C1" w14:textId="77777777" w:rsidTr="00844E81">
        <w:tc>
          <w:tcPr>
            <w:tcW w:w="233" w:type="pct"/>
          </w:tcPr>
          <w:p w14:paraId="06737535" w14:textId="77777777" w:rsidR="00F67212" w:rsidRPr="00F94D51" w:rsidRDefault="00F67212" w:rsidP="00844E81">
            <w:pPr>
              <w:spacing w:after="120"/>
              <w:jc w:val="both"/>
              <w:rPr>
                <w:rFonts w:cs="Arial"/>
                <w:bCs/>
                <w:sz w:val="20"/>
                <w:szCs w:val="20"/>
              </w:rPr>
            </w:pPr>
            <w:r w:rsidRPr="00F94D51">
              <w:rPr>
                <w:rFonts w:cs="Arial"/>
                <w:bCs/>
                <w:sz w:val="20"/>
                <w:szCs w:val="20"/>
              </w:rPr>
              <w:t>14</w:t>
            </w:r>
          </w:p>
        </w:tc>
        <w:tc>
          <w:tcPr>
            <w:tcW w:w="4767" w:type="pct"/>
          </w:tcPr>
          <w:p w14:paraId="16642103"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Wind resources assessment in the North part of the country </w:t>
            </w:r>
            <w:r>
              <w:rPr>
                <w:rFonts w:eastAsiaTheme="minorHAnsi" w:cs="Arial"/>
                <w:color w:val="000000"/>
                <w:sz w:val="20"/>
                <w:szCs w:val="20"/>
              </w:rPr>
              <w:t>(Colombia)</w:t>
            </w:r>
          </w:p>
        </w:tc>
      </w:tr>
      <w:tr w:rsidR="00F67212" w14:paraId="2E90591F" w14:textId="77777777" w:rsidTr="00844E81">
        <w:tc>
          <w:tcPr>
            <w:tcW w:w="233" w:type="pct"/>
          </w:tcPr>
          <w:p w14:paraId="04822C97" w14:textId="77777777" w:rsidR="00F67212" w:rsidRPr="00F94D51" w:rsidRDefault="00F67212" w:rsidP="00844E81">
            <w:pPr>
              <w:spacing w:after="120"/>
              <w:jc w:val="both"/>
              <w:rPr>
                <w:rFonts w:cs="Arial"/>
                <w:bCs/>
                <w:sz w:val="20"/>
                <w:szCs w:val="20"/>
              </w:rPr>
            </w:pPr>
            <w:r w:rsidRPr="00F94D51">
              <w:rPr>
                <w:rFonts w:cs="Arial"/>
                <w:bCs/>
                <w:sz w:val="20"/>
                <w:szCs w:val="20"/>
              </w:rPr>
              <w:t>15</w:t>
            </w:r>
          </w:p>
        </w:tc>
        <w:tc>
          <w:tcPr>
            <w:tcW w:w="4767" w:type="pct"/>
          </w:tcPr>
          <w:p w14:paraId="10F5537B"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Analysis of institutional strengthening for energy transition </w:t>
            </w:r>
            <w:r>
              <w:rPr>
                <w:rFonts w:eastAsiaTheme="minorHAnsi" w:cs="Arial"/>
                <w:color w:val="000000"/>
                <w:sz w:val="20"/>
                <w:szCs w:val="20"/>
              </w:rPr>
              <w:t>(Colombia)</w:t>
            </w:r>
          </w:p>
        </w:tc>
      </w:tr>
      <w:tr w:rsidR="00F67212" w14:paraId="6F706CBD" w14:textId="77777777" w:rsidTr="00844E81">
        <w:tc>
          <w:tcPr>
            <w:tcW w:w="233" w:type="pct"/>
          </w:tcPr>
          <w:p w14:paraId="72B7C004" w14:textId="77777777" w:rsidR="00F67212" w:rsidRPr="00F94D51" w:rsidRDefault="00F67212" w:rsidP="00844E81">
            <w:pPr>
              <w:spacing w:after="120"/>
              <w:jc w:val="both"/>
              <w:rPr>
                <w:rFonts w:cs="Arial"/>
                <w:bCs/>
                <w:sz w:val="20"/>
                <w:szCs w:val="20"/>
              </w:rPr>
            </w:pPr>
            <w:r w:rsidRPr="00F94D51">
              <w:rPr>
                <w:rFonts w:cs="Arial"/>
                <w:bCs/>
                <w:sz w:val="20"/>
                <w:szCs w:val="20"/>
              </w:rPr>
              <w:t>1</w:t>
            </w:r>
            <w:r>
              <w:rPr>
                <w:rFonts w:cs="Arial"/>
                <w:bCs/>
                <w:sz w:val="20"/>
                <w:szCs w:val="20"/>
              </w:rPr>
              <w:t>6</w:t>
            </w:r>
          </w:p>
        </w:tc>
        <w:tc>
          <w:tcPr>
            <w:tcW w:w="4767" w:type="pct"/>
          </w:tcPr>
          <w:p w14:paraId="0E4E5DC8"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Guide to select zero and low emissions for 50 + vehicles </w:t>
            </w:r>
            <w:r>
              <w:rPr>
                <w:rFonts w:eastAsiaTheme="minorHAnsi" w:cs="Arial"/>
                <w:color w:val="000000"/>
                <w:sz w:val="20"/>
                <w:szCs w:val="20"/>
              </w:rPr>
              <w:t>(Colombia)</w:t>
            </w:r>
          </w:p>
        </w:tc>
      </w:tr>
      <w:tr w:rsidR="00F67212" w14:paraId="108ABE4D" w14:textId="77777777" w:rsidTr="00844E81">
        <w:tc>
          <w:tcPr>
            <w:tcW w:w="233" w:type="pct"/>
          </w:tcPr>
          <w:p w14:paraId="47087982" w14:textId="77777777" w:rsidR="00F67212" w:rsidRPr="00F94D51" w:rsidRDefault="00F67212" w:rsidP="00844E81">
            <w:pPr>
              <w:spacing w:after="120"/>
              <w:jc w:val="both"/>
              <w:rPr>
                <w:rFonts w:cs="Arial"/>
                <w:bCs/>
                <w:sz w:val="20"/>
                <w:szCs w:val="20"/>
              </w:rPr>
            </w:pPr>
            <w:r w:rsidRPr="00F94D51">
              <w:rPr>
                <w:rFonts w:cs="Arial"/>
                <w:bCs/>
                <w:sz w:val="20"/>
                <w:szCs w:val="20"/>
              </w:rPr>
              <w:t>1</w:t>
            </w:r>
            <w:r>
              <w:rPr>
                <w:rFonts w:cs="Arial"/>
                <w:bCs/>
                <w:sz w:val="20"/>
                <w:szCs w:val="20"/>
              </w:rPr>
              <w:t>7</w:t>
            </w:r>
          </w:p>
        </w:tc>
        <w:tc>
          <w:tcPr>
            <w:tcW w:w="4767" w:type="pct"/>
          </w:tcPr>
          <w:p w14:paraId="2B2A4AF7"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Definition of prefeasibility study of the e-buses pilot in Manizales </w:t>
            </w:r>
            <w:r>
              <w:rPr>
                <w:rFonts w:eastAsiaTheme="minorHAnsi" w:cs="Arial"/>
                <w:color w:val="000000"/>
                <w:sz w:val="20"/>
                <w:szCs w:val="20"/>
              </w:rPr>
              <w:t>(Colombia)</w:t>
            </w:r>
          </w:p>
        </w:tc>
      </w:tr>
      <w:tr w:rsidR="00F67212" w14:paraId="13D1B602" w14:textId="77777777" w:rsidTr="00844E81">
        <w:tc>
          <w:tcPr>
            <w:tcW w:w="233" w:type="pct"/>
          </w:tcPr>
          <w:p w14:paraId="35B337E9" w14:textId="77777777" w:rsidR="00F67212" w:rsidRPr="00F94D51" w:rsidRDefault="00F67212" w:rsidP="00844E81">
            <w:pPr>
              <w:spacing w:after="120"/>
              <w:jc w:val="both"/>
              <w:rPr>
                <w:rFonts w:cs="Arial"/>
                <w:bCs/>
                <w:sz w:val="20"/>
                <w:szCs w:val="20"/>
              </w:rPr>
            </w:pPr>
            <w:r w:rsidRPr="00F94D51">
              <w:rPr>
                <w:rFonts w:cs="Arial"/>
                <w:bCs/>
                <w:sz w:val="20"/>
                <w:szCs w:val="20"/>
              </w:rPr>
              <w:t>18</w:t>
            </w:r>
          </w:p>
        </w:tc>
        <w:tc>
          <w:tcPr>
            <w:tcW w:w="4767" w:type="pct"/>
          </w:tcPr>
          <w:p w14:paraId="3774B85E"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 xml:space="preserve">Report for the adoption of technical norms, regulations &amp; strategies - EVs </w:t>
            </w:r>
            <w:r>
              <w:rPr>
                <w:rFonts w:eastAsiaTheme="minorHAnsi" w:cs="Arial"/>
                <w:color w:val="000000"/>
                <w:sz w:val="20"/>
                <w:szCs w:val="20"/>
              </w:rPr>
              <w:t>(Colombia)</w:t>
            </w:r>
          </w:p>
        </w:tc>
      </w:tr>
      <w:tr w:rsidR="00F67212" w14:paraId="377F9AF4" w14:textId="77777777" w:rsidTr="00844E81">
        <w:tc>
          <w:tcPr>
            <w:tcW w:w="233" w:type="pct"/>
          </w:tcPr>
          <w:p w14:paraId="6F40259E" w14:textId="77777777" w:rsidR="00F67212" w:rsidRPr="00F94D51" w:rsidRDefault="00F67212" w:rsidP="00844E81">
            <w:pPr>
              <w:spacing w:after="120"/>
              <w:jc w:val="both"/>
              <w:rPr>
                <w:rFonts w:cs="Arial"/>
                <w:bCs/>
                <w:sz w:val="20"/>
                <w:szCs w:val="20"/>
              </w:rPr>
            </w:pPr>
            <w:r w:rsidRPr="00F94D51">
              <w:rPr>
                <w:rFonts w:cs="Arial"/>
                <w:bCs/>
                <w:sz w:val="20"/>
                <w:szCs w:val="20"/>
              </w:rPr>
              <w:t>19</w:t>
            </w:r>
          </w:p>
        </w:tc>
        <w:tc>
          <w:tcPr>
            <w:tcW w:w="4767" w:type="pct"/>
            <w:shd w:val="clear" w:color="auto" w:fill="auto"/>
          </w:tcPr>
          <w:p w14:paraId="0AF015C3"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D</w:t>
            </w:r>
            <w:r w:rsidRPr="00D21CF8">
              <w:rPr>
                <w:rFonts w:eastAsiaTheme="minorHAnsi" w:cs="Arial"/>
                <w:color w:val="000000"/>
                <w:sz w:val="20"/>
                <w:szCs w:val="20"/>
              </w:rPr>
              <w:t>iagnostic study and plan of action to integrate electric buses in the BRT system of Cali</w:t>
            </w:r>
            <w:r w:rsidRPr="00F94D51">
              <w:rPr>
                <w:rFonts w:eastAsiaTheme="minorHAnsi" w:cs="Arial"/>
                <w:color w:val="000000"/>
                <w:sz w:val="20"/>
                <w:szCs w:val="20"/>
                <w:shd w:val="clear" w:color="auto" w:fill="FFE599" w:themeFill="accent4" w:themeFillTint="66"/>
              </w:rPr>
              <w:t xml:space="preserve"> </w:t>
            </w:r>
            <w:r>
              <w:rPr>
                <w:rFonts w:eastAsiaTheme="minorHAnsi" w:cs="Arial"/>
                <w:color w:val="000000"/>
                <w:sz w:val="20"/>
                <w:szCs w:val="20"/>
              </w:rPr>
              <w:t>(Colombia)</w:t>
            </w:r>
          </w:p>
        </w:tc>
      </w:tr>
      <w:tr w:rsidR="00F67212" w14:paraId="30164B16" w14:textId="77777777" w:rsidTr="00844E81">
        <w:tc>
          <w:tcPr>
            <w:tcW w:w="233" w:type="pct"/>
          </w:tcPr>
          <w:p w14:paraId="35685690" w14:textId="77777777" w:rsidR="00F67212" w:rsidRPr="00F94D51" w:rsidRDefault="00F67212" w:rsidP="00844E81">
            <w:pPr>
              <w:spacing w:after="120"/>
              <w:jc w:val="both"/>
              <w:rPr>
                <w:rFonts w:cs="Arial"/>
                <w:bCs/>
                <w:sz w:val="20"/>
                <w:szCs w:val="20"/>
              </w:rPr>
            </w:pPr>
            <w:r w:rsidRPr="00F94D51">
              <w:rPr>
                <w:rFonts w:cs="Arial"/>
                <w:bCs/>
                <w:sz w:val="20"/>
                <w:szCs w:val="20"/>
              </w:rPr>
              <w:t>20</w:t>
            </w:r>
          </w:p>
        </w:tc>
        <w:tc>
          <w:tcPr>
            <w:tcW w:w="4767" w:type="pct"/>
          </w:tcPr>
          <w:p w14:paraId="7ECD9692"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Georeferenced interactive tool</w:t>
            </w:r>
            <w:r>
              <w:rPr>
                <w:rFonts w:eastAsiaTheme="minorHAnsi" w:cs="Arial"/>
                <w:color w:val="000000"/>
                <w:sz w:val="20"/>
                <w:szCs w:val="20"/>
              </w:rPr>
              <w:t xml:space="preserve"> (regional)</w:t>
            </w:r>
          </w:p>
        </w:tc>
      </w:tr>
      <w:tr w:rsidR="00F67212" w14:paraId="0E7C150D" w14:textId="77777777" w:rsidTr="00844E81">
        <w:tc>
          <w:tcPr>
            <w:tcW w:w="233" w:type="pct"/>
          </w:tcPr>
          <w:p w14:paraId="624B6222" w14:textId="77777777" w:rsidR="00F67212" w:rsidRPr="00F94D51" w:rsidRDefault="00F67212" w:rsidP="00844E81">
            <w:pPr>
              <w:spacing w:after="120"/>
              <w:jc w:val="both"/>
              <w:rPr>
                <w:rFonts w:cs="Arial"/>
                <w:bCs/>
                <w:sz w:val="20"/>
                <w:szCs w:val="20"/>
              </w:rPr>
            </w:pPr>
            <w:r w:rsidRPr="00F94D51">
              <w:rPr>
                <w:rFonts w:cs="Arial"/>
                <w:bCs/>
                <w:sz w:val="20"/>
                <w:szCs w:val="20"/>
              </w:rPr>
              <w:t>2</w:t>
            </w:r>
            <w:r>
              <w:rPr>
                <w:rFonts w:cs="Arial"/>
                <w:bCs/>
                <w:sz w:val="20"/>
                <w:szCs w:val="20"/>
              </w:rPr>
              <w:t>1</w:t>
            </w:r>
          </w:p>
        </w:tc>
        <w:tc>
          <w:tcPr>
            <w:tcW w:w="4767" w:type="pct"/>
          </w:tcPr>
          <w:p w14:paraId="010095B6" w14:textId="77777777" w:rsidR="00F67212" w:rsidRPr="00F94D51" w:rsidRDefault="00F67212" w:rsidP="00844E81">
            <w:pPr>
              <w:autoSpaceDE w:val="0"/>
              <w:autoSpaceDN w:val="0"/>
              <w:adjustRightInd w:val="0"/>
              <w:spacing w:after="120"/>
              <w:rPr>
                <w:rFonts w:eastAsiaTheme="minorHAnsi" w:cs="Arial"/>
                <w:color w:val="000000"/>
                <w:sz w:val="20"/>
                <w:szCs w:val="20"/>
              </w:rPr>
            </w:pPr>
            <w:r w:rsidRPr="00F94D51">
              <w:rPr>
                <w:rFonts w:eastAsiaTheme="minorHAnsi" w:cs="Arial"/>
                <w:color w:val="000000"/>
                <w:sz w:val="20"/>
                <w:szCs w:val="20"/>
              </w:rPr>
              <w:t>Pre-feasibility, waste program</w:t>
            </w:r>
            <w:r>
              <w:rPr>
                <w:rFonts w:eastAsiaTheme="minorHAnsi" w:cs="Arial"/>
                <w:color w:val="000000"/>
                <w:sz w:val="20"/>
                <w:szCs w:val="20"/>
              </w:rPr>
              <w:t xml:space="preserve"> (regional)</w:t>
            </w:r>
          </w:p>
        </w:tc>
      </w:tr>
    </w:tbl>
    <w:p w14:paraId="5BEC3E18" w14:textId="77777777" w:rsidR="00C53196" w:rsidRDefault="00C53196" w:rsidP="00C04ADF">
      <w:pPr>
        <w:spacing w:before="120" w:after="120" w:line="276" w:lineRule="auto"/>
        <w:jc w:val="both"/>
        <w:rPr>
          <w:b/>
          <w:bCs/>
          <w:sz w:val="22"/>
          <w:szCs w:val="22"/>
        </w:rPr>
      </w:pPr>
    </w:p>
    <w:p w14:paraId="200AEB3B" w14:textId="77777777" w:rsidR="00C53196" w:rsidRDefault="00C53196" w:rsidP="00C04ADF">
      <w:pPr>
        <w:spacing w:before="120" w:after="120" w:line="276" w:lineRule="auto"/>
        <w:jc w:val="both"/>
        <w:rPr>
          <w:b/>
          <w:bCs/>
          <w:sz w:val="22"/>
          <w:szCs w:val="22"/>
        </w:rPr>
      </w:pPr>
    </w:p>
    <w:p w14:paraId="1004578E" w14:textId="2AFB9CC2" w:rsidR="008744DE" w:rsidRPr="00BE10E3" w:rsidRDefault="008744DE" w:rsidP="008744DE">
      <w:pPr>
        <w:keepNext/>
        <w:spacing w:before="120" w:after="120" w:line="276" w:lineRule="auto"/>
        <w:jc w:val="both"/>
        <w:rPr>
          <w:rFonts w:cs="Arial"/>
          <w:b/>
          <w:bCs/>
          <w:sz w:val="20"/>
          <w:szCs w:val="20"/>
        </w:rPr>
      </w:pPr>
      <w:r>
        <w:rPr>
          <w:rFonts w:cs="Arial"/>
          <w:b/>
          <w:bCs/>
          <w:sz w:val="20"/>
          <w:szCs w:val="20"/>
        </w:rPr>
        <w:t xml:space="preserve">Annex </w:t>
      </w:r>
      <w:r w:rsidR="0020318E">
        <w:rPr>
          <w:rFonts w:cs="Arial"/>
          <w:b/>
          <w:bCs/>
          <w:sz w:val="20"/>
          <w:szCs w:val="20"/>
        </w:rPr>
        <w:t>E</w:t>
      </w:r>
      <w:r>
        <w:rPr>
          <w:rFonts w:cs="Arial"/>
          <w:b/>
          <w:bCs/>
          <w:sz w:val="20"/>
          <w:szCs w:val="20"/>
        </w:rPr>
        <w:t xml:space="preserve"> </w:t>
      </w:r>
      <w:r w:rsidRPr="00BE10E3">
        <w:rPr>
          <w:rFonts w:cs="Arial"/>
          <w:b/>
          <w:bCs/>
          <w:sz w:val="20"/>
          <w:szCs w:val="20"/>
        </w:rPr>
        <w:t>SIP</w:t>
      </w:r>
      <w:r>
        <w:rPr>
          <w:rFonts w:cs="Arial"/>
          <w:b/>
          <w:bCs/>
          <w:sz w:val="20"/>
          <w:szCs w:val="20"/>
        </w:rPr>
        <w:t>-LA blended finance</w:t>
      </w:r>
      <w:r w:rsidRPr="00BE10E3">
        <w:rPr>
          <w:rFonts w:cs="Arial"/>
          <w:b/>
          <w:bCs/>
          <w:sz w:val="20"/>
          <w:szCs w:val="20"/>
        </w:rPr>
        <w:t xml:space="preserve"> </w:t>
      </w:r>
      <w:r>
        <w:rPr>
          <w:rFonts w:cs="Arial"/>
          <w:b/>
          <w:bCs/>
          <w:sz w:val="20"/>
          <w:szCs w:val="20"/>
        </w:rPr>
        <w:t>i</w:t>
      </w:r>
      <w:r w:rsidRPr="00BE10E3">
        <w:rPr>
          <w:rFonts w:cs="Arial"/>
          <w:b/>
          <w:bCs/>
          <w:sz w:val="20"/>
          <w:szCs w:val="20"/>
        </w:rPr>
        <w:t xml:space="preserve">nvestment </w:t>
      </w:r>
      <w:r>
        <w:rPr>
          <w:rFonts w:cs="Arial"/>
          <w:b/>
          <w:bCs/>
          <w:sz w:val="20"/>
          <w:szCs w:val="20"/>
        </w:rPr>
        <w:t>p</w:t>
      </w:r>
      <w:r w:rsidRPr="00BE10E3">
        <w:rPr>
          <w:rFonts w:cs="Arial"/>
          <w:b/>
          <w:bCs/>
          <w:sz w:val="20"/>
          <w:szCs w:val="20"/>
        </w:rPr>
        <w:t>ortfolio</w:t>
      </w:r>
    </w:p>
    <w:tbl>
      <w:tblPr>
        <w:tblW w:w="3345" w:type="pct"/>
        <w:tblLook w:val="04A0" w:firstRow="1" w:lastRow="0" w:firstColumn="1" w:lastColumn="0" w:noHBand="0" w:noVBand="1"/>
      </w:tblPr>
      <w:tblGrid>
        <w:gridCol w:w="1062"/>
        <w:gridCol w:w="1172"/>
        <w:gridCol w:w="1217"/>
        <w:gridCol w:w="1217"/>
        <w:gridCol w:w="1295"/>
        <w:gridCol w:w="1072"/>
        <w:gridCol w:w="1329"/>
      </w:tblGrid>
      <w:tr w:rsidR="008744DE" w:rsidRPr="00BE10E3" w14:paraId="74AF6241" w14:textId="77777777" w:rsidTr="00844E81">
        <w:trPr>
          <w:trHeight w:val="466"/>
        </w:trPr>
        <w:tc>
          <w:tcPr>
            <w:tcW w:w="685"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119F9B62"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Project Number</w:t>
            </w:r>
          </w:p>
        </w:tc>
        <w:tc>
          <w:tcPr>
            <w:tcW w:w="688"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3318CC4E"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Execution Status</w:t>
            </w:r>
          </w:p>
        </w:tc>
        <w:tc>
          <w:tcPr>
            <w:tcW w:w="756"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9628DAC"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Project Name</w:t>
            </w:r>
          </w:p>
        </w:tc>
        <w:tc>
          <w:tcPr>
            <w:tcW w:w="825"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34E1E84F"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Approval Date</w:t>
            </w:r>
          </w:p>
        </w:tc>
        <w:tc>
          <w:tcPr>
            <w:tcW w:w="709"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5999FCF5"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Beneficiary Country</w:t>
            </w:r>
          </w:p>
        </w:tc>
        <w:tc>
          <w:tcPr>
            <w:tcW w:w="520"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038A302E"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Sector</w:t>
            </w:r>
          </w:p>
        </w:tc>
        <w:tc>
          <w:tcPr>
            <w:tcW w:w="816" w:type="pct"/>
            <w:tcBorders>
              <w:top w:val="single" w:sz="4" w:space="0" w:color="auto"/>
              <w:left w:val="single" w:sz="4" w:space="0" w:color="auto"/>
              <w:bottom w:val="single" w:sz="4" w:space="0" w:color="auto"/>
              <w:right w:val="single" w:sz="4" w:space="0" w:color="auto"/>
            </w:tcBorders>
            <w:shd w:val="clear" w:color="000000" w:fill="B4C6E7"/>
            <w:vAlign w:val="center"/>
            <w:hideMark/>
          </w:tcPr>
          <w:p w14:paraId="6766FAC6" w14:textId="77777777" w:rsidR="008744DE" w:rsidRPr="00713E56" w:rsidRDefault="008744DE" w:rsidP="00513E41">
            <w:pPr>
              <w:spacing w:after="120"/>
              <w:jc w:val="center"/>
              <w:rPr>
                <w:rFonts w:cs="Arial"/>
                <w:b/>
                <w:sz w:val="20"/>
                <w:szCs w:val="20"/>
                <w:lang w:eastAsia="en-GB"/>
              </w:rPr>
            </w:pPr>
            <w:r w:rsidRPr="00713E56">
              <w:rPr>
                <w:rFonts w:cs="Arial"/>
                <w:b/>
                <w:sz w:val="20"/>
                <w:szCs w:val="20"/>
                <w:lang w:eastAsia="en-GB"/>
              </w:rPr>
              <w:t>Approved SIP Funding</w:t>
            </w:r>
          </w:p>
        </w:tc>
      </w:tr>
      <w:tr w:rsidR="008744DE" w:rsidRPr="00BE10E3" w14:paraId="6D1FAB99" w14:textId="77777777" w:rsidTr="00844E81">
        <w:trPr>
          <w:trHeight w:val="366"/>
        </w:trPr>
        <w:tc>
          <w:tcPr>
            <w:tcW w:w="6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596023"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n/a</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0AC9D065"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Dropped 2019</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B4C7693" w14:textId="77777777" w:rsidR="008744DE" w:rsidRPr="00713E56" w:rsidRDefault="008744DE" w:rsidP="00513E41">
            <w:pPr>
              <w:spacing w:after="120"/>
              <w:jc w:val="center"/>
              <w:rPr>
                <w:rFonts w:cs="Arial"/>
                <w:color w:val="0563C1"/>
                <w:sz w:val="20"/>
                <w:szCs w:val="20"/>
                <w:u w:val="single"/>
                <w:lang w:eastAsia="en-GB"/>
              </w:rPr>
            </w:pPr>
            <w:proofErr w:type="spellStart"/>
            <w:r w:rsidRPr="00713E56">
              <w:rPr>
                <w:rFonts w:cs="Arial"/>
                <w:color w:val="0563C1"/>
                <w:sz w:val="20"/>
                <w:szCs w:val="20"/>
                <w:u w:val="single"/>
                <w:lang w:eastAsia="en-GB"/>
              </w:rPr>
              <w:t>Ticul</w:t>
            </w:r>
            <w:proofErr w:type="spellEnd"/>
            <w:r w:rsidRPr="00713E56">
              <w:rPr>
                <w:rFonts w:cs="Arial"/>
                <w:color w:val="0563C1"/>
                <w:sz w:val="20"/>
                <w:szCs w:val="20"/>
                <w:u w:val="single"/>
                <w:lang w:eastAsia="en-GB"/>
              </w:rPr>
              <w:t xml:space="preserve"> Mexico</w:t>
            </w:r>
          </w:p>
        </w:tc>
        <w:tc>
          <w:tcPr>
            <w:tcW w:w="8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6DD4F9"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01/12/2018</w:t>
            </w:r>
          </w:p>
        </w:tc>
        <w:tc>
          <w:tcPr>
            <w:tcW w:w="709" w:type="pct"/>
            <w:tcBorders>
              <w:top w:val="single" w:sz="4" w:space="0" w:color="auto"/>
              <w:left w:val="nil"/>
              <w:bottom w:val="single" w:sz="4" w:space="0" w:color="auto"/>
              <w:right w:val="single" w:sz="4" w:space="0" w:color="auto"/>
            </w:tcBorders>
            <w:shd w:val="clear" w:color="000000" w:fill="D9D9D9"/>
            <w:vAlign w:val="center"/>
            <w:hideMark/>
          </w:tcPr>
          <w:p w14:paraId="739019C3"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Mexico</w:t>
            </w:r>
          </w:p>
        </w:tc>
        <w:tc>
          <w:tcPr>
            <w:tcW w:w="520" w:type="pct"/>
            <w:tcBorders>
              <w:top w:val="single" w:sz="4" w:space="0" w:color="auto"/>
              <w:left w:val="nil"/>
              <w:bottom w:val="single" w:sz="4" w:space="0" w:color="auto"/>
              <w:right w:val="single" w:sz="4" w:space="0" w:color="auto"/>
            </w:tcBorders>
            <w:shd w:val="clear" w:color="000000" w:fill="D9D9D9"/>
            <w:vAlign w:val="center"/>
            <w:hideMark/>
          </w:tcPr>
          <w:p w14:paraId="7A394EB7"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Energy</w:t>
            </w:r>
          </w:p>
        </w:tc>
        <w:tc>
          <w:tcPr>
            <w:tcW w:w="816" w:type="pct"/>
            <w:tcBorders>
              <w:top w:val="single" w:sz="4" w:space="0" w:color="auto"/>
              <w:left w:val="nil"/>
              <w:bottom w:val="single" w:sz="4" w:space="0" w:color="auto"/>
              <w:right w:val="single" w:sz="4" w:space="0" w:color="auto"/>
            </w:tcBorders>
            <w:shd w:val="clear" w:color="000000" w:fill="D9D9D9"/>
            <w:vAlign w:val="center"/>
            <w:hideMark/>
          </w:tcPr>
          <w:p w14:paraId="038DAC82" w14:textId="77777777" w:rsidR="008744DE" w:rsidRPr="00713E56" w:rsidRDefault="008744DE" w:rsidP="00513E41">
            <w:pPr>
              <w:spacing w:after="120"/>
              <w:rPr>
                <w:rFonts w:cs="Arial"/>
                <w:color w:val="000000"/>
                <w:sz w:val="20"/>
                <w:szCs w:val="20"/>
                <w:lang w:eastAsia="en-GB"/>
              </w:rPr>
            </w:pPr>
            <w:r w:rsidRPr="00713E56">
              <w:rPr>
                <w:rFonts w:cs="Arial"/>
                <w:color w:val="000000"/>
                <w:sz w:val="20"/>
                <w:szCs w:val="20"/>
                <w:lang w:eastAsia="en-GB"/>
              </w:rPr>
              <w:t>$30,000,000</w:t>
            </w:r>
          </w:p>
        </w:tc>
      </w:tr>
      <w:tr w:rsidR="008744DE" w:rsidRPr="00BE10E3" w14:paraId="5868B010" w14:textId="77777777" w:rsidTr="00844E81">
        <w:trPr>
          <w:trHeight w:val="555"/>
        </w:trPr>
        <w:tc>
          <w:tcPr>
            <w:tcW w:w="6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3070B82"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12680-01</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70516F0A"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Dropped 2020</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7F1DB35D" w14:textId="77777777" w:rsidR="008744DE" w:rsidRPr="00713E56" w:rsidRDefault="00620770" w:rsidP="00513E41">
            <w:pPr>
              <w:spacing w:after="120"/>
              <w:jc w:val="center"/>
              <w:rPr>
                <w:rFonts w:cs="Arial"/>
                <w:color w:val="0563C1"/>
                <w:sz w:val="20"/>
                <w:szCs w:val="20"/>
                <w:u w:val="single"/>
                <w:lang w:eastAsia="en-GB"/>
              </w:rPr>
            </w:pPr>
            <w:hyperlink r:id="rId22" w:history="1">
              <w:r w:rsidR="008744DE" w:rsidRPr="00713E56">
                <w:rPr>
                  <w:rFonts w:cs="Arial"/>
                  <w:color w:val="0563C1"/>
                  <w:sz w:val="20"/>
                  <w:szCs w:val="20"/>
                  <w:u w:val="single"/>
                  <w:lang w:eastAsia="en-GB"/>
                </w:rPr>
                <w:t xml:space="preserve">Green FDIC </w:t>
              </w:r>
              <w:proofErr w:type="spellStart"/>
              <w:r w:rsidR="008744DE" w:rsidRPr="00713E56">
                <w:rPr>
                  <w:rFonts w:cs="Arial"/>
                  <w:color w:val="0563C1"/>
                  <w:sz w:val="20"/>
                  <w:szCs w:val="20"/>
                  <w:u w:val="single"/>
                  <w:lang w:eastAsia="en-GB"/>
                </w:rPr>
                <w:t>Origo</w:t>
              </w:r>
              <w:proofErr w:type="spellEnd"/>
              <w:r w:rsidR="008744DE" w:rsidRPr="00713E56">
                <w:rPr>
                  <w:rFonts w:cs="Arial"/>
                  <w:color w:val="0563C1"/>
                  <w:sz w:val="20"/>
                  <w:szCs w:val="20"/>
                  <w:u w:val="single"/>
                  <w:lang w:eastAsia="en-GB"/>
                </w:rPr>
                <w:t xml:space="preserve"> (Brazil). </w:t>
              </w:r>
            </w:hyperlink>
          </w:p>
        </w:tc>
        <w:tc>
          <w:tcPr>
            <w:tcW w:w="8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176E3CF"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01/05/2018</w:t>
            </w:r>
          </w:p>
        </w:tc>
        <w:tc>
          <w:tcPr>
            <w:tcW w:w="709" w:type="pct"/>
            <w:tcBorders>
              <w:top w:val="single" w:sz="4" w:space="0" w:color="auto"/>
              <w:left w:val="nil"/>
              <w:bottom w:val="single" w:sz="4" w:space="0" w:color="auto"/>
              <w:right w:val="single" w:sz="4" w:space="0" w:color="auto"/>
            </w:tcBorders>
            <w:shd w:val="clear" w:color="000000" w:fill="D9D9D9"/>
            <w:vAlign w:val="center"/>
            <w:hideMark/>
          </w:tcPr>
          <w:p w14:paraId="390E3AC4"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Brazil</w:t>
            </w:r>
          </w:p>
        </w:tc>
        <w:tc>
          <w:tcPr>
            <w:tcW w:w="520" w:type="pct"/>
            <w:tcBorders>
              <w:top w:val="single" w:sz="4" w:space="0" w:color="auto"/>
              <w:left w:val="nil"/>
              <w:bottom w:val="single" w:sz="4" w:space="0" w:color="auto"/>
              <w:right w:val="single" w:sz="4" w:space="0" w:color="auto"/>
            </w:tcBorders>
            <w:shd w:val="clear" w:color="000000" w:fill="D9D9D9"/>
            <w:vAlign w:val="center"/>
            <w:hideMark/>
          </w:tcPr>
          <w:p w14:paraId="71F13E60"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Energy</w:t>
            </w:r>
          </w:p>
        </w:tc>
        <w:tc>
          <w:tcPr>
            <w:tcW w:w="816" w:type="pct"/>
            <w:tcBorders>
              <w:top w:val="single" w:sz="4" w:space="0" w:color="auto"/>
              <w:left w:val="nil"/>
              <w:bottom w:val="single" w:sz="4" w:space="0" w:color="auto"/>
              <w:right w:val="single" w:sz="4" w:space="0" w:color="auto"/>
            </w:tcBorders>
            <w:shd w:val="clear" w:color="000000" w:fill="D9D9D9"/>
            <w:vAlign w:val="center"/>
            <w:hideMark/>
          </w:tcPr>
          <w:p w14:paraId="4EF2EC86" w14:textId="77777777" w:rsidR="008744DE" w:rsidRPr="00713E56" w:rsidRDefault="008744DE" w:rsidP="00513E41">
            <w:pPr>
              <w:spacing w:after="120"/>
              <w:rPr>
                <w:rFonts w:cs="Arial"/>
                <w:color w:val="000000"/>
                <w:sz w:val="20"/>
                <w:szCs w:val="20"/>
                <w:lang w:eastAsia="en-GB"/>
              </w:rPr>
            </w:pPr>
            <w:r w:rsidRPr="00713E56">
              <w:rPr>
                <w:rFonts w:cs="Arial"/>
                <w:color w:val="000000"/>
                <w:sz w:val="20"/>
                <w:szCs w:val="20"/>
                <w:lang w:eastAsia="en-GB"/>
              </w:rPr>
              <w:t>$10,000,000</w:t>
            </w:r>
          </w:p>
        </w:tc>
      </w:tr>
      <w:tr w:rsidR="008744DE" w:rsidRPr="00BE10E3" w14:paraId="45D5A742" w14:textId="77777777" w:rsidTr="00844E81">
        <w:trPr>
          <w:trHeight w:val="464"/>
        </w:trPr>
        <w:tc>
          <w:tcPr>
            <w:tcW w:w="68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337386B"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13037-01</w:t>
            </w:r>
          </w:p>
        </w:tc>
        <w:tc>
          <w:tcPr>
            <w:tcW w:w="688" w:type="pct"/>
            <w:tcBorders>
              <w:top w:val="single" w:sz="4" w:space="0" w:color="auto"/>
              <w:left w:val="nil"/>
              <w:bottom w:val="single" w:sz="4" w:space="0" w:color="auto"/>
              <w:right w:val="single" w:sz="4" w:space="0" w:color="auto"/>
            </w:tcBorders>
            <w:shd w:val="clear" w:color="000000" w:fill="D9D9D9"/>
            <w:vAlign w:val="center"/>
            <w:hideMark/>
          </w:tcPr>
          <w:p w14:paraId="387C3C36"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Dropped 2020</w:t>
            </w:r>
          </w:p>
        </w:tc>
        <w:tc>
          <w:tcPr>
            <w:tcW w:w="756" w:type="pct"/>
            <w:tcBorders>
              <w:top w:val="single" w:sz="4" w:space="0" w:color="auto"/>
              <w:left w:val="nil"/>
              <w:bottom w:val="single" w:sz="4" w:space="0" w:color="auto"/>
              <w:right w:val="single" w:sz="4" w:space="0" w:color="auto"/>
            </w:tcBorders>
            <w:shd w:val="clear" w:color="000000" w:fill="D9D9D9"/>
            <w:vAlign w:val="center"/>
            <w:hideMark/>
          </w:tcPr>
          <w:p w14:paraId="111EA735" w14:textId="77777777" w:rsidR="008744DE" w:rsidRPr="00713E56" w:rsidRDefault="00620770" w:rsidP="00513E41">
            <w:pPr>
              <w:spacing w:after="120"/>
              <w:jc w:val="center"/>
              <w:rPr>
                <w:rFonts w:cs="Arial"/>
                <w:color w:val="0563C1"/>
                <w:sz w:val="20"/>
                <w:szCs w:val="20"/>
                <w:u w:val="single"/>
                <w:lang w:eastAsia="en-GB"/>
              </w:rPr>
            </w:pPr>
            <w:hyperlink r:id="rId23" w:history="1">
              <w:r w:rsidR="008744DE" w:rsidRPr="00713E56">
                <w:rPr>
                  <w:rFonts w:cs="Arial"/>
                  <w:color w:val="0563C1"/>
                  <w:sz w:val="20"/>
                  <w:szCs w:val="20"/>
                  <w:u w:val="single"/>
                  <w:lang w:eastAsia="en-GB"/>
                </w:rPr>
                <w:t>Electribus Bogotá</w:t>
              </w:r>
            </w:hyperlink>
          </w:p>
        </w:tc>
        <w:tc>
          <w:tcPr>
            <w:tcW w:w="82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0014995"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01/03/2020</w:t>
            </w:r>
          </w:p>
        </w:tc>
        <w:tc>
          <w:tcPr>
            <w:tcW w:w="709" w:type="pct"/>
            <w:tcBorders>
              <w:top w:val="single" w:sz="4" w:space="0" w:color="auto"/>
              <w:left w:val="nil"/>
              <w:bottom w:val="single" w:sz="4" w:space="0" w:color="auto"/>
              <w:right w:val="single" w:sz="4" w:space="0" w:color="auto"/>
            </w:tcBorders>
            <w:shd w:val="clear" w:color="000000" w:fill="D9D9D9"/>
            <w:vAlign w:val="center"/>
            <w:hideMark/>
          </w:tcPr>
          <w:p w14:paraId="2C70D536"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Colombia</w:t>
            </w:r>
          </w:p>
        </w:tc>
        <w:tc>
          <w:tcPr>
            <w:tcW w:w="520" w:type="pct"/>
            <w:tcBorders>
              <w:top w:val="single" w:sz="4" w:space="0" w:color="auto"/>
              <w:left w:val="nil"/>
              <w:bottom w:val="single" w:sz="4" w:space="0" w:color="auto"/>
              <w:right w:val="single" w:sz="4" w:space="0" w:color="auto"/>
            </w:tcBorders>
            <w:shd w:val="clear" w:color="000000" w:fill="D9D9D9"/>
            <w:vAlign w:val="center"/>
            <w:hideMark/>
          </w:tcPr>
          <w:p w14:paraId="7FB04AA9"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Transport</w:t>
            </w:r>
          </w:p>
        </w:tc>
        <w:tc>
          <w:tcPr>
            <w:tcW w:w="816" w:type="pct"/>
            <w:tcBorders>
              <w:top w:val="single" w:sz="4" w:space="0" w:color="auto"/>
              <w:left w:val="nil"/>
              <w:bottom w:val="single" w:sz="4" w:space="0" w:color="auto"/>
              <w:right w:val="single" w:sz="4" w:space="0" w:color="auto"/>
            </w:tcBorders>
            <w:shd w:val="clear" w:color="000000" w:fill="D9D9D9"/>
            <w:vAlign w:val="center"/>
            <w:hideMark/>
          </w:tcPr>
          <w:p w14:paraId="292D31A1" w14:textId="77777777" w:rsidR="008744DE" w:rsidRPr="00713E56" w:rsidRDefault="008744DE" w:rsidP="00513E41">
            <w:pPr>
              <w:spacing w:after="120"/>
              <w:rPr>
                <w:rFonts w:cs="Arial"/>
                <w:color w:val="000000"/>
                <w:sz w:val="20"/>
                <w:szCs w:val="20"/>
                <w:lang w:eastAsia="en-GB"/>
              </w:rPr>
            </w:pPr>
            <w:r w:rsidRPr="00713E56">
              <w:rPr>
                <w:rFonts w:cs="Arial"/>
                <w:color w:val="000000"/>
                <w:sz w:val="20"/>
                <w:szCs w:val="20"/>
                <w:lang w:eastAsia="en-GB"/>
              </w:rPr>
              <w:t>$10,000,000</w:t>
            </w:r>
          </w:p>
        </w:tc>
      </w:tr>
      <w:tr w:rsidR="008744DE" w:rsidRPr="00BE10E3" w14:paraId="79DC1EFB" w14:textId="77777777" w:rsidTr="00844E81">
        <w:trPr>
          <w:trHeight w:val="512"/>
        </w:trPr>
        <w:tc>
          <w:tcPr>
            <w:tcW w:w="6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E6A8A" w14:textId="77777777" w:rsidR="008744DE" w:rsidRPr="00713E56" w:rsidRDefault="00620770" w:rsidP="00513E41">
            <w:pPr>
              <w:spacing w:after="120"/>
              <w:jc w:val="center"/>
              <w:rPr>
                <w:rFonts w:cs="Arial"/>
                <w:color w:val="0563C1"/>
                <w:sz w:val="20"/>
                <w:szCs w:val="20"/>
                <w:u w:val="single"/>
                <w:lang w:eastAsia="en-GB"/>
              </w:rPr>
            </w:pPr>
            <w:hyperlink r:id="rId24" w:history="1">
              <w:r w:rsidR="008744DE" w:rsidRPr="00713E56">
                <w:rPr>
                  <w:rFonts w:cs="Arial"/>
                  <w:color w:val="0563C1"/>
                  <w:sz w:val="20"/>
                  <w:szCs w:val="20"/>
                  <w:u w:val="single"/>
                  <w:lang w:eastAsia="en-GB"/>
                </w:rPr>
                <w:t>13420-01</w:t>
              </w:r>
            </w:hyperlink>
          </w:p>
        </w:tc>
        <w:tc>
          <w:tcPr>
            <w:tcW w:w="68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CCA089F"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Active</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B9A974" w14:textId="77777777" w:rsidR="008744DE" w:rsidRPr="00713E56" w:rsidRDefault="008744DE" w:rsidP="00513E41">
            <w:pPr>
              <w:spacing w:after="120"/>
              <w:jc w:val="center"/>
              <w:rPr>
                <w:rFonts w:cs="Arial"/>
                <w:sz w:val="20"/>
                <w:szCs w:val="20"/>
                <w:lang w:eastAsia="en-GB"/>
              </w:rPr>
            </w:pPr>
            <w:r w:rsidRPr="00713E56">
              <w:rPr>
                <w:rFonts w:cs="Arial"/>
                <w:sz w:val="20"/>
                <w:szCs w:val="20"/>
                <w:lang w:eastAsia="en-GB"/>
              </w:rPr>
              <w:t>Colombia Renewable Energy Tender Facility</w:t>
            </w:r>
          </w:p>
        </w:tc>
        <w:tc>
          <w:tcPr>
            <w:tcW w:w="82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A6C45A"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BEIS non-objection June 2020</w:t>
            </w:r>
          </w:p>
        </w:tc>
        <w:tc>
          <w:tcPr>
            <w:tcW w:w="70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C751E3"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Colombia</w:t>
            </w:r>
          </w:p>
        </w:tc>
        <w:tc>
          <w:tcPr>
            <w:tcW w:w="52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9D5D36" w14:textId="77777777" w:rsidR="008744DE" w:rsidRPr="00713E56" w:rsidRDefault="008744DE" w:rsidP="00513E41">
            <w:pPr>
              <w:spacing w:after="120"/>
              <w:jc w:val="center"/>
              <w:rPr>
                <w:rFonts w:cs="Arial"/>
                <w:color w:val="000000"/>
                <w:sz w:val="20"/>
                <w:szCs w:val="20"/>
                <w:lang w:eastAsia="en-GB"/>
              </w:rPr>
            </w:pPr>
            <w:r w:rsidRPr="00713E56">
              <w:rPr>
                <w:rFonts w:cs="Arial"/>
                <w:color w:val="000000"/>
                <w:sz w:val="20"/>
                <w:szCs w:val="20"/>
                <w:lang w:eastAsia="en-GB"/>
              </w:rPr>
              <w:t>Energy</w:t>
            </w:r>
          </w:p>
        </w:tc>
        <w:tc>
          <w:tcPr>
            <w:tcW w:w="81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0DC21A" w14:textId="77777777" w:rsidR="008744DE" w:rsidRPr="00713E56" w:rsidRDefault="008744DE" w:rsidP="00513E41">
            <w:pPr>
              <w:spacing w:after="120"/>
              <w:rPr>
                <w:rFonts w:cs="Arial"/>
                <w:color w:val="000000"/>
                <w:sz w:val="20"/>
                <w:szCs w:val="20"/>
                <w:lang w:eastAsia="en-GB"/>
              </w:rPr>
            </w:pPr>
            <w:r w:rsidRPr="00713E56">
              <w:rPr>
                <w:rFonts w:cs="Arial"/>
                <w:color w:val="000000"/>
                <w:sz w:val="20"/>
                <w:szCs w:val="20"/>
                <w:lang w:eastAsia="en-GB"/>
              </w:rPr>
              <w:t>$30,000,000</w:t>
            </w:r>
          </w:p>
        </w:tc>
      </w:tr>
    </w:tbl>
    <w:p w14:paraId="349F22C2" w14:textId="4A75B0C2" w:rsidR="008744DE" w:rsidRDefault="008744DE" w:rsidP="00C04ADF">
      <w:pPr>
        <w:spacing w:before="120" w:after="120" w:line="276" w:lineRule="auto"/>
        <w:jc w:val="both"/>
        <w:rPr>
          <w:b/>
          <w:bCs/>
          <w:sz w:val="22"/>
          <w:szCs w:val="22"/>
        </w:rPr>
        <w:sectPr w:rsidR="008744DE" w:rsidSect="00830D08">
          <w:pgSz w:w="11906" w:h="16838"/>
          <w:pgMar w:top="709" w:right="1440" w:bottom="709" w:left="1440" w:header="708" w:footer="708" w:gutter="0"/>
          <w:cols w:space="708"/>
          <w:docGrid w:linePitch="360"/>
        </w:sectPr>
      </w:pPr>
    </w:p>
    <w:p w14:paraId="164007B2" w14:textId="163DC24F" w:rsidR="00651F50" w:rsidRDefault="00DB0211" w:rsidP="00C04ADF">
      <w:pPr>
        <w:spacing w:before="120" w:after="120" w:line="276" w:lineRule="auto"/>
        <w:jc w:val="both"/>
        <w:rPr>
          <w:b/>
          <w:bCs/>
          <w:sz w:val="22"/>
          <w:szCs w:val="22"/>
        </w:rPr>
      </w:pPr>
      <w:r>
        <w:rPr>
          <w:b/>
          <w:bCs/>
          <w:sz w:val="22"/>
          <w:szCs w:val="22"/>
        </w:rPr>
        <w:lastRenderedPageBreak/>
        <w:t xml:space="preserve">Annex </w:t>
      </w:r>
      <w:r w:rsidR="0020318E">
        <w:rPr>
          <w:b/>
          <w:bCs/>
          <w:sz w:val="22"/>
          <w:szCs w:val="22"/>
        </w:rPr>
        <w:t>F</w:t>
      </w:r>
      <w:r>
        <w:rPr>
          <w:b/>
          <w:bCs/>
          <w:sz w:val="22"/>
          <w:szCs w:val="22"/>
        </w:rPr>
        <w:t xml:space="preserve"> </w:t>
      </w:r>
      <w:r w:rsidR="00585803">
        <w:rPr>
          <w:b/>
          <w:bCs/>
          <w:sz w:val="22"/>
          <w:szCs w:val="22"/>
        </w:rPr>
        <w:t>SIP</w:t>
      </w:r>
      <w:r w:rsidR="00F03915">
        <w:rPr>
          <w:b/>
          <w:bCs/>
          <w:sz w:val="22"/>
          <w:szCs w:val="22"/>
        </w:rPr>
        <w:t>-LA</w:t>
      </w:r>
      <w:r w:rsidR="00585803">
        <w:rPr>
          <w:b/>
          <w:bCs/>
          <w:sz w:val="22"/>
          <w:szCs w:val="22"/>
        </w:rPr>
        <w:t xml:space="preserve"> </w:t>
      </w:r>
      <w:r w:rsidR="000C493E">
        <w:rPr>
          <w:b/>
          <w:bCs/>
          <w:sz w:val="22"/>
          <w:szCs w:val="22"/>
        </w:rPr>
        <w:t xml:space="preserve">public and private </w:t>
      </w:r>
      <w:r w:rsidR="00F03915">
        <w:rPr>
          <w:b/>
          <w:bCs/>
          <w:sz w:val="22"/>
          <w:szCs w:val="22"/>
        </w:rPr>
        <w:t>technical assistance</w:t>
      </w:r>
      <w:r w:rsidR="00EF414A">
        <w:rPr>
          <w:b/>
          <w:bCs/>
          <w:sz w:val="22"/>
          <w:szCs w:val="22"/>
        </w:rPr>
        <w:t xml:space="preserve"> projects</w:t>
      </w:r>
      <w:r w:rsidR="00282E7D">
        <w:rPr>
          <w:b/>
          <w:bCs/>
          <w:sz w:val="22"/>
          <w:szCs w:val="22"/>
        </w:rPr>
        <w:t xml:space="preserve"> active in 2020</w:t>
      </w:r>
    </w:p>
    <w:tbl>
      <w:tblPr>
        <w:tblW w:w="5000" w:type="pct"/>
        <w:tblLook w:val="04A0" w:firstRow="1" w:lastRow="0" w:firstColumn="1" w:lastColumn="0" w:noHBand="0" w:noVBand="1"/>
      </w:tblPr>
      <w:tblGrid>
        <w:gridCol w:w="1057"/>
        <w:gridCol w:w="1077"/>
        <w:gridCol w:w="2681"/>
        <w:gridCol w:w="1134"/>
        <w:gridCol w:w="1492"/>
        <w:gridCol w:w="1177"/>
        <w:gridCol w:w="1187"/>
        <w:gridCol w:w="1227"/>
        <w:gridCol w:w="1117"/>
        <w:gridCol w:w="1097"/>
        <w:gridCol w:w="1156"/>
        <w:gridCol w:w="1008"/>
      </w:tblGrid>
      <w:tr w:rsidR="00517ECE" w:rsidRPr="00033FC0" w14:paraId="4DA33523" w14:textId="77777777" w:rsidTr="00517ECE">
        <w:trPr>
          <w:trHeight w:val="578"/>
        </w:trPr>
        <w:tc>
          <w:tcPr>
            <w:tcW w:w="343" w:type="pct"/>
            <w:tcBorders>
              <w:top w:val="single" w:sz="4" w:space="0" w:color="auto"/>
              <w:left w:val="single" w:sz="4" w:space="0" w:color="auto"/>
              <w:bottom w:val="single" w:sz="4" w:space="0" w:color="auto"/>
            </w:tcBorders>
            <w:shd w:val="clear" w:color="000000" w:fill="B4C6E7"/>
            <w:vAlign w:val="center"/>
            <w:hideMark/>
          </w:tcPr>
          <w:p w14:paraId="4EDC59BB"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Project Number</w:t>
            </w:r>
          </w:p>
        </w:tc>
        <w:tc>
          <w:tcPr>
            <w:tcW w:w="349" w:type="pct"/>
            <w:tcBorders>
              <w:top w:val="single" w:sz="4" w:space="0" w:color="auto"/>
              <w:bottom w:val="single" w:sz="4" w:space="0" w:color="auto"/>
            </w:tcBorders>
            <w:shd w:val="clear" w:color="000000" w:fill="B4C6E7"/>
            <w:vAlign w:val="center"/>
            <w:hideMark/>
          </w:tcPr>
          <w:p w14:paraId="0CB7205E"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Execution Status</w:t>
            </w:r>
          </w:p>
        </w:tc>
        <w:tc>
          <w:tcPr>
            <w:tcW w:w="870" w:type="pct"/>
            <w:tcBorders>
              <w:top w:val="single" w:sz="4" w:space="0" w:color="auto"/>
              <w:bottom w:val="single" w:sz="4" w:space="0" w:color="auto"/>
            </w:tcBorders>
            <w:shd w:val="clear" w:color="000000" w:fill="B4C6E7"/>
            <w:vAlign w:val="center"/>
            <w:hideMark/>
          </w:tcPr>
          <w:p w14:paraId="6861784F"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Project Name</w:t>
            </w:r>
          </w:p>
        </w:tc>
        <w:tc>
          <w:tcPr>
            <w:tcW w:w="368" w:type="pct"/>
            <w:tcBorders>
              <w:top w:val="single" w:sz="4" w:space="0" w:color="auto"/>
              <w:bottom w:val="single" w:sz="4" w:space="0" w:color="auto"/>
            </w:tcBorders>
            <w:shd w:val="clear" w:color="000000" w:fill="B4C6E7"/>
            <w:vAlign w:val="center"/>
            <w:hideMark/>
          </w:tcPr>
          <w:p w14:paraId="7E515772"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Approval Date</w:t>
            </w:r>
          </w:p>
        </w:tc>
        <w:tc>
          <w:tcPr>
            <w:tcW w:w="484" w:type="pct"/>
            <w:tcBorders>
              <w:top w:val="single" w:sz="4" w:space="0" w:color="auto"/>
              <w:bottom w:val="single" w:sz="4" w:space="0" w:color="auto"/>
            </w:tcBorders>
            <w:shd w:val="clear" w:color="000000" w:fill="B4C6E7"/>
            <w:vAlign w:val="center"/>
            <w:hideMark/>
          </w:tcPr>
          <w:p w14:paraId="1194AE12"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disbursement period</w:t>
            </w:r>
          </w:p>
        </w:tc>
        <w:tc>
          <w:tcPr>
            <w:tcW w:w="382" w:type="pct"/>
            <w:tcBorders>
              <w:top w:val="single" w:sz="4" w:space="0" w:color="auto"/>
              <w:bottom w:val="single" w:sz="4" w:space="0" w:color="auto"/>
            </w:tcBorders>
            <w:shd w:val="clear" w:color="000000" w:fill="B4C6E7"/>
            <w:vAlign w:val="center"/>
          </w:tcPr>
          <w:p w14:paraId="2F7A7CEC" w14:textId="2141F2F3" w:rsidR="00821B49" w:rsidRPr="00BE10E3" w:rsidRDefault="00821B49" w:rsidP="00523EA1">
            <w:pPr>
              <w:jc w:val="center"/>
              <w:rPr>
                <w:rFonts w:cs="Arial"/>
                <w:b/>
                <w:bCs/>
                <w:sz w:val="18"/>
                <w:szCs w:val="18"/>
                <w:lang w:eastAsia="en-GB"/>
              </w:rPr>
            </w:pPr>
            <w:r w:rsidRPr="00BE10E3">
              <w:rPr>
                <w:rFonts w:cs="Arial"/>
                <w:b/>
                <w:bCs/>
                <w:sz w:val="18"/>
                <w:szCs w:val="18"/>
                <w:lang w:eastAsia="en-GB"/>
              </w:rPr>
              <w:t xml:space="preserve">Expected completion </w:t>
            </w:r>
            <w:r w:rsidR="00523EA1" w:rsidRPr="00BE10E3">
              <w:rPr>
                <w:rFonts w:cs="Arial"/>
                <w:b/>
                <w:bCs/>
                <w:sz w:val="18"/>
                <w:szCs w:val="18"/>
                <w:lang w:eastAsia="en-GB"/>
              </w:rPr>
              <w:t>year</w:t>
            </w:r>
          </w:p>
        </w:tc>
        <w:tc>
          <w:tcPr>
            <w:tcW w:w="385" w:type="pct"/>
            <w:tcBorders>
              <w:top w:val="single" w:sz="4" w:space="0" w:color="auto"/>
              <w:bottom w:val="single" w:sz="4" w:space="0" w:color="auto"/>
            </w:tcBorders>
            <w:shd w:val="clear" w:color="000000" w:fill="B4C6E7"/>
            <w:vAlign w:val="center"/>
            <w:hideMark/>
          </w:tcPr>
          <w:p w14:paraId="0FE6B38C" w14:textId="5FD9540E" w:rsidR="00821B49" w:rsidRPr="00BE10E3" w:rsidRDefault="00821B49" w:rsidP="00503E5B">
            <w:pPr>
              <w:jc w:val="center"/>
              <w:rPr>
                <w:rFonts w:cs="Arial"/>
                <w:b/>
                <w:bCs/>
                <w:sz w:val="18"/>
                <w:szCs w:val="18"/>
                <w:lang w:eastAsia="en-GB"/>
              </w:rPr>
            </w:pPr>
            <w:r w:rsidRPr="00BE10E3">
              <w:rPr>
                <w:rFonts w:cs="Arial"/>
                <w:b/>
                <w:bCs/>
                <w:sz w:val="18"/>
                <w:szCs w:val="18"/>
                <w:lang w:eastAsia="en-GB"/>
              </w:rPr>
              <w:t>Beneficiary Country</w:t>
            </w:r>
          </w:p>
        </w:tc>
        <w:tc>
          <w:tcPr>
            <w:tcW w:w="398" w:type="pct"/>
            <w:tcBorders>
              <w:top w:val="single" w:sz="4" w:space="0" w:color="auto"/>
              <w:bottom w:val="single" w:sz="4" w:space="0" w:color="auto"/>
            </w:tcBorders>
            <w:shd w:val="clear" w:color="000000" w:fill="B4C6E7"/>
            <w:vAlign w:val="center"/>
            <w:hideMark/>
          </w:tcPr>
          <w:p w14:paraId="2082AE85"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Sector</w:t>
            </w:r>
          </w:p>
        </w:tc>
        <w:tc>
          <w:tcPr>
            <w:tcW w:w="362" w:type="pct"/>
            <w:tcBorders>
              <w:top w:val="single" w:sz="4" w:space="0" w:color="auto"/>
              <w:bottom w:val="single" w:sz="4" w:space="0" w:color="auto"/>
            </w:tcBorders>
            <w:shd w:val="clear" w:color="000000" w:fill="B4C6E7"/>
            <w:vAlign w:val="center"/>
            <w:hideMark/>
          </w:tcPr>
          <w:p w14:paraId="506DE1AF"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Approved Amount</w:t>
            </w:r>
          </w:p>
        </w:tc>
        <w:tc>
          <w:tcPr>
            <w:tcW w:w="356" w:type="pct"/>
            <w:tcBorders>
              <w:top w:val="single" w:sz="4" w:space="0" w:color="auto"/>
              <w:bottom w:val="single" w:sz="4" w:space="0" w:color="auto"/>
            </w:tcBorders>
            <w:shd w:val="clear" w:color="000000" w:fill="B4C6E7"/>
            <w:vAlign w:val="center"/>
            <w:hideMark/>
          </w:tcPr>
          <w:p w14:paraId="2277C759" w14:textId="429B782B" w:rsidR="00821B49" w:rsidRPr="00BE10E3" w:rsidRDefault="00821B49" w:rsidP="00503E5B">
            <w:pPr>
              <w:jc w:val="center"/>
              <w:rPr>
                <w:rFonts w:cs="Arial"/>
                <w:b/>
                <w:bCs/>
                <w:sz w:val="18"/>
                <w:szCs w:val="18"/>
                <w:lang w:eastAsia="en-GB"/>
              </w:rPr>
            </w:pPr>
            <w:r w:rsidRPr="00BE10E3">
              <w:rPr>
                <w:rFonts w:cs="Arial"/>
                <w:b/>
                <w:bCs/>
                <w:sz w:val="18"/>
                <w:szCs w:val="18"/>
                <w:lang w:eastAsia="en-GB"/>
              </w:rPr>
              <w:t xml:space="preserve">Disbursed amount </w:t>
            </w:r>
          </w:p>
        </w:tc>
        <w:tc>
          <w:tcPr>
            <w:tcW w:w="375" w:type="pct"/>
            <w:tcBorders>
              <w:top w:val="single" w:sz="4" w:space="0" w:color="auto"/>
              <w:bottom w:val="single" w:sz="4" w:space="0" w:color="auto"/>
            </w:tcBorders>
            <w:shd w:val="clear" w:color="000000" w:fill="B4C6E7"/>
            <w:vAlign w:val="center"/>
            <w:hideMark/>
          </w:tcPr>
          <w:p w14:paraId="682773D3"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Committed amount</w:t>
            </w:r>
          </w:p>
        </w:tc>
        <w:tc>
          <w:tcPr>
            <w:tcW w:w="327" w:type="pct"/>
            <w:tcBorders>
              <w:top w:val="single" w:sz="4" w:space="0" w:color="auto"/>
              <w:bottom w:val="single" w:sz="4" w:space="0" w:color="auto"/>
              <w:right w:val="single" w:sz="4" w:space="0" w:color="auto"/>
            </w:tcBorders>
            <w:shd w:val="clear" w:color="000000" w:fill="B4C6E7"/>
            <w:vAlign w:val="center"/>
            <w:hideMark/>
          </w:tcPr>
          <w:p w14:paraId="4C936554" w14:textId="77777777" w:rsidR="00821B49" w:rsidRPr="00BE10E3" w:rsidRDefault="00821B49" w:rsidP="00503E5B">
            <w:pPr>
              <w:jc w:val="center"/>
              <w:rPr>
                <w:rFonts w:cs="Arial"/>
                <w:b/>
                <w:bCs/>
                <w:sz w:val="18"/>
                <w:szCs w:val="18"/>
                <w:lang w:eastAsia="en-GB"/>
              </w:rPr>
            </w:pPr>
            <w:r w:rsidRPr="00BE10E3">
              <w:rPr>
                <w:rFonts w:cs="Arial"/>
                <w:b/>
                <w:bCs/>
                <w:sz w:val="18"/>
                <w:szCs w:val="18"/>
                <w:lang w:eastAsia="en-GB"/>
              </w:rPr>
              <w:t>Available balance</w:t>
            </w:r>
          </w:p>
        </w:tc>
      </w:tr>
      <w:tr w:rsidR="00517ECE" w:rsidRPr="00033FC0" w14:paraId="726DCE69" w14:textId="77777777" w:rsidTr="00517ECE">
        <w:trPr>
          <w:trHeight w:val="96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15ED1" w14:textId="77777777" w:rsidR="00821B49" w:rsidRPr="00BE10E3" w:rsidRDefault="00620770" w:rsidP="00ED0725">
            <w:pPr>
              <w:jc w:val="center"/>
              <w:rPr>
                <w:rFonts w:cs="Arial"/>
                <w:color w:val="0563C1"/>
                <w:sz w:val="18"/>
                <w:szCs w:val="18"/>
                <w:u w:val="single"/>
                <w:lang w:eastAsia="en-GB"/>
              </w:rPr>
            </w:pPr>
            <w:hyperlink r:id="rId25" w:history="1">
              <w:r w:rsidR="00821B49" w:rsidRPr="00BE10E3">
                <w:rPr>
                  <w:rFonts w:cs="Arial"/>
                  <w:color w:val="0563C1"/>
                  <w:sz w:val="18"/>
                  <w:szCs w:val="18"/>
                  <w:u w:val="single"/>
                  <w:lang w:eastAsia="en-GB"/>
                </w:rPr>
                <w:t>RG-T3291</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233227A"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nil"/>
              <w:left w:val="nil"/>
              <w:bottom w:val="single" w:sz="4" w:space="0" w:color="auto"/>
              <w:right w:val="single" w:sz="4" w:space="0" w:color="auto"/>
            </w:tcBorders>
            <w:shd w:val="clear" w:color="000000" w:fill="FFFFFF"/>
            <w:vAlign w:val="center"/>
            <w:hideMark/>
          </w:tcPr>
          <w:p w14:paraId="1EBE64B6" w14:textId="77777777" w:rsidR="00821B49" w:rsidRPr="00BE10E3" w:rsidRDefault="00821B49" w:rsidP="00ED0725">
            <w:pPr>
              <w:jc w:val="center"/>
              <w:rPr>
                <w:rFonts w:cs="Arial"/>
                <w:sz w:val="18"/>
                <w:szCs w:val="18"/>
                <w:lang w:eastAsia="en-GB"/>
              </w:rPr>
            </w:pPr>
            <w:r w:rsidRPr="00BE10E3">
              <w:rPr>
                <w:rFonts w:cs="Arial"/>
                <w:sz w:val="18"/>
                <w:szCs w:val="18"/>
                <w:lang w:eastAsia="en-GB"/>
              </w:rPr>
              <w:t>Integrating the IDB Sustainable Infrastructure Framework into the Planning, Design, Procurement and Financing Process of Infrastructure Assets</w:t>
            </w:r>
          </w:p>
        </w:tc>
        <w:tc>
          <w:tcPr>
            <w:tcW w:w="368" w:type="pct"/>
            <w:tcBorders>
              <w:top w:val="nil"/>
              <w:left w:val="nil"/>
              <w:bottom w:val="single" w:sz="4" w:space="0" w:color="auto"/>
              <w:right w:val="single" w:sz="4" w:space="0" w:color="auto"/>
            </w:tcBorders>
            <w:shd w:val="clear" w:color="000000" w:fill="FFFFFF"/>
            <w:vAlign w:val="center"/>
            <w:hideMark/>
          </w:tcPr>
          <w:p w14:paraId="092A4B0D" w14:textId="77777777" w:rsidR="00821B49" w:rsidRPr="00BE10E3" w:rsidRDefault="00821B49" w:rsidP="00ED0725">
            <w:pPr>
              <w:jc w:val="center"/>
              <w:rPr>
                <w:rFonts w:cs="Arial"/>
                <w:sz w:val="18"/>
                <w:szCs w:val="18"/>
                <w:lang w:eastAsia="en-GB"/>
              </w:rPr>
            </w:pPr>
            <w:r w:rsidRPr="00BE10E3">
              <w:rPr>
                <w:rFonts w:cs="Arial"/>
                <w:sz w:val="18"/>
                <w:szCs w:val="18"/>
                <w:lang w:eastAsia="en-GB"/>
              </w:rPr>
              <w:t>19/10/2018</w:t>
            </w:r>
          </w:p>
        </w:tc>
        <w:tc>
          <w:tcPr>
            <w:tcW w:w="484" w:type="pct"/>
            <w:tcBorders>
              <w:top w:val="nil"/>
              <w:left w:val="nil"/>
              <w:bottom w:val="single" w:sz="4" w:space="0" w:color="auto"/>
              <w:right w:val="single" w:sz="4" w:space="0" w:color="auto"/>
            </w:tcBorders>
            <w:shd w:val="clear" w:color="000000" w:fill="FFFFFF"/>
            <w:vAlign w:val="center"/>
            <w:hideMark/>
          </w:tcPr>
          <w:p w14:paraId="368DD64A" w14:textId="7E21689D" w:rsidR="00821B49" w:rsidRPr="00BE10E3" w:rsidRDefault="00821B49" w:rsidP="00ED0725">
            <w:pPr>
              <w:jc w:val="center"/>
              <w:rPr>
                <w:rFonts w:cs="Arial"/>
                <w:sz w:val="18"/>
                <w:szCs w:val="18"/>
                <w:lang w:eastAsia="en-GB"/>
              </w:rPr>
            </w:pPr>
            <w:r w:rsidRPr="00BE10E3">
              <w:rPr>
                <w:rFonts w:cs="Arial"/>
                <w:sz w:val="18"/>
                <w:szCs w:val="18"/>
                <w:lang w:eastAsia="en-GB"/>
              </w:rPr>
              <w:t>36 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46D4574D" w14:textId="58888A03" w:rsidR="00821B49" w:rsidRPr="00BE10E3" w:rsidRDefault="00821B49" w:rsidP="00523EA1">
            <w:pPr>
              <w:jc w:val="center"/>
              <w:rPr>
                <w:rFonts w:cs="Arial"/>
                <w:sz w:val="18"/>
                <w:szCs w:val="18"/>
                <w:lang w:eastAsia="en-GB"/>
              </w:rPr>
            </w:pPr>
            <w:r w:rsidRPr="00BE10E3">
              <w:rPr>
                <w:rFonts w:cs="Arial"/>
                <w:sz w:val="18"/>
                <w:szCs w:val="18"/>
                <w:lang w:eastAsia="en-GB"/>
              </w:rPr>
              <w:t>2022</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14:paraId="7A62A0EF" w14:textId="6A151BB1" w:rsidR="00821B49" w:rsidRPr="00BE10E3" w:rsidRDefault="00821B49" w:rsidP="00ED0725">
            <w:pPr>
              <w:jc w:val="center"/>
              <w:rPr>
                <w:rFonts w:cs="Arial"/>
                <w:sz w:val="18"/>
                <w:szCs w:val="18"/>
                <w:lang w:eastAsia="en-GB"/>
              </w:rPr>
            </w:pPr>
            <w:r w:rsidRPr="00BE10E3">
              <w:rPr>
                <w:rFonts w:cs="Arial"/>
                <w:sz w:val="18"/>
                <w:szCs w:val="18"/>
                <w:lang w:eastAsia="en-GB"/>
              </w:rPr>
              <w:t>Regional</w:t>
            </w:r>
          </w:p>
        </w:tc>
        <w:tc>
          <w:tcPr>
            <w:tcW w:w="398" w:type="pct"/>
            <w:tcBorders>
              <w:top w:val="nil"/>
              <w:left w:val="nil"/>
              <w:bottom w:val="single" w:sz="4" w:space="0" w:color="auto"/>
              <w:right w:val="single" w:sz="4" w:space="0" w:color="auto"/>
            </w:tcBorders>
            <w:shd w:val="clear" w:color="000000" w:fill="FFFFFF"/>
            <w:vAlign w:val="center"/>
            <w:hideMark/>
          </w:tcPr>
          <w:p w14:paraId="34C4D8AD" w14:textId="77777777" w:rsidR="00821B49" w:rsidRPr="00BE10E3" w:rsidRDefault="00821B49" w:rsidP="00ED0725">
            <w:pPr>
              <w:jc w:val="center"/>
              <w:rPr>
                <w:rFonts w:cs="Arial"/>
                <w:sz w:val="18"/>
                <w:szCs w:val="18"/>
                <w:lang w:eastAsia="en-GB"/>
              </w:rPr>
            </w:pPr>
            <w:r w:rsidRPr="00BE10E3">
              <w:rPr>
                <w:rFonts w:cs="Arial"/>
                <w:sz w:val="18"/>
                <w:szCs w:val="18"/>
                <w:lang w:eastAsia="en-GB"/>
              </w:rPr>
              <w:t>Environment and Natural Disasters</w:t>
            </w:r>
          </w:p>
        </w:tc>
        <w:tc>
          <w:tcPr>
            <w:tcW w:w="362" w:type="pct"/>
            <w:tcBorders>
              <w:top w:val="nil"/>
              <w:left w:val="nil"/>
              <w:bottom w:val="single" w:sz="4" w:space="0" w:color="auto"/>
              <w:right w:val="single" w:sz="4" w:space="0" w:color="auto"/>
            </w:tcBorders>
            <w:shd w:val="clear" w:color="000000" w:fill="FFFFFF"/>
            <w:noWrap/>
            <w:vAlign w:val="center"/>
            <w:hideMark/>
          </w:tcPr>
          <w:p w14:paraId="7EB93564" w14:textId="77777777" w:rsidR="00821B49" w:rsidRPr="00BE10E3" w:rsidRDefault="00821B49" w:rsidP="00D00B94">
            <w:pPr>
              <w:jc w:val="right"/>
              <w:rPr>
                <w:rFonts w:cs="Arial"/>
                <w:sz w:val="18"/>
                <w:szCs w:val="18"/>
                <w:lang w:eastAsia="en-GB"/>
              </w:rPr>
            </w:pPr>
            <w:r w:rsidRPr="00BE10E3">
              <w:rPr>
                <w:rFonts w:cs="Arial"/>
                <w:sz w:val="18"/>
                <w:szCs w:val="18"/>
                <w:lang w:eastAsia="en-GB"/>
              </w:rPr>
              <w:t>$1,300,000</w:t>
            </w:r>
          </w:p>
        </w:tc>
        <w:tc>
          <w:tcPr>
            <w:tcW w:w="356" w:type="pct"/>
            <w:tcBorders>
              <w:top w:val="nil"/>
              <w:left w:val="nil"/>
              <w:bottom w:val="single" w:sz="4" w:space="0" w:color="auto"/>
              <w:right w:val="single" w:sz="4" w:space="0" w:color="auto"/>
            </w:tcBorders>
            <w:shd w:val="clear" w:color="000000" w:fill="FFFFFF"/>
            <w:vAlign w:val="center"/>
            <w:hideMark/>
          </w:tcPr>
          <w:p w14:paraId="224247A6" w14:textId="77777777" w:rsidR="00821B49" w:rsidRPr="00BE10E3" w:rsidRDefault="00821B49" w:rsidP="00D00B94">
            <w:pPr>
              <w:jc w:val="right"/>
              <w:rPr>
                <w:rFonts w:cs="Arial"/>
                <w:sz w:val="18"/>
                <w:szCs w:val="18"/>
                <w:lang w:eastAsia="en-GB"/>
              </w:rPr>
            </w:pPr>
            <w:r w:rsidRPr="00BE10E3">
              <w:rPr>
                <w:rFonts w:cs="Arial"/>
                <w:sz w:val="18"/>
                <w:szCs w:val="18"/>
                <w:lang w:eastAsia="en-GB"/>
              </w:rPr>
              <w:t>$506,973</w:t>
            </w:r>
          </w:p>
        </w:tc>
        <w:tc>
          <w:tcPr>
            <w:tcW w:w="375" w:type="pct"/>
            <w:tcBorders>
              <w:top w:val="nil"/>
              <w:left w:val="nil"/>
              <w:bottom w:val="single" w:sz="4" w:space="0" w:color="auto"/>
              <w:right w:val="single" w:sz="4" w:space="0" w:color="auto"/>
            </w:tcBorders>
            <w:shd w:val="clear" w:color="000000" w:fill="FFFFFF"/>
            <w:vAlign w:val="center"/>
            <w:hideMark/>
          </w:tcPr>
          <w:p w14:paraId="63C36AC4" w14:textId="77777777" w:rsidR="00821B49" w:rsidRPr="00BE10E3" w:rsidRDefault="00821B49" w:rsidP="00D00B94">
            <w:pPr>
              <w:jc w:val="right"/>
              <w:rPr>
                <w:rFonts w:cs="Arial"/>
                <w:sz w:val="18"/>
                <w:szCs w:val="18"/>
                <w:lang w:eastAsia="en-GB"/>
              </w:rPr>
            </w:pPr>
            <w:r w:rsidRPr="00BE10E3">
              <w:rPr>
                <w:rFonts w:cs="Arial"/>
                <w:sz w:val="18"/>
                <w:szCs w:val="18"/>
                <w:lang w:eastAsia="en-GB"/>
              </w:rPr>
              <w:t>$562,631</w:t>
            </w:r>
          </w:p>
        </w:tc>
        <w:tc>
          <w:tcPr>
            <w:tcW w:w="327" w:type="pct"/>
            <w:tcBorders>
              <w:top w:val="nil"/>
              <w:left w:val="nil"/>
              <w:bottom w:val="single" w:sz="4" w:space="0" w:color="auto"/>
              <w:right w:val="single" w:sz="4" w:space="0" w:color="auto"/>
            </w:tcBorders>
            <w:shd w:val="clear" w:color="000000" w:fill="FFFFFF"/>
            <w:noWrap/>
            <w:vAlign w:val="center"/>
            <w:hideMark/>
          </w:tcPr>
          <w:p w14:paraId="5AE3DBA2" w14:textId="77777777" w:rsidR="00821B49" w:rsidRPr="00BE10E3" w:rsidRDefault="00821B49" w:rsidP="00D00B94">
            <w:pPr>
              <w:jc w:val="right"/>
              <w:rPr>
                <w:rFonts w:cs="Arial"/>
                <w:sz w:val="18"/>
                <w:szCs w:val="18"/>
                <w:lang w:eastAsia="en-GB"/>
              </w:rPr>
            </w:pPr>
            <w:r w:rsidRPr="00BE10E3">
              <w:rPr>
                <w:rFonts w:cs="Arial"/>
                <w:sz w:val="18"/>
                <w:szCs w:val="18"/>
                <w:lang w:eastAsia="en-GB"/>
              </w:rPr>
              <w:t>$230,395</w:t>
            </w:r>
          </w:p>
        </w:tc>
      </w:tr>
      <w:tr w:rsidR="00517ECE" w:rsidRPr="00033FC0" w14:paraId="2EBCE43D" w14:textId="77777777" w:rsidTr="00517ECE">
        <w:trPr>
          <w:trHeight w:val="836"/>
        </w:trPr>
        <w:tc>
          <w:tcPr>
            <w:tcW w:w="3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6AF6545" w14:textId="0275D6A7" w:rsidR="00821B49" w:rsidRPr="00BE10E3" w:rsidRDefault="00620770" w:rsidP="00ED0725">
            <w:pPr>
              <w:jc w:val="center"/>
              <w:rPr>
                <w:rFonts w:cs="Arial"/>
                <w:sz w:val="18"/>
                <w:szCs w:val="18"/>
                <w:lang w:eastAsia="en-GB"/>
              </w:rPr>
            </w:pPr>
            <w:hyperlink r:id="rId26" w:history="1">
              <w:r w:rsidR="00821B49" w:rsidRPr="00001DDE">
                <w:rPr>
                  <w:rStyle w:val="Hyperlink"/>
                  <w:rFonts w:cs="Arial"/>
                  <w:sz w:val="18"/>
                  <w:szCs w:val="18"/>
                  <w:lang w:eastAsia="en-GB"/>
                </w:rPr>
                <w:t>RG-T3293</w:t>
              </w:r>
            </w:hyperlink>
          </w:p>
        </w:tc>
        <w:tc>
          <w:tcPr>
            <w:tcW w:w="349" w:type="pct"/>
            <w:tcBorders>
              <w:top w:val="single" w:sz="4" w:space="0" w:color="auto"/>
              <w:left w:val="nil"/>
              <w:bottom w:val="single" w:sz="4" w:space="0" w:color="auto"/>
              <w:right w:val="single" w:sz="4" w:space="0" w:color="auto"/>
            </w:tcBorders>
            <w:shd w:val="clear" w:color="000000" w:fill="FFFFFF"/>
            <w:vAlign w:val="center"/>
            <w:hideMark/>
          </w:tcPr>
          <w:p w14:paraId="17492967"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nil"/>
              <w:left w:val="nil"/>
              <w:bottom w:val="single" w:sz="4" w:space="0" w:color="auto"/>
              <w:right w:val="single" w:sz="4" w:space="0" w:color="auto"/>
            </w:tcBorders>
            <w:shd w:val="clear" w:color="000000" w:fill="FFFFFF"/>
            <w:vAlign w:val="center"/>
            <w:hideMark/>
          </w:tcPr>
          <w:p w14:paraId="6CC6100F" w14:textId="77777777" w:rsidR="00821B49" w:rsidRPr="00BE10E3" w:rsidRDefault="00821B49" w:rsidP="00ED0725">
            <w:pPr>
              <w:jc w:val="center"/>
              <w:rPr>
                <w:rFonts w:cs="Arial"/>
                <w:sz w:val="18"/>
                <w:szCs w:val="18"/>
                <w:lang w:eastAsia="en-GB"/>
              </w:rPr>
            </w:pPr>
            <w:r w:rsidRPr="00BE10E3">
              <w:rPr>
                <w:rFonts w:cs="Arial"/>
                <w:sz w:val="18"/>
                <w:szCs w:val="18"/>
                <w:lang w:eastAsia="en-GB"/>
              </w:rPr>
              <w:t>Advisory Services to the Private Sector for the Development of Sustainable Infrastructure</w:t>
            </w:r>
          </w:p>
        </w:tc>
        <w:tc>
          <w:tcPr>
            <w:tcW w:w="368" w:type="pct"/>
            <w:tcBorders>
              <w:top w:val="nil"/>
              <w:left w:val="nil"/>
              <w:bottom w:val="single" w:sz="4" w:space="0" w:color="auto"/>
              <w:right w:val="single" w:sz="4" w:space="0" w:color="auto"/>
            </w:tcBorders>
            <w:shd w:val="clear" w:color="000000" w:fill="FFFFFF"/>
            <w:vAlign w:val="center"/>
            <w:hideMark/>
          </w:tcPr>
          <w:p w14:paraId="0562FFC5" w14:textId="77777777" w:rsidR="00821B49" w:rsidRPr="00BE10E3" w:rsidRDefault="00821B49" w:rsidP="00ED0725">
            <w:pPr>
              <w:jc w:val="center"/>
              <w:rPr>
                <w:rFonts w:cs="Arial"/>
                <w:sz w:val="18"/>
                <w:szCs w:val="18"/>
                <w:lang w:eastAsia="en-GB"/>
              </w:rPr>
            </w:pPr>
            <w:r w:rsidRPr="00BE10E3">
              <w:rPr>
                <w:rFonts w:cs="Arial"/>
                <w:sz w:val="18"/>
                <w:szCs w:val="18"/>
                <w:lang w:eastAsia="en-GB"/>
              </w:rPr>
              <w:t>15/08/2018</w:t>
            </w:r>
          </w:p>
        </w:tc>
        <w:tc>
          <w:tcPr>
            <w:tcW w:w="484" w:type="pct"/>
            <w:tcBorders>
              <w:top w:val="nil"/>
              <w:left w:val="nil"/>
              <w:bottom w:val="single" w:sz="4" w:space="0" w:color="auto"/>
              <w:right w:val="single" w:sz="4" w:space="0" w:color="auto"/>
            </w:tcBorders>
            <w:shd w:val="clear" w:color="000000" w:fill="FFFFFF"/>
            <w:vAlign w:val="center"/>
            <w:hideMark/>
          </w:tcPr>
          <w:p w14:paraId="41FAE6D5" w14:textId="24FC1B04" w:rsidR="00821B49" w:rsidRPr="00BE10E3" w:rsidRDefault="00821B49" w:rsidP="00ED0725">
            <w:pPr>
              <w:jc w:val="center"/>
              <w:rPr>
                <w:rFonts w:cs="Arial"/>
                <w:sz w:val="18"/>
                <w:szCs w:val="18"/>
                <w:lang w:eastAsia="en-GB"/>
              </w:rPr>
            </w:pPr>
            <w:r w:rsidRPr="00BE10E3">
              <w:rPr>
                <w:rFonts w:cs="Arial"/>
                <w:sz w:val="18"/>
                <w:szCs w:val="18"/>
                <w:lang w:eastAsia="en-GB"/>
              </w:rPr>
              <w:t> </w:t>
            </w:r>
            <w:r w:rsidR="00B14912">
              <w:rPr>
                <w:rFonts w:cs="Arial"/>
                <w:sz w:val="18"/>
                <w:szCs w:val="18"/>
                <w:lang w:eastAsia="en-GB"/>
              </w:rPr>
              <w:t>36months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09C934E0" w14:textId="71FB87BD" w:rsidR="00821B49" w:rsidRPr="00BE10E3" w:rsidRDefault="00821B49" w:rsidP="00523EA1">
            <w:pPr>
              <w:jc w:val="center"/>
              <w:rPr>
                <w:rFonts w:cs="Arial"/>
                <w:sz w:val="18"/>
                <w:szCs w:val="18"/>
                <w:lang w:eastAsia="en-GB"/>
              </w:rPr>
            </w:pPr>
            <w:r w:rsidRPr="00BE10E3">
              <w:rPr>
                <w:rFonts w:cs="Arial"/>
                <w:sz w:val="18"/>
                <w:szCs w:val="18"/>
                <w:lang w:eastAsia="en-GB"/>
              </w:rPr>
              <w:t>2021</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14:paraId="5176510B" w14:textId="6F9A33FC" w:rsidR="00821B49" w:rsidRPr="00BE10E3" w:rsidRDefault="00821B49" w:rsidP="00ED0725">
            <w:pPr>
              <w:jc w:val="center"/>
              <w:rPr>
                <w:rFonts w:cs="Arial"/>
                <w:sz w:val="18"/>
                <w:szCs w:val="18"/>
                <w:lang w:eastAsia="en-GB"/>
              </w:rPr>
            </w:pPr>
            <w:r w:rsidRPr="00BE10E3">
              <w:rPr>
                <w:rFonts w:cs="Arial"/>
                <w:sz w:val="18"/>
                <w:szCs w:val="18"/>
                <w:lang w:eastAsia="en-GB"/>
              </w:rPr>
              <w:t>Regional</w:t>
            </w:r>
          </w:p>
        </w:tc>
        <w:tc>
          <w:tcPr>
            <w:tcW w:w="398" w:type="pct"/>
            <w:tcBorders>
              <w:top w:val="nil"/>
              <w:left w:val="nil"/>
              <w:bottom w:val="single" w:sz="4" w:space="0" w:color="auto"/>
              <w:right w:val="single" w:sz="4" w:space="0" w:color="auto"/>
            </w:tcBorders>
            <w:shd w:val="clear" w:color="000000" w:fill="FFFFFF"/>
            <w:vAlign w:val="center"/>
            <w:hideMark/>
          </w:tcPr>
          <w:p w14:paraId="431000C4" w14:textId="77777777" w:rsidR="00821B49" w:rsidRPr="00BE10E3" w:rsidRDefault="00821B49" w:rsidP="00ED0725">
            <w:pPr>
              <w:jc w:val="center"/>
              <w:rPr>
                <w:rFonts w:cs="Arial"/>
                <w:sz w:val="18"/>
                <w:szCs w:val="18"/>
                <w:lang w:eastAsia="en-GB"/>
              </w:rPr>
            </w:pPr>
            <w:r w:rsidRPr="00BE10E3">
              <w:rPr>
                <w:rFonts w:cs="Arial"/>
                <w:sz w:val="18"/>
                <w:szCs w:val="18"/>
                <w:lang w:eastAsia="en-GB"/>
              </w:rPr>
              <w:t>Environment and Natural Disasters</w:t>
            </w:r>
          </w:p>
        </w:tc>
        <w:tc>
          <w:tcPr>
            <w:tcW w:w="362" w:type="pct"/>
            <w:tcBorders>
              <w:top w:val="nil"/>
              <w:left w:val="nil"/>
              <w:bottom w:val="single" w:sz="4" w:space="0" w:color="auto"/>
              <w:right w:val="single" w:sz="4" w:space="0" w:color="auto"/>
            </w:tcBorders>
            <w:shd w:val="clear" w:color="000000" w:fill="FFFFFF"/>
            <w:noWrap/>
            <w:vAlign w:val="center"/>
            <w:hideMark/>
          </w:tcPr>
          <w:p w14:paraId="57FA3D03" w14:textId="77777777" w:rsidR="00821B49" w:rsidRPr="00BE10E3" w:rsidRDefault="00821B49" w:rsidP="00D00B94">
            <w:pPr>
              <w:jc w:val="right"/>
              <w:rPr>
                <w:rFonts w:cs="Arial"/>
                <w:sz w:val="18"/>
                <w:szCs w:val="18"/>
                <w:lang w:eastAsia="en-GB"/>
              </w:rPr>
            </w:pPr>
            <w:r w:rsidRPr="00BE10E3">
              <w:rPr>
                <w:rFonts w:cs="Arial"/>
                <w:sz w:val="18"/>
                <w:szCs w:val="18"/>
                <w:lang w:eastAsia="en-GB"/>
              </w:rPr>
              <w:t>$1,950,000</w:t>
            </w:r>
          </w:p>
        </w:tc>
        <w:tc>
          <w:tcPr>
            <w:tcW w:w="356" w:type="pct"/>
            <w:tcBorders>
              <w:top w:val="nil"/>
              <w:left w:val="nil"/>
              <w:bottom w:val="single" w:sz="4" w:space="0" w:color="auto"/>
              <w:right w:val="single" w:sz="4" w:space="0" w:color="auto"/>
            </w:tcBorders>
            <w:shd w:val="clear" w:color="000000" w:fill="FFFFFF"/>
            <w:vAlign w:val="center"/>
            <w:hideMark/>
          </w:tcPr>
          <w:p w14:paraId="360385D1" w14:textId="77777777" w:rsidR="00821B49" w:rsidRPr="00BE10E3" w:rsidRDefault="00821B49" w:rsidP="00D00B94">
            <w:pPr>
              <w:jc w:val="right"/>
              <w:rPr>
                <w:rFonts w:cs="Arial"/>
                <w:sz w:val="18"/>
                <w:szCs w:val="18"/>
                <w:lang w:eastAsia="en-GB"/>
              </w:rPr>
            </w:pPr>
            <w:r w:rsidRPr="00BE10E3">
              <w:rPr>
                <w:rFonts w:cs="Arial"/>
                <w:sz w:val="18"/>
                <w:szCs w:val="18"/>
                <w:lang w:eastAsia="en-GB"/>
              </w:rPr>
              <w:t>$593,198</w:t>
            </w:r>
          </w:p>
        </w:tc>
        <w:tc>
          <w:tcPr>
            <w:tcW w:w="375" w:type="pct"/>
            <w:tcBorders>
              <w:top w:val="nil"/>
              <w:left w:val="nil"/>
              <w:bottom w:val="single" w:sz="4" w:space="0" w:color="auto"/>
              <w:right w:val="single" w:sz="4" w:space="0" w:color="auto"/>
            </w:tcBorders>
            <w:shd w:val="clear" w:color="000000" w:fill="FFFFFF"/>
            <w:vAlign w:val="center"/>
            <w:hideMark/>
          </w:tcPr>
          <w:p w14:paraId="403161B7" w14:textId="77777777" w:rsidR="00821B49" w:rsidRPr="00BE10E3" w:rsidRDefault="00821B49" w:rsidP="00D00B94">
            <w:pPr>
              <w:jc w:val="right"/>
              <w:rPr>
                <w:rFonts w:cs="Arial"/>
                <w:sz w:val="18"/>
                <w:szCs w:val="18"/>
                <w:lang w:eastAsia="en-GB"/>
              </w:rPr>
            </w:pPr>
            <w:r w:rsidRPr="00BE10E3">
              <w:rPr>
                <w:rFonts w:cs="Arial"/>
                <w:sz w:val="18"/>
                <w:szCs w:val="18"/>
                <w:lang w:eastAsia="en-GB"/>
              </w:rPr>
              <w:t>$1,195,963</w:t>
            </w:r>
          </w:p>
        </w:tc>
        <w:tc>
          <w:tcPr>
            <w:tcW w:w="327" w:type="pct"/>
            <w:tcBorders>
              <w:top w:val="nil"/>
              <w:left w:val="nil"/>
              <w:bottom w:val="single" w:sz="4" w:space="0" w:color="auto"/>
              <w:right w:val="single" w:sz="4" w:space="0" w:color="auto"/>
            </w:tcBorders>
            <w:shd w:val="clear" w:color="000000" w:fill="FFFFFF"/>
            <w:noWrap/>
            <w:vAlign w:val="center"/>
            <w:hideMark/>
          </w:tcPr>
          <w:p w14:paraId="417E8B90" w14:textId="77777777" w:rsidR="00821B49" w:rsidRPr="00BE10E3" w:rsidRDefault="00821B49" w:rsidP="00D00B94">
            <w:pPr>
              <w:jc w:val="right"/>
              <w:rPr>
                <w:rFonts w:cs="Arial"/>
                <w:sz w:val="18"/>
                <w:szCs w:val="18"/>
                <w:lang w:eastAsia="en-GB"/>
              </w:rPr>
            </w:pPr>
            <w:r w:rsidRPr="00BE10E3">
              <w:rPr>
                <w:rFonts w:cs="Arial"/>
                <w:sz w:val="18"/>
                <w:szCs w:val="18"/>
                <w:lang w:eastAsia="en-GB"/>
              </w:rPr>
              <w:t>$160,839</w:t>
            </w:r>
          </w:p>
        </w:tc>
      </w:tr>
      <w:tr w:rsidR="00517ECE" w:rsidRPr="00033FC0" w14:paraId="1196EE25" w14:textId="77777777" w:rsidTr="00517ECE">
        <w:trPr>
          <w:trHeight w:val="834"/>
        </w:trPr>
        <w:tc>
          <w:tcPr>
            <w:tcW w:w="3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BD00D3C" w14:textId="77777777" w:rsidR="00821B49" w:rsidRPr="00BE10E3" w:rsidRDefault="00620770" w:rsidP="00ED0725">
            <w:pPr>
              <w:jc w:val="center"/>
              <w:rPr>
                <w:rFonts w:cs="Arial"/>
                <w:color w:val="0563C1"/>
                <w:sz w:val="18"/>
                <w:szCs w:val="18"/>
                <w:u w:val="single"/>
                <w:lang w:eastAsia="en-GB"/>
              </w:rPr>
            </w:pPr>
            <w:hyperlink r:id="rId27" w:history="1">
              <w:r w:rsidR="00821B49" w:rsidRPr="00BE10E3">
                <w:rPr>
                  <w:rFonts w:cs="Arial"/>
                  <w:color w:val="0563C1"/>
                  <w:sz w:val="18"/>
                  <w:szCs w:val="18"/>
                  <w:u w:val="single"/>
                  <w:lang w:eastAsia="en-GB"/>
                </w:rPr>
                <w:t>RG-T3337</w:t>
              </w:r>
            </w:hyperlink>
          </w:p>
        </w:tc>
        <w:tc>
          <w:tcPr>
            <w:tcW w:w="349" w:type="pct"/>
            <w:tcBorders>
              <w:top w:val="nil"/>
              <w:left w:val="nil"/>
              <w:bottom w:val="single" w:sz="4" w:space="0" w:color="auto"/>
              <w:right w:val="single" w:sz="4" w:space="0" w:color="auto"/>
            </w:tcBorders>
            <w:shd w:val="clear" w:color="000000" w:fill="FFFFFF"/>
            <w:vAlign w:val="center"/>
            <w:hideMark/>
          </w:tcPr>
          <w:p w14:paraId="5067EC1D"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nil"/>
              <w:left w:val="nil"/>
              <w:bottom w:val="single" w:sz="4" w:space="0" w:color="auto"/>
              <w:right w:val="single" w:sz="4" w:space="0" w:color="auto"/>
            </w:tcBorders>
            <w:shd w:val="clear" w:color="000000" w:fill="FFFFFF"/>
            <w:vAlign w:val="center"/>
            <w:hideMark/>
          </w:tcPr>
          <w:p w14:paraId="3DD9F891" w14:textId="77777777" w:rsidR="00821B49" w:rsidRPr="00BE10E3" w:rsidRDefault="00821B49" w:rsidP="00ED0725">
            <w:pPr>
              <w:jc w:val="center"/>
              <w:rPr>
                <w:rFonts w:cs="Arial"/>
                <w:sz w:val="18"/>
                <w:szCs w:val="18"/>
                <w:lang w:eastAsia="en-GB"/>
              </w:rPr>
            </w:pPr>
            <w:r w:rsidRPr="00BE10E3">
              <w:rPr>
                <w:rFonts w:cs="Arial"/>
                <w:sz w:val="18"/>
                <w:szCs w:val="18"/>
                <w:lang w:eastAsia="en-GB"/>
              </w:rPr>
              <w:t>Country Dialogues and Program Preparation for the UK Sustainable Infrastructure Program (UK SIP)</w:t>
            </w:r>
          </w:p>
        </w:tc>
        <w:tc>
          <w:tcPr>
            <w:tcW w:w="368" w:type="pct"/>
            <w:tcBorders>
              <w:top w:val="nil"/>
              <w:left w:val="nil"/>
              <w:bottom w:val="single" w:sz="4" w:space="0" w:color="auto"/>
              <w:right w:val="single" w:sz="4" w:space="0" w:color="auto"/>
            </w:tcBorders>
            <w:shd w:val="clear" w:color="000000" w:fill="FFFFFF"/>
            <w:vAlign w:val="center"/>
            <w:hideMark/>
          </w:tcPr>
          <w:p w14:paraId="6E2198F5" w14:textId="77777777" w:rsidR="00821B49" w:rsidRPr="00BE10E3" w:rsidRDefault="00821B49" w:rsidP="00ED0725">
            <w:pPr>
              <w:jc w:val="center"/>
              <w:rPr>
                <w:rFonts w:cs="Arial"/>
                <w:sz w:val="18"/>
                <w:szCs w:val="18"/>
                <w:lang w:eastAsia="en-GB"/>
              </w:rPr>
            </w:pPr>
            <w:r w:rsidRPr="00BE10E3">
              <w:rPr>
                <w:rFonts w:cs="Arial"/>
                <w:sz w:val="18"/>
                <w:szCs w:val="18"/>
                <w:lang w:eastAsia="en-GB"/>
              </w:rPr>
              <w:t>29/11/2018</w:t>
            </w:r>
          </w:p>
        </w:tc>
        <w:tc>
          <w:tcPr>
            <w:tcW w:w="484" w:type="pct"/>
            <w:tcBorders>
              <w:top w:val="nil"/>
              <w:left w:val="nil"/>
              <w:bottom w:val="single" w:sz="4" w:space="0" w:color="auto"/>
              <w:right w:val="single" w:sz="4" w:space="0" w:color="auto"/>
            </w:tcBorders>
            <w:shd w:val="clear" w:color="000000" w:fill="FFFFFF"/>
            <w:vAlign w:val="center"/>
            <w:hideMark/>
          </w:tcPr>
          <w:p w14:paraId="19F5D762" w14:textId="137FA654" w:rsidR="00821B49" w:rsidRPr="00BE10E3" w:rsidRDefault="00B14912" w:rsidP="00ED0725">
            <w:pPr>
              <w:jc w:val="center"/>
              <w:rPr>
                <w:rFonts w:cs="Arial"/>
                <w:sz w:val="18"/>
                <w:szCs w:val="18"/>
                <w:lang w:eastAsia="en-GB"/>
              </w:rPr>
            </w:pPr>
            <w:r>
              <w:rPr>
                <w:rFonts w:cs="Arial"/>
                <w:sz w:val="18"/>
                <w:szCs w:val="18"/>
                <w:lang w:eastAsia="en-GB"/>
              </w:rPr>
              <w:t>36</w:t>
            </w:r>
            <w:r w:rsidR="00821B49" w:rsidRPr="00BE10E3">
              <w:rPr>
                <w:rFonts w:cs="Arial"/>
                <w:sz w:val="18"/>
                <w:szCs w:val="18"/>
                <w:lang w:eastAsia="en-GB"/>
              </w:rPr>
              <w:t>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46943DE7" w14:textId="2C18079F" w:rsidR="00821B49" w:rsidRPr="00BE10E3" w:rsidRDefault="004B697F" w:rsidP="00523EA1">
            <w:pPr>
              <w:jc w:val="center"/>
              <w:rPr>
                <w:rFonts w:cs="Arial"/>
                <w:sz w:val="18"/>
                <w:szCs w:val="18"/>
                <w:lang w:eastAsia="en-GB"/>
              </w:rPr>
            </w:pPr>
            <w:r w:rsidRPr="00BE10E3">
              <w:rPr>
                <w:rFonts w:cs="Arial"/>
                <w:sz w:val="18"/>
                <w:szCs w:val="18"/>
                <w:lang w:eastAsia="en-GB"/>
              </w:rPr>
              <w:t>2022</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14:paraId="07547F21" w14:textId="10FCA009" w:rsidR="00821B49" w:rsidRPr="00BE10E3" w:rsidRDefault="00821B49" w:rsidP="00ED0725">
            <w:pPr>
              <w:jc w:val="center"/>
              <w:rPr>
                <w:rFonts w:cs="Arial"/>
                <w:sz w:val="18"/>
                <w:szCs w:val="18"/>
                <w:lang w:eastAsia="en-GB"/>
              </w:rPr>
            </w:pPr>
            <w:r w:rsidRPr="00BE10E3">
              <w:rPr>
                <w:rFonts w:cs="Arial"/>
                <w:sz w:val="18"/>
                <w:szCs w:val="18"/>
                <w:lang w:eastAsia="en-GB"/>
              </w:rPr>
              <w:t>Regional</w:t>
            </w:r>
          </w:p>
        </w:tc>
        <w:tc>
          <w:tcPr>
            <w:tcW w:w="398" w:type="pct"/>
            <w:tcBorders>
              <w:top w:val="nil"/>
              <w:left w:val="nil"/>
              <w:bottom w:val="single" w:sz="4" w:space="0" w:color="auto"/>
              <w:right w:val="single" w:sz="4" w:space="0" w:color="auto"/>
            </w:tcBorders>
            <w:shd w:val="clear" w:color="000000" w:fill="FFFFFF"/>
            <w:vAlign w:val="center"/>
            <w:hideMark/>
          </w:tcPr>
          <w:p w14:paraId="4F9DD520" w14:textId="77777777" w:rsidR="00821B49" w:rsidRPr="00BE10E3" w:rsidRDefault="00821B49" w:rsidP="00ED0725">
            <w:pPr>
              <w:jc w:val="center"/>
              <w:rPr>
                <w:rFonts w:cs="Arial"/>
                <w:sz w:val="18"/>
                <w:szCs w:val="18"/>
                <w:lang w:eastAsia="en-GB"/>
              </w:rPr>
            </w:pPr>
            <w:r w:rsidRPr="00BE10E3">
              <w:rPr>
                <w:rFonts w:cs="Arial"/>
                <w:sz w:val="18"/>
                <w:szCs w:val="18"/>
                <w:lang w:eastAsia="en-GB"/>
              </w:rPr>
              <w:t>Environment and Natural Disasters</w:t>
            </w:r>
          </w:p>
        </w:tc>
        <w:tc>
          <w:tcPr>
            <w:tcW w:w="362" w:type="pct"/>
            <w:tcBorders>
              <w:top w:val="nil"/>
              <w:left w:val="nil"/>
              <w:bottom w:val="single" w:sz="4" w:space="0" w:color="auto"/>
              <w:right w:val="single" w:sz="4" w:space="0" w:color="auto"/>
            </w:tcBorders>
            <w:shd w:val="clear" w:color="000000" w:fill="FFFFFF"/>
            <w:noWrap/>
            <w:vAlign w:val="center"/>
            <w:hideMark/>
          </w:tcPr>
          <w:p w14:paraId="7506190B" w14:textId="77777777" w:rsidR="00821B49" w:rsidRPr="00BE10E3" w:rsidRDefault="00821B49" w:rsidP="00D00B94">
            <w:pPr>
              <w:jc w:val="right"/>
              <w:rPr>
                <w:rFonts w:cs="Arial"/>
                <w:sz w:val="18"/>
                <w:szCs w:val="18"/>
                <w:lang w:eastAsia="en-GB"/>
              </w:rPr>
            </w:pPr>
            <w:r w:rsidRPr="00BE10E3">
              <w:rPr>
                <w:rFonts w:cs="Arial"/>
                <w:sz w:val="18"/>
                <w:szCs w:val="18"/>
                <w:lang w:eastAsia="en-GB"/>
              </w:rPr>
              <w:t>$1,000,000</w:t>
            </w:r>
          </w:p>
        </w:tc>
        <w:tc>
          <w:tcPr>
            <w:tcW w:w="356" w:type="pct"/>
            <w:tcBorders>
              <w:top w:val="nil"/>
              <w:left w:val="nil"/>
              <w:bottom w:val="single" w:sz="4" w:space="0" w:color="auto"/>
              <w:right w:val="single" w:sz="4" w:space="0" w:color="auto"/>
            </w:tcBorders>
            <w:shd w:val="clear" w:color="000000" w:fill="FFFFFF"/>
            <w:vAlign w:val="center"/>
            <w:hideMark/>
          </w:tcPr>
          <w:p w14:paraId="05FBB4D5" w14:textId="77777777" w:rsidR="00821B49" w:rsidRPr="00BE10E3" w:rsidRDefault="00821B49" w:rsidP="00D00B94">
            <w:pPr>
              <w:jc w:val="right"/>
              <w:rPr>
                <w:rFonts w:cs="Arial"/>
                <w:sz w:val="18"/>
                <w:szCs w:val="18"/>
                <w:lang w:eastAsia="en-GB"/>
              </w:rPr>
            </w:pPr>
            <w:r w:rsidRPr="00BE10E3">
              <w:rPr>
                <w:rFonts w:cs="Arial"/>
                <w:sz w:val="18"/>
                <w:szCs w:val="18"/>
                <w:lang w:eastAsia="en-GB"/>
              </w:rPr>
              <w:t>$126,105</w:t>
            </w:r>
          </w:p>
        </w:tc>
        <w:tc>
          <w:tcPr>
            <w:tcW w:w="375" w:type="pct"/>
            <w:tcBorders>
              <w:top w:val="nil"/>
              <w:left w:val="nil"/>
              <w:bottom w:val="single" w:sz="4" w:space="0" w:color="auto"/>
              <w:right w:val="single" w:sz="4" w:space="0" w:color="auto"/>
            </w:tcBorders>
            <w:shd w:val="clear" w:color="000000" w:fill="FFFFFF"/>
            <w:vAlign w:val="center"/>
            <w:hideMark/>
          </w:tcPr>
          <w:p w14:paraId="24551058" w14:textId="77777777" w:rsidR="00821B49" w:rsidRPr="00BE10E3" w:rsidRDefault="00821B49" w:rsidP="00D00B94">
            <w:pPr>
              <w:jc w:val="right"/>
              <w:rPr>
                <w:rFonts w:cs="Arial"/>
                <w:sz w:val="18"/>
                <w:szCs w:val="18"/>
                <w:lang w:eastAsia="en-GB"/>
              </w:rPr>
            </w:pPr>
            <w:r w:rsidRPr="00BE10E3">
              <w:rPr>
                <w:rFonts w:cs="Arial"/>
                <w:sz w:val="18"/>
                <w:szCs w:val="18"/>
                <w:lang w:eastAsia="en-GB"/>
              </w:rPr>
              <w:t>$29,824</w:t>
            </w:r>
          </w:p>
        </w:tc>
        <w:tc>
          <w:tcPr>
            <w:tcW w:w="327" w:type="pct"/>
            <w:tcBorders>
              <w:top w:val="nil"/>
              <w:left w:val="nil"/>
              <w:bottom w:val="single" w:sz="4" w:space="0" w:color="auto"/>
              <w:right w:val="single" w:sz="4" w:space="0" w:color="auto"/>
            </w:tcBorders>
            <w:shd w:val="clear" w:color="000000" w:fill="FFFFFF"/>
            <w:noWrap/>
            <w:vAlign w:val="center"/>
            <w:hideMark/>
          </w:tcPr>
          <w:p w14:paraId="6E60C5F3" w14:textId="77777777" w:rsidR="00821B49" w:rsidRPr="00BE10E3" w:rsidRDefault="00821B49" w:rsidP="00D00B94">
            <w:pPr>
              <w:jc w:val="right"/>
              <w:rPr>
                <w:rFonts w:cs="Arial"/>
                <w:sz w:val="18"/>
                <w:szCs w:val="18"/>
                <w:lang w:eastAsia="en-GB"/>
              </w:rPr>
            </w:pPr>
            <w:r w:rsidRPr="00BE10E3">
              <w:rPr>
                <w:rFonts w:cs="Arial"/>
                <w:sz w:val="18"/>
                <w:szCs w:val="18"/>
                <w:lang w:eastAsia="en-GB"/>
              </w:rPr>
              <w:t>$844,071</w:t>
            </w:r>
          </w:p>
        </w:tc>
      </w:tr>
      <w:tr w:rsidR="00517ECE" w:rsidRPr="00033FC0" w14:paraId="2C664D7F" w14:textId="77777777" w:rsidTr="00517ECE">
        <w:trPr>
          <w:trHeight w:val="70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A13E" w14:textId="212D2271" w:rsidR="00821B49" w:rsidRPr="00BE10E3" w:rsidRDefault="00620770" w:rsidP="00745474">
            <w:pPr>
              <w:jc w:val="center"/>
              <w:rPr>
                <w:rFonts w:cs="Arial"/>
                <w:color w:val="0563C1"/>
                <w:sz w:val="18"/>
                <w:szCs w:val="18"/>
                <w:u w:val="single"/>
                <w:lang w:eastAsia="en-GB"/>
              </w:rPr>
            </w:pPr>
            <w:hyperlink r:id="rId28" w:history="1">
              <w:r w:rsidR="00821B49" w:rsidRPr="00BE10E3">
                <w:rPr>
                  <w:rFonts w:cs="Arial"/>
                  <w:color w:val="0563C1"/>
                  <w:sz w:val="18"/>
                  <w:szCs w:val="18"/>
                  <w:u w:val="single"/>
                  <w:lang w:eastAsia="en-GB"/>
                </w:rPr>
                <w:t>ME-T1405</w:t>
              </w:r>
            </w:hyperlink>
          </w:p>
          <w:p w14:paraId="4F659B1F" w14:textId="051BC3B5" w:rsidR="00821B49" w:rsidRPr="00BE10E3" w:rsidRDefault="00821B49" w:rsidP="0035524C">
            <w:pPr>
              <w:rPr>
                <w:rFonts w:cs="Arial"/>
                <w:sz w:val="18"/>
                <w:szCs w:val="18"/>
                <w:lang w:eastAsia="en-GB"/>
              </w:rPr>
            </w:pPr>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69F6E0"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single" w:sz="4" w:space="0" w:color="auto"/>
              <w:left w:val="nil"/>
              <w:bottom w:val="single" w:sz="4" w:space="0" w:color="auto"/>
              <w:right w:val="single" w:sz="4" w:space="0" w:color="auto"/>
            </w:tcBorders>
            <w:shd w:val="clear" w:color="000000" w:fill="FFFFFF"/>
            <w:vAlign w:val="center"/>
            <w:hideMark/>
          </w:tcPr>
          <w:p w14:paraId="1E30B67C" w14:textId="77777777" w:rsidR="00821B49" w:rsidRPr="00BE10E3" w:rsidRDefault="00821B49" w:rsidP="00ED0725">
            <w:pPr>
              <w:jc w:val="center"/>
              <w:rPr>
                <w:rFonts w:cs="Arial"/>
                <w:sz w:val="18"/>
                <w:szCs w:val="18"/>
                <w:lang w:eastAsia="en-GB"/>
              </w:rPr>
            </w:pPr>
            <w:r w:rsidRPr="00BE10E3">
              <w:rPr>
                <w:rFonts w:cs="Arial"/>
                <w:sz w:val="18"/>
                <w:szCs w:val="18"/>
                <w:lang w:eastAsia="en-GB"/>
              </w:rPr>
              <w:t>Program to Support the Expansion of Mass Transit in Mexico City</w:t>
            </w:r>
          </w:p>
        </w:tc>
        <w:tc>
          <w:tcPr>
            <w:tcW w:w="368" w:type="pct"/>
            <w:tcBorders>
              <w:top w:val="single" w:sz="4" w:space="0" w:color="auto"/>
              <w:left w:val="nil"/>
              <w:bottom w:val="single" w:sz="4" w:space="0" w:color="auto"/>
              <w:right w:val="single" w:sz="4" w:space="0" w:color="auto"/>
            </w:tcBorders>
            <w:shd w:val="clear" w:color="000000" w:fill="FFFFFF"/>
            <w:vAlign w:val="center"/>
            <w:hideMark/>
          </w:tcPr>
          <w:p w14:paraId="4DD574FC" w14:textId="77777777" w:rsidR="00821B49" w:rsidRPr="00BE10E3" w:rsidRDefault="00821B49" w:rsidP="00ED0725">
            <w:pPr>
              <w:jc w:val="center"/>
              <w:rPr>
                <w:rFonts w:cs="Arial"/>
                <w:sz w:val="18"/>
                <w:szCs w:val="18"/>
                <w:lang w:eastAsia="en-GB"/>
              </w:rPr>
            </w:pPr>
            <w:r w:rsidRPr="00BE10E3">
              <w:rPr>
                <w:rFonts w:cs="Arial"/>
                <w:sz w:val="18"/>
                <w:szCs w:val="18"/>
                <w:lang w:eastAsia="en-GB"/>
              </w:rPr>
              <w:t>23/09/2019</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10F5BB65" w14:textId="77777777" w:rsidR="00821B49" w:rsidRPr="00BE10E3" w:rsidRDefault="00821B49" w:rsidP="00ED0725">
            <w:pPr>
              <w:jc w:val="center"/>
              <w:rPr>
                <w:rFonts w:cs="Arial"/>
                <w:sz w:val="18"/>
                <w:szCs w:val="18"/>
                <w:lang w:eastAsia="en-GB"/>
              </w:rPr>
            </w:pPr>
            <w:r w:rsidRPr="00BE10E3">
              <w:rPr>
                <w:rFonts w:cs="Arial"/>
                <w:sz w:val="18"/>
                <w:szCs w:val="18"/>
                <w:lang w:eastAsia="en-GB"/>
              </w:rPr>
              <w:t>36months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2A8E5722" w14:textId="26CF4A7D" w:rsidR="00821B49" w:rsidRPr="00BE10E3" w:rsidRDefault="00F26801" w:rsidP="00523EA1">
            <w:pPr>
              <w:jc w:val="center"/>
              <w:rPr>
                <w:rFonts w:cs="Arial"/>
                <w:sz w:val="18"/>
                <w:szCs w:val="18"/>
                <w:lang w:eastAsia="en-GB"/>
              </w:rPr>
            </w:pPr>
            <w:r w:rsidRPr="00BE10E3">
              <w:rPr>
                <w:rFonts w:cs="Arial"/>
                <w:sz w:val="18"/>
                <w:szCs w:val="18"/>
                <w:lang w:eastAsia="en-GB"/>
              </w:rPr>
              <w:t>2021</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E22CEFC" w14:textId="42B811C4" w:rsidR="00821B49" w:rsidRPr="00BE10E3" w:rsidRDefault="00821B49" w:rsidP="00ED0725">
            <w:pPr>
              <w:jc w:val="center"/>
              <w:rPr>
                <w:rFonts w:cs="Arial"/>
                <w:sz w:val="18"/>
                <w:szCs w:val="18"/>
                <w:lang w:eastAsia="en-GB"/>
              </w:rPr>
            </w:pPr>
            <w:r w:rsidRPr="00BE10E3">
              <w:rPr>
                <w:rFonts w:cs="Arial"/>
                <w:sz w:val="18"/>
                <w:szCs w:val="18"/>
                <w:lang w:eastAsia="en-GB"/>
              </w:rPr>
              <w:t>Mexico</w:t>
            </w:r>
          </w:p>
        </w:tc>
        <w:tc>
          <w:tcPr>
            <w:tcW w:w="398" w:type="pct"/>
            <w:tcBorders>
              <w:top w:val="single" w:sz="4" w:space="0" w:color="auto"/>
              <w:left w:val="nil"/>
              <w:bottom w:val="single" w:sz="4" w:space="0" w:color="auto"/>
              <w:right w:val="single" w:sz="4" w:space="0" w:color="auto"/>
            </w:tcBorders>
            <w:shd w:val="clear" w:color="000000" w:fill="FFFFFF"/>
            <w:vAlign w:val="center"/>
            <w:hideMark/>
          </w:tcPr>
          <w:p w14:paraId="586B635A" w14:textId="77777777" w:rsidR="00821B49" w:rsidRPr="00BE10E3" w:rsidRDefault="00821B49" w:rsidP="00ED0725">
            <w:pPr>
              <w:jc w:val="center"/>
              <w:rPr>
                <w:rFonts w:cs="Arial"/>
                <w:sz w:val="18"/>
                <w:szCs w:val="18"/>
                <w:lang w:eastAsia="en-GB"/>
              </w:rPr>
            </w:pPr>
            <w:r w:rsidRPr="00BE10E3">
              <w:rPr>
                <w:rFonts w:cs="Arial"/>
                <w:sz w:val="18"/>
                <w:szCs w:val="18"/>
                <w:lang w:eastAsia="en-GB"/>
              </w:rPr>
              <w:t>Transport</w:t>
            </w:r>
          </w:p>
        </w:tc>
        <w:tc>
          <w:tcPr>
            <w:tcW w:w="362" w:type="pct"/>
            <w:tcBorders>
              <w:top w:val="single" w:sz="4" w:space="0" w:color="auto"/>
              <w:left w:val="nil"/>
              <w:bottom w:val="single" w:sz="4" w:space="0" w:color="auto"/>
              <w:right w:val="single" w:sz="4" w:space="0" w:color="auto"/>
            </w:tcBorders>
            <w:shd w:val="clear" w:color="000000" w:fill="FFFFFF"/>
            <w:noWrap/>
            <w:vAlign w:val="center"/>
            <w:hideMark/>
          </w:tcPr>
          <w:p w14:paraId="2ACF4A50" w14:textId="77777777" w:rsidR="00821B49" w:rsidRPr="00BE10E3" w:rsidRDefault="00821B49" w:rsidP="00D00B94">
            <w:pPr>
              <w:jc w:val="right"/>
              <w:rPr>
                <w:rFonts w:cs="Arial"/>
                <w:sz w:val="18"/>
                <w:szCs w:val="18"/>
                <w:lang w:eastAsia="en-GB"/>
              </w:rPr>
            </w:pPr>
            <w:r w:rsidRPr="00BE10E3">
              <w:rPr>
                <w:rFonts w:cs="Arial"/>
                <w:sz w:val="18"/>
                <w:szCs w:val="18"/>
                <w:lang w:eastAsia="en-GB"/>
              </w:rPr>
              <w:t>$500,000</w:t>
            </w:r>
          </w:p>
        </w:tc>
        <w:tc>
          <w:tcPr>
            <w:tcW w:w="356" w:type="pct"/>
            <w:tcBorders>
              <w:top w:val="single" w:sz="4" w:space="0" w:color="auto"/>
              <w:left w:val="nil"/>
              <w:bottom w:val="single" w:sz="4" w:space="0" w:color="auto"/>
              <w:right w:val="single" w:sz="4" w:space="0" w:color="auto"/>
            </w:tcBorders>
            <w:shd w:val="clear" w:color="000000" w:fill="FFFFFF"/>
            <w:vAlign w:val="center"/>
            <w:hideMark/>
          </w:tcPr>
          <w:p w14:paraId="6D62B800" w14:textId="77777777" w:rsidR="00821B49" w:rsidRPr="00BE10E3" w:rsidRDefault="00821B49" w:rsidP="00D00B94">
            <w:pPr>
              <w:jc w:val="right"/>
              <w:rPr>
                <w:rFonts w:cs="Arial"/>
                <w:sz w:val="18"/>
                <w:szCs w:val="18"/>
                <w:lang w:eastAsia="en-GB"/>
              </w:rPr>
            </w:pPr>
            <w:r w:rsidRPr="00BE10E3">
              <w:rPr>
                <w:rFonts w:cs="Arial"/>
                <w:sz w:val="18"/>
                <w:szCs w:val="18"/>
                <w:lang w:eastAsia="en-GB"/>
              </w:rPr>
              <w:t>$345,328</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7F39C923" w14:textId="77777777" w:rsidR="00821B49" w:rsidRPr="00BE10E3" w:rsidRDefault="00821B49" w:rsidP="00D00B94">
            <w:pPr>
              <w:jc w:val="right"/>
              <w:rPr>
                <w:rFonts w:cs="Arial"/>
                <w:sz w:val="18"/>
                <w:szCs w:val="18"/>
                <w:lang w:eastAsia="en-GB"/>
              </w:rPr>
            </w:pPr>
            <w:r w:rsidRPr="00BE10E3">
              <w:rPr>
                <w:rFonts w:cs="Arial"/>
                <w:sz w:val="18"/>
                <w:szCs w:val="18"/>
                <w:lang w:eastAsia="en-GB"/>
              </w:rPr>
              <w:t>$143,095</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66E64EB4" w14:textId="77777777" w:rsidR="00821B49" w:rsidRPr="00BE10E3" w:rsidRDefault="00821B49" w:rsidP="00D00B94">
            <w:pPr>
              <w:jc w:val="right"/>
              <w:rPr>
                <w:rFonts w:cs="Arial"/>
                <w:sz w:val="18"/>
                <w:szCs w:val="18"/>
                <w:lang w:eastAsia="en-GB"/>
              </w:rPr>
            </w:pPr>
            <w:r w:rsidRPr="00BE10E3">
              <w:rPr>
                <w:rFonts w:cs="Arial"/>
                <w:sz w:val="18"/>
                <w:szCs w:val="18"/>
                <w:lang w:eastAsia="en-GB"/>
              </w:rPr>
              <w:t>$11,577</w:t>
            </w:r>
          </w:p>
        </w:tc>
      </w:tr>
      <w:tr w:rsidR="00517ECE" w:rsidRPr="00033FC0" w14:paraId="708CD13B" w14:textId="77777777" w:rsidTr="00517ECE">
        <w:trPr>
          <w:trHeight w:val="769"/>
        </w:trPr>
        <w:tc>
          <w:tcPr>
            <w:tcW w:w="3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4AC3F8" w14:textId="77777777" w:rsidR="00821B49" w:rsidRPr="00BE10E3" w:rsidRDefault="00620770" w:rsidP="00ED0725">
            <w:pPr>
              <w:jc w:val="center"/>
              <w:rPr>
                <w:rFonts w:cs="Arial"/>
                <w:color w:val="0563C1"/>
                <w:sz w:val="18"/>
                <w:szCs w:val="18"/>
                <w:u w:val="single"/>
                <w:lang w:eastAsia="en-GB"/>
              </w:rPr>
            </w:pPr>
            <w:hyperlink r:id="rId29" w:history="1">
              <w:r w:rsidR="00821B49" w:rsidRPr="00BE10E3">
                <w:rPr>
                  <w:rFonts w:cs="Arial"/>
                  <w:color w:val="0563C1"/>
                  <w:sz w:val="18"/>
                  <w:szCs w:val="18"/>
                  <w:u w:val="single"/>
                  <w:lang w:eastAsia="en-GB"/>
                </w:rPr>
                <w:t>BR-T1415</w:t>
              </w:r>
            </w:hyperlink>
          </w:p>
        </w:tc>
        <w:tc>
          <w:tcPr>
            <w:tcW w:w="349" w:type="pct"/>
            <w:tcBorders>
              <w:top w:val="nil"/>
              <w:left w:val="nil"/>
              <w:bottom w:val="single" w:sz="4" w:space="0" w:color="auto"/>
              <w:right w:val="single" w:sz="4" w:space="0" w:color="auto"/>
            </w:tcBorders>
            <w:shd w:val="clear" w:color="000000" w:fill="FFFFFF"/>
            <w:vAlign w:val="center"/>
            <w:hideMark/>
          </w:tcPr>
          <w:p w14:paraId="4EEE5D3C"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nil"/>
              <w:left w:val="nil"/>
              <w:bottom w:val="single" w:sz="4" w:space="0" w:color="auto"/>
              <w:right w:val="single" w:sz="4" w:space="0" w:color="auto"/>
            </w:tcBorders>
            <w:shd w:val="clear" w:color="000000" w:fill="FFFFFF"/>
            <w:vAlign w:val="center"/>
            <w:hideMark/>
          </w:tcPr>
          <w:p w14:paraId="297BA85B" w14:textId="77777777" w:rsidR="00821B49" w:rsidRPr="00BE10E3" w:rsidRDefault="00821B49" w:rsidP="00ED0725">
            <w:pPr>
              <w:jc w:val="center"/>
              <w:rPr>
                <w:rFonts w:cs="Arial"/>
                <w:sz w:val="18"/>
                <w:szCs w:val="18"/>
                <w:lang w:eastAsia="en-GB"/>
              </w:rPr>
            </w:pPr>
            <w:r w:rsidRPr="00BE10E3">
              <w:rPr>
                <w:rFonts w:cs="Arial"/>
                <w:sz w:val="18"/>
                <w:szCs w:val="18"/>
                <w:lang w:eastAsia="en-GB"/>
              </w:rPr>
              <w:t>Promotion of Infrastructure Innovations in Small and Medium-Sized Municipalities in Brazil</w:t>
            </w:r>
          </w:p>
        </w:tc>
        <w:tc>
          <w:tcPr>
            <w:tcW w:w="368" w:type="pct"/>
            <w:tcBorders>
              <w:top w:val="nil"/>
              <w:left w:val="nil"/>
              <w:bottom w:val="single" w:sz="4" w:space="0" w:color="auto"/>
              <w:right w:val="single" w:sz="4" w:space="0" w:color="auto"/>
            </w:tcBorders>
            <w:shd w:val="clear" w:color="000000" w:fill="FFFFFF"/>
            <w:vAlign w:val="center"/>
            <w:hideMark/>
          </w:tcPr>
          <w:p w14:paraId="07F67192" w14:textId="77777777" w:rsidR="00821B49" w:rsidRPr="00BE10E3" w:rsidRDefault="00821B49" w:rsidP="00ED0725">
            <w:pPr>
              <w:jc w:val="center"/>
              <w:rPr>
                <w:rFonts w:cs="Arial"/>
                <w:sz w:val="18"/>
                <w:szCs w:val="18"/>
                <w:lang w:eastAsia="en-GB"/>
              </w:rPr>
            </w:pPr>
            <w:r w:rsidRPr="00BE10E3">
              <w:rPr>
                <w:rFonts w:cs="Arial"/>
                <w:sz w:val="18"/>
                <w:szCs w:val="18"/>
                <w:lang w:eastAsia="en-GB"/>
              </w:rPr>
              <w:t>17/10/2019</w:t>
            </w:r>
          </w:p>
        </w:tc>
        <w:tc>
          <w:tcPr>
            <w:tcW w:w="484" w:type="pct"/>
            <w:tcBorders>
              <w:top w:val="nil"/>
              <w:left w:val="nil"/>
              <w:bottom w:val="single" w:sz="4" w:space="0" w:color="auto"/>
              <w:right w:val="single" w:sz="4" w:space="0" w:color="auto"/>
            </w:tcBorders>
            <w:shd w:val="clear" w:color="000000" w:fill="FFFFFF"/>
            <w:vAlign w:val="center"/>
            <w:hideMark/>
          </w:tcPr>
          <w:p w14:paraId="146F9E98" w14:textId="77777777" w:rsidR="00821B49" w:rsidRPr="00BE10E3" w:rsidRDefault="00821B49" w:rsidP="00ED0725">
            <w:pPr>
              <w:jc w:val="center"/>
              <w:rPr>
                <w:rFonts w:cs="Arial"/>
                <w:sz w:val="18"/>
                <w:szCs w:val="18"/>
                <w:lang w:eastAsia="en-GB"/>
              </w:rPr>
            </w:pPr>
            <w:r w:rsidRPr="00BE10E3">
              <w:rPr>
                <w:rFonts w:cs="Arial"/>
                <w:sz w:val="18"/>
                <w:szCs w:val="18"/>
                <w:lang w:eastAsia="en-GB"/>
              </w:rPr>
              <w:t>36months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517CA040" w14:textId="77C81C3D" w:rsidR="00821B49" w:rsidRPr="00BE10E3" w:rsidRDefault="00813539" w:rsidP="00523EA1">
            <w:pPr>
              <w:jc w:val="center"/>
              <w:rPr>
                <w:rFonts w:cs="Arial"/>
                <w:sz w:val="18"/>
                <w:szCs w:val="18"/>
                <w:lang w:eastAsia="en-GB"/>
              </w:rPr>
            </w:pPr>
            <w:r w:rsidRPr="00BE10E3">
              <w:rPr>
                <w:rFonts w:cs="Arial"/>
                <w:sz w:val="18"/>
                <w:szCs w:val="18"/>
                <w:lang w:eastAsia="en-GB"/>
              </w:rPr>
              <w:t>2022</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14:paraId="1923FBAC" w14:textId="796C7976" w:rsidR="00821B49" w:rsidRPr="00BE10E3" w:rsidRDefault="00821B49" w:rsidP="00ED0725">
            <w:pPr>
              <w:jc w:val="center"/>
              <w:rPr>
                <w:rFonts w:cs="Arial"/>
                <w:sz w:val="18"/>
                <w:szCs w:val="18"/>
                <w:lang w:eastAsia="en-GB"/>
              </w:rPr>
            </w:pPr>
            <w:r w:rsidRPr="00BE10E3">
              <w:rPr>
                <w:rFonts w:cs="Arial"/>
                <w:sz w:val="18"/>
                <w:szCs w:val="18"/>
                <w:lang w:eastAsia="en-GB"/>
              </w:rPr>
              <w:t>Brazil</w:t>
            </w:r>
          </w:p>
        </w:tc>
        <w:tc>
          <w:tcPr>
            <w:tcW w:w="398" w:type="pct"/>
            <w:tcBorders>
              <w:top w:val="nil"/>
              <w:left w:val="nil"/>
              <w:bottom w:val="single" w:sz="4" w:space="0" w:color="auto"/>
              <w:right w:val="single" w:sz="4" w:space="0" w:color="auto"/>
            </w:tcBorders>
            <w:shd w:val="clear" w:color="000000" w:fill="FFFFFF"/>
            <w:vAlign w:val="center"/>
            <w:hideMark/>
          </w:tcPr>
          <w:p w14:paraId="147AAFC8" w14:textId="77777777" w:rsidR="00821B49" w:rsidRPr="00BE10E3" w:rsidRDefault="00821B49" w:rsidP="00ED0725">
            <w:pPr>
              <w:jc w:val="center"/>
              <w:rPr>
                <w:rFonts w:cs="Arial"/>
                <w:sz w:val="18"/>
                <w:szCs w:val="18"/>
                <w:lang w:eastAsia="en-GB"/>
              </w:rPr>
            </w:pPr>
            <w:r w:rsidRPr="00BE10E3">
              <w:rPr>
                <w:rFonts w:cs="Arial"/>
                <w:sz w:val="18"/>
                <w:szCs w:val="18"/>
                <w:lang w:eastAsia="en-GB"/>
              </w:rPr>
              <w:t>Transport</w:t>
            </w:r>
          </w:p>
        </w:tc>
        <w:tc>
          <w:tcPr>
            <w:tcW w:w="362" w:type="pct"/>
            <w:tcBorders>
              <w:top w:val="nil"/>
              <w:left w:val="nil"/>
              <w:bottom w:val="single" w:sz="4" w:space="0" w:color="auto"/>
              <w:right w:val="single" w:sz="4" w:space="0" w:color="auto"/>
            </w:tcBorders>
            <w:shd w:val="clear" w:color="000000" w:fill="FFFFFF"/>
            <w:noWrap/>
            <w:vAlign w:val="center"/>
            <w:hideMark/>
          </w:tcPr>
          <w:p w14:paraId="41B64B45" w14:textId="77777777" w:rsidR="00821B49" w:rsidRPr="00BE10E3" w:rsidRDefault="00821B49" w:rsidP="00D00B94">
            <w:pPr>
              <w:jc w:val="right"/>
              <w:rPr>
                <w:rFonts w:cs="Arial"/>
                <w:sz w:val="18"/>
                <w:szCs w:val="18"/>
                <w:lang w:eastAsia="en-GB"/>
              </w:rPr>
            </w:pPr>
            <w:r w:rsidRPr="00BE10E3">
              <w:rPr>
                <w:rFonts w:cs="Arial"/>
                <w:sz w:val="18"/>
                <w:szCs w:val="18"/>
                <w:lang w:eastAsia="en-GB"/>
              </w:rPr>
              <w:t>$500,000</w:t>
            </w:r>
          </w:p>
        </w:tc>
        <w:tc>
          <w:tcPr>
            <w:tcW w:w="356" w:type="pct"/>
            <w:tcBorders>
              <w:top w:val="nil"/>
              <w:left w:val="nil"/>
              <w:bottom w:val="single" w:sz="4" w:space="0" w:color="auto"/>
              <w:right w:val="single" w:sz="4" w:space="0" w:color="auto"/>
            </w:tcBorders>
            <w:shd w:val="clear" w:color="000000" w:fill="FFFFFF"/>
            <w:vAlign w:val="center"/>
            <w:hideMark/>
          </w:tcPr>
          <w:p w14:paraId="09727814" w14:textId="77777777" w:rsidR="00821B49" w:rsidRPr="00BE10E3" w:rsidRDefault="00821B49" w:rsidP="00D00B94">
            <w:pPr>
              <w:jc w:val="right"/>
              <w:rPr>
                <w:rFonts w:cs="Arial"/>
                <w:sz w:val="18"/>
                <w:szCs w:val="18"/>
                <w:lang w:eastAsia="en-GB"/>
              </w:rPr>
            </w:pPr>
            <w:r w:rsidRPr="00BE10E3">
              <w:rPr>
                <w:rFonts w:cs="Arial"/>
                <w:sz w:val="18"/>
                <w:szCs w:val="18"/>
                <w:lang w:eastAsia="en-GB"/>
              </w:rPr>
              <w:t>$307,452</w:t>
            </w:r>
          </w:p>
        </w:tc>
        <w:tc>
          <w:tcPr>
            <w:tcW w:w="375" w:type="pct"/>
            <w:tcBorders>
              <w:top w:val="nil"/>
              <w:left w:val="nil"/>
              <w:bottom w:val="single" w:sz="4" w:space="0" w:color="auto"/>
              <w:right w:val="single" w:sz="4" w:space="0" w:color="auto"/>
            </w:tcBorders>
            <w:shd w:val="clear" w:color="000000" w:fill="FFFFFF"/>
            <w:vAlign w:val="center"/>
            <w:hideMark/>
          </w:tcPr>
          <w:p w14:paraId="07753ADC" w14:textId="77777777" w:rsidR="00821B49" w:rsidRPr="00BE10E3" w:rsidRDefault="00821B49" w:rsidP="00D00B94">
            <w:pPr>
              <w:jc w:val="right"/>
              <w:rPr>
                <w:rFonts w:cs="Arial"/>
                <w:sz w:val="18"/>
                <w:szCs w:val="18"/>
                <w:lang w:eastAsia="en-GB"/>
              </w:rPr>
            </w:pPr>
            <w:r w:rsidRPr="00BE10E3">
              <w:rPr>
                <w:rFonts w:cs="Arial"/>
                <w:sz w:val="18"/>
                <w:szCs w:val="18"/>
                <w:lang w:eastAsia="en-GB"/>
              </w:rPr>
              <w:t>$1,709</w:t>
            </w:r>
          </w:p>
        </w:tc>
        <w:tc>
          <w:tcPr>
            <w:tcW w:w="327" w:type="pct"/>
            <w:tcBorders>
              <w:top w:val="nil"/>
              <w:left w:val="nil"/>
              <w:bottom w:val="single" w:sz="4" w:space="0" w:color="auto"/>
              <w:right w:val="single" w:sz="4" w:space="0" w:color="auto"/>
            </w:tcBorders>
            <w:shd w:val="clear" w:color="000000" w:fill="FFFFFF"/>
            <w:noWrap/>
            <w:vAlign w:val="center"/>
            <w:hideMark/>
          </w:tcPr>
          <w:p w14:paraId="375FC81D" w14:textId="77777777" w:rsidR="00821B49" w:rsidRPr="00BE10E3" w:rsidRDefault="00821B49" w:rsidP="00D00B94">
            <w:pPr>
              <w:jc w:val="right"/>
              <w:rPr>
                <w:rFonts w:cs="Arial"/>
                <w:sz w:val="18"/>
                <w:szCs w:val="18"/>
                <w:lang w:eastAsia="en-GB"/>
              </w:rPr>
            </w:pPr>
            <w:r w:rsidRPr="00BE10E3">
              <w:rPr>
                <w:rFonts w:cs="Arial"/>
                <w:sz w:val="18"/>
                <w:szCs w:val="18"/>
                <w:lang w:eastAsia="en-GB"/>
              </w:rPr>
              <w:t>$190,840</w:t>
            </w:r>
          </w:p>
        </w:tc>
      </w:tr>
      <w:tr w:rsidR="00517ECE" w:rsidRPr="00033FC0" w14:paraId="49EFE637" w14:textId="77777777" w:rsidTr="00517ECE">
        <w:trPr>
          <w:trHeight w:val="706"/>
        </w:trPr>
        <w:tc>
          <w:tcPr>
            <w:tcW w:w="34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4A46BC" w14:textId="77777777" w:rsidR="00821B49" w:rsidRPr="00BE10E3" w:rsidRDefault="00620770" w:rsidP="00ED0725">
            <w:pPr>
              <w:jc w:val="center"/>
              <w:rPr>
                <w:rFonts w:cs="Arial"/>
                <w:color w:val="0563C1"/>
                <w:sz w:val="18"/>
                <w:szCs w:val="18"/>
                <w:u w:val="single"/>
                <w:lang w:eastAsia="en-GB"/>
              </w:rPr>
            </w:pPr>
            <w:hyperlink r:id="rId30" w:history="1">
              <w:r w:rsidR="00821B49" w:rsidRPr="00BE10E3">
                <w:rPr>
                  <w:rFonts w:cs="Arial"/>
                  <w:color w:val="0563C1"/>
                  <w:sz w:val="18"/>
                  <w:szCs w:val="18"/>
                  <w:u w:val="single"/>
                  <w:lang w:eastAsia="en-GB"/>
                </w:rPr>
                <w:t>CO-T1501</w:t>
              </w:r>
            </w:hyperlink>
          </w:p>
        </w:tc>
        <w:tc>
          <w:tcPr>
            <w:tcW w:w="349" w:type="pct"/>
            <w:tcBorders>
              <w:top w:val="nil"/>
              <w:left w:val="nil"/>
              <w:bottom w:val="single" w:sz="4" w:space="0" w:color="auto"/>
              <w:right w:val="single" w:sz="4" w:space="0" w:color="auto"/>
            </w:tcBorders>
            <w:shd w:val="clear" w:color="000000" w:fill="FFFFFF"/>
            <w:vAlign w:val="center"/>
            <w:hideMark/>
          </w:tcPr>
          <w:p w14:paraId="4CAA7D1C"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nil"/>
              <w:left w:val="nil"/>
              <w:bottom w:val="single" w:sz="4" w:space="0" w:color="auto"/>
              <w:right w:val="single" w:sz="4" w:space="0" w:color="auto"/>
            </w:tcBorders>
            <w:shd w:val="clear" w:color="000000" w:fill="FFFFFF"/>
            <w:vAlign w:val="center"/>
            <w:hideMark/>
          </w:tcPr>
          <w:p w14:paraId="438E7C6E" w14:textId="77777777" w:rsidR="00821B49" w:rsidRPr="00BE10E3" w:rsidRDefault="00821B49" w:rsidP="00ED0725">
            <w:pPr>
              <w:jc w:val="center"/>
              <w:rPr>
                <w:rFonts w:cs="Arial"/>
                <w:sz w:val="18"/>
                <w:szCs w:val="18"/>
                <w:lang w:eastAsia="en-GB"/>
              </w:rPr>
            </w:pPr>
            <w:r w:rsidRPr="00BE10E3">
              <w:rPr>
                <w:rFonts w:cs="Arial"/>
                <w:sz w:val="18"/>
                <w:szCs w:val="18"/>
                <w:lang w:eastAsia="en-GB"/>
              </w:rPr>
              <w:t>Strengthening Colombian Institutional Capacity to Integrate large Scale Non-Conventional Renewable Energy</w:t>
            </w:r>
          </w:p>
        </w:tc>
        <w:tc>
          <w:tcPr>
            <w:tcW w:w="368" w:type="pct"/>
            <w:tcBorders>
              <w:top w:val="nil"/>
              <w:left w:val="nil"/>
              <w:bottom w:val="single" w:sz="4" w:space="0" w:color="auto"/>
              <w:right w:val="single" w:sz="4" w:space="0" w:color="auto"/>
            </w:tcBorders>
            <w:shd w:val="clear" w:color="000000" w:fill="FFFFFF"/>
            <w:vAlign w:val="center"/>
            <w:hideMark/>
          </w:tcPr>
          <w:p w14:paraId="4C486FF6" w14:textId="77777777" w:rsidR="00821B49" w:rsidRPr="00BE10E3" w:rsidRDefault="00821B49" w:rsidP="00ED0725">
            <w:pPr>
              <w:jc w:val="center"/>
              <w:rPr>
                <w:rFonts w:cs="Arial"/>
                <w:sz w:val="18"/>
                <w:szCs w:val="18"/>
                <w:lang w:eastAsia="en-GB"/>
              </w:rPr>
            </w:pPr>
            <w:r w:rsidRPr="00BE10E3">
              <w:rPr>
                <w:rFonts w:cs="Arial"/>
                <w:sz w:val="18"/>
                <w:szCs w:val="18"/>
                <w:lang w:eastAsia="en-GB"/>
              </w:rPr>
              <w:t>04/06/2019</w:t>
            </w:r>
          </w:p>
        </w:tc>
        <w:tc>
          <w:tcPr>
            <w:tcW w:w="484" w:type="pct"/>
            <w:tcBorders>
              <w:top w:val="nil"/>
              <w:left w:val="nil"/>
              <w:bottom w:val="single" w:sz="4" w:space="0" w:color="auto"/>
              <w:right w:val="single" w:sz="4" w:space="0" w:color="auto"/>
            </w:tcBorders>
            <w:shd w:val="clear" w:color="000000" w:fill="FFFFFF"/>
            <w:vAlign w:val="center"/>
            <w:hideMark/>
          </w:tcPr>
          <w:p w14:paraId="11FC0EB4" w14:textId="77777777" w:rsidR="00821B49" w:rsidRPr="00BE10E3" w:rsidRDefault="00821B49" w:rsidP="00ED0725">
            <w:pPr>
              <w:jc w:val="center"/>
              <w:rPr>
                <w:rFonts w:cs="Arial"/>
                <w:sz w:val="18"/>
                <w:szCs w:val="18"/>
                <w:lang w:eastAsia="en-GB"/>
              </w:rPr>
            </w:pPr>
            <w:r w:rsidRPr="00BE10E3">
              <w:rPr>
                <w:rFonts w:cs="Arial"/>
                <w:sz w:val="18"/>
                <w:szCs w:val="18"/>
                <w:lang w:eastAsia="en-GB"/>
              </w:rPr>
              <w:t>36months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3236D6CD" w14:textId="4B42D416" w:rsidR="00821B49" w:rsidRPr="00BE10E3" w:rsidRDefault="00DE560D" w:rsidP="00523EA1">
            <w:pPr>
              <w:jc w:val="center"/>
              <w:rPr>
                <w:rFonts w:cs="Arial"/>
                <w:sz w:val="18"/>
                <w:szCs w:val="18"/>
                <w:lang w:eastAsia="en-GB"/>
              </w:rPr>
            </w:pPr>
            <w:r w:rsidRPr="00BE10E3">
              <w:rPr>
                <w:rFonts w:cs="Arial"/>
                <w:sz w:val="18"/>
                <w:szCs w:val="18"/>
                <w:lang w:eastAsia="en-GB"/>
              </w:rPr>
              <w:t>2022</w:t>
            </w:r>
          </w:p>
        </w:tc>
        <w:tc>
          <w:tcPr>
            <w:tcW w:w="385" w:type="pct"/>
            <w:tcBorders>
              <w:top w:val="nil"/>
              <w:left w:val="single" w:sz="4" w:space="0" w:color="auto"/>
              <w:bottom w:val="single" w:sz="4" w:space="0" w:color="auto"/>
              <w:right w:val="single" w:sz="4" w:space="0" w:color="auto"/>
            </w:tcBorders>
            <w:shd w:val="clear" w:color="000000" w:fill="FFFFFF"/>
            <w:vAlign w:val="center"/>
            <w:hideMark/>
          </w:tcPr>
          <w:p w14:paraId="0DCCDD2B" w14:textId="0EC838C7" w:rsidR="00821B49" w:rsidRPr="00BE10E3" w:rsidRDefault="00821B49" w:rsidP="00ED0725">
            <w:pPr>
              <w:jc w:val="center"/>
              <w:rPr>
                <w:rFonts w:cs="Arial"/>
                <w:sz w:val="18"/>
                <w:szCs w:val="18"/>
                <w:lang w:eastAsia="en-GB"/>
              </w:rPr>
            </w:pPr>
            <w:r w:rsidRPr="00BE10E3">
              <w:rPr>
                <w:rFonts w:cs="Arial"/>
                <w:sz w:val="18"/>
                <w:szCs w:val="18"/>
                <w:lang w:eastAsia="en-GB"/>
              </w:rPr>
              <w:t>Colombia</w:t>
            </w:r>
          </w:p>
        </w:tc>
        <w:tc>
          <w:tcPr>
            <w:tcW w:w="398" w:type="pct"/>
            <w:tcBorders>
              <w:top w:val="nil"/>
              <w:left w:val="nil"/>
              <w:bottom w:val="single" w:sz="4" w:space="0" w:color="auto"/>
              <w:right w:val="single" w:sz="4" w:space="0" w:color="auto"/>
            </w:tcBorders>
            <w:shd w:val="clear" w:color="000000" w:fill="FFFFFF"/>
            <w:vAlign w:val="center"/>
            <w:hideMark/>
          </w:tcPr>
          <w:p w14:paraId="074D82EE" w14:textId="77777777" w:rsidR="00821B49" w:rsidRPr="00BE10E3" w:rsidRDefault="00821B49" w:rsidP="00ED0725">
            <w:pPr>
              <w:jc w:val="center"/>
              <w:rPr>
                <w:rFonts w:cs="Arial"/>
                <w:sz w:val="18"/>
                <w:szCs w:val="18"/>
                <w:lang w:eastAsia="en-GB"/>
              </w:rPr>
            </w:pPr>
            <w:r w:rsidRPr="00BE10E3">
              <w:rPr>
                <w:rFonts w:cs="Arial"/>
                <w:sz w:val="18"/>
                <w:szCs w:val="18"/>
                <w:lang w:eastAsia="en-GB"/>
              </w:rPr>
              <w:t>Energy</w:t>
            </w:r>
          </w:p>
        </w:tc>
        <w:tc>
          <w:tcPr>
            <w:tcW w:w="362" w:type="pct"/>
            <w:tcBorders>
              <w:top w:val="nil"/>
              <w:left w:val="nil"/>
              <w:bottom w:val="single" w:sz="4" w:space="0" w:color="auto"/>
              <w:right w:val="single" w:sz="4" w:space="0" w:color="auto"/>
            </w:tcBorders>
            <w:shd w:val="clear" w:color="000000" w:fill="FFFFFF"/>
            <w:noWrap/>
            <w:vAlign w:val="center"/>
            <w:hideMark/>
          </w:tcPr>
          <w:p w14:paraId="43A4A2CD" w14:textId="77777777" w:rsidR="00821B49" w:rsidRPr="00BE10E3" w:rsidRDefault="00821B49" w:rsidP="00D00B94">
            <w:pPr>
              <w:jc w:val="right"/>
              <w:rPr>
                <w:rFonts w:cs="Arial"/>
                <w:sz w:val="18"/>
                <w:szCs w:val="18"/>
                <w:lang w:eastAsia="en-GB"/>
              </w:rPr>
            </w:pPr>
            <w:r w:rsidRPr="00BE10E3">
              <w:rPr>
                <w:rFonts w:cs="Arial"/>
                <w:sz w:val="18"/>
                <w:szCs w:val="18"/>
                <w:lang w:eastAsia="en-GB"/>
              </w:rPr>
              <w:t>$1,000,000</w:t>
            </w:r>
          </w:p>
        </w:tc>
        <w:tc>
          <w:tcPr>
            <w:tcW w:w="356" w:type="pct"/>
            <w:tcBorders>
              <w:top w:val="nil"/>
              <w:left w:val="nil"/>
              <w:bottom w:val="single" w:sz="4" w:space="0" w:color="auto"/>
              <w:right w:val="single" w:sz="4" w:space="0" w:color="auto"/>
            </w:tcBorders>
            <w:shd w:val="clear" w:color="000000" w:fill="FFFFFF"/>
            <w:vAlign w:val="center"/>
            <w:hideMark/>
          </w:tcPr>
          <w:p w14:paraId="1E06711C" w14:textId="77777777" w:rsidR="00821B49" w:rsidRPr="00BE10E3" w:rsidRDefault="00821B49" w:rsidP="00D00B94">
            <w:pPr>
              <w:jc w:val="right"/>
              <w:rPr>
                <w:rFonts w:cs="Arial"/>
                <w:sz w:val="18"/>
                <w:szCs w:val="18"/>
                <w:lang w:eastAsia="en-GB"/>
              </w:rPr>
            </w:pPr>
            <w:r w:rsidRPr="00BE10E3">
              <w:rPr>
                <w:rFonts w:cs="Arial"/>
                <w:sz w:val="18"/>
                <w:szCs w:val="18"/>
                <w:lang w:eastAsia="en-GB"/>
              </w:rPr>
              <w:t>$441,033</w:t>
            </w:r>
          </w:p>
        </w:tc>
        <w:tc>
          <w:tcPr>
            <w:tcW w:w="375" w:type="pct"/>
            <w:tcBorders>
              <w:top w:val="nil"/>
              <w:left w:val="nil"/>
              <w:bottom w:val="single" w:sz="4" w:space="0" w:color="auto"/>
              <w:right w:val="single" w:sz="4" w:space="0" w:color="auto"/>
            </w:tcBorders>
            <w:shd w:val="clear" w:color="000000" w:fill="FFFFFF"/>
            <w:vAlign w:val="center"/>
            <w:hideMark/>
          </w:tcPr>
          <w:p w14:paraId="782E0274" w14:textId="77777777" w:rsidR="00821B49" w:rsidRPr="00BE10E3" w:rsidRDefault="00821B49" w:rsidP="00D00B94">
            <w:pPr>
              <w:jc w:val="right"/>
              <w:rPr>
                <w:rFonts w:cs="Arial"/>
                <w:sz w:val="18"/>
                <w:szCs w:val="18"/>
                <w:lang w:eastAsia="en-GB"/>
              </w:rPr>
            </w:pPr>
            <w:r w:rsidRPr="00BE10E3">
              <w:rPr>
                <w:rFonts w:cs="Arial"/>
                <w:sz w:val="18"/>
                <w:szCs w:val="18"/>
                <w:lang w:eastAsia="en-GB"/>
              </w:rPr>
              <w:t>$112,493</w:t>
            </w:r>
          </w:p>
        </w:tc>
        <w:tc>
          <w:tcPr>
            <w:tcW w:w="327" w:type="pct"/>
            <w:tcBorders>
              <w:top w:val="nil"/>
              <w:left w:val="nil"/>
              <w:bottom w:val="single" w:sz="4" w:space="0" w:color="auto"/>
              <w:right w:val="single" w:sz="4" w:space="0" w:color="auto"/>
            </w:tcBorders>
            <w:shd w:val="clear" w:color="000000" w:fill="FFFFFF"/>
            <w:noWrap/>
            <w:vAlign w:val="center"/>
            <w:hideMark/>
          </w:tcPr>
          <w:p w14:paraId="182120B1" w14:textId="77777777" w:rsidR="00821B49" w:rsidRPr="00BE10E3" w:rsidRDefault="00821B49" w:rsidP="00D00B94">
            <w:pPr>
              <w:jc w:val="right"/>
              <w:rPr>
                <w:rFonts w:cs="Arial"/>
                <w:sz w:val="18"/>
                <w:szCs w:val="18"/>
                <w:lang w:eastAsia="en-GB"/>
              </w:rPr>
            </w:pPr>
            <w:r w:rsidRPr="00BE10E3">
              <w:rPr>
                <w:rFonts w:cs="Arial"/>
                <w:sz w:val="18"/>
                <w:szCs w:val="18"/>
                <w:lang w:eastAsia="en-GB"/>
              </w:rPr>
              <w:t>$446,474</w:t>
            </w:r>
          </w:p>
        </w:tc>
      </w:tr>
      <w:tr w:rsidR="00517ECE" w:rsidRPr="00033FC0" w14:paraId="1855EE29" w14:textId="77777777" w:rsidTr="00517ECE">
        <w:trPr>
          <w:trHeight w:val="690"/>
        </w:trPr>
        <w:tc>
          <w:tcPr>
            <w:tcW w:w="34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88ACD" w14:textId="77777777" w:rsidR="00821B49" w:rsidRPr="00BE10E3" w:rsidRDefault="00620770" w:rsidP="00ED0725">
            <w:pPr>
              <w:jc w:val="center"/>
              <w:rPr>
                <w:rFonts w:cs="Arial"/>
                <w:color w:val="0563C1"/>
                <w:sz w:val="18"/>
                <w:szCs w:val="18"/>
                <w:u w:val="single"/>
                <w:lang w:eastAsia="en-GB"/>
              </w:rPr>
            </w:pPr>
            <w:hyperlink r:id="rId31" w:history="1">
              <w:r w:rsidR="00821B49" w:rsidRPr="00BE10E3">
                <w:rPr>
                  <w:rFonts w:cs="Arial"/>
                  <w:color w:val="0563C1"/>
                  <w:sz w:val="18"/>
                  <w:szCs w:val="18"/>
                  <w:u w:val="single"/>
                  <w:lang w:eastAsia="en-GB"/>
                </w:rPr>
                <w:t>CO-T1558</w:t>
              </w:r>
            </w:hyperlink>
          </w:p>
        </w:tc>
        <w:tc>
          <w:tcPr>
            <w:tcW w:w="34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AD6254" w14:textId="77777777" w:rsidR="00821B49" w:rsidRPr="00BE10E3" w:rsidRDefault="00821B49" w:rsidP="00ED0725">
            <w:pPr>
              <w:jc w:val="center"/>
              <w:rPr>
                <w:rFonts w:cs="Arial"/>
                <w:sz w:val="18"/>
                <w:szCs w:val="18"/>
                <w:lang w:eastAsia="en-GB"/>
              </w:rPr>
            </w:pPr>
            <w:r w:rsidRPr="00BE10E3">
              <w:rPr>
                <w:rFonts w:cs="Arial"/>
                <w:sz w:val="18"/>
                <w:szCs w:val="18"/>
                <w:lang w:eastAsia="en-GB"/>
              </w:rPr>
              <w:t>Disbursing</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35A1F7EC" w14:textId="77777777" w:rsidR="00821B49" w:rsidRPr="00BE10E3" w:rsidRDefault="00821B49" w:rsidP="001546B1">
            <w:pPr>
              <w:jc w:val="center"/>
              <w:rPr>
                <w:rFonts w:cs="Arial"/>
                <w:color w:val="000000"/>
                <w:sz w:val="18"/>
                <w:szCs w:val="18"/>
                <w:lang w:eastAsia="en-GB"/>
              </w:rPr>
            </w:pPr>
            <w:r w:rsidRPr="00BE10E3">
              <w:rPr>
                <w:rFonts w:cs="Arial"/>
                <w:color w:val="000000"/>
                <w:sz w:val="18"/>
                <w:szCs w:val="18"/>
                <w:lang w:eastAsia="en-GB"/>
              </w:rPr>
              <w:t>Sustainable Urban Transport in Colombian Cities</w:t>
            </w:r>
          </w:p>
        </w:tc>
        <w:tc>
          <w:tcPr>
            <w:tcW w:w="368" w:type="pct"/>
            <w:tcBorders>
              <w:top w:val="single" w:sz="4" w:space="0" w:color="auto"/>
              <w:left w:val="nil"/>
              <w:bottom w:val="single" w:sz="4" w:space="0" w:color="auto"/>
              <w:right w:val="single" w:sz="4" w:space="0" w:color="auto"/>
            </w:tcBorders>
            <w:shd w:val="clear" w:color="000000" w:fill="FFFFFF"/>
            <w:vAlign w:val="center"/>
            <w:hideMark/>
          </w:tcPr>
          <w:p w14:paraId="21B0F68C" w14:textId="77777777" w:rsidR="00821B49" w:rsidRPr="00BE10E3" w:rsidRDefault="00821B49" w:rsidP="00ED0725">
            <w:pPr>
              <w:jc w:val="center"/>
              <w:rPr>
                <w:rFonts w:cs="Arial"/>
                <w:sz w:val="18"/>
                <w:szCs w:val="18"/>
                <w:lang w:eastAsia="en-GB"/>
              </w:rPr>
            </w:pPr>
            <w:r w:rsidRPr="00BE10E3">
              <w:rPr>
                <w:rFonts w:cs="Arial"/>
                <w:sz w:val="18"/>
                <w:szCs w:val="18"/>
                <w:lang w:eastAsia="en-GB"/>
              </w:rPr>
              <w:t>27/03/2020</w:t>
            </w:r>
          </w:p>
        </w:tc>
        <w:tc>
          <w:tcPr>
            <w:tcW w:w="484" w:type="pct"/>
            <w:tcBorders>
              <w:top w:val="single" w:sz="4" w:space="0" w:color="auto"/>
              <w:left w:val="nil"/>
              <w:bottom w:val="single" w:sz="4" w:space="0" w:color="auto"/>
              <w:right w:val="single" w:sz="4" w:space="0" w:color="auto"/>
            </w:tcBorders>
            <w:shd w:val="clear" w:color="000000" w:fill="FFFFFF"/>
            <w:vAlign w:val="center"/>
            <w:hideMark/>
          </w:tcPr>
          <w:p w14:paraId="1CEF1C39" w14:textId="77777777" w:rsidR="00821B49" w:rsidRPr="00BE10E3" w:rsidRDefault="00821B49" w:rsidP="00ED0725">
            <w:pPr>
              <w:jc w:val="center"/>
              <w:rPr>
                <w:rFonts w:cs="Arial"/>
                <w:sz w:val="18"/>
                <w:szCs w:val="18"/>
                <w:lang w:eastAsia="en-GB"/>
              </w:rPr>
            </w:pPr>
            <w:r w:rsidRPr="00BE10E3">
              <w:rPr>
                <w:rFonts w:cs="Arial"/>
                <w:sz w:val="18"/>
                <w:szCs w:val="18"/>
                <w:lang w:eastAsia="en-GB"/>
              </w:rPr>
              <w:t>36months</w:t>
            </w:r>
          </w:p>
        </w:tc>
        <w:tc>
          <w:tcPr>
            <w:tcW w:w="382" w:type="pct"/>
            <w:tcBorders>
              <w:top w:val="single" w:sz="4" w:space="0" w:color="auto"/>
              <w:left w:val="nil"/>
              <w:bottom w:val="single" w:sz="4" w:space="0" w:color="auto"/>
              <w:right w:val="single" w:sz="4" w:space="0" w:color="auto"/>
            </w:tcBorders>
            <w:shd w:val="clear" w:color="000000" w:fill="FFFFFF"/>
            <w:vAlign w:val="center"/>
          </w:tcPr>
          <w:p w14:paraId="5D0B6236" w14:textId="2A01DA82" w:rsidR="00821B49" w:rsidRPr="00BE10E3" w:rsidRDefault="00523EA1" w:rsidP="00523EA1">
            <w:pPr>
              <w:jc w:val="center"/>
              <w:rPr>
                <w:rFonts w:cs="Arial"/>
                <w:sz w:val="18"/>
                <w:szCs w:val="18"/>
                <w:lang w:eastAsia="en-GB"/>
              </w:rPr>
            </w:pPr>
            <w:r w:rsidRPr="00BE10E3">
              <w:rPr>
                <w:rFonts w:cs="Arial"/>
                <w:sz w:val="18"/>
                <w:szCs w:val="18"/>
                <w:lang w:eastAsia="en-GB"/>
              </w:rPr>
              <w:t>2021</w:t>
            </w:r>
          </w:p>
        </w:tc>
        <w:tc>
          <w:tcPr>
            <w:tcW w:w="38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C1A7580" w14:textId="01275598" w:rsidR="00821B49" w:rsidRPr="00BE10E3" w:rsidRDefault="00821B49" w:rsidP="00ED0725">
            <w:pPr>
              <w:jc w:val="center"/>
              <w:rPr>
                <w:rFonts w:cs="Arial"/>
                <w:sz w:val="18"/>
                <w:szCs w:val="18"/>
                <w:lang w:eastAsia="en-GB"/>
              </w:rPr>
            </w:pPr>
            <w:r w:rsidRPr="00BE10E3">
              <w:rPr>
                <w:rFonts w:cs="Arial"/>
                <w:sz w:val="18"/>
                <w:szCs w:val="18"/>
                <w:lang w:eastAsia="en-GB"/>
              </w:rPr>
              <w:t>Colombia</w:t>
            </w:r>
          </w:p>
        </w:tc>
        <w:tc>
          <w:tcPr>
            <w:tcW w:w="398" w:type="pct"/>
            <w:tcBorders>
              <w:top w:val="single" w:sz="4" w:space="0" w:color="auto"/>
              <w:left w:val="nil"/>
              <w:bottom w:val="single" w:sz="4" w:space="0" w:color="auto"/>
              <w:right w:val="single" w:sz="4" w:space="0" w:color="auto"/>
            </w:tcBorders>
            <w:shd w:val="clear" w:color="000000" w:fill="FFFFFF"/>
            <w:vAlign w:val="center"/>
            <w:hideMark/>
          </w:tcPr>
          <w:p w14:paraId="3E1A6B38" w14:textId="77777777" w:rsidR="00821B49" w:rsidRPr="00BE10E3" w:rsidRDefault="00821B49" w:rsidP="00ED0725">
            <w:pPr>
              <w:jc w:val="center"/>
              <w:rPr>
                <w:rFonts w:cs="Arial"/>
                <w:sz w:val="18"/>
                <w:szCs w:val="18"/>
                <w:lang w:eastAsia="en-GB"/>
              </w:rPr>
            </w:pPr>
            <w:r w:rsidRPr="00BE10E3">
              <w:rPr>
                <w:rFonts w:cs="Arial"/>
                <w:sz w:val="18"/>
                <w:szCs w:val="18"/>
                <w:lang w:eastAsia="en-GB"/>
              </w:rPr>
              <w:t>Transport</w:t>
            </w:r>
          </w:p>
        </w:tc>
        <w:tc>
          <w:tcPr>
            <w:tcW w:w="362" w:type="pct"/>
            <w:tcBorders>
              <w:top w:val="single" w:sz="4" w:space="0" w:color="auto"/>
              <w:left w:val="nil"/>
              <w:bottom w:val="single" w:sz="4" w:space="0" w:color="auto"/>
              <w:right w:val="single" w:sz="4" w:space="0" w:color="auto"/>
            </w:tcBorders>
            <w:shd w:val="clear" w:color="000000" w:fill="FFFFFF"/>
            <w:noWrap/>
            <w:vAlign w:val="center"/>
            <w:hideMark/>
          </w:tcPr>
          <w:p w14:paraId="16901445" w14:textId="77777777" w:rsidR="00821B49" w:rsidRPr="00BE10E3" w:rsidRDefault="00821B49" w:rsidP="00D00B94">
            <w:pPr>
              <w:jc w:val="right"/>
              <w:rPr>
                <w:rFonts w:cs="Arial"/>
                <w:sz w:val="18"/>
                <w:szCs w:val="18"/>
                <w:lang w:eastAsia="en-GB"/>
              </w:rPr>
            </w:pPr>
            <w:r w:rsidRPr="00BE10E3">
              <w:rPr>
                <w:rFonts w:cs="Arial"/>
                <w:sz w:val="18"/>
                <w:szCs w:val="18"/>
                <w:lang w:eastAsia="en-GB"/>
              </w:rPr>
              <w:t>$500,000</w:t>
            </w:r>
          </w:p>
        </w:tc>
        <w:tc>
          <w:tcPr>
            <w:tcW w:w="356" w:type="pct"/>
            <w:tcBorders>
              <w:top w:val="single" w:sz="4" w:space="0" w:color="auto"/>
              <w:left w:val="nil"/>
              <w:bottom w:val="single" w:sz="4" w:space="0" w:color="auto"/>
              <w:right w:val="single" w:sz="4" w:space="0" w:color="auto"/>
            </w:tcBorders>
            <w:shd w:val="clear" w:color="000000" w:fill="FFFFFF"/>
            <w:vAlign w:val="center"/>
            <w:hideMark/>
          </w:tcPr>
          <w:p w14:paraId="30665523" w14:textId="77777777" w:rsidR="00821B49" w:rsidRPr="00BE10E3" w:rsidRDefault="00821B49" w:rsidP="00D00B94">
            <w:pPr>
              <w:jc w:val="right"/>
              <w:rPr>
                <w:rFonts w:cs="Arial"/>
                <w:sz w:val="18"/>
                <w:szCs w:val="18"/>
                <w:lang w:eastAsia="en-GB"/>
              </w:rPr>
            </w:pPr>
            <w:r w:rsidRPr="00BE10E3">
              <w:rPr>
                <w:rFonts w:cs="Arial"/>
                <w:sz w:val="18"/>
                <w:szCs w:val="18"/>
                <w:lang w:eastAsia="en-GB"/>
              </w:rPr>
              <w:t>$44,781</w:t>
            </w:r>
          </w:p>
        </w:tc>
        <w:tc>
          <w:tcPr>
            <w:tcW w:w="375" w:type="pct"/>
            <w:tcBorders>
              <w:top w:val="single" w:sz="4" w:space="0" w:color="auto"/>
              <w:left w:val="nil"/>
              <w:bottom w:val="single" w:sz="4" w:space="0" w:color="auto"/>
              <w:right w:val="single" w:sz="4" w:space="0" w:color="auto"/>
            </w:tcBorders>
            <w:shd w:val="clear" w:color="000000" w:fill="FFFFFF"/>
            <w:vAlign w:val="center"/>
            <w:hideMark/>
          </w:tcPr>
          <w:p w14:paraId="60DCF0C9" w14:textId="77777777" w:rsidR="00821B49" w:rsidRPr="00BE10E3" w:rsidRDefault="00821B49" w:rsidP="00D00B94">
            <w:pPr>
              <w:jc w:val="right"/>
              <w:rPr>
                <w:rFonts w:cs="Arial"/>
                <w:sz w:val="18"/>
                <w:szCs w:val="18"/>
                <w:lang w:eastAsia="en-GB"/>
              </w:rPr>
            </w:pPr>
            <w:r w:rsidRPr="00BE10E3">
              <w:rPr>
                <w:rFonts w:cs="Arial"/>
                <w:sz w:val="18"/>
                <w:szCs w:val="18"/>
                <w:lang w:eastAsia="en-GB"/>
              </w:rPr>
              <w:t>$63,953</w:t>
            </w:r>
          </w:p>
        </w:tc>
        <w:tc>
          <w:tcPr>
            <w:tcW w:w="327" w:type="pct"/>
            <w:tcBorders>
              <w:top w:val="single" w:sz="4" w:space="0" w:color="auto"/>
              <w:left w:val="nil"/>
              <w:bottom w:val="single" w:sz="4" w:space="0" w:color="auto"/>
              <w:right w:val="single" w:sz="4" w:space="0" w:color="auto"/>
            </w:tcBorders>
            <w:shd w:val="clear" w:color="000000" w:fill="FFFFFF"/>
            <w:noWrap/>
            <w:vAlign w:val="center"/>
            <w:hideMark/>
          </w:tcPr>
          <w:p w14:paraId="170E3D64" w14:textId="77777777" w:rsidR="00821B49" w:rsidRPr="00BE10E3" w:rsidRDefault="00821B49" w:rsidP="00D00B94">
            <w:pPr>
              <w:jc w:val="right"/>
              <w:rPr>
                <w:rFonts w:cs="Arial"/>
                <w:sz w:val="18"/>
                <w:szCs w:val="18"/>
                <w:lang w:eastAsia="en-GB"/>
              </w:rPr>
            </w:pPr>
            <w:r w:rsidRPr="00BE10E3">
              <w:rPr>
                <w:rFonts w:cs="Arial"/>
                <w:sz w:val="18"/>
                <w:szCs w:val="18"/>
                <w:lang w:eastAsia="en-GB"/>
              </w:rPr>
              <w:t>$391,266</w:t>
            </w:r>
          </w:p>
        </w:tc>
      </w:tr>
    </w:tbl>
    <w:p w14:paraId="5724A535" w14:textId="76B950BA" w:rsidR="00C32BE5" w:rsidRDefault="00C32BE5" w:rsidP="00C04ADF">
      <w:pPr>
        <w:spacing w:before="120" w:after="120" w:line="276" w:lineRule="auto"/>
        <w:jc w:val="both"/>
        <w:rPr>
          <w:rFonts w:cs="Arial"/>
          <w:b/>
          <w:bCs/>
          <w:sz w:val="20"/>
          <w:szCs w:val="20"/>
        </w:rPr>
      </w:pPr>
    </w:p>
    <w:p w14:paraId="3E5AD792" w14:textId="77777777" w:rsidR="00337F42" w:rsidRDefault="00337F42" w:rsidP="00C04ADF">
      <w:pPr>
        <w:spacing w:before="120" w:after="120" w:line="276" w:lineRule="auto"/>
        <w:jc w:val="both"/>
        <w:rPr>
          <w:rFonts w:cs="Arial"/>
          <w:b/>
          <w:bCs/>
          <w:sz w:val="20"/>
          <w:szCs w:val="20"/>
        </w:rPr>
      </w:pPr>
    </w:p>
    <w:p w14:paraId="28578D6D" w14:textId="77777777" w:rsidR="00CD0264" w:rsidRPr="00AB612E" w:rsidRDefault="00CD0264">
      <w:pPr>
        <w:spacing w:before="120" w:after="120" w:line="276" w:lineRule="auto"/>
        <w:jc w:val="both"/>
        <w:rPr>
          <w:rFonts w:cs="Arial"/>
          <w:b/>
          <w:bCs/>
          <w:sz w:val="20"/>
          <w:szCs w:val="20"/>
        </w:rPr>
      </w:pPr>
    </w:p>
    <w:sectPr w:rsidR="00CD0264" w:rsidRPr="00AB612E" w:rsidSect="00ED0725">
      <w:pgSz w:w="16838" w:h="11906" w:orient="landscape"/>
      <w:pgMar w:top="1440" w:right="709"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9889" w14:textId="77777777" w:rsidR="00D648F6" w:rsidRDefault="00D648F6" w:rsidP="003D222C">
      <w:r>
        <w:separator/>
      </w:r>
    </w:p>
  </w:endnote>
  <w:endnote w:type="continuationSeparator" w:id="0">
    <w:p w14:paraId="309AC42F" w14:textId="77777777" w:rsidR="00D648F6" w:rsidRDefault="00D648F6" w:rsidP="003D222C">
      <w:r>
        <w:continuationSeparator/>
      </w:r>
    </w:p>
  </w:endnote>
  <w:endnote w:type="continuationNotice" w:id="1">
    <w:p w14:paraId="0D263E6F" w14:textId="77777777" w:rsidR="00D648F6" w:rsidRDefault="00D648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yriadPro-Bold">
    <w:altName w:val="Yu Gothic"/>
    <w:panose1 w:val="00000000000000000000"/>
    <w:charset w:val="80"/>
    <w:family w:val="swiss"/>
    <w:notTrueType/>
    <w:pitch w:val="default"/>
    <w:sig w:usb0="00000001" w:usb1="08070000" w:usb2="00000010" w:usb3="00000000" w:csb0="0002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222B" w14:textId="77777777" w:rsidR="00151700" w:rsidRDefault="001517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82325"/>
      <w:docPartObj>
        <w:docPartGallery w:val="Page Numbers (Bottom of Page)"/>
        <w:docPartUnique/>
      </w:docPartObj>
    </w:sdtPr>
    <w:sdtEndPr>
      <w:rPr>
        <w:noProof/>
        <w:sz w:val="22"/>
        <w:szCs w:val="22"/>
      </w:rPr>
    </w:sdtEndPr>
    <w:sdtContent>
      <w:p w14:paraId="79558DEB" w14:textId="40557458" w:rsidR="00852C36" w:rsidRPr="00852C36" w:rsidRDefault="00852C36">
        <w:pPr>
          <w:pStyle w:val="Footer"/>
          <w:jc w:val="right"/>
          <w:rPr>
            <w:sz w:val="22"/>
            <w:szCs w:val="22"/>
          </w:rPr>
        </w:pPr>
        <w:r w:rsidRPr="00852C36">
          <w:rPr>
            <w:sz w:val="22"/>
            <w:szCs w:val="22"/>
          </w:rPr>
          <w:fldChar w:fldCharType="begin"/>
        </w:r>
        <w:r w:rsidRPr="00852C36">
          <w:rPr>
            <w:sz w:val="22"/>
            <w:szCs w:val="22"/>
          </w:rPr>
          <w:instrText xml:space="preserve"> PAGE   \* MERGEFORMAT </w:instrText>
        </w:r>
        <w:r w:rsidRPr="00852C36">
          <w:rPr>
            <w:sz w:val="22"/>
            <w:szCs w:val="22"/>
          </w:rPr>
          <w:fldChar w:fldCharType="separate"/>
        </w:r>
        <w:r w:rsidRPr="00852C36">
          <w:rPr>
            <w:noProof/>
            <w:sz w:val="22"/>
            <w:szCs w:val="22"/>
          </w:rPr>
          <w:t>2</w:t>
        </w:r>
        <w:r w:rsidRPr="00852C36">
          <w:rPr>
            <w:noProof/>
            <w:sz w:val="22"/>
            <w:szCs w:val="22"/>
          </w:rPr>
          <w:fldChar w:fldCharType="end"/>
        </w:r>
      </w:p>
    </w:sdtContent>
  </w:sdt>
  <w:p w14:paraId="625747AD" w14:textId="77777777" w:rsidR="001A4AA4" w:rsidRDefault="001A4A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2BCA" w14:textId="77777777" w:rsidR="00151700" w:rsidRDefault="00151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CBA3E" w14:textId="77777777" w:rsidR="00D648F6" w:rsidRDefault="00D648F6" w:rsidP="003D222C">
      <w:r>
        <w:separator/>
      </w:r>
    </w:p>
  </w:footnote>
  <w:footnote w:type="continuationSeparator" w:id="0">
    <w:p w14:paraId="69D798EF" w14:textId="77777777" w:rsidR="00D648F6" w:rsidRDefault="00D648F6" w:rsidP="003D222C">
      <w:r>
        <w:continuationSeparator/>
      </w:r>
    </w:p>
  </w:footnote>
  <w:footnote w:type="continuationNotice" w:id="1">
    <w:p w14:paraId="636BBB78" w14:textId="77777777" w:rsidR="00D648F6" w:rsidRDefault="00D648F6"/>
  </w:footnote>
  <w:footnote w:id="2">
    <w:p w14:paraId="60D35C03" w14:textId="054A9F70" w:rsidR="00E16BFE" w:rsidRPr="00513E41" w:rsidRDefault="00E16BFE">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w:t>
      </w:r>
      <w:r w:rsidRPr="00513E41">
        <w:rPr>
          <w:rFonts w:ascii="Arial" w:hAnsi="Arial" w:cs="Arial"/>
          <w:bCs/>
        </w:rPr>
        <w:t xml:space="preserve">For example, </w:t>
      </w:r>
      <w:r w:rsidRPr="00513E41">
        <w:rPr>
          <w:rFonts w:ascii="Arial" w:hAnsi="Arial" w:cs="Arial"/>
          <w:bCs/>
          <w:lang w:eastAsia="en-GB"/>
        </w:rPr>
        <w:t>SIP-LA public sector technical assistance support on Renewable Energy Auctions in Colombia led to a SIP-LA investment proposal for Colombia’s renewable energy market.</w:t>
      </w:r>
    </w:p>
  </w:footnote>
  <w:footnote w:id="3">
    <w:p w14:paraId="38B8BC0D" w14:textId="37B30AA0" w:rsidR="00C6674B" w:rsidRPr="00513E41" w:rsidRDefault="00C6674B">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Diagrammatic version of SIP-LA Theory of Change provided in Annex A</w:t>
      </w:r>
    </w:p>
  </w:footnote>
  <w:footnote w:id="4">
    <w:p w14:paraId="4DB13AD4" w14:textId="097575AD" w:rsidR="00F76300" w:rsidRPr="00513E41" w:rsidRDefault="00F76300">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w:t>
      </w:r>
      <w:r w:rsidR="003A16FB" w:rsidRPr="00513E41">
        <w:rPr>
          <w:rFonts w:ascii="Arial" w:hAnsi="Arial" w:cs="Arial"/>
        </w:rPr>
        <w:t>Information about achievements under outcome 1 are provided in Annex B</w:t>
      </w:r>
      <w:r w:rsidR="00D07B5A">
        <w:rPr>
          <w:rFonts w:ascii="Arial" w:hAnsi="Arial" w:cs="Arial"/>
        </w:rPr>
        <w:t>.</w:t>
      </w:r>
    </w:p>
  </w:footnote>
  <w:footnote w:id="5">
    <w:p w14:paraId="2CFD4B97" w14:textId="330527DE" w:rsidR="009A6052" w:rsidRPr="00513E41" w:rsidRDefault="009A6052">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SIP-LA support led to a number of outcomes that are relevant to the outcome statement but are not captured in the outcome indicators. For example, SIP-LA technical assistance supported 29 projects that reached financial close in 2020 through alternative funding channels.</w:t>
      </w:r>
    </w:p>
  </w:footnote>
  <w:footnote w:id="6">
    <w:p w14:paraId="058A2C0A" w14:textId="0E09365C" w:rsidR="00757A1F" w:rsidRPr="00BB17B3" w:rsidRDefault="00757A1F">
      <w:pPr>
        <w:pStyle w:val="FootnoteText"/>
        <w:rPr>
          <w:rFonts w:ascii="Arial" w:hAnsi="Arial" w:cs="Arial"/>
        </w:rPr>
      </w:pPr>
      <w:r w:rsidRPr="00BB17B3">
        <w:rPr>
          <w:rStyle w:val="FootnoteReference"/>
          <w:rFonts w:ascii="Arial" w:hAnsi="Arial" w:cs="Arial"/>
        </w:rPr>
        <w:footnoteRef/>
      </w:r>
      <w:r w:rsidRPr="00BB17B3">
        <w:rPr>
          <w:rFonts w:ascii="Arial" w:hAnsi="Arial" w:cs="Arial"/>
        </w:rPr>
        <w:t xml:space="preserve"> The Infrastructure Management Platform supports capacity building for municipalities to deliver sustainable infrastructure projects. SIP-LA support has improved the functioning and efficiency of the platform in supporting municipalities to </w:t>
      </w:r>
      <w:r w:rsidR="006D7136" w:rsidRPr="00BB17B3">
        <w:rPr>
          <w:rFonts w:ascii="Arial" w:hAnsi="Arial" w:cs="Arial"/>
        </w:rPr>
        <w:t>design</w:t>
      </w:r>
      <w:r w:rsidRPr="00BB17B3">
        <w:rPr>
          <w:rFonts w:ascii="Arial" w:hAnsi="Arial" w:cs="Arial"/>
        </w:rPr>
        <w:t xml:space="preserve"> and implement low carbon sustainable infrastructure projects.</w:t>
      </w:r>
    </w:p>
  </w:footnote>
  <w:footnote w:id="7">
    <w:p w14:paraId="1581E4AA" w14:textId="1D23454E" w:rsidR="00FD71C6" w:rsidRPr="005C3EC8" w:rsidRDefault="00FD71C6">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w:t>
      </w:r>
      <w:r w:rsidRPr="005C3EC8">
        <w:rPr>
          <w:rFonts w:ascii="Arial" w:hAnsi="Arial" w:cs="Arial"/>
          <w:lang w:val="en-US"/>
        </w:rPr>
        <w:t>Specifically, the indicator measures policies that target macro-level or upstream origination of projects as per the IDB Sustainability Framework.</w:t>
      </w:r>
    </w:p>
  </w:footnote>
  <w:footnote w:id="8">
    <w:p w14:paraId="2762E4C2" w14:textId="1B079D2A" w:rsidR="001E2A02" w:rsidRPr="00610D04" w:rsidRDefault="002855F3">
      <w:pPr>
        <w:pStyle w:val="FootnoteText"/>
        <w:rPr>
          <w:rFonts w:ascii="Arial" w:hAnsi="Arial" w:cs="Arial"/>
        </w:rPr>
      </w:pPr>
      <w:r w:rsidRPr="00610D04">
        <w:rPr>
          <w:rStyle w:val="FootnoteReference"/>
          <w:rFonts w:ascii="Arial" w:hAnsi="Arial" w:cs="Arial"/>
        </w:rPr>
        <w:footnoteRef/>
      </w:r>
      <w:r w:rsidRPr="00610D04">
        <w:rPr>
          <w:rFonts w:ascii="Arial" w:hAnsi="Arial" w:cs="Arial"/>
        </w:rPr>
        <w:t xml:space="preserve"> </w:t>
      </w:r>
      <w:r w:rsidR="001E2A02" w:rsidRPr="00610D04">
        <w:rPr>
          <w:rFonts w:ascii="Arial" w:hAnsi="Arial" w:cs="Arial"/>
        </w:rPr>
        <w:t xml:space="preserve"> </w:t>
      </w:r>
      <w:r w:rsidR="00610D04" w:rsidRPr="00F826AE">
        <w:rPr>
          <w:rFonts w:ascii="Arial" w:hAnsi="Arial" w:cs="Arial"/>
        </w:rPr>
        <w:t xml:space="preserve">Due to growing social discontent with the Sustainable Solidarity Law, MHCP decided to withdraw the draft proposal from the Congress. </w:t>
      </w:r>
      <w:r w:rsidR="001E2A02" w:rsidRPr="00610D04">
        <w:rPr>
          <w:rFonts w:ascii="Arial" w:hAnsi="Arial" w:cs="Arial"/>
        </w:rPr>
        <w:t>.</w:t>
      </w:r>
    </w:p>
  </w:footnote>
  <w:footnote w:id="9">
    <w:p w14:paraId="5ADFCCD9" w14:textId="7BEF49AE" w:rsidR="00B90EB4" w:rsidRPr="00513E41" w:rsidRDefault="00B90EB4">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For example, UPME had support from energy auctions, wind resources, institutional strengthening analysis</w:t>
      </w:r>
      <w:r w:rsidR="00B84BB7">
        <w:rPr>
          <w:rFonts w:ascii="Arial" w:hAnsi="Arial" w:cs="Arial"/>
        </w:rPr>
        <w:t>.</w:t>
      </w:r>
    </w:p>
  </w:footnote>
  <w:footnote w:id="10">
    <w:p w14:paraId="001BA362" w14:textId="42E4FBB4" w:rsidR="00EC7D80" w:rsidRPr="00513E41" w:rsidRDefault="00EC7D80">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This affected events under the SIP-LA public sector technical assistance project: </w:t>
      </w:r>
      <w:r w:rsidRPr="00513E41">
        <w:rPr>
          <w:rFonts w:ascii="Arial" w:hAnsi="Arial" w:cs="Arial"/>
          <w:i/>
          <w:iCs/>
        </w:rPr>
        <w:t>Promotion of Infrastructure Innovations in Small and Medium-Sized Municipalities in Brazil</w:t>
      </w:r>
      <w:r w:rsidRPr="00513E41">
        <w:rPr>
          <w:rFonts w:ascii="Arial" w:hAnsi="Arial" w:cs="Arial"/>
        </w:rPr>
        <w:t>.</w:t>
      </w:r>
    </w:p>
  </w:footnote>
  <w:footnote w:id="11">
    <w:p w14:paraId="1EDE7AE1" w14:textId="2A2B313D" w:rsidR="0034219D" w:rsidRPr="00CA2689" w:rsidRDefault="0034219D" w:rsidP="00BB17B3">
      <w:pPr>
        <w:tabs>
          <w:tab w:val="left" w:pos="2127"/>
        </w:tabs>
        <w:autoSpaceDE w:val="0"/>
        <w:autoSpaceDN w:val="0"/>
        <w:adjustRightInd w:val="0"/>
        <w:jc w:val="both"/>
        <w:rPr>
          <w:rFonts w:cs="Arial"/>
        </w:rPr>
      </w:pPr>
      <w:r w:rsidRPr="00BB17B3">
        <w:rPr>
          <w:rStyle w:val="FootnoteReference"/>
          <w:rFonts w:cs="Arial"/>
          <w:sz w:val="20"/>
          <w:szCs w:val="20"/>
        </w:rPr>
        <w:footnoteRef/>
      </w:r>
      <w:r w:rsidRPr="00BB17B3">
        <w:rPr>
          <w:rFonts w:cs="Arial"/>
          <w:sz w:val="20"/>
          <w:szCs w:val="20"/>
        </w:rPr>
        <w:t xml:space="preserve"> Brazil’s Credit Rights Investment Fund (FDIC) is a regulated debt capital market format for issuances in Brazilian Reais (BRL) traditionally used to securitize receivables, retail debt transactions, and credit card receivables. SIP-LA supported project preparation activities to evaluation options under Brazilian Law for SIP and other funds to co-invest in FIDC structures to finance rooftop solar systems.</w:t>
      </w:r>
    </w:p>
  </w:footnote>
  <w:footnote w:id="12">
    <w:p w14:paraId="47CF3BCB" w14:textId="38A8B096" w:rsidR="00D2274C" w:rsidRPr="00CA2689" w:rsidRDefault="00D2274C" w:rsidP="005078BB">
      <w:pPr>
        <w:pStyle w:val="FootnoteText"/>
        <w:jc w:val="both"/>
        <w:rPr>
          <w:rFonts w:ascii="Arial" w:hAnsi="Arial" w:cs="Arial"/>
        </w:rPr>
      </w:pPr>
      <w:r w:rsidRPr="00CA2689">
        <w:rPr>
          <w:rStyle w:val="FootnoteReference"/>
          <w:rFonts w:ascii="Arial" w:hAnsi="Arial" w:cs="Arial"/>
        </w:rPr>
        <w:footnoteRef/>
      </w:r>
      <w:r w:rsidRPr="00CA2689">
        <w:rPr>
          <w:rFonts w:ascii="Arial" w:hAnsi="Arial" w:cs="Arial"/>
        </w:rPr>
        <w:t xml:space="preserve"> The first was </w:t>
      </w:r>
      <w:r w:rsidRPr="00CA2689">
        <w:rPr>
          <w:rFonts w:ascii="Arial" w:hAnsi="Arial" w:cs="Arial"/>
          <w:lang w:eastAsia="en-GB"/>
        </w:rPr>
        <w:t xml:space="preserve">Merchant Risk Hedge for Renewable Energy in Mexico, which was covered in the 2019 Annual Review. </w:t>
      </w:r>
    </w:p>
  </w:footnote>
  <w:footnote w:id="13">
    <w:p w14:paraId="410BB0BF" w14:textId="61AB8889" w:rsidR="0034219D" w:rsidRDefault="0034219D" w:rsidP="00BB17B3">
      <w:pPr>
        <w:pStyle w:val="FootnoteText"/>
        <w:jc w:val="both"/>
      </w:pPr>
      <w:r w:rsidRPr="00BB17B3">
        <w:rPr>
          <w:rStyle w:val="FootnoteReference"/>
          <w:rFonts w:ascii="Arial" w:hAnsi="Arial" w:cs="Arial"/>
        </w:rPr>
        <w:footnoteRef/>
      </w:r>
      <w:r w:rsidRPr="00BB17B3">
        <w:rPr>
          <w:rFonts w:ascii="Arial" w:hAnsi="Arial" w:cs="Arial"/>
        </w:rPr>
        <w:t xml:space="preserve"> See footnote 10</w:t>
      </w:r>
    </w:p>
  </w:footnote>
  <w:footnote w:id="14">
    <w:p w14:paraId="3864E33E" w14:textId="644B81AE" w:rsidR="00E748AF" w:rsidRPr="00513E41" w:rsidRDefault="00E748AF">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w:t>
      </w:r>
      <w:r w:rsidRPr="005C3EC8">
        <w:rPr>
          <w:rFonts w:ascii="Arial" w:hAnsi="Arial" w:cs="Arial"/>
        </w:rPr>
        <w:t xml:space="preserve">Defined as projects </w:t>
      </w:r>
      <w:r w:rsidR="004458CD" w:rsidRPr="005C3EC8">
        <w:rPr>
          <w:rFonts w:ascii="Arial" w:hAnsi="Arial" w:cs="Arial"/>
        </w:rPr>
        <w:t>to which funds have been legally committed.</w:t>
      </w:r>
    </w:p>
  </w:footnote>
  <w:footnote w:id="15">
    <w:p w14:paraId="2BD8EA0D" w14:textId="1E9F894D" w:rsidR="004F624D" w:rsidRPr="00513E41" w:rsidRDefault="004F624D">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These projects were re</w:t>
      </w:r>
      <w:r w:rsidR="00756124" w:rsidRPr="00513E41">
        <w:rPr>
          <w:rFonts w:ascii="Arial" w:hAnsi="Arial" w:cs="Arial"/>
        </w:rPr>
        <w:t xml:space="preserve">structured </w:t>
      </w:r>
      <w:r w:rsidR="00D348CA" w:rsidRPr="00513E41">
        <w:rPr>
          <w:rFonts w:ascii="Arial" w:hAnsi="Arial" w:cs="Arial"/>
        </w:rPr>
        <w:t xml:space="preserve">under different financing </w:t>
      </w:r>
      <w:r w:rsidR="00863E15" w:rsidRPr="00513E41">
        <w:rPr>
          <w:rFonts w:ascii="Arial" w:hAnsi="Arial" w:cs="Arial"/>
        </w:rPr>
        <w:t>arrangements</w:t>
      </w:r>
      <w:r w:rsidR="00D348CA" w:rsidRPr="00513E41">
        <w:rPr>
          <w:rFonts w:ascii="Arial" w:hAnsi="Arial" w:cs="Arial"/>
        </w:rPr>
        <w:t xml:space="preserve"> from those envisaged</w:t>
      </w:r>
      <w:r w:rsidR="00863E15" w:rsidRPr="00513E41">
        <w:rPr>
          <w:rFonts w:ascii="Arial" w:hAnsi="Arial" w:cs="Arial"/>
        </w:rPr>
        <w:t xml:space="preserve"> with the availability of SIP-LA finance</w:t>
      </w:r>
      <w:r w:rsidR="00756124" w:rsidRPr="00513E41">
        <w:rPr>
          <w:rFonts w:ascii="Arial" w:hAnsi="Arial" w:cs="Arial"/>
        </w:rPr>
        <w:t>.</w:t>
      </w:r>
    </w:p>
  </w:footnote>
  <w:footnote w:id="16">
    <w:p w14:paraId="77018809" w14:textId="500ECF7F" w:rsidR="00783402" w:rsidRPr="00513E41" w:rsidRDefault="00783402">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For example, IDB have focused on areas that are no</w:t>
      </w:r>
      <w:r w:rsidR="00C90E96" w:rsidRPr="00513E41">
        <w:rPr>
          <w:rFonts w:ascii="Arial" w:hAnsi="Arial" w:cs="Arial"/>
        </w:rPr>
        <w:t>t wholly dependent on central government policy.</w:t>
      </w:r>
    </w:p>
  </w:footnote>
  <w:footnote w:id="17">
    <w:p w14:paraId="20F95F29" w14:textId="157C3929" w:rsidR="008A659E" w:rsidRDefault="008A659E" w:rsidP="00F826AE">
      <w:pPr>
        <w:jc w:val="both"/>
        <w:rPr>
          <w:rFonts w:ascii="Times New Roman" w:eastAsiaTheme="minorHAnsi" w:hAnsi="Times New Roman"/>
          <w:lang w:eastAsia="en-GB"/>
        </w:rPr>
      </w:pPr>
      <w:r w:rsidRPr="00F826AE">
        <w:rPr>
          <w:rStyle w:val="FootnoteReference"/>
          <w:sz w:val="20"/>
          <w:szCs w:val="20"/>
        </w:rPr>
        <w:footnoteRef/>
      </w:r>
      <w:r w:rsidRPr="00F826AE">
        <w:rPr>
          <w:sz w:val="20"/>
          <w:szCs w:val="20"/>
        </w:rPr>
        <w:t xml:space="preserve"> </w:t>
      </w:r>
      <w:r w:rsidRPr="00F826AE">
        <w:rPr>
          <w:rFonts w:cs="Arial"/>
          <w:sz w:val="20"/>
          <w:szCs w:val="20"/>
        </w:rPr>
        <w:t>The Colombian national government changed its priorities to respond to the social and economic crisis produced by COVID-19, and as this draft bill included new green taxes that could affect the employment rate, it withdrew it on 2020. Subsequently, some of</w:t>
      </w:r>
      <w:r>
        <w:rPr>
          <w:rFonts w:cs="Arial"/>
          <w:sz w:val="22"/>
          <w:szCs w:val="22"/>
        </w:rPr>
        <w:t xml:space="preserve"> </w:t>
      </w:r>
      <w:r w:rsidRPr="00F826AE">
        <w:rPr>
          <w:rFonts w:cs="Arial"/>
          <w:sz w:val="20"/>
          <w:szCs w:val="20"/>
        </w:rPr>
        <w:t>the key points of that Draft Bill were included on a tax reform in April 2021</w:t>
      </w:r>
      <w:r w:rsidR="00B1701C">
        <w:rPr>
          <w:rFonts w:cs="Arial"/>
          <w:sz w:val="20"/>
          <w:szCs w:val="20"/>
        </w:rPr>
        <w:t>.</w:t>
      </w:r>
      <w:r w:rsidR="00AC55F6">
        <w:rPr>
          <w:rFonts w:cs="Arial"/>
          <w:sz w:val="20"/>
          <w:szCs w:val="20"/>
        </w:rPr>
        <w:t xml:space="preserve"> T</w:t>
      </w:r>
      <w:r w:rsidRPr="00F826AE">
        <w:rPr>
          <w:rFonts w:cs="Arial"/>
          <w:sz w:val="20"/>
          <w:szCs w:val="20"/>
        </w:rPr>
        <w:t xml:space="preserve">hat proposal was removed after a general social discomfort and low political support. The latest tax reform presented by the new </w:t>
      </w:r>
      <w:r w:rsidR="00AC55F6">
        <w:rPr>
          <w:rFonts w:cs="Arial"/>
          <w:sz w:val="20"/>
          <w:szCs w:val="20"/>
        </w:rPr>
        <w:t xml:space="preserve">the </w:t>
      </w:r>
      <w:r w:rsidRPr="00F826AE">
        <w:rPr>
          <w:rFonts w:cs="Arial"/>
          <w:sz w:val="20"/>
          <w:szCs w:val="20"/>
        </w:rPr>
        <w:t>Finance Minister did not include the key points from the Clean Growth and Sustainable Development draft bill</w:t>
      </w:r>
      <w:r w:rsidR="00AC55F6">
        <w:rPr>
          <w:rFonts w:cs="Arial"/>
          <w:sz w:val="20"/>
          <w:szCs w:val="20"/>
        </w:rPr>
        <w:t>.</w:t>
      </w:r>
      <w:r w:rsidRPr="00F826AE">
        <w:rPr>
          <w:rFonts w:ascii="Times New Roman" w:eastAsiaTheme="minorHAnsi" w:hAnsi="Times New Roman"/>
          <w:sz w:val="20"/>
          <w:szCs w:val="20"/>
          <w:lang w:eastAsia="en-GB"/>
        </w:rPr>
        <w:t xml:space="preserve"> </w:t>
      </w:r>
    </w:p>
    <w:p w14:paraId="20B0CE24" w14:textId="19C47B11" w:rsidR="008A659E" w:rsidRDefault="008A659E">
      <w:pPr>
        <w:pStyle w:val="FootnoteText"/>
      </w:pPr>
    </w:p>
  </w:footnote>
  <w:footnote w:id="18">
    <w:p w14:paraId="3BDBF37C" w14:textId="77777777" w:rsidR="00D02828" w:rsidRPr="005C3EC8" w:rsidRDefault="00D02828" w:rsidP="00D02828">
      <w:pPr>
        <w:pStyle w:val="FootnoteText"/>
        <w:rPr>
          <w:rFonts w:ascii="Arial" w:hAnsi="Arial" w:cs="Arial"/>
        </w:rPr>
      </w:pPr>
      <w:r w:rsidRPr="00513E41">
        <w:rPr>
          <w:rStyle w:val="FootnoteReference"/>
          <w:rFonts w:ascii="Arial" w:hAnsi="Arial" w:cs="Arial"/>
        </w:rPr>
        <w:footnoteRef/>
      </w:r>
      <w:r w:rsidRPr="00513E41">
        <w:rPr>
          <w:rFonts w:ascii="Arial" w:hAnsi="Arial" w:cs="Arial"/>
        </w:rPr>
        <w:t xml:space="preserve"> </w:t>
      </w:r>
      <w:r w:rsidRPr="005C3EC8">
        <w:rPr>
          <w:rFonts w:ascii="Arial" w:hAnsi="Arial" w:cs="Arial"/>
        </w:rPr>
        <w:t>The Electric Mobility Law was passed in 2019 but updates relating to the achieved values were made in 2020.</w:t>
      </w:r>
    </w:p>
  </w:footnote>
  <w:footnote w:id="19">
    <w:p w14:paraId="0018B5F7" w14:textId="77777777" w:rsidR="00D02828" w:rsidRPr="005C3EC8" w:rsidRDefault="00D02828" w:rsidP="00D02828">
      <w:pPr>
        <w:pStyle w:val="FootnoteText"/>
        <w:jc w:val="both"/>
        <w:rPr>
          <w:rFonts w:ascii="Arial" w:hAnsi="Arial" w:cs="Arial"/>
        </w:rPr>
      </w:pPr>
      <w:r w:rsidRPr="005C3EC8">
        <w:rPr>
          <w:rStyle w:val="FootnoteReference"/>
          <w:rFonts w:ascii="Arial" w:hAnsi="Arial" w:cs="Arial"/>
        </w:rPr>
        <w:footnoteRef/>
      </w:r>
      <w:r w:rsidRPr="005C3EC8">
        <w:rPr>
          <w:rFonts w:ascii="Arial" w:hAnsi="Arial" w:cs="Arial"/>
        </w:rPr>
        <w:t xml:space="preserve"> The Road Safety programme supported low carbon measures within Mexico’s Mobility Law by promoting low carbon forms of sustainable transport.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207D" w14:textId="77777777" w:rsidR="00151700" w:rsidRDefault="001517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14BF2" w14:textId="77777777" w:rsidR="00830D08" w:rsidRDefault="001A4AA4">
    <w:pPr>
      <w:pStyle w:val="Header"/>
    </w:pPr>
    <w:r>
      <w:rPr>
        <w:noProof/>
      </w:rPr>
      <mc:AlternateContent>
        <mc:Choice Requires="wps">
          <w:drawing>
            <wp:anchor distT="0" distB="0" distL="114300" distR="114300" simplePos="0" relativeHeight="251658240" behindDoc="0" locked="0" layoutInCell="0" allowOverlap="1" wp14:anchorId="7164FF40" wp14:editId="4AA1338F">
              <wp:simplePos x="0" y="0"/>
              <wp:positionH relativeFrom="page">
                <wp:posOffset>0</wp:posOffset>
              </wp:positionH>
              <wp:positionV relativeFrom="page">
                <wp:posOffset>190500</wp:posOffset>
              </wp:positionV>
              <wp:extent cx="7560310" cy="273050"/>
              <wp:effectExtent l="0" t="0" r="0" b="12700"/>
              <wp:wrapNone/>
              <wp:docPr id="1" name="MSIPCM412f4516a6274136433f2e09" descr="{&quot;HashCode&quot;:-12918245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67D36D" w14:textId="77777777" w:rsidR="00830D08" w:rsidRPr="006E5785" w:rsidRDefault="00830D08" w:rsidP="00830D08">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164FF40" id="_x0000_t202" coordsize="21600,21600" o:spt="202" path="m,l,21600r21600,l21600,xe">
              <v:stroke joinstyle="miter"/>
              <v:path gradientshapeok="t" o:connecttype="rect"/>
            </v:shapetype>
            <v:shape id="MSIPCM412f4516a6274136433f2e09" o:spid="_x0000_s1026" type="#_x0000_t202" alt="{&quot;HashCode&quot;:-1291824593,&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" o:allowincell="f" filled="f" stroked="f" strokeweight=".5pt">
              <v:textbox inset="20pt,0,,0">
                <w:txbxContent>
                  <w:p w14:paraId="5667D36D" w14:textId="77777777" w:rsidR="00830D08" w:rsidRPr="006E5785" w:rsidRDefault="00830D08" w:rsidP="00830D08">
                    <w:pPr>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E1205" w14:textId="77777777" w:rsidR="00151700" w:rsidRDefault="001517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DDD"/>
    <w:multiLevelType w:val="hybridMultilevel"/>
    <w:tmpl w:val="B8262B0C"/>
    <w:lvl w:ilvl="0" w:tplc="08090001">
      <w:start w:val="1"/>
      <w:numFmt w:val="bullet"/>
      <w:lvlText w:val=""/>
      <w:lvlJc w:val="left"/>
      <w:pPr>
        <w:ind w:left="720" w:hanging="360"/>
      </w:pPr>
      <w:rPr>
        <w:rFonts w:ascii="Symbol" w:hAnsi="Symbol" w:hint="default"/>
      </w:rPr>
    </w:lvl>
    <w:lvl w:ilvl="1" w:tplc="E3CCC14C">
      <w:start w:val="1"/>
      <w:numFmt w:val="decimal"/>
      <w:lvlText w:val="%2."/>
      <w:lvlJc w:val="left"/>
      <w:pPr>
        <w:ind w:left="1440" w:hanging="360"/>
      </w:pPr>
      <w:rPr>
        <w:rFonts w:ascii="Arial" w:eastAsia="Times New Roman" w:hAnsi="Arial" w:cs="Times New Roman"/>
        <w:i w:val="0"/>
        <w:iCs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25785"/>
    <w:multiLevelType w:val="hybridMultilevel"/>
    <w:tmpl w:val="E8709B04"/>
    <w:lvl w:ilvl="0" w:tplc="0809000F">
      <w:start w:val="1"/>
      <w:numFmt w:val="decimal"/>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1">
      <w:start w:val="1"/>
      <w:numFmt w:val="bullet"/>
      <w:lvlText w:val=""/>
      <w:lvlJc w:val="left"/>
      <w:pPr>
        <w:ind w:left="2520" w:hanging="360"/>
      </w:pPr>
      <w:rPr>
        <w:rFonts w:ascii="Symbol" w:hAnsi="Symbo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9C808D5"/>
    <w:multiLevelType w:val="hybridMultilevel"/>
    <w:tmpl w:val="545486B6"/>
    <w:lvl w:ilvl="0" w:tplc="9DB49032">
      <w:start w:val="15"/>
      <w:numFmt w:val="bullet"/>
      <w:lvlText w:val="-"/>
      <w:lvlJc w:val="left"/>
      <w:pPr>
        <w:ind w:left="720" w:hanging="360"/>
      </w:pPr>
      <w:rPr>
        <w:rFonts w:ascii="Arial" w:eastAsia="Times New Roman" w:hAnsi="Arial" w:cs="Aria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770865"/>
    <w:multiLevelType w:val="hybridMultilevel"/>
    <w:tmpl w:val="7BFC0816"/>
    <w:lvl w:ilvl="0" w:tplc="167CF8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620A11"/>
    <w:multiLevelType w:val="hybridMultilevel"/>
    <w:tmpl w:val="13DAD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2A4872"/>
    <w:multiLevelType w:val="hybridMultilevel"/>
    <w:tmpl w:val="FA0E8A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16B43B2"/>
    <w:multiLevelType w:val="hybridMultilevel"/>
    <w:tmpl w:val="83BE96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333201"/>
    <w:multiLevelType w:val="hybridMultilevel"/>
    <w:tmpl w:val="90A8E012"/>
    <w:lvl w:ilvl="0" w:tplc="CF905F6C">
      <w:start w:val="1"/>
      <w:numFmt w:val="decimal"/>
      <w:lvlText w:val="%1."/>
      <w:lvlJc w:val="left"/>
      <w:pPr>
        <w:ind w:left="720" w:hanging="360"/>
      </w:pPr>
      <w:rPr>
        <w:rFonts w:hint="default"/>
        <w:b/>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EE7A64"/>
    <w:multiLevelType w:val="hybridMultilevel"/>
    <w:tmpl w:val="AFFC063C"/>
    <w:lvl w:ilvl="0" w:tplc="7E4A4776">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733A38"/>
    <w:multiLevelType w:val="hybridMultilevel"/>
    <w:tmpl w:val="B78A9E6E"/>
    <w:lvl w:ilvl="0" w:tplc="90DE2522">
      <w:start w:val="19"/>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70A37FB4"/>
    <w:multiLevelType w:val="hybridMultilevel"/>
    <w:tmpl w:val="897AB292"/>
    <w:lvl w:ilvl="0" w:tplc="24B24E1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7002BB"/>
    <w:multiLevelType w:val="hybridMultilevel"/>
    <w:tmpl w:val="89E4944E"/>
    <w:lvl w:ilvl="0" w:tplc="EF8C7C80">
      <w:start w:val="1"/>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9"/>
  </w:num>
  <w:num w:numId="5">
    <w:abstractNumId w:val="11"/>
  </w:num>
  <w:num w:numId="6">
    <w:abstractNumId w:val="2"/>
  </w:num>
  <w:num w:numId="7">
    <w:abstractNumId w:val="1"/>
  </w:num>
  <w:num w:numId="8">
    <w:abstractNumId w:val="6"/>
  </w:num>
  <w:num w:numId="9">
    <w:abstractNumId w:val="7"/>
  </w:num>
  <w:num w:numId="10">
    <w:abstractNumId w:val="8"/>
  </w:num>
  <w:num w:numId="11">
    <w:abstractNumId w:val="1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2C"/>
    <w:rsid w:val="00000AF7"/>
    <w:rsid w:val="000013EC"/>
    <w:rsid w:val="00001DDE"/>
    <w:rsid w:val="00002007"/>
    <w:rsid w:val="00002717"/>
    <w:rsid w:val="00002CEC"/>
    <w:rsid w:val="0000387D"/>
    <w:rsid w:val="00003A62"/>
    <w:rsid w:val="00004A76"/>
    <w:rsid w:val="000050B4"/>
    <w:rsid w:val="00005AA8"/>
    <w:rsid w:val="00005C1B"/>
    <w:rsid w:val="000064AC"/>
    <w:rsid w:val="00006678"/>
    <w:rsid w:val="00006B9E"/>
    <w:rsid w:val="000107F7"/>
    <w:rsid w:val="00010F4C"/>
    <w:rsid w:val="00012BF9"/>
    <w:rsid w:val="00014E3E"/>
    <w:rsid w:val="00015130"/>
    <w:rsid w:val="0001581A"/>
    <w:rsid w:val="000158E7"/>
    <w:rsid w:val="000166A8"/>
    <w:rsid w:val="000168B7"/>
    <w:rsid w:val="00016F77"/>
    <w:rsid w:val="00016F81"/>
    <w:rsid w:val="000172CB"/>
    <w:rsid w:val="00017CD1"/>
    <w:rsid w:val="00020447"/>
    <w:rsid w:val="00021053"/>
    <w:rsid w:val="0002118D"/>
    <w:rsid w:val="00021732"/>
    <w:rsid w:val="000218BD"/>
    <w:rsid w:val="00021A2D"/>
    <w:rsid w:val="00022351"/>
    <w:rsid w:val="0002344D"/>
    <w:rsid w:val="000242A4"/>
    <w:rsid w:val="0002504F"/>
    <w:rsid w:val="00025B23"/>
    <w:rsid w:val="00026289"/>
    <w:rsid w:val="00030518"/>
    <w:rsid w:val="0003137D"/>
    <w:rsid w:val="00031472"/>
    <w:rsid w:val="000319DB"/>
    <w:rsid w:val="00031D88"/>
    <w:rsid w:val="0003344D"/>
    <w:rsid w:val="00033980"/>
    <w:rsid w:val="00033C9E"/>
    <w:rsid w:val="00033FC0"/>
    <w:rsid w:val="000341F7"/>
    <w:rsid w:val="00034B4B"/>
    <w:rsid w:val="00034D64"/>
    <w:rsid w:val="00034F55"/>
    <w:rsid w:val="00035600"/>
    <w:rsid w:val="00036B8A"/>
    <w:rsid w:val="00037BD7"/>
    <w:rsid w:val="0003B195"/>
    <w:rsid w:val="00040389"/>
    <w:rsid w:val="00041672"/>
    <w:rsid w:val="000417D8"/>
    <w:rsid w:val="000418EB"/>
    <w:rsid w:val="000426E3"/>
    <w:rsid w:val="00042A25"/>
    <w:rsid w:val="00042D47"/>
    <w:rsid w:val="0004354F"/>
    <w:rsid w:val="00043619"/>
    <w:rsid w:val="000439DF"/>
    <w:rsid w:val="00044223"/>
    <w:rsid w:val="00044A17"/>
    <w:rsid w:val="00044A3F"/>
    <w:rsid w:val="00044BA4"/>
    <w:rsid w:val="000451E4"/>
    <w:rsid w:val="000457B0"/>
    <w:rsid w:val="0004585A"/>
    <w:rsid w:val="00045A10"/>
    <w:rsid w:val="0004648E"/>
    <w:rsid w:val="00046762"/>
    <w:rsid w:val="00046CCE"/>
    <w:rsid w:val="00047311"/>
    <w:rsid w:val="00047728"/>
    <w:rsid w:val="000477B7"/>
    <w:rsid w:val="000477F9"/>
    <w:rsid w:val="00047830"/>
    <w:rsid w:val="00050147"/>
    <w:rsid w:val="0005015A"/>
    <w:rsid w:val="000503CD"/>
    <w:rsid w:val="00050606"/>
    <w:rsid w:val="00050896"/>
    <w:rsid w:val="00050D34"/>
    <w:rsid w:val="000511ED"/>
    <w:rsid w:val="000520E4"/>
    <w:rsid w:val="00052418"/>
    <w:rsid w:val="00052AF4"/>
    <w:rsid w:val="00052CC1"/>
    <w:rsid w:val="00053E62"/>
    <w:rsid w:val="00053FDD"/>
    <w:rsid w:val="0005413E"/>
    <w:rsid w:val="000545D3"/>
    <w:rsid w:val="00054C88"/>
    <w:rsid w:val="00054FA5"/>
    <w:rsid w:val="0005515F"/>
    <w:rsid w:val="000554F8"/>
    <w:rsid w:val="00055659"/>
    <w:rsid w:val="000560CB"/>
    <w:rsid w:val="000562E7"/>
    <w:rsid w:val="00057C93"/>
    <w:rsid w:val="0006098B"/>
    <w:rsid w:val="00060C8B"/>
    <w:rsid w:val="00060CEB"/>
    <w:rsid w:val="000620EB"/>
    <w:rsid w:val="00063481"/>
    <w:rsid w:val="00064667"/>
    <w:rsid w:val="00064782"/>
    <w:rsid w:val="00064BA0"/>
    <w:rsid w:val="000669CB"/>
    <w:rsid w:val="00066CB2"/>
    <w:rsid w:val="00067F4E"/>
    <w:rsid w:val="0006C92C"/>
    <w:rsid w:val="000702A4"/>
    <w:rsid w:val="0007074B"/>
    <w:rsid w:val="000708E7"/>
    <w:rsid w:val="00070D49"/>
    <w:rsid w:val="00070FAF"/>
    <w:rsid w:val="000711A0"/>
    <w:rsid w:val="00071AA2"/>
    <w:rsid w:val="00071DAA"/>
    <w:rsid w:val="00074337"/>
    <w:rsid w:val="00075700"/>
    <w:rsid w:val="00076025"/>
    <w:rsid w:val="000760EB"/>
    <w:rsid w:val="0007645D"/>
    <w:rsid w:val="000777B1"/>
    <w:rsid w:val="00077BB5"/>
    <w:rsid w:val="00080399"/>
    <w:rsid w:val="00080414"/>
    <w:rsid w:val="000817BD"/>
    <w:rsid w:val="000817CE"/>
    <w:rsid w:val="00081934"/>
    <w:rsid w:val="00081C81"/>
    <w:rsid w:val="000823BD"/>
    <w:rsid w:val="00082A67"/>
    <w:rsid w:val="00082BA8"/>
    <w:rsid w:val="000830FA"/>
    <w:rsid w:val="000832EC"/>
    <w:rsid w:val="00083902"/>
    <w:rsid w:val="00083F46"/>
    <w:rsid w:val="000841F1"/>
    <w:rsid w:val="000850B9"/>
    <w:rsid w:val="00085827"/>
    <w:rsid w:val="00085F66"/>
    <w:rsid w:val="0008606B"/>
    <w:rsid w:val="00086765"/>
    <w:rsid w:val="00086E28"/>
    <w:rsid w:val="0008701B"/>
    <w:rsid w:val="00087294"/>
    <w:rsid w:val="00087D12"/>
    <w:rsid w:val="0009036A"/>
    <w:rsid w:val="0009121B"/>
    <w:rsid w:val="0009247D"/>
    <w:rsid w:val="000924D0"/>
    <w:rsid w:val="00092E9D"/>
    <w:rsid w:val="00093292"/>
    <w:rsid w:val="00093A50"/>
    <w:rsid w:val="000944CE"/>
    <w:rsid w:val="00094C64"/>
    <w:rsid w:val="00095AEE"/>
    <w:rsid w:val="00095F8E"/>
    <w:rsid w:val="0009690B"/>
    <w:rsid w:val="00096E3A"/>
    <w:rsid w:val="00097007"/>
    <w:rsid w:val="000A010F"/>
    <w:rsid w:val="000A0785"/>
    <w:rsid w:val="000A09FB"/>
    <w:rsid w:val="000A0BB4"/>
    <w:rsid w:val="000A162A"/>
    <w:rsid w:val="000A1795"/>
    <w:rsid w:val="000A213C"/>
    <w:rsid w:val="000A24CD"/>
    <w:rsid w:val="000A282C"/>
    <w:rsid w:val="000A30F3"/>
    <w:rsid w:val="000A33CD"/>
    <w:rsid w:val="000A369D"/>
    <w:rsid w:val="000A3743"/>
    <w:rsid w:val="000A40BC"/>
    <w:rsid w:val="000A45A2"/>
    <w:rsid w:val="000A45D5"/>
    <w:rsid w:val="000A4EEC"/>
    <w:rsid w:val="000A50AD"/>
    <w:rsid w:val="000A6F38"/>
    <w:rsid w:val="000A73A7"/>
    <w:rsid w:val="000A7AAF"/>
    <w:rsid w:val="000B123A"/>
    <w:rsid w:val="000B1A91"/>
    <w:rsid w:val="000B20A1"/>
    <w:rsid w:val="000B226E"/>
    <w:rsid w:val="000B272D"/>
    <w:rsid w:val="000B314A"/>
    <w:rsid w:val="000B339D"/>
    <w:rsid w:val="000B37E2"/>
    <w:rsid w:val="000B3FC5"/>
    <w:rsid w:val="000B580C"/>
    <w:rsid w:val="000B5957"/>
    <w:rsid w:val="000B5F9B"/>
    <w:rsid w:val="000B612B"/>
    <w:rsid w:val="000B770D"/>
    <w:rsid w:val="000C0BF1"/>
    <w:rsid w:val="000C0D39"/>
    <w:rsid w:val="000C0F34"/>
    <w:rsid w:val="000C193A"/>
    <w:rsid w:val="000C1BC7"/>
    <w:rsid w:val="000C25C9"/>
    <w:rsid w:val="000C29A3"/>
    <w:rsid w:val="000C2DCE"/>
    <w:rsid w:val="000C3E8D"/>
    <w:rsid w:val="000C41E2"/>
    <w:rsid w:val="000C493E"/>
    <w:rsid w:val="000C4CD2"/>
    <w:rsid w:val="000C531E"/>
    <w:rsid w:val="000C540F"/>
    <w:rsid w:val="000C6202"/>
    <w:rsid w:val="000C636B"/>
    <w:rsid w:val="000C63B6"/>
    <w:rsid w:val="000C6749"/>
    <w:rsid w:val="000C71BE"/>
    <w:rsid w:val="000D054D"/>
    <w:rsid w:val="000D1252"/>
    <w:rsid w:val="000D1665"/>
    <w:rsid w:val="000D1712"/>
    <w:rsid w:val="000D1961"/>
    <w:rsid w:val="000D1D00"/>
    <w:rsid w:val="000D2593"/>
    <w:rsid w:val="000D3562"/>
    <w:rsid w:val="000D4431"/>
    <w:rsid w:val="000D44E1"/>
    <w:rsid w:val="000D4877"/>
    <w:rsid w:val="000D4878"/>
    <w:rsid w:val="000D5667"/>
    <w:rsid w:val="000D58AD"/>
    <w:rsid w:val="000D6362"/>
    <w:rsid w:val="000D69A5"/>
    <w:rsid w:val="000D6CFA"/>
    <w:rsid w:val="000D6F00"/>
    <w:rsid w:val="000E0B50"/>
    <w:rsid w:val="000E0C73"/>
    <w:rsid w:val="000E1CDA"/>
    <w:rsid w:val="000E1D4F"/>
    <w:rsid w:val="000E1E46"/>
    <w:rsid w:val="000E1FAC"/>
    <w:rsid w:val="000E1FD0"/>
    <w:rsid w:val="000E37EE"/>
    <w:rsid w:val="000E3B56"/>
    <w:rsid w:val="000E3E5A"/>
    <w:rsid w:val="000E41AC"/>
    <w:rsid w:val="000E4FF6"/>
    <w:rsid w:val="000E56B1"/>
    <w:rsid w:val="000E56D5"/>
    <w:rsid w:val="000E5C2B"/>
    <w:rsid w:val="000E6615"/>
    <w:rsid w:val="000E66AF"/>
    <w:rsid w:val="000E6972"/>
    <w:rsid w:val="000E6DEE"/>
    <w:rsid w:val="000E7153"/>
    <w:rsid w:val="000E7188"/>
    <w:rsid w:val="000F0400"/>
    <w:rsid w:val="000F0C03"/>
    <w:rsid w:val="000F0FB1"/>
    <w:rsid w:val="000F1512"/>
    <w:rsid w:val="000F20EB"/>
    <w:rsid w:val="000F2D81"/>
    <w:rsid w:val="000F3B6A"/>
    <w:rsid w:val="000F3F1A"/>
    <w:rsid w:val="000F42CC"/>
    <w:rsid w:val="000F447E"/>
    <w:rsid w:val="000F5303"/>
    <w:rsid w:val="000F5531"/>
    <w:rsid w:val="000F65C6"/>
    <w:rsid w:val="000F686E"/>
    <w:rsid w:val="000F6EFD"/>
    <w:rsid w:val="000F74E6"/>
    <w:rsid w:val="000F7D0A"/>
    <w:rsid w:val="000F7D13"/>
    <w:rsid w:val="000F7F92"/>
    <w:rsid w:val="000F7FA7"/>
    <w:rsid w:val="0010002B"/>
    <w:rsid w:val="00100CAD"/>
    <w:rsid w:val="0010155D"/>
    <w:rsid w:val="00101CE9"/>
    <w:rsid w:val="001026F0"/>
    <w:rsid w:val="00102733"/>
    <w:rsid w:val="0010298F"/>
    <w:rsid w:val="00103D25"/>
    <w:rsid w:val="00103DBA"/>
    <w:rsid w:val="001040D5"/>
    <w:rsid w:val="001042DA"/>
    <w:rsid w:val="00104E9E"/>
    <w:rsid w:val="0010529B"/>
    <w:rsid w:val="001061A5"/>
    <w:rsid w:val="001070EB"/>
    <w:rsid w:val="00107C8D"/>
    <w:rsid w:val="00110013"/>
    <w:rsid w:val="00110583"/>
    <w:rsid w:val="00110B75"/>
    <w:rsid w:val="00110D04"/>
    <w:rsid w:val="001110E7"/>
    <w:rsid w:val="00111366"/>
    <w:rsid w:val="00111808"/>
    <w:rsid w:val="00111991"/>
    <w:rsid w:val="00111D32"/>
    <w:rsid w:val="00111DE0"/>
    <w:rsid w:val="00111E4C"/>
    <w:rsid w:val="00112B45"/>
    <w:rsid w:val="00112C53"/>
    <w:rsid w:val="00113A45"/>
    <w:rsid w:val="001145AC"/>
    <w:rsid w:val="00115541"/>
    <w:rsid w:val="00115D63"/>
    <w:rsid w:val="001165BC"/>
    <w:rsid w:val="0012026B"/>
    <w:rsid w:val="0012047A"/>
    <w:rsid w:val="001206D8"/>
    <w:rsid w:val="00120CB8"/>
    <w:rsid w:val="00121395"/>
    <w:rsid w:val="00121E90"/>
    <w:rsid w:val="00122005"/>
    <w:rsid w:val="00122386"/>
    <w:rsid w:val="001230FD"/>
    <w:rsid w:val="001244DE"/>
    <w:rsid w:val="00124ED5"/>
    <w:rsid w:val="00124F6E"/>
    <w:rsid w:val="00125671"/>
    <w:rsid w:val="00125C2F"/>
    <w:rsid w:val="00127465"/>
    <w:rsid w:val="00127BB8"/>
    <w:rsid w:val="00127D34"/>
    <w:rsid w:val="00127F05"/>
    <w:rsid w:val="001303A5"/>
    <w:rsid w:val="00130B75"/>
    <w:rsid w:val="00130C1E"/>
    <w:rsid w:val="00131303"/>
    <w:rsid w:val="00131441"/>
    <w:rsid w:val="0013202F"/>
    <w:rsid w:val="001339EC"/>
    <w:rsid w:val="00134EE9"/>
    <w:rsid w:val="001356EA"/>
    <w:rsid w:val="00135A16"/>
    <w:rsid w:val="00136B54"/>
    <w:rsid w:val="001372A6"/>
    <w:rsid w:val="0013747B"/>
    <w:rsid w:val="00140651"/>
    <w:rsid w:val="00140A7F"/>
    <w:rsid w:val="0014116D"/>
    <w:rsid w:val="001415DD"/>
    <w:rsid w:val="0014166A"/>
    <w:rsid w:val="00141754"/>
    <w:rsid w:val="00141EBF"/>
    <w:rsid w:val="001429E0"/>
    <w:rsid w:val="00143037"/>
    <w:rsid w:val="00143051"/>
    <w:rsid w:val="001431AB"/>
    <w:rsid w:val="00143754"/>
    <w:rsid w:val="00143AA2"/>
    <w:rsid w:val="0014404E"/>
    <w:rsid w:val="00144A42"/>
    <w:rsid w:val="0014508F"/>
    <w:rsid w:val="0014526C"/>
    <w:rsid w:val="00145415"/>
    <w:rsid w:val="00145779"/>
    <w:rsid w:val="00147A18"/>
    <w:rsid w:val="00147A66"/>
    <w:rsid w:val="00147E5C"/>
    <w:rsid w:val="001509A3"/>
    <w:rsid w:val="00150ED6"/>
    <w:rsid w:val="00150F81"/>
    <w:rsid w:val="00151700"/>
    <w:rsid w:val="00151813"/>
    <w:rsid w:val="00151DF6"/>
    <w:rsid w:val="00152902"/>
    <w:rsid w:val="00153009"/>
    <w:rsid w:val="00153B0D"/>
    <w:rsid w:val="001546B1"/>
    <w:rsid w:val="00154F8B"/>
    <w:rsid w:val="001551D1"/>
    <w:rsid w:val="00155245"/>
    <w:rsid w:val="001554D7"/>
    <w:rsid w:val="00155A24"/>
    <w:rsid w:val="00156383"/>
    <w:rsid w:val="00156545"/>
    <w:rsid w:val="00156675"/>
    <w:rsid w:val="00156D8D"/>
    <w:rsid w:val="00156E0E"/>
    <w:rsid w:val="00156EA0"/>
    <w:rsid w:val="0015783A"/>
    <w:rsid w:val="00157CF3"/>
    <w:rsid w:val="00157E73"/>
    <w:rsid w:val="0016013A"/>
    <w:rsid w:val="00160857"/>
    <w:rsid w:val="00160A2F"/>
    <w:rsid w:val="00160CE7"/>
    <w:rsid w:val="0016199C"/>
    <w:rsid w:val="00161E6A"/>
    <w:rsid w:val="00162206"/>
    <w:rsid w:val="00162601"/>
    <w:rsid w:val="0016283C"/>
    <w:rsid w:val="0016332A"/>
    <w:rsid w:val="001635E2"/>
    <w:rsid w:val="00163F3E"/>
    <w:rsid w:val="001642AE"/>
    <w:rsid w:val="0016465A"/>
    <w:rsid w:val="00164F96"/>
    <w:rsid w:val="0016572D"/>
    <w:rsid w:val="00165A8D"/>
    <w:rsid w:val="0016619F"/>
    <w:rsid w:val="00166667"/>
    <w:rsid w:val="0016777B"/>
    <w:rsid w:val="001705E8"/>
    <w:rsid w:val="001708A2"/>
    <w:rsid w:val="00170946"/>
    <w:rsid w:val="00170993"/>
    <w:rsid w:val="00171273"/>
    <w:rsid w:val="001723C5"/>
    <w:rsid w:val="00172649"/>
    <w:rsid w:val="00172666"/>
    <w:rsid w:val="001726FD"/>
    <w:rsid w:val="00172C47"/>
    <w:rsid w:val="00173DAC"/>
    <w:rsid w:val="00174BA8"/>
    <w:rsid w:val="00175DD2"/>
    <w:rsid w:val="00175FF7"/>
    <w:rsid w:val="001773F5"/>
    <w:rsid w:val="00181474"/>
    <w:rsid w:val="00181692"/>
    <w:rsid w:val="0018195D"/>
    <w:rsid w:val="00184374"/>
    <w:rsid w:val="00184E9A"/>
    <w:rsid w:val="00185263"/>
    <w:rsid w:val="0018544A"/>
    <w:rsid w:val="001868A4"/>
    <w:rsid w:val="00186984"/>
    <w:rsid w:val="00186AAE"/>
    <w:rsid w:val="001903CF"/>
    <w:rsid w:val="001905C6"/>
    <w:rsid w:val="00190619"/>
    <w:rsid w:val="00190754"/>
    <w:rsid w:val="00190B17"/>
    <w:rsid w:val="00191377"/>
    <w:rsid w:val="0019154B"/>
    <w:rsid w:val="00192062"/>
    <w:rsid w:val="00192C08"/>
    <w:rsid w:val="001935A9"/>
    <w:rsid w:val="0019397C"/>
    <w:rsid w:val="00193C40"/>
    <w:rsid w:val="001956EA"/>
    <w:rsid w:val="00197C56"/>
    <w:rsid w:val="001A063E"/>
    <w:rsid w:val="001A1A48"/>
    <w:rsid w:val="001A1BF7"/>
    <w:rsid w:val="001A1E78"/>
    <w:rsid w:val="001A2AA7"/>
    <w:rsid w:val="001A2C77"/>
    <w:rsid w:val="001A49C3"/>
    <w:rsid w:val="001A4AA4"/>
    <w:rsid w:val="001A5127"/>
    <w:rsid w:val="001A5A08"/>
    <w:rsid w:val="001A5E91"/>
    <w:rsid w:val="001A63EF"/>
    <w:rsid w:val="001A6612"/>
    <w:rsid w:val="001A66FE"/>
    <w:rsid w:val="001A6A9E"/>
    <w:rsid w:val="001A7A7F"/>
    <w:rsid w:val="001A7B6A"/>
    <w:rsid w:val="001B09AC"/>
    <w:rsid w:val="001B0A1D"/>
    <w:rsid w:val="001B0ED1"/>
    <w:rsid w:val="001B0F30"/>
    <w:rsid w:val="001B12D9"/>
    <w:rsid w:val="001B1329"/>
    <w:rsid w:val="001B1D3A"/>
    <w:rsid w:val="001B2915"/>
    <w:rsid w:val="001B2FFA"/>
    <w:rsid w:val="001B3AAD"/>
    <w:rsid w:val="001B3DE4"/>
    <w:rsid w:val="001B4B4E"/>
    <w:rsid w:val="001B55C6"/>
    <w:rsid w:val="001B591C"/>
    <w:rsid w:val="001B5E0C"/>
    <w:rsid w:val="001B67F9"/>
    <w:rsid w:val="001B69DF"/>
    <w:rsid w:val="001B6E4A"/>
    <w:rsid w:val="001B7194"/>
    <w:rsid w:val="001B72A2"/>
    <w:rsid w:val="001C008C"/>
    <w:rsid w:val="001C03E2"/>
    <w:rsid w:val="001C0D1D"/>
    <w:rsid w:val="001C1719"/>
    <w:rsid w:val="001C1953"/>
    <w:rsid w:val="001C1DF7"/>
    <w:rsid w:val="001C225F"/>
    <w:rsid w:val="001C25F1"/>
    <w:rsid w:val="001C2825"/>
    <w:rsid w:val="001C2E15"/>
    <w:rsid w:val="001C3004"/>
    <w:rsid w:val="001C32A1"/>
    <w:rsid w:val="001C33CB"/>
    <w:rsid w:val="001C35D1"/>
    <w:rsid w:val="001C42BE"/>
    <w:rsid w:val="001C43B5"/>
    <w:rsid w:val="001C4C53"/>
    <w:rsid w:val="001C54EE"/>
    <w:rsid w:val="001C6AD2"/>
    <w:rsid w:val="001C6D9C"/>
    <w:rsid w:val="001D00D5"/>
    <w:rsid w:val="001D0CF7"/>
    <w:rsid w:val="001D1EB2"/>
    <w:rsid w:val="001D1F1C"/>
    <w:rsid w:val="001D1F9B"/>
    <w:rsid w:val="001D2052"/>
    <w:rsid w:val="001D375B"/>
    <w:rsid w:val="001D388A"/>
    <w:rsid w:val="001D428C"/>
    <w:rsid w:val="001D42C3"/>
    <w:rsid w:val="001D444C"/>
    <w:rsid w:val="001D4760"/>
    <w:rsid w:val="001D5098"/>
    <w:rsid w:val="001D5F54"/>
    <w:rsid w:val="001D5F98"/>
    <w:rsid w:val="001D612E"/>
    <w:rsid w:val="001D65C4"/>
    <w:rsid w:val="001D7572"/>
    <w:rsid w:val="001D7811"/>
    <w:rsid w:val="001D7C76"/>
    <w:rsid w:val="001E07F1"/>
    <w:rsid w:val="001E0962"/>
    <w:rsid w:val="001E16D3"/>
    <w:rsid w:val="001E1E51"/>
    <w:rsid w:val="001E2213"/>
    <w:rsid w:val="001E24FF"/>
    <w:rsid w:val="001E2696"/>
    <w:rsid w:val="001E2907"/>
    <w:rsid w:val="001E2A02"/>
    <w:rsid w:val="001E2CD3"/>
    <w:rsid w:val="001E3415"/>
    <w:rsid w:val="001E44EA"/>
    <w:rsid w:val="001E61C4"/>
    <w:rsid w:val="001E71C8"/>
    <w:rsid w:val="001E74CF"/>
    <w:rsid w:val="001E7899"/>
    <w:rsid w:val="001F0065"/>
    <w:rsid w:val="001F01E3"/>
    <w:rsid w:val="001F102D"/>
    <w:rsid w:val="001F1465"/>
    <w:rsid w:val="001F1E3E"/>
    <w:rsid w:val="001F25C7"/>
    <w:rsid w:val="001F4C5A"/>
    <w:rsid w:val="001F6405"/>
    <w:rsid w:val="001F7D6F"/>
    <w:rsid w:val="001F7E15"/>
    <w:rsid w:val="0020037D"/>
    <w:rsid w:val="00202C74"/>
    <w:rsid w:val="00202E81"/>
    <w:rsid w:val="00203022"/>
    <w:rsid w:val="0020318E"/>
    <w:rsid w:val="00203401"/>
    <w:rsid w:val="00204A4A"/>
    <w:rsid w:val="00205421"/>
    <w:rsid w:val="00205D8A"/>
    <w:rsid w:val="00206EB1"/>
    <w:rsid w:val="00207B83"/>
    <w:rsid w:val="00210626"/>
    <w:rsid w:val="0021081E"/>
    <w:rsid w:val="00210842"/>
    <w:rsid w:val="00210D83"/>
    <w:rsid w:val="00210F89"/>
    <w:rsid w:val="00211962"/>
    <w:rsid w:val="00211C86"/>
    <w:rsid w:val="00211FA5"/>
    <w:rsid w:val="002120A6"/>
    <w:rsid w:val="002120AE"/>
    <w:rsid w:val="00212383"/>
    <w:rsid w:val="0021313C"/>
    <w:rsid w:val="002138B5"/>
    <w:rsid w:val="00213E98"/>
    <w:rsid w:val="00214CBE"/>
    <w:rsid w:val="002160FF"/>
    <w:rsid w:val="00216302"/>
    <w:rsid w:val="0021645F"/>
    <w:rsid w:val="002166B3"/>
    <w:rsid w:val="00216B33"/>
    <w:rsid w:val="002206D5"/>
    <w:rsid w:val="00220BC8"/>
    <w:rsid w:val="0022100A"/>
    <w:rsid w:val="00221DD7"/>
    <w:rsid w:val="00222166"/>
    <w:rsid w:val="002221F4"/>
    <w:rsid w:val="0022264B"/>
    <w:rsid w:val="00222ABC"/>
    <w:rsid w:val="00223D59"/>
    <w:rsid w:val="002248EE"/>
    <w:rsid w:val="00224A89"/>
    <w:rsid w:val="00225938"/>
    <w:rsid w:val="00226642"/>
    <w:rsid w:val="00227ACA"/>
    <w:rsid w:val="00230035"/>
    <w:rsid w:val="002305B6"/>
    <w:rsid w:val="0023061D"/>
    <w:rsid w:val="00230E6E"/>
    <w:rsid w:val="00232B64"/>
    <w:rsid w:val="00235A57"/>
    <w:rsid w:val="00235CD3"/>
    <w:rsid w:val="00236272"/>
    <w:rsid w:val="0023645E"/>
    <w:rsid w:val="00236744"/>
    <w:rsid w:val="00236BCB"/>
    <w:rsid w:val="00236C2B"/>
    <w:rsid w:val="00240460"/>
    <w:rsid w:val="002404F6"/>
    <w:rsid w:val="00240EFD"/>
    <w:rsid w:val="002416D0"/>
    <w:rsid w:val="002416EF"/>
    <w:rsid w:val="00241E3C"/>
    <w:rsid w:val="00242EB7"/>
    <w:rsid w:val="002434AC"/>
    <w:rsid w:val="00243505"/>
    <w:rsid w:val="002445C1"/>
    <w:rsid w:val="00244CEE"/>
    <w:rsid w:val="00246162"/>
    <w:rsid w:val="002463F8"/>
    <w:rsid w:val="00246F36"/>
    <w:rsid w:val="002476DE"/>
    <w:rsid w:val="002501AA"/>
    <w:rsid w:val="0025030D"/>
    <w:rsid w:val="0025034A"/>
    <w:rsid w:val="002503B6"/>
    <w:rsid w:val="00251BB7"/>
    <w:rsid w:val="00252634"/>
    <w:rsid w:val="00252761"/>
    <w:rsid w:val="00252825"/>
    <w:rsid w:val="00252C2D"/>
    <w:rsid w:val="0025357C"/>
    <w:rsid w:val="00254185"/>
    <w:rsid w:val="00254B54"/>
    <w:rsid w:val="00254C82"/>
    <w:rsid w:val="00254CAB"/>
    <w:rsid w:val="00255B32"/>
    <w:rsid w:val="00256108"/>
    <w:rsid w:val="0025642C"/>
    <w:rsid w:val="00256DFB"/>
    <w:rsid w:val="0025714A"/>
    <w:rsid w:val="00257645"/>
    <w:rsid w:val="002601C9"/>
    <w:rsid w:val="0026037F"/>
    <w:rsid w:val="002603DF"/>
    <w:rsid w:val="00260509"/>
    <w:rsid w:val="002609AD"/>
    <w:rsid w:val="002609FD"/>
    <w:rsid w:val="00261C01"/>
    <w:rsid w:val="00262D35"/>
    <w:rsid w:val="00262EB9"/>
    <w:rsid w:val="00263314"/>
    <w:rsid w:val="00264B4E"/>
    <w:rsid w:val="00264CD7"/>
    <w:rsid w:val="00264F6D"/>
    <w:rsid w:val="002655B5"/>
    <w:rsid w:val="002667E4"/>
    <w:rsid w:val="00267513"/>
    <w:rsid w:val="00267536"/>
    <w:rsid w:val="0026757D"/>
    <w:rsid w:val="002677CB"/>
    <w:rsid w:val="0026784F"/>
    <w:rsid w:val="002706D4"/>
    <w:rsid w:val="0027081C"/>
    <w:rsid w:val="00270A61"/>
    <w:rsid w:val="00271BBD"/>
    <w:rsid w:val="00272198"/>
    <w:rsid w:val="0027219F"/>
    <w:rsid w:val="00272520"/>
    <w:rsid w:val="00272885"/>
    <w:rsid w:val="00272D65"/>
    <w:rsid w:val="00273E63"/>
    <w:rsid w:val="002742C6"/>
    <w:rsid w:val="00274E77"/>
    <w:rsid w:val="00275036"/>
    <w:rsid w:val="00275311"/>
    <w:rsid w:val="0027555D"/>
    <w:rsid w:val="00275BC6"/>
    <w:rsid w:val="00275C02"/>
    <w:rsid w:val="00276009"/>
    <w:rsid w:val="00276475"/>
    <w:rsid w:val="002765E9"/>
    <w:rsid w:val="0027795E"/>
    <w:rsid w:val="00277BA6"/>
    <w:rsid w:val="00277D33"/>
    <w:rsid w:val="00277DDE"/>
    <w:rsid w:val="002805B5"/>
    <w:rsid w:val="002807F4"/>
    <w:rsid w:val="0028091F"/>
    <w:rsid w:val="0028106E"/>
    <w:rsid w:val="00281D9E"/>
    <w:rsid w:val="00281FF3"/>
    <w:rsid w:val="0028214E"/>
    <w:rsid w:val="00282E7D"/>
    <w:rsid w:val="0028324B"/>
    <w:rsid w:val="0028331C"/>
    <w:rsid w:val="002833C6"/>
    <w:rsid w:val="002837D6"/>
    <w:rsid w:val="002838D0"/>
    <w:rsid w:val="0028396A"/>
    <w:rsid w:val="00283A24"/>
    <w:rsid w:val="00284FCB"/>
    <w:rsid w:val="00284FD4"/>
    <w:rsid w:val="002855F3"/>
    <w:rsid w:val="00285989"/>
    <w:rsid w:val="00285C2C"/>
    <w:rsid w:val="00287CCB"/>
    <w:rsid w:val="00287D7E"/>
    <w:rsid w:val="002906C2"/>
    <w:rsid w:val="00293A1D"/>
    <w:rsid w:val="00293F7E"/>
    <w:rsid w:val="00295BEE"/>
    <w:rsid w:val="00295C35"/>
    <w:rsid w:val="00295C92"/>
    <w:rsid w:val="0029660C"/>
    <w:rsid w:val="00296809"/>
    <w:rsid w:val="00296DBA"/>
    <w:rsid w:val="00296F9D"/>
    <w:rsid w:val="00297859"/>
    <w:rsid w:val="00297D2C"/>
    <w:rsid w:val="00297EBA"/>
    <w:rsid w:val="002A0C86"/>
    <w:rsid w:val="002A0CC3"/>
    <w:rsid w:val="002A1740"/>
    <w:rsid w:val="002A17FA"/>
    <w:rsid w:val="002A2633"/>
    <w:rsid w:val="002A340E"/>
    <w:rsid w:val="002A3E8D"/>
    <w:rsid w:val="002A3E97"/>
    <w:rsid w:val="002A53CA"/>
    <w:rsid w:val="002A5405"/>
    <w:rsid w:val="002A56F3"/>
    <w:rsid w:val="002A6215"/>
    <w:rsid w:val="002A6308"/>
    <w:rsid w:val="002A68ED"/>
    <w:rsid w:val="002A699F"/>
    <w:rsid w:val="002A7296"/>
    <w:rsid w:val="002A79CB"/>
    <w:rsid w:val="002A7B22"/>
    <w:rsid w:val="002B0630"/>
    <w:rsid w:val="002B0799"/>
    <w:rsid w:val="002B0DE6"/>
    <w:rsid w:val="002B120A"/>
    <w:rsid w:val="002B169B"/>
    <w:rsid w:val="002B18F8"/>
    <w:rsid w:val="002B249B"/>
    <w:rsid w:val="002B26E7"/>
    <w:rsid w:val="002B2825"/>
    <w:rsid w:val="002B282F"/>
    <w:rsid w:val="002B29EB"/>
    <w:rsid w:val="002B3094"/>
    <w:rsid w:val="002B3995"/>
    <w:rsid w:val="002B3C8F"/>
    <w:rsid w:val="002B4F6D"/>
    <w:rsid w:val="002B6D1D"/>
    <w:rsid w:val="002B7AAC"/>
    <w:rsid w:val="002B7D71"/>
    <w:rsid w:val="002C06C2"/>
    <w:rsid w:val="002C1109"/>
    <w:rsid w:val="002C194B"/>
    <w:rsid w:val="002C1F99"/>
    <w:rsid w:val="002C283A"/>
    <w:rsid w:val="002C3415"/>
    <w:rsid w:val="002C4AB6"/>
    <w:rsid w:val="002C51A1"/>
    <w:rsid w:val="002C60DA"/>
    <w:rsid w:val="002C6110"/>
    <w:rsid w:val="002C684F"/>
    <w:rsid w:val="002C7171"/>
    <w:rsid w:val="002C7D2C"/>
    <w:rsid w:val="002C7E3F"/>
    <w:rsid w:val="002D0D77"/>
    <w:rsid w:val="002D1150"/>
    <w:rsid w:val="002D12BD"/>
    <w:rsid w:val="002D1A59"/>
    <w:rsid w:val="002D2571"/>
    <w:rsid w:val="002D25CC"/>
    <w:rsid w:val="002D2F99"/>
    <w:rsid w:val="002D3988"/>
    <w:rsid w:val="002D3B9C"/>
    <w:rsid w:val="002D3F63"/>
    <w:rsid w:val="002D3FC2"/>
    <w:rsid w:val="002D4557"/>
    <w:rsid w:val="002D47A4"/>
    <w:rsid w:val="002D4C14"/>
    <w:rsid w:val="002D4DD7"/>
    <w:rsid w:val="002D513B"/>
    <w:rsid w:val="002D5695"/>
    <w:rsid w:val="002D6304"/>
    <w:rsid w:val="002D6744"/>
    <w:rsid w:val="002D6A99"/>
    <w:rsid w:val="002D6CBD"/>
    <w:rsid w:val="002D6EC7"/>
    <w:rsid w:val="002D703F"/>
    <w:rsid w:val="002D7373"/>
    <w:rsid w:val="002D7A1D"/>
    <w:rsid w:val="002E030A"/>
    <w:rsid w:val="002E0436"/>
    <w:rsid w:val="002E0999"/>
    <w:rsid w:val="002E1630"/>
    <w:rsid w:val="002E272C"/>
    <w:rsid w:val="002E299C"/>
    <w:rsid w:val="002E2E9C"/>
    <w:rsid w:val="002E340D"/>
    <w:rsid w:val="002E4E99"/>
    <w:rsid w:val="002E50D9"/>
    <w:rsid w:val="002E56A1"/>
    <w:rsid w:val="002E58A0"/>
    <w:rsid w:val="002E668A"/>
    <w:rsid w:val="002E679D"/>
    <w:rsid w:val="002E6A46"/>
    <w:rsid w:val="002E76B9"/>
    <w:rsid w:val="002E79E7"/>
    <w:rsid w:val="002E7D01"/>
    <w:rsid w:val="002F0555"/>
    <w:rsid w:val="002F0DD8"/>
    <w:rsid w:val="002F1C43"/>
    <w:rsid w:val="002F2267"/>
    <w:rsid w:val="002F2850"/>
    <w:rsid w:val="002F28AF"/>
    <w:rsid w:val="002F2CC8"/>
    <w:rsid w:val="002F311A"/>
    <w:rsid w:val="002F323D"/>
    <w:rsid w:val="002F3BB3"/>
    <w:rsid w:val="002F556A"/>
    <w:rsid w:val="002F56FF"/>
    <w:rsid w:val="002F6E86"/>
    <w:rsid w:val="002F7CC7"/>
    <w:rsid w:val="00300439"/>
    <w:rsid w:val="00301E1C"/>
    <w:rsid w:val="0030208D"/>
    <w:rsid w:val="003027BC"/>
    <w:rsid w:val="00303167"/>
    <w:rsid w:val="00303510"/>
    <w:rsid w:val="00303C73"/>
    <w:rsid w:val="0030426B"/>
    <w:rsid w:val="003047FD"/>
    <w:rsid w:val="00305B08"/>
    <w:rsid w:val="00305F43"/>
    <w:rsid w:val="00307350"/>
    <w:rsid w:val="00307704"/>
    <w:rsid w:val="00307DAC"/>
    <w:rsid w:val="0031031C"/>
    <w:rsid w:val="00310CC2"/>
    <w:rsid w:val="00311B5E"/>
    <w:rsid w:val="00311D0F"/>
    <w:rsid w:val="00312C09"/>
    <w:rsid w:val="00313986"/>
    <w:rsid w:val="0031437E"/>
    <w:rsid w:val="0031447E"/>
    <w:rsid w:val="003154E3"/>
    <w:rsid w:val="003156FB"/>
    <w:rsid w:val="00315F70"/>
    <w:rsid w:val="00316BF9"/>
    <w:rsid w:val="00316C37"/>
    <w:rsid w:val="00317176"/>
    <w:rsid w:val="00317C6D"/>
    <w:rsid w:val="003200AA"/>
    <w:rsid w:val="00320442"/>
    <w:rsid w:val="00320684"/>
    <w:rsid w:val="00320A0C"/>
    <w:rsid w:val="00320CF0"/>
    <w:rsid w:val="0032186F"/>
    <w:rsid w:val="00321A65"/>
    <w:rsid w:val="00321C2A"/>
    <w:rsid w:val="00321E4E"/>
    <w:rsid w:val="0032295D"/>
    <w:rsid w:val="003230EF"/>
    <w:rsid w:val="00323139"/>
    <w:rsid w:val="00323289"/>
    <w:rsid w:val="00323DCE"/>
    <w:rsid w:val="003240B2"/>
    <w:rsid w:val="003241E0"/>
    <w:rsid w:val="00324621"/>
    <w:rsid w:val="003254FB"/>
    <w:rsid w:val="00326B9C"/>
    <w:rsid w:val="003275C3"/>
    <w:rsid w:val="00331A20"/>
    <w:rsid w:val="00331B03"/>
    <w:rsid w:val="00331F2B"/>
    <w:rsid w:val="003326A4"/>
    <w:rsid w:val="00332BF7"/>
    <w:rsid w:val="00332E43"/>
    <w:rsid w:val="003336D5"/>
    <w:rsid w:val="00333B37"/>
    <w:rsid w:val="00333ED3"/>
    <w:rsid w:val="00334808"/>
    <w:rsid w:val="00335461"/>
    <w:rsid w:val="00335814"/>
    <w:rsid w:val="00336EF3"/>
    <w:rsid w:val="003372F3"/>
    <w:rsid w:val="00337731"/>
    <w:rsid w:val="00337DC4"/>
    <w:rsid w:val="00337EDF"/>
    <w:rsid w:val="00337F42"/>
    <w:rsid w:val="0034087E"/>
    <w:rsid w:val="00340D2D"/>
    <w:rsid w:val="0034110C"/>
    <w:rsid w:val="0034155F"/>
    <w:rsid w:val="003419A9"/>
    <w:rsid w:val="003419FE"/>
    <w:rsid w:val="0034219D"/>
    <w:rsid w:val="00342306"/>
    <w:rsid w:val="00342F2C"/>
    <w:rsid w:val="003431D1"/>
    <w:rsid w:val="0034348B"/>
    <w:rsid w:val="00345714"/>
    <w:rsid w:val="003457B0"/>
    <w:rsid w:val="00345E57"/>
    <w:rsid w:val="003461A3"/>
    <w:rsid w:val="003473C2"/>
    <w:rsid w:val="003479C5"/>
    <w:rsid w:val="003503E9"/>
    <w:rsid w:val="00350630"/>
    <w:rsid w:val="003516B9"/>
    <w:rsid w:val="0035207B"/>
    <w:rsid w:val="00352171"/>
    <w:rsid w:val="00352187"/>
    <w:rsid w:val="00352324"/>
    <w:rsid w:val="0035258A"/>
    <w:rsid w:val="00352EFA"/>
    <w:rsid w:val="003539A6"/>
    <w:rsid w:val="00353DB7"/>
    <w:rsid w:val="00354173"/>
    <w:rsid w:val="00354801"/>
    <w:rsid w:val="003551BF"/>
    <w:rsid w:val="0035524C"/>
    <w:rsid w:val="0035540E"/>
    <w:rsid w:val="00355707"/>
    <w:rsid w:val="00355B9D"/>
    <w:rsid w:val="00355D39"/>
    <w:rsid w:val="00357080"/>
    <w:rsid w:val="00357326"/>
    <w:rsid w:val="0035776A"/>
    <w:rsid w:val="00357CC5"/>
    <w:rsid w:val="00360698"/>
    <w:rsid w:val="003609C7"/>
    <w:rsid w:val="003613E1"/>
    <w:rsid w:val="00361451"/>
    <w:rsid w:val="003619DF"/>
    <w:rsid w:val="00362775"/>
    <w:rsid w:val="003629C1"/>
    <w:rsid w:val="003629CF"/>
    <w:rsid w:val="00362AD7"/>
    <w:rsid w:val="00362E00"/>
    <w:rsid w:val="003632DD"/>
    <w:rsid w:val="00363492"/>
    <w:rsid w:val="00363ADD"/>
    <w:rsid w:val="00363C38"/>
    <w:rsid w:val="003640F7"/>
    <w:rsid w:val="00364E8A"/>
    <w:rsid w:val="0036539D"/>
    <w:rsid w:val="0036665E"/>
    <w:rsid w:val="003666ED"/>
    <w:rsid w:val="00367655"/>
    <w:rsid w:val="0036778D"/>
    <w:rsid w:val="00367E3C"/>
    <w:rsid w:val="00370015"/>
    <w:rsid w:val="00370166"/>
    <w:rsid w:val="003703C9"/>
    <w:rsid w:val="00370A06"/>
    <w:rsid w:val="00371430"/>
    <w:rsid w:val="00371EFB"/>
    <w:rsid w:val="00372AEB"/>
    <w:rsid w:val="0037338E"/>
    <w:rsid w:val="003733BD"/>
    <w:rsid w:val="00373C91"/>
    <w:rsid w:val="00374026"/>
    <w:rsid w:val="00374364"/>
    <w:rsid w:val="0037464F"/>
    <w:rsid w:val="003747B8"/>
    <w:rsid w:val="00375279"/>
    <w:rsid w:val="00375738"/>
    <w:rsid w:val="0037599C"/>
    <w:rsid w:val="00376D5A"/>
    <w:rsid w:val="00376DED"/>
    <w:rsid w:val="00377BA3"/>
    <w:rsid w:val="003809B1"/>
    <w:rsid w:val="00380A99"/>
    <w:rsid w:val="00380BC0"/>
    <w:rsid w:val="00381160"/>
    <w:rsid w:val="00381764"/>
    <w:rsid w:val="00381883"/>
    <w:rsid w:val="003822CA"/>
    <w:rsid w:val="003825D6"/>
    <w:rsid w:val="00383494"/>
    <w:rsid w:val="00383A3F"/>
    <w:rsid w:val="003843F0"/>
    <w:rsid w:val="00384D5D"/>
    <w:rsid w:val="00384D87"/>
    <w:rsid w:val="00384E6A"/>
    <w:rsid w:val="00385517"/>
    <w:rsid w:val="00386DFC"/>
    <w:rsid w:val="00387D36"/>
    <w:rsid w:val="00391405"/>
    <w:rsid w:val="003928BC"/>
    <w:rsid w:val="00392985"/>
    <w:rsid w:val="00392E07"/>
    <w:rsid w:val="00393194"/>
    <w:rsid w:val="00394244"/>
    <w:rsid w:val="00394C5B"/>
    <w:rsid w:val="00395538"/>
    <w:rsid w:val="0039597A"/>
    <w:rsid w:val="0039697A"/>
    <w:rsid w:val="00397DAE"/>
    <w:rsid w:val="003A0374"/>
    <w:rsid w:val="003A0416"/>
    <w:rsid w:val="003A16FB"/>
    <w:rsid w:val="003A21BB"/>
    <w:rsid w:val="003A4C44"/>
    <w:rsid w:val="003A5044"/>
    <w:rsid w:val="003A67B8"/>
    <w:rsid w:val="003A68A9"/>
    <w:rsid w:val="003A79DC"/>
    <w:rsid w:val="003B0E1B"/>
    <w:rsid w:val="003B0EE8"/>
    <w:rsid w:val="003B1B01"/>
    <w:rsid w:val="003B1CA2"/>
    <w:rsid w:val="003B20B5"/>
    <w:rsid w:val="003B2DB8"/>
    <w:rsid w:val="003B2FD3"/>
    <w:rsid w:val="003B40EE"/>
    <w:rsid w:val="003B453E"/>
    <w:rsid w:val="003B4F21"/>
    <w:rsid w:val="003B5EFD"/>
    <w:rsid w:val="003B65C4"/>
    <w:rsid w:val="003B694C"/>
    <w:rsid w:val="003B6AB2"/>
    <w:rsid w:val="003B6EFC"/>
    <w:rsid w:val="003B7029"/>
    <w:rsid w:val="003B793E"/>
    <w:rsid w:val="003B7A08"/>
    <w:rsid w:val="003B7FF7"/>
    <w:rsid w:val="003C0324"/>
    <w:rsid w:val="003C0C9A"/>
    <w:rsid w:val="003C324D"/>
    <w:rsid w:val="003C391E"/>
    <w:rsid w:val="003C547F"/>
    <w:rsid w:val="003C558A"/>
    <w:rsid w:val="003C5F8A"/>
    <w:rsid w:val="003C777D"/>
    <w:rsid w:val="003C7B83"/>
    <w:rsid w:val="003D02C6"/>
    <w:rsid w:val="003D093E"/>
    <w:rsid w:val="003D0F68"/>
    <w:rsid w:val="003D10F3"/>
    <w:rsid w:val="003D17E0"/>
    <w:rsid w:val="003D19A8"/>
    <w:rsid w:val="003D1A7D"/>
    <w:rsid w:val="003D1FAE"/>
    <w:rsid w:val="003D222C"/>
    <w:rsid w:val="003D30D0"/>
    <w:rsid w:val="003D356E"/>
    <w:rsid w:val="003D3D24"/>
    <w:rsid w:val="003D59ED"/>
    <w:rsid w:val="003D5BD6"/>
    <w:rsid w:val="003D5E46"/>
    <w:rsid w:val="003D608C"/>
    <w:rsid w:val="003D6232"/>
    <w:rsid w:val="003D75A6"/>
    <w:rsid w:val="003D7AB3"/>
    <w:rsid w:val="003D7F26"/>
    <w:rsid w:val="003E0DEF"/>
    <w:rsid w:val="003E19AD"/>
    <w:rsid w:val="003E219B"/>
    <w:rsid w:val="003E22A9"/>
    <w:rsid w:val="003E2866"/>
    <w:rsid w:val="003E2CED"/>
    <w:rsid w:val="003E2CF6"/>
    <w:rsid w:val="003E2DF7"/>
    <w:rsid w:val="003E340F"/>
    <w:rsid w:val="003E35EE"/>
    <w:rsid w:val="003E3622"/>
    <w:rsid w:val="003E3FC2"/>
    <w:rsid w:val="003E4178"/>
    <w:rsid w:val="003E445B"/>
    <w:rsid w:val="003E4924"/>
    <w:rsid w:val="003E4DF1"/>
    <w:rsid w:val="003E4F35"/>
    <w:rsid w:val="003E5787"/>
    <w:rsid w:val="003E6038"/>
    <w:rsid w:val="003E6BDF"/>
    <w:rsid w:val="003E760B"/>
    <w:rsid w:val="003E778D"/>
    <w:rsid w:val="003E787A"/>
    <w:rsid w:val="003E789B"/>
    <w:rsid w:val="003E7C8C"/>
    <w:rsid w:val="003F0247"/>
    <w:rsid w:val="003F0CDE"/>
    <w:rsid w:val="003F1605"/>
    <w:rsid w:val="003F24B6"/>
    <w:rsid w:val="003F2B0C"/>
    <w:rsid w:val="003F319C"/>
    <w:rsid w:val="003F4DB0"/>
    <w:rsid w:val="003F585F"/>
    <w:rsid w:val="003F648F"/>
    <w:rsid w:val="003F713A"/>
    <w:rsid w:val="003F726A"/>
    <w:rsid w:val="003F7B1C"/>
    <w:rsid w:val="00400025"/>
    <w:rsid w:val="00400BA2"/>
    <w:rsid w:val="00402504"/>
    <w:rsid w:val="00402EA6"/>
    <w:rsid w:val="0040338C"/>
    <w:rsid w:val="0040473A"/>
    <w:rsid w:val="0040481F"/>
    <w:rsid w:val="00404A0E"/>
    <w:rsid w:val="00405131"/>
    <w:rsid w:val="00406F1B"/>
    <w:rsid w:val="00410BDD"/>
    <w:rsid w:val="004115DF"/>
    <w:rsid w:val="00411809"/>
    <w:rsid w:val="00411B60"/>
    <w:rsid w:val="00411BAA"/>
    <w:rsid w:val="00412009"/>
    <w:rsid w:val="00412B3E"/>
    <w:rsid w:val="004138AE"/>
    <w:rsid w:val="00414B76"/>
    <w:rsid w:val="00414C58"/>
    <w:rsid w:val="00414F30"/>
    <w:rsid w:val="00415F92"/>
    <w:rsid w:val="004164F3"/>
    <w:rsid w:val="004176DD"/>
    <w:rsid w:val="004178B3"/>
    <w:rsid w:val="00417EAA"/>
    <w:rsid w:val="00420171"/>
    <w:rsid w:val="0042024A"/>
    <w:rsid w:val="004204FC"/>
    <w:rsid w:val="00420F2F"/>
    <w:rsid w:val="00420F55"/>
    <w:rsid w:val="004219E7"/>
    <w:rsid w:val="00423397"/>
    <w:rsid w:val="00423A9E"/>
    <w:rsid w:val="00424297"/>
    <w:rsid w:val="004242C8"/>
    <w:rsid w:val="0042513B"/>
    <w:rsid w:val="00425180"/>
    <w:rsid w:val="00425233"/>
    <w:rsid w:val="00425754"/>
    <w:rsid w:val="00425C0C"/>
    <w:rsid w:val="00426242"/>
    <w:rsid w:val="00426804"/>
    <w:rsid w:val="00426838"/>
    <w:rsid w:val="00427F40"/>
    <w:rsid w:val="004300CA"/>
    <w:rsid w:val="00430341"/>
    <w:rsid w:val="00430806"/>
    <w:rsid w:val="00430C3A"/>
    <w:rsid w:val="004310B7"/>
    <w:rsid w:val="00431162"/>
    <w:rsid w:val="00431A67"/>
    <w:rsid w:val="00431ED4"/>
    <w:rsid w:val="004339DE"/>
    <w:rsid w:val="004339F0"/>
    <w:rsid w:val="00433BE4"/>
    <w:rsid w:val="00434DC7"/>
    <w:rsid w:val="00435825"/>
    <w:rsid w:val="00435920"/>
    <w:rsid w:val="00435AEB"/>
    <w:rsid w:val="00435D6B"/>
    <w:rsid w:val="00436572"/>
    <w:rsid w:val="00436BD2"/>
    <w:rsid w:val="00440A7E"/>
    <w:rsid w:val="00440E29"/>
    <w:rsid w:val="00442318"/>
    <w:rsid w:val="00442F6B"/>
    <w:rsid w:val="0044334B"/>
    <w:rsid w:val="00443738"/>
    <w:rsid w:val="00443D6B"/>
    <w:rsid w:val="004458CD"/>
    <w:rsid w:val="00445CF8"/>
    <w:rsid w:val="00447D16"/>
    <w:rsid w:val="00450030"/>
    <w:rsid w:val="00450EDE"/>
    <w:rsid w:val="00451013"/>
    <w:rsid w:val="00451386"/>
    <w:rsid w:val="0045202C"/>
    <w:rsid w:val="0045215F"/>
    <w:rsid w:val="00452682"/>
    <w:rsid w:val="00452864"/>
    <w:rsid w:val="00453214"/>
    <w:rsid w:val="00453B23"/>
    <w:rsid w:val="0045552F"/>
    <w:rsid w:val="0045559E"/>
    <w:rsid w:val="004556A2"/>
    <w:rsid w:val="00455C67"/>
    <w:rsid w:val="0045752A"/>
    <w:rsid w:val="00457FBD"/>
    <w:rsid w:val="00460188"/>
    <w:rsid w:val="00460668"/>
    <w:rsid w:val="00460F61"/>
    <w:rsid w:val="0046314F"/>
    <w:rsid w:val="00463E59"/>
    <w:rsid w:val="004640D8"/>
    <w:rsid w:val="00464407"/>
    <w:rsid w:val="004644E7"/>
    <w:rsid w:val="00464505"/>
    <w:rsid w:val="0046509B"/>
    <w:rsid w:val="00465BB0"/>
    <w:rsid w:val="00465C7E"/>
    <w:rsid w:val="00471864"/>
    <w:rsid w:val="004719A8"/>
    <w:rsid w:val="00471E99"/>
    <w:rsid w:val="00472137"/>
    <w:rsid w:val="004721CC"/>
    <w:rsid w:val="00473BE9"/>
    <w:rsid w:val="00473D03"/>
    <w:rsid w:val="0047497D"/>
    <w:rsid w:val="00474B37"/>
    <w:rsid w:val="0047572A"/>
    <w:rsid w:val="00475B25"/>
    <w:rsid w:val="004768A2"/>
    <w:rsid w:val="00476B41"/>
    <w:rsid w:val="00477F1B"/>
    <w:rsid w:val="00481976"/>
    <w:rsid w:val="00481AFD"/>
    <w:rsid w:val="004826CC"/>
    <w:rsid w:val="004826F9"/>
    <w:rsid w:val="00482814"/>
    <w:rsid w:val="00483181"/>
    <w:rsid w:val="0048542A"/>
    <w:rsid w:val="004855D4"/>
    <w:rsid w:val="00485618"/>
    <w:rsid w:val="004864B8"/>
    <w:rsid w:val="004872E4"/>
    <w:rsid w:val="00487CFA"/>
    <w:rsid w:val="0049151C"/>
    <w:rsid w:val="00491AF6"/>
    <w:rsid w:val="00492582"/>
    <w:rsid w:val="0049277F"/>
    <w:rsid w:val="00493405"/>
    <w:rsid w:val="004945DA"/>
    <w:rsid w:val="00495A1D"/>
    <w:rsid w:val="00496C4E"/>
    <w:rsid w:val="00496DC3"/>
    <w:rsid w:val="00497757"/>
    <w:rsid w:val="004A050C"/>
    <w:rsid w:val="004A2386"/>
    <w:rsid w:val="004A2F4A"/>
    <w:rsid w:val="004A3249"/>
    <w:rsid w:val="004A3575"/>
    <w:rsid w:val="004A3C9A"/>
    <w:rsid w:val="004A3E6C"/>
    <w:rsid w:val="004A3F5C"/>
    <w:rsid w:val="004A689E"/>
    <w:rsid w:val="004A7734"/>
    <w:rsid w:val="004B0182"/>
    <w:rsid w:val="004B04F2"/>
    <w:rsid w:val="004B05D7"/>
    <w:rsid w:val="004B075D"/>
    <w:rsid w:val="004B0766"/>
    <w:rsid w:val="004B0F92"/>
    <w:rsid w:val="004B138A"/>
    <w:rsid w:val="004B2C95"/>
    <w:rsid w:val="004B33DE"/>
    <w:rsid w:val="004B39E2"/>
    <w:rsid w:val="004B51ED"/>
    <w:rsid w:val="004B6193"/>
    <w:rsid w:val="004B697F"/>
    <w:rsid w:val="004B6FB9"/>
    <w:rsid w:val="004C187E"/>
    <w:rsid w:val="004C18C9"/>
    <w:rsid w:val="004C1F29"/>
    <w:rsid w:val="004C33A2"/>
    <w:rsid w:val="004C408A"/>
    <w:rsid w:val="004C4E88"/>
    <w:rsid w:val="004C5544"/>
    <w:rsid w:val="004C5C96"/>
    <w:rsid w:val="004C6836"/>
    <w:rsid w:val="004C70D4"/>
    <w:rsid w:val="004C73CC"/>
    <w:rsid w:val="004C7474"/>
    <w:rsid w:val="004C7E22"/>
    <w:rsid w:val="004D0146"/>
    <w:rsid w:val="004D0667"/>
    <w:rsid w:val="004D0A41"/>
    <w:rsid w:val="004D1499"/>
    <w:rsid w:val="004D1A87"/>
    <w:rsid w:val="004D3D20"/>
    <w:rsid w:val="004D4762"/>
    <w:rsid w:val="004D4DF4"/>
    <w:rsid w:val="004D674C"/>
    <w:rsid w:val="004D68DA"/>
    <w:rsid w:val="004D6970"/>
    <w:rsid w:val="004D6C42"/>
    <w:rsid w:val="004D72FD"/>
    <w:rsid w:val="004D7C18"/>
    <w:rsid w:val="004E0724"/>
    <w:rsid w:val="004E0C89"/>
    <w:rsid w:val="004E106C"/>
    <w:rsid w:val="004E249A"/>
    <w:rsid w:val="004E3580"/>
    <w:rsid w:val="004E3C6D"/>
    <w:rsid w:val="004E4E90"/>
    <w:rsid w:val="004E5FF1"/>
    <w:rsid w:val="004E6162"/>
    <w:rsid w:val="004E61EB"/>
    <w:rsid w:val="004E61F1"/>
    <w:rsid w:val="004E6ADB"/>
    <w:rsid w:val="004E7112"/>
    <w:rsid w:val="004F0CB0"/>
    <w:rsid w:val="004F1B21"/>
    <w:rsid w:val="004F23E7"/>
    <w:rsid w:val="004F27DF"/>
    <w:rsid w:val="004F3027"/>
    <w:rsid w:val="004F3FCC"/>
    <w:rsid w:val="004F46C0"/>
    <w:rsid w:val="004F4813"/>
    <w:rsid w:val="004F4FCC"/>
    <w:rsid w:val="004F5468"/>
    <w:rsid w:val="004F572A"/>
    <w:rsid w:val="004F59CC"/>
    <w:rsid w:val="004F5C46"/>
    <w:rsid w:val="004F5D4F"/>
    <w:rsid w:val="004F624D"/>
    <w:rsid w:val="004F6753"/>
    <w:rsid w:val="004F7DB9"/>
    <w:rsid w:val="00500001"/>
    <w:rsid w:val="005007A3"/>
    <w:rsid w:val="00501412"/>
    <w:rsid w:val="00501533"/>
    <w:rsid w:val="00501811"/>
    <w:rsid w:val="005019BF"/>
    <w:rsid w:val="00502AFC"/>
    <w:rsid w:val="005035D4"/>
    <w:rsid w:val="00503637"/>
    <w:rsid w:val="00503E5B"/>
    <w:rsid w:val="00503EF3"/>
    <w:rsid w:val="005046B5"/>
    <w:rsid w:val="00505510"/>
    <w:rsid w:val="00505D01"/>
    <w:rsid w:val="00506164"/>
    <w:rsid w:val="005062F5"/>
    <w:rsid w:val="00506CF6"/>
    <w:rsid w:val="00506F28"/>
    <w:rsid w:val="005078BB"/>
    <w:rsid w:val="00507D49"/>
    <w:rsid w:val="0051007B"/>
    <w:rsid w:val="00510241"/>
    <w:rsid w:val="00510B89"/>
    <w:rsid w:val="00511172"/>
    <w:rsid w:val="0051211E"/>
    <w:rsid w:val="00512EC0"/>
    <w:rsid w:val="00513C05"/>
    <w:rsid w:val="00513C81"/>
    <w:rsid w:val="00513E41"/>
    <w:rsid w:val="00513F2A"/>
    <w:rsid w:val="00514519"/>
    <w:rsid w:val="00514996"/>
    <w:rsid w:val="00514A32"/>
    <w:rsid w:val="005157AC"/>
    <w:rsid w:val="00515A8C"/>
    <w:rsid w:val="00515CE7"/>
    <w:rsid w:val="005166CF"/>
    <w:rsid w:val="00517354"/>
    <w:rsid w:val="00517D55"/>
    <w:rsid w:val="00517ECE"/>
    <w:rsid w:val="00520288"/>
    <w:rsid w:val="005202E4"/>
    <w:rsid w:val="00520662"/>
    <w:rsid w:val="005223E9"/>
    <w:rsid w:val="0052267B"/>
    <w:rsid w:val="00523EA1"/>
    <w:rsid w:val="005241B6"/>
    <w:rsid w:val="005244B3"/>
    <w:rsid w:val="00524711"/>
    <w:rsid w:val="00524D6F"/>
    <w:rsid w:val="00524F86"/>
    <w:rsid w:val="00525382"/>
    <w:rsid w:val="00525556"/>
    <w:rsid w:val="00525D88"/>
    <w:rsid w:val="005268CA"/>
    <w:rsid w:val="00526C7B"/>
    <w:rsid w:val="0052744F"/>
    <w:rsid w:val="005274B8"/>
    <w:rsid w:val="00527FA2"/>
    <w:rsid w:val="00531509"/>
    <w:rsid w:val="0053164F"/>
    <w:rsid w:val="00532D50"/>
    <w:rsid w:val="00532E22"/>
    <w:rsid w:val="00533A27"/>
    <w:rsid w:val="00533D6C"/>
    <w:rsid w:val="005340C9"/>
    <w:rsid w:val="00535739"/>
    <w:rsid w:val="00535764"/>
    <w:rsid w:val="00535815"/>
    <w:rsid w:val="00535D38"/>
    <w:rsid w:val="005364EE"/>
    <w:rsid w:val="00536BEA"/>
    <w:rsid w:val="00537202"/>
    <w:rsid w:val="00537885"/>
    <w:rsid w:val="005415F2"/>
    <w:rsid w:val="00541B68"/>
    <w:rsid w:val="0054224E"/>
    <w:rsid w:val="005426DB"/>
    <w:rsid w:val="00542880"/>
    <w:rsid w:val="00542DA3"/>
    <w:rsid w:val="00544452"/>
    <w:rsid w:val="00544F1F"/>
    <w:rsid w:val="00545D8A"/>
    <w:rsid w:val="005466D5"/>
    <w:rsid w:val="00546D7E"/>
    <w:rsid w:val="005471F2"/>
    <w:rsid w:val="00547B95"/>
    <w:rsid w:val="00547D56"/>
    <w:rsid w:val="005503FA"/>
    <w:rsid w:val="0055041D"/>
    <w:rsid w:val="00550577"/>
    <w:rsid w:val="0055176F"/>
    <w:rsid w:val="00554854"/>
    <w:rsid w:val="0055486F"/>
    <w:rsid w:val="00554B14"/>
    <w:rsid w:val="005556EA"/>
    <w:rsid w:val="00556333"/>
    <w:rsid w:val="005565DC"/>
    <w:rsid w:val="00557FFB"/>
    <w:rsid w:val="00560069"/>
    <w:rsid w:val="00561873"/>
    <w:rsid w:val="00561ACE"/>
    <w:rsid w:val="00561EE8"/>
    <w:rsid w:val="00562950"/>
    <w:rsid w:val="00562CF8"/>
    <w:rsid w:val="005639EC"/>
    <w:rsid w:val="00563BEE"/>
    <w:rsid w:val="005640ED"/>
    <w:rsid w:val="00564206"/>
    <w:rsid w:val="00564634"/>
    <w:rsid w:val="00564B1B"/>
    <w:rsid w:val="00564E29"/>
    <w:rsid w:val="00565051"/>
    <w:rsid w:val="00565811"/>
    <w:rsid w:val="00566384"/>
    <w:rsid w:val="00566923"/>
    <w:rsid w:val="00566A1F"/>
    <w:rsid w:val="00566DE7"/>
    <w:rsid w:val="00566EB9"/>
    <w:rsid w:val="0056702D"/>
    <w:rsid w:val="0056757F"/>
    <w:rsid w:val="005676EB"/>
    <w:rsid w:val="00567CFE"/>
    <w:rsid w:val="00570340"/>
    <w:rsid w:val="00570E43"/>
    <w:rsid w:val="00572183"/>
    <w:rsid w:val="005723BC"/>
    <w:rsid w:val="005727F9"/>
    <w:rsid w:val="0057321F"/>
    <w:rsid w:val="00574168"/>
    <w:rsid w:val="00574AEB"/>
    <w:rsid w:val="00574D62"/>
    <w:rsid w:val="005751F9"/>
    <w:rsid w:val="0057570D"/>
    <w:rsid w:val="00575FC3"/>
    <w:rsid w:val="005760FB"/>
    <w:rsid w:val="0057663A"/>
    <w:rsid w:val="00576E72"/>
    <w:rsid w:val="00577DB5"/>
    <w:rsid w:val="00577EF1"/>
    <w:rsid w:val="0058048D"/>
    <w:rsid w:val="0058073A"/>
    <w:rsid w:val="005807D5"/>
    <w:rsid w:val="00580FC9"/>
    <w:rsid w:val="00581B02"/>
    <w:rsid w:val="00582351"/>
    <w:rsid w:val="00582C28"/>
    <w:rsid w:val="00583A23"/>
    <w:rsid w:val="00583A70"/>
    <w:rsid w:val="00583D0C"/>
    <w:rsid w:val="00584416"/>
    <w:rsid w:val="00584672"/>
    <w:rsid w:val="00584DA2"/>
    <w:rsid w:val="00584E7B"/>
    <w:rsid w:val="00585803"/>
    <w:rsid w:val="00586C0D"/>
    <w:rsid w:val="00587CD0"/>
    <w:rsid w:val="005908AA"/>
    <w:rsid w:val="00592163"/>
    <w:rsid w:val="0059365F"/>
    <w:rsid w:val="005936E5"/>
    <w:rsid w:val="00593748"/>
    <w:rsid w:val="00593CBB"/>
    <w:rsid w:val="0059444B"/>
    <w:rsid w:val="0059447A"/>
    <w:rsid w:val="00594714"/>
    <w:rsid w:val="005962C1"/>
    <w:rsid w:val="00596C09"/>
    <w:rsid w:val="00597407"/>
    <w:rsid w:val="005A0A2B"/>
    <w:rsid w:val="005A0FA1"/>
    <w:rsid w:val="005A1207"/>
    <w:rsid w:val="005A1921"/>
    <w:rsid w:val="005A3709"/>
    <w:rsid w:val="005A3C9F"/>
    <w:rsid w:val="005A468C"/>
    <w:rsid w:val="005A5314"/>
    <w:rsid w:val="005A5A1F"/>
    <w:rsid w:val="005A5B01"/>
    <w:rsid w:val="005A6154"/>
    <w:rsid w:val="005A65F9"/>
    <w:rsid w:val="005A6833"/>
    <w:rsid w:val="005A7447"/>
    <w:rsid w:val="005B0BEF"/>
    <w:rsid w:val="005B0E60"/>
    <w:rsid w:val="005B1822"/>
    <w:rsid w:val="005B2259"/>
    <w:rsid w:val="005B2342"/>
    <w:rsid w:val="005B3063"/>
    <w:rsid w:val="005B3364"/>
    <w:rsid w:val="005B3FA2"/>
    <w:rsid w:val="005B4DCA"/>
    <w:rsid w:val="005B4DF8"/>
    <w:rsid w:val="005B5A14"/>
    <w:rsid w:val="005B5AD1"/>
    <w:rsid w:val="005B5C6F"/>
    <w:rsid w:val="005B5F2D"/>
    <w:rsid w:val="005B5F3F"/>
    <w:rsid w:val="005B6F3A"/>
    <w:rsid w:val="005C00BD"/>
    <w:rsid w:val="005C0128"/>
    <w:rsid w:val="005C0371"/>
    <w:rsid w:val="005C2AE1"/>
    <w:rsid w:val="005C2EF8"/>
    <w:rsid w:val="005C34D6"/>
    <w:rsid w:val="005C3EC8"/>
    <w:rsid w:val="005C3FFB"/>
    <w:rsid w:val="005C5ABD"/>
    <w:rsid w:val="005C7611"/>
    <w:rsid w:val="005C79BB"/>
    <w:rsid w:val="005C7B55"/>
    <w:rsid w:val="005C7E2A"/>
    <w:rsid w:val="005D108D"/>
    <w:rsid w:val="005D1223"/>
    <w:rsid w:val="005D1B68"/>
    <w:rsid w:val="005D209D"/>
    <w:rsid w:val="005D246C"/>
    <w:rsid w:val="005D2694"/>
    <w:rsid w:val="005D41A5"/>
    <w:rsid w:val="005D4550"/>
    <w:rsid w:val="005D46A7"/>
    <w:rsid w:val="005D4B7D"/>
    <w:rsid w:val="005D5CBA"/>
    <w:rsid w:val="005D6139"/>
    <w:rsid w:val="005D682F"/>
    <w:rsid w:val="005D6D9F"/>
    <w:rsid w:val="005D74A9"/>
    <w:rsid w:val="005D7D46"/>
    <w:rsid w:val="005E04A3"/>
    <w:rsid w:val="005E1248"/>
    <w:rsid w:val="005E1B98"/>
    <w:rsid w:val="005E1CBA"/>
    <w:rsid w:val="005E2225"/>
    <w:rsid w:val="005E230E"/>
    <w:rsid w:val="005E28C6"/>
    <w:rsid w:val="005E2AEC"/>
    <w:rsid w:val="005E3877"/>
    <w:rsid w:val="005E3FA0"/>
    <w:rsid w:val="005E42D0"/>
    <w:rsid w:val="005E4590"/>
    <w:rsid w:val="005E4B11"/>
    <w:rsid w:val="005E56D2"/>
    <w:rsid w:val="005E67B5"/>
    <w:rsid w:val="005E7082"/>
    <w:rsid w:val="005E74A8"/>
    <w:rsid w:val="005E75A6"/>
    <w:rsid w:val="005E7933"/>
    <w:rsid w:val="005F0151"/>
    <w:rsid w:val="005F02BC"/>
    <w:rsid w:val="005F0BB7"/>
    <w:rsid w:val="005F0EC5"/>
    <w:rsid w:val="005F3B73"/>
    <w:rsid w:val="005F40B5"/>
    <w:rsid w:val="005F46D4"/>
    <w:rsid w:val="005F4853"/>
    <w:rsid w:val="005F4A97"/>
    <w:rsid w:val="005F520C"/>
    <w:rsid w:val="005F5FD1"/>
    <w:rsid w:val="005F60E4"/>
    <w:rsid w:val="005F670E"/>
    <w:rsid w:val="005F7401"/>
    <w:rsid w:val="005F7419"/>
    <w:rsid w:val="005F7A71"/>
    <w:rsid w:val="0060044A"/>
    <w:rsid w:val="006011D8"/>
    <w:rsid w:val="00602FEE"/>
    <w:rsid w:val="006031A9"/>
    <w:rsid w:val="00603A37"/>
    <w:rsid w:val="00604758"/>
    <w:rsid w:val="00604C06"/>
    <w:rsid w:val="00605058"/>
    <w:rsid w:val="00605862"/>
    <w:rsid w:val="006059CB"/>
    <w:rsid w:val="00605E19"/>
    <w:rsid w:val="00606438"/>
    <w:rsid w:val="00606490"/>
    <w:rsid w:val="0060691F"/>
    <w:rsid w:val="006069CC"/>
    <w:rsid w:val="00606A51"/>
    <w:rsid w:val="00607DEE"/>
    <w:rsid w:val="006109FC"/>
    <w:rsid w:val="00610AD7"/>
    <w:rsid w:val="00610D04"/>
    <w:rsid w:val="006116EE"/>
    <w:rsid w:val="006130A7"/>
    <w:rsid w:val="00613E4D"/>
    <w:rsid w:val="00614995"/>
    <w:rsid w:val="00615010"/>
    <w:rsid w:val="0061503B"/>
    <w:rsid w:val="00615A0C"/>
    <w:rsid w:val="0061724C"/>
    <w:rsid w:val="0061765E"/>
    <w:rsid w:val="006206DF"/>
    <w:rsid w:val="00620770"/>
    <w:rsid w:val="0062078E"/>
    <w:rsid w:val="00620B39"/>
    <w:rsid w:val="006214A3"/>
    <w:rsid w:val="006215D6"/>
    <w:rsid w:val="00621EB3"/>
    <w:rsid w:val="006220AE"/>
    <w:rsid w:val="006221ED"/>
    <w:rsid w:val="0062231D"/>
    <w:rsid w:val="00623A05"/>
    <w:rsid w:val="0062419E"/>
    <w:rsid w:val="006242BA"/>
    <w:rsid w:val="006242E0"/>
    <w:rsid w:val="00624920"/>
    <w:rsid w:val="00624DE7"/>
    <w:rsid w:val="006252E8"/>
    <w:rsid w:val="00625995"/>
    <w:rsid w:val="00625C51"/>
    <w:rsid w:val="00626345"/>
    <w:rsid w:val="006267EA"/>
    <w:rsid w:val="00626D0D"/>
    <w:rsid w:val="00626DD4"/>
    <w:rsid w:val="00627A2E"/>
    <w:rsid w:val="00627B96"/>
    <w:rsid w:val="006300D7"/>
    <w:rsid w:val="006313C7"/>
    <w:rsid w:val="006318AC"/>
    <w:rsid w:val="006320CA"/>
    <w:rsid w:val="00632558"/>
    <w:rsid w:val="00632570"/>
    <w:rsid w:val="00632755"/>
    <w:rsid w:val="00633718"/>
    <w:rsid w:val="00633923"/>
    <w:rsid w:val="00633D93"/>
    <w:rsid w:val="00634D6C"/>
    <w:rsid w:val="006358D5"/>
    <w:rsid w:val="0063662F"/>
    <w:rsid w:val="00636B49"/>
    <w:rsid w:val="00637460"/>
    <w:rsid w:val="006377E1"/>
    <w:rsid w:val="0063799D"/>
    <w:rsid w:val="00640263"/>
    <w:rsid w:val="00640665"/>
    <w:rsid w:val="006407CB"/>
    <w:rsid w:val="006411E6"/>
    <w:rsid w:val="00642A54"/>
    <w:rsid w:val="0064313C"/>
    <w:rsid w:val="006435BB"/>
    <w:rsid w:val="006437DD"/>
    <w:rsid w:val="00643851"/>
    <w:rsid w:val="00644011"/>
    <w:rsid w:val="0064472F"/>
    <w:rsid w:val="00644F18"/>
    <w:rsid w:val="00645004"/>
    <w:rsid w:val="006453E7"/>
    <w:rsid w:val="006453FE"/>
    <w:rsid w:val="00645C17"/>
    <w:rsid w:val="00645D5D"/>
    <w:rsid w:val="00645F28"/>
    <w:rsid w:val="00647772"/>
    <w:rsid w:val="00650284"/>
    <w:rsid w:val="006506D7"/>
    <w:rsid w:val="0065079F"/>
    <w:rsid w:val="006518AF"/>
    <w:rsid w:val="00651971"/>
    <w:rsid w:val="00651F50"/>
    <w:rsid w:val="00652E50"/>
    <w:rsid w:val="006534DB"/>
    <w:rsid w:val="006545F6"/>
    <w:rsid w:val="00654CFB"/>
    <w:rsid w:val="00654F43"/>
    <w:rsid w:val="00655731"/>
    <w:rsid w:val="0065573C"/>
    <w:rsid w:val="0065585B"/>
    <w:rsid w:val="00655CA9"/>
    <w:rsid w:val="006567DA"/>
    <w:rsid w:val="006573D6"/>
    <w:rsid w:val="00657450"/>
    <w:rsid w:val="00657BA0"/>
    <w:rsid w:val="006600D8"/>
    <w:rsid w:val="00660558"/>
    <w:rsid w:val="00662A06"/>
    <w:rsid w:val="00663484"/>
    <w:rsid w:val="0066375F"/>
    <w:rsid w:val="006644E9"/>
    <w:rsid w:val="00664DE0"/>
    <w:rsid w:val="006659F9"/>
    <w:rsid w:val="00666693"/>
    <w:rsid w:val="00666D2D"/>
    <w:rsid w:val="00666DEB"/>
    <w:rsid w:val="00666EB8"/>
    <w:rsid w:val="006678BA"/>
    <w:rsid w:val="00670FDE"/>
    <w:rsid w:val="00671734"/>
    <w:rsid w:val="00671B24"/>
    <w:rsid w:val="006727D8"/>
    <w:rsid w:val="0067318A"/>
    <w:rsid w:val="0067330E"/>
    <w:rsid w:val="00674D02"/>
    <w:rsid w:val="006752A2"/>
    <w:rsid w:val="00675581"/>
    <w:rsid w:val="00675AF3"/>
    <w:rsid w:val="00676028"/>
    <w:rsid w:val="0067689E"/>
    <w:rsid w:val="00676FC6"/>
    <w:rsid w:val="00677684"/>
    <w:rsid w:val="006778A3"/>
    <w:rsid w:val="006778F7"/>
    <w:rsid w:val="00677F17"/>
    <w:rsid w:val="006805CB"/>
    <w:rsid w:val="006805E4"/>
    <w:rsid w:val="00680B06"/>
    <w:rsid w:val="00680F02"/>
    <w:rsid w:val="00681246"/>
    <w:rsid w:val="006814B2"/>
    <w:rsid w:val="0068167D"/>
    <w:rsid w:val="00682041"/>
    <w:rsid w:val="00682316"/>
    <w:rsid w:val="006823B9"/>
    <w:rsid w:val="006827DC"/>
    <w:rsid w:val="00682964"/>
    <w:rsid w:val="006830F3"/>
    <w:rsid w:val="006834FB"/>
    <w:rsid w:val="00683C93"/>
    <w:rsid w:val="00683F03"/>
    <w:rsid w:val="0068428D"/>
    <w:rsid w:val="006851FC"/>
    <w:rsid w:val="0068552F"/>
    <w:rsid w:val="00685A86"/>
    <w:rsid w:val="006861D3"/>
    <w:rsid w:val="00686BD2"/>
    <w:rsid w:val="00686BE7"/>
    <w:rsid w:val="00686ED9"/>
    <w:rsid w:val="00686F1C"/>
    <w:rsid w:val="006871ED"/>
    <w:rsid w:val="00687D24"/>
    <w:rsid w:val="00687DFE"/>
    <w:rsid w:val="00690433"/>
    <w:rsid w:val="006914BD"/>
    <w:rsid w:val="0069170C"/>
    <w:rsid w:val="00691837"/>
    <w:rsid w:val="006928A4"/>
    <w:rsid w:val="00692FC7"/>
    <w:rsid w:val="0069300F"/>
    <w:rsid w:val="006930E4"/>
    <w:rsid w:val="00693337"/>
    <w:rsid w:val="0069352F"/>
    <w:rsid w:val="00694752"/>
    <w:rsid w:val="00694F6A"/>
    <w:rsid w:val="0069520C"/>
    <w:rsid w:val="00695A32"/>
    <w:rsid w:val="00697C01"/>
    <w:rsid w:val="00697C3E"/>
    <w:rsid w:val="006A02BD"/>
    <w:rsid w:val="006A1567"/>
    <w:rsid w:val="006A1C74"/>
    <w:rsid w:val="006A1D45"/>
    <w:rsid w:val="006A2E69"/>
    <w:rsid w:val="006A36DE"/>
    <w:rsid w:val="006A3B93"/>
    <w:rsid w:val="006A43F6"/>
    <w:rsid w:val="006A44EC"/>
    <w:rsid w:val="006A49DA"/>
    <w:rsid w:val="006A5471"/>
    <w:rsid w:val="006A584C"/>
    <w:rsid w:val="006A5CEE"/>
    <w:rsid w:val="006A6DD4"/>
    <w:rsid w:val="006A6E05"/>
    <w:rsid w:val="006A756F"/>
    <w:rsid w:val="006A7CAF"/>
    <w:rsid w:val="006B0292"/>
    <w:rsid w:val="006B0E81"/>
    <w:rsid w:val="006B207B"/>
    <w:rsid w:val="006B27E3"/>
    <w:rsid w:val="006B2B97"/>
    <w:rsid w:val="006B2C74"/>
    <w:rsid w:val="006B2D8D"/>
    <w:rsid w:val="006B304A"/>
    <w:rsid w:val="006B3995"/>
    <w:rsid w:val="006B3E03"/>
    <w:rsid w:val="006B408D"/>
    <w:rsid w:val="006B4139"/>
    <w:rsid w:val="006B4EF8"/>
    <w:rsid w:val="006B53BE"/>
    <w:rsid w:val="006B5AAE"/>
    <w:rsid w:val="006B63A5"/>
    <w:rsid w:val="006B68C8"/>
    <w:rsid w:val="006B7554"/>
    <w:rsid w:val="006C081C"/>
    <w:rsid w:val="006C0965"/>
    <w:rsid w:val="006C2DEE"/>
    <w:rsid w:val="006C3490"/>
    <w:rsid w:val="006C361B"/>
    <w:rsid w:val="006C3DC8"/>
    <w:rsid w:val="006C3F33"/>
    <w:rsid w:val="006C3FE3"/>
    <w:rsid w:val="006C411B"/>
    <w:rsid w:val="006C45C2"/>
    <w:rsid w:val="006C4CB1"/>
    <w:rsid w:val="006C50EB"/>
    <w:rsid w:val="006C6023"/>
    <w:rsid w:val="006C6154"/>
    <w:rsid w:val="006C6C22"/>
    <w:rsid w:val="006C7325"/>
    <w:rsid w:val="006C79B3"/>
    <w:rsid w:val="006C7EE5"/>
    <w:rsid w:val="006D13B8"/>
    <w:rsid w:val="006D1840"/>
    <w:rsid w:val="006D3125"/>
    <w:rsid w:val="006D348B"/>
    <w:rsid w:val="006D357C"/>
    <w:rsid w:val="006D3673"/>
    <w:rsid w:val="006D3A7E"/>
    <w:rsid w:val="006D424A"/>
    <w:rsid w:val="006D4E4C"/>
    <w:rsid w:val="006D579E"/>
    <w:rsid w:val="006D5BB4"/>
    <w:rsid w:val="006D5C78"/>
    <w:rsid w:val="006D6127"/>
    <w:rsid w:val="006D6C87"/>
    <w:rsid w:val="006D7136"/>
    <w:rsid w:val="006D7437"/>
    <w:rsid w:val="006D7753"/>
    <w:rsid w:val="006E0B63"/>
    <w:rsid w:val="006E0F0D"/>
    <w:rsid w:val="006E1025"/>
    <w:rsid w:val="006E1127"/>
    <w:rsid w:val="006E1398"/>
    <w:rsid w:val="006E1680"/>
    <w:rsid w:val="006E22BD"/>
    <w:rsid w:val="006E2669"/>
    <w:rsid w:val="006E3297"/>
    <w:rsid w:val="006E351B"/>
    <w:rsid w:val="006E3A30"/>
    <w:rsid w:val="006E41F7"/>
    <w:rsid w:val="006E4736"/>
    <w:rsid w:val="006E48B2"/>
    <w:rsid w:val="006E5B10"/>
    <w:rsid w:val="006E765D"/>
    <w:rsid w:val="006E799B"/>
    <w:rsid w:val="006F13E6"/>
    <w:rsid w:val="006F1A34"/>
    <w:rsid w:val="006F1E22"/>
    <w:rsid w:val="006F2855"/>
    <w:rsid w:val="006F2CAF"/>
    <w:rsid w:val="006F3042"/>
    <w:rsid w:val="006F387F"/>
    <w:rsid w:val="006F3C23"/>
    <w:rsid w:val="006F3CA1"/>
    <w:rsid w:val="006F3F97"/>
    <w:rsid w:val="006F5292"/>
    <w:rsid w:val="006F553A"/>
    <w:rsid w:val="006F558C"/>
    <w:rsid w:val="006F56B5"/>
    <w:rsid w:val="006F59B7"/>
    <w:rsid w:val="006F5F8D"/>
    <w:rsid w:val="006F622D"/>
    <w:rsid w:val="006F6292"/>
    <w:rsid w:val="006F62D7"/>
    <w:rsid w:val="006F6404"/>
    <w:rsid w:val="006F6F62"/>
    <w:rsid w:val="006F79F9"/>
    <w:rsid w:val="007000B1"/>
    <w:rsid w:val="00700939"/>
    <w:rsid w:val="00701AB5"/>
    <w:rsid w:val="00701AD5"/>
    <w:rsid w:val="00701CA6"/>
    <w:rsid w:val="007024CC"/>
    <w:rsid w:val="00702561"/>
    <w:rsid w:val="007025F2"/>
    <w:rsid w:val="00702D69"/>
    <w:rsid w:val="00703CF8"/>
    <w:rsid w:val="007040B2"/>
    <w:rsid w:val="007045BB"/>
    <w:rsid w:val="0070460E"/>
    <w:rsid w:val="00704C43"/>
    <w:rsid w:val="00705B0B"/>
    <w:rsid w:val="0070673A"/>
    <w:rsid w:val="00707759"/>
    <w:rsid w:val="007107B5"/>
    <w:rsid w:val="00710B68"/>
    <w:rsid w:val="00710C0A"/>
    <w:rsid w:val="00710E09"/>
    <w:rsid w:val="007118D2"/>
    <w:rsid w:val="007119B4"/>
    <w:rsid w:val="00712899"/>
    <w:rsid w:val="00712DB4"/>
    <w:rsid w:val="00713376"/>
    <w:rsid w:val="0071384C"/>
    <w:rsid w:val="00713E56"/>
    <w:rsid w:val="00713F5F"/>
    <w:rsid w:val="0071402D"/>
    <w:rsid w:val="00714B88"/>
    <w:rsid w:val="007162EE"/>
    <w:rsid w:val="00716EA8"/>
    <w:rsid w:val="007171B4"/>
    <w:rsid w:val="00721328"/>
    <w:rsid w:val="00721A6D"/>
    <w:rsid w:val="00721FAE"/>
    <w:rsid w:val="007221EF"/>
    <w:rsid w:val="007223B9"/>
    <w:rsid w:val="0072376E"/>
    <w:rsid w:val="00723F1A"/>
    <w:rsid w:val="0072411D"/>
    <w:rsid w:val="0072413B"/>
    <w:rsid w:val="0072498D"/>
    <w:rsid w:val="00724A22"/>
    <w:rsid w:val="00725301"/>
    <w:rsid w:val="007254AC"/>
    <w:rsid w:val="00725A75"/>
    <w:rsid w:val="00726520"/>
    <w:rsid w:val="0072658E"/>
    <w:rsid w:val="00726BE1"/>
    <w:rsid w:val="00726F31"/>
    <w:rsid w:val="00727422"/>
    <w:rsid w:val="00727BCA"/>
    <w:rsid w:val="00727BF3"/>
    <w:rsid w:val="00727C3C"/>
    <w:rsid w:val="00730876"/>
    <w:rsid w:val="0073217F"/>
    <w:rsid w:val="00732375"/>
    <w:rsid w:val="0073239D"/>
    <w:rsid w:val="0073250F"/>
    <w:rsid w:val="0073287E"/>
    <w:rsid w:val="00732D3F"/>
    <w:rsid w:val="00733904"/>
    <w:rsid w:val="0073399E"/>
    <w:rsid w:val="00733DE0"/>
    <w:rsid w:val="00733E30"/>
    <w:rsid w:val="00734AFF"/>
    <w:rsid w:val="007355D6"/>
    <w:rsid w:val="0073593B"/>
    <w:rsid w:val="00735E98"/>
    <w:rsid w:val="0073688A"/>
    <w:rsid w:val="007370DA"/>
    <w:rsid w:val="00737A9E"/>
    <w:rsid w:val="00737D62"/>
    <w:rsid w:val="0074164C"/>
    <w:rsid w:val="007416C2"/>
    <w:rsid w:val="00741E2F"/>
    <w:rsid w:val="00742C59"/>
    <w:rsid w:val="00742D43"/>
    <w:rsid w:val="00743597"/>
    <w:rsid w:val="0074372C"/>
    <w:rsid w:val="00743F76"/>
    <w:rsid w:val="007446C6"/>
    <w:rsid w:val="007451D8"/>
    <w:rsid w:val="0074523A"/>
    <w:rsid w:val="00745474"/>
    <w:rsid w:val="00745A83"/>
    <w:rsid w:val="00745E12"/>
    <w:rsid w:val="00746FC5"/>
    <w:rsid w:val="00747625"/>
    <w:rsid w:val="00747738"/>
    <w:rsid w:val="007479D4"/>
    <w:rsid w:val="007506DC"/>
    <w:rsid w:val="00750B71"/>
    <w:rsid w:val="00750D18"/>
    <w:rsid w:val="00750DCF"/>
    <w:rsid w:val="00753596"/>
    <w:rsid w:val="00753742"/>
    <w:rsid w:val="00753C2D"/>
    <w:rsid w:val="00753F34"/>
    <w:rsid w:val="0075418F"/>
    <w:rsid w:val="007548CD"/>
    <w:rsid w:val="00754BA1"/>
    <w:rsid w:val="00754BCB"/>
    <w:rsid w:val="00754D3B"/>
    <w:rsid w:val="007555A2"/>
    <w:rsid w:val="00755991"/>
    <w:rsid w:val="00756124"/>
    <w:rsid w:val="00757951"/>
    <w:rsid w:val="00757A1F"/>
    <w:rsid w:val="00757B62"/>
    <w:rsid w:val="0076018C"/>
    <w:rsid w:val="0076071D"/>
    <w:rsid w:val="00760C29"/>
    <w:rsid w:val="00760FFA"/>
    <w:rsid w:val="007617F5"/>
    <w:rsid w:val="0076289A"/>
    <w:rsid w:val="007635BB"/>
    <w:rsid w:val="00764217"/>
    <w:rsid w:val="00764C3F"/>
    <w:rsid w:val="00764EC7"/>
    <w:rsid w:val="0076512C"/>
    <w:rsid w:val="007657C1"/>
    <w:rsid w:val="007659C7"/>
    <w:rsid w:val="00765A74"/>
    <w:rsid w:val="00766459"/>
    <w:rsid w:val="007664CC"/>
    <w:rsid w:val="00767BAF"/>
    <w:rsid w:val="0077030B"/>
    <w:rsid w:val="00770BFC"/>
    <w:rsid w:val="00771967"/>
    <w:rsid w:val="00771997"/>
    <w:rsid w:val="00771EBE"/>
    <w:rsid w:val="007730F6"/>
    <w:rsid w:val="007737BE"/>
    <w:rsid w:val="007742F6"/>
    <w:rsid w:val="007744F3"/>
    <w:rsid w:val="00774FE6"/>
    <w:rsid w:val="007751F8"/>
    <w:rsid w:val="00775B8D"/>
    <w:rsid w:val="00776B14"/>
    <w:rsid w:val="00776D41"/>
    <w:rsid w:val="00777721"/>
    <w:rsid w:val="007810B7"/>
    <w:rsid w:val="0078156E"/>
    <w:rsid w:val="00781D1E"/>
    <w:rsid w:val="00783402"/>
    <w:rsid w:val="007840E0"/>
    <w:rsid w:val="00784B0C"/>
    <w:rsid w:val="00784F1D"/>
    <w:rsid w:val="007850E9"/>
    <w:rsid w:val="00785CB7"/>
    <w:rsid w:val="007860D5"/>
    <w:rsid w:val="007865C3"/>
    <w:rsid w:val="00786A28"/>
    <w:rsid w:val="00790324"/>
    <w:rsid w:val="00791ECC"/>
    <w:rsid w:val="00792036"/>
    <w:rsid w:val="00792AD5"/>
    <w:rsid w:val="00793F11"/>
    <w:rsid w:val="0079407A"/>
    <w:rsid w:val="007947B5"/>
    <w:rsid w:val="00794907"/>
    <w:rsid w:val="00796C77"/>
    <w:rsid w:val="00796CB4"/>
    <w:rsid w:val="007A0000"/>
    <w:rsid w:val="007A0013"/>
    <w:rsid w:val="007A02F2"/>
    <w:rsid w:val="007A0499"/>
    <w:rsid w:val="007A18BB"/>
    <w:rsid w:val="007A1FBB"/>
    <w:rsid w:val="007A2AA4"/>
    <w:rsid w:val="007A2D85"/>
    <w:rsid w:val="007A2F15"/>
    <w:rsid w:val="007A3207"/>
    <w:rsid w:val="007A3310"/>
    <w:rsid w:val="007A3E75"/>
    <w:rsid w:val="007A45F3"/>
    <w:rsid w:val="007A6A42"/>
    <w:rsid w:val="007A6C74"/>
    <w:rsid w:val="007A7186"/>
    <w:rsid w:val="007B0E45"/>
    <w:rsid w:val="007B1428"/>
    <w:rsid w:val="007B2B72"/>
    <w:rsid w:val="007B4350"/>
    <w:rsid w:val="007B5504"/>
    <w:rsid w:val="007B5B33"/>
    <w:rsid w:val="007B6499"/>
    <w:rsid w:val="007B6662"/>
    <w:rsid w:val="007B67C8"/>
    <w:rsid w:val="007B79A0"/>
    <w:rsid w:val="007B7E43"/>
    <w:rsid w:val="007C0760"/>
    <w:rsid w:val="007C123B"/>
    <w:rsid w:val="007C12CE"/>
    <w:rsid w:val="007C150A"/>
    <w:rsid w:val="007C2599"/>
    <w:rsid w:val="007C27F7"/>
    <w:rsid w:val="007C330F"/>
    <w:rsid w:val="007C5611"/>
    <w:rsid w:val="007C5D67"/>
    <w:rsid w:val="007C5F84"/>
    <w:rsid w:val="007C6E94"/>
    <w:rsid w:val="007D1527"/>
    <w:rsid w:val="007D1697"/>
    <w:rsid w:val="007D286F"/>
    <w:rsid w:val="007D2F10"/>
    <w:rsid w:val="007D5BCE"/>
    <w:rsid w:val="007D5E6F"/>
    <w:rsid w:val="007D6029"/>
    <w:rsid w:val="007D656F"/>
    <w:rsid w:val="007D730A"/>
    <w:rsid w:val="007D76F3"/>
    <w:rsid w:val="007D7D0F"/>
    <w:rsid w:val="007E0050"/>
    <w:rsid w:val="007E01F1"/>
    <w:rsid w:val="007E1047"/>
    <w:rsid w:val="007E1211"/>
    <w:rsid w:val="007E139D"/>
    <w:rsid w:val="007E13C8"/>
    <w:rsid w:val="007E1F9F"/>
    <w:rsid w:val="007E245D"/>
    <w:rsid w:val="007E2D52"/>
    <w:rsid w:val="007E3066"/>
    <w:rsid w:val="007E3A30"/>
    <w:rsid w:val="007E41A9"/>
    <w:rsid w:val="007E4547"/>
    <w:rsid w:val="007E519F"/>
    <w:rsid w:val="007E5313"/>
    <w:rsid w:val="007E5830"/>
    <w:rsid w:val="007E5E79"/>
    <w:rsid w:val="007E7118"/>
    <w:rsid w:val="007E7CF7"/>
    <w:rsid w:val="007F077B"/>
    <w:rsid w:val="007F0B39"/>
    <w:rsid w:val="007F2756"/>
    <w:rsid w:val="007F2C54"/>
    <w:rsid w:val="007F2D00"/>
    <w:rsid w:val="007F32FA"/>
    <w:rsid w:val="007F38BF"/>
    <w:rsid w:val="007F3BAD"/>
    <w:rsid w:val="007F3F49"/>
    <w:rsid w:val="007F3FE9"/>
    <w:rsid w:val="007F4359"/>
    <w:rsid w:val="007F4391"/>
    <w:rsid w:val="007F453F"/>
    <w:rsid w:val="007F6669"/>
    <w:rsid w:val="007F6772"/>
    <w:rsid w:val="007F724C"/>
    <w:rsid w:val="007F75C2"/>
    <w:rsid w:val="007F7974"/>
    <w:rsid w:val="007F7A1A"/>
    <w:rsid w:val="00800501"/>
    <w:rsid w:val="00800610"/>
    <w:rsid w:val="00800C2F"/>
    <w:rsid w:val="0080249D"/>
    <w:rsid w:val="00802B0C"/>
    <w:rsid w:val="00802D6E"/>
    <w:rsid w:val="0080366F"/>
    <w:rsid w:val="00803988"/>
    <w:rsid w:val="00803B6A"/>
    <w:rsid w:val="00803BC5"/>
    <w:rsid w:val="00803C06"/>
    <w:rsid w:val="00803CBC"/>
    <w:rsid w:val="00803CCC"/>
    <w:rsid w:val="00804197"/>
    <w:rsid w:val="008048D6"/>
    <w:rsid w:val="00804F5D"/>
    <w:rsid w:val="008055DA"/>
    <w:rsid w:val="00805C78"/>
    <w:rsid w:val="00806000"/>
    <w:rsid w:val="0080603F"/>
    <w:rsid w:val="00806AB5"/>
    <w:rsid w:val="00806D76"/>
    <w:rsid w:val="00806E26"/>
    <w:rsid w:val="00807128"/>
    <w:rsid w:val="00807463"/>
    <w:rsid w:val="00807719"/>
    <w:rsid w:val="00807840"/>
    <w:rsid w:val="00807A14"/>
    <w:rsid w:val="00807A17"/>
    <w:rsid w:val="0081010B"/>
    <w:rsid w:val="00810614"/>
    <w:rsid w:val="008106B1"/>
    <w:rsid w:val="00810852"/>
    <w:rsid w:val="008109A4"/>
    <w:rsid w:val="00811440"/>
    <w:rsid w:val="0081272C"/>
    <w:rsid w:val="00812F2B"/>
    <w:rsid w:val="0081317B"/>
    <w:rsid w:val="00813539"/>
    <w:rsid w:val="008153B8"/>
    <w:rsid w:val="008156E6"/>
    <w:rsid w:val="008162E7"/>
    <w:rsid w:val="008171EA"/>
    <w:rsid w:val="00817CB5"/>
    <w:rsid w:val="008200BD"/>
    <w:rsid w:val="00820822"/>
    <w:rsid w:val="00820B40"/>
    <w:rsid w:val="00820C12"/>
    <w:rsid w:val="00820E42"/>
    <w:rsid w:val="00821B49"/>
    <w:rsid w:val="00821BF6"/>
    <w:rsid w:val="00822C5D"/>
    <w:rsid w:val="008242E4"/>
    <w:rsid w:val="008243B1"/>
    <w:rsid w:val="008246BC"/>
    <w:rsid w:val="008254EF"/>
    <w:rsid w:val="00825579"/>
    <w:rsid w:val="00825DC5"/>
    <w:rsid w:val="0082619B"/>
    <w:rsid w:val="008264B9"/>
    <w:rsid w:val="00826BF6"/>
    <w:rsid w:val="008274C9"/>
    <w:rsid w:val="0082765E"/>
    <w:rsid w:val="00827EB0"/>
    <w:rsid w:val="008300B9"/>
    <w:rsid w:val="00830D08"/>
    <w:rsid w:val="00831AE1"/>
    <w:rsid w:val="008326A1"/>
    <w:rsid w:val="00832BAC"/>
    <w:rsid w:val="00833DC0"/>
    <w:rsid w:val="00834003"/>
    <w:rsid w:val="008341E5"/>
    <w:rsid w:val="00835CD4"/>
    <w:rsid w:val="008369E6"/>
    <w:rsid w:val="00836AD3"/>
    <w:rsid w:val="008374B3"/>
    <w:rsid w:val="008409B5"/>
    <w:rsid w:val="00840B7E"/>
    <w:rsid w:val="00840E52"/>
    <w:rsid w:val="00841327"/>
    <w:rsid w:val="00841568"/>
    <w:rsid w:val="00842B51"/>
    <w:rsid w:val="00842E21"/>
    <w:rsid w:val="00842F2E"/>
    <w:rsid w:val="0084304A"/>
    <w:rsid w:val="00843201"/>
    <w:rsid w:val="00843BCC"/>
    <w:rsid w:val="00844355"/>
    <w:rsid w:val="00844578"/>
    <w:rsid w:val="00844E81"/>
    <w:rsid w:val="00845624"/>
    <w:rsid w:val="00845692"/>
    <w:rsid w:val="00845CEA"/>
    <w:rsid w:val="008461C5"/>
    <w:rsid w:val="008468AA"/>
    <w:rsid w:val="00846AC1"/>
    <w:rsid w:val="00846ACF"/>
    <w:rsid w:val="00846C14"/>
    <w:rsid w:val="008474F8"/>
    <w:rsid w:val="00847977"/>
    <w:rsid w:val="00850E47"/>
    <w:rsid w:val="0085195F"/>
    <w:rsid w:val="00851C1D"/>
    <w:rsid w:val="00852C36"/>
    <w:rsid w:val="0085318D"/>
    <w:rsid w:val="0085344A"/>
    <w:rsid w:val="00853E74"/>
    <w:rsid w:val="00853F74"/>
    <w:rsid w:val="0085450C"/>
    <w:rsid w:val="00854587"/>
    <w:rsid w:val="00854853"/>
    <w:rsid w:val="00855B66"/>
    <w:rsid w:val="00856381"/>
    <w:rsid w:val="008563D8"/>
    <w:rsid w:val="0085646C"/>
    <w:rsid w:val="00860EDB"/>
    <w:rsid w:val="008616FC"/>
    <w:rsid w:val="00862B1E"/>
    <w:rsid w:val="00863419"/>
    <w:rsid w:val="00863569"/>
    <w:rsid w:val="00863E15"/>
    <w:rsid w:val="0086464A"/>
    <w:rsid w:val="00864D60"/>
    <w:rsid w:val="00865592"/>
    <w:rsid w:val="008655C7"/>
    <w:rsid w:val="008658BF"/>
    <w:rsid w:val="00866CB3"/>
    <w:rsid w:val="008672A2"/>
    <w:rsid w:val="00871D1B"/>
    <w:rsid w:val="00872014"/>
    <w:rsid w:val="008720E9"/>
    <w:rsid w:val="00872247"/>
    <w:rsid w:val="00872CBB"/>
    <w:rsid w:val="00872F0F"/>
    <w:rsid w:val="00872FAC"/>
    <w:rsid w:val="00873E4C"/>
    <w:rsid w:val="00873E60"/>
    <w:rsid w:val="00873ED1"/>
    <w:rsid w:val="008744DE"/>
    <w:rsid w:val="00874B01"/>
    <w:rsid w:val="008751AA"/>
    <w:rsid w:val="00875246"/>
    <w:rsid w:val="00875CC7"/>
    <w:rsid w:val="00876D22"/>
    <w:rsid w:val="00876DE5"/>
    <w:rsid w:val="008818B2"/>
    <w:rsid w:val="00882207"/>
    <w:rsid w:val="00882873"/>
    <w:rsid w:val="00883405"/>
    <w:rsid w:val="00883D6C"/>
    <w:rsid w:val="00884BE0"/>
    <w:rsid w:val="00884F8B"/>
    <w:rsid w:val="00886073"/>
    <w:rsid w:val="0088623A"/>
    <w:rsid w:val="00886417"/>
    <w:rsid w:val="00886C2F"/>
    <w:rsid w:val="00886C60"/>
    <w:rsid w:val="008873A4"/>
    <w:rsid w:val="008879FA"/>
    <w:rsid w:val="00887FC3"/>
    <w:rsid w:val="008904E6"/>
    <w:rsid w:val="008909FB"/>
    <w:rsid w:val="008915BB"/>
    <w:rsid w:val="008915FD"/>
    <w:rsid w:val="00892026"/>
    <w:rsid w:val="008922C2"/>
    <w:rsid w:val="00893260"/>
    <w:rsid w:val="008935EA"/>
    <w:rsid w:val="00893854"/>
    <w:rsid w:val="0089405E"/>
    <w:rsid w:val="008947EF"/>
    <w:rsid w:val="00895C81"/>
    <w:rsid w:val="00895D84"/>
    <w:rsid w:val="00896132"/>
    <w:rsid w:val="0089618B"/>
    <w:rsid w:val="0089620A"/>
    <w:rsid w:val="008968CA"/>
    <w:rsid w:val="0089692E"/>
    <w:rsid w:val="00896E9E"/>
    <w:rsid w:val="00897E2C"/>
    <w:rsid w:val="008A0815"/>
    <w:rsid w:val="008A0AE3"/>
    <w:rsid w:val="008A0D47"/>
    <w:rsid w:val="008A0EA7"/>
    <w:rsid w:val="008A12D6"/>
    <w:rsid w:val="008A17A4"/>
    <w:rsid w:val="008A18A6"/>
    <w:rsid w:val="008A211F"/>
    <w:rsid w:val="008A2892"/>
    <w:rsid w:val="008A2DFC"/>
    <w:rsid w:val="008A420A"/>
    <w:rsid w:val="008A44FE"/>
    <w:rsid w:val="008A4539"/>
    <w:rsid w:val="008A4A73"/>
    <w:rsid w:val="008A4B71"/>
    <w:rsid w:val="008A4D64"/>
    <w:rsid w:val="008A4F45"/>
    <w:rsid w:val="008A4FAE"/>
    <w:rsid w:val="008A509B"/>
    <w:rsid w:val="008A57B3"/>
    <w:rsid w:val="008A659E"/>
    <w:rsid w:val="008A70B7"/>
    <w:rsid w:val="008A7668"/>
    <w:rsid w:val="008A7E4E"/>
    <w:rsid w:val="008A7EA8"/>
    <w:rsid w:val="008B02D3"/>
    <w:rsid w:val="008B0373"/>
    <w:rsid w:val="008B1092"/>
    <w:rsid w:val="008B127F"/>
    <w:rsid w:val="008B2224"/>
    <w:rsid w:val="008B3BFD"/>
    <w:rsid w:val="008B4781"/>
    <w:rsid w:val="008B4A16"/>
    <w:rsid w:val="008B5004"/>
    <w:rsid w:val="008B5600"/>
    <w:rsid w:val="008B5D36"/>
    <w:rsid w:val="008B6D9C"/>
    <w:rsid w:val="008C0AA8"/>
    <w:rsid w:val="008C10BD"/>
    <w:rsid w:val="008C184B"/>
    <w:rsid w:val="008C3CE7"/>
    <w:rsid w:val="008C3FDF"/>
    <w:rsid w:val="008C5648"/>
    <w:rsid w:val="008C5CBE"/>
    <w:rsid w:val="008C7715"/>
    <w:rsid w:val="008D065A"/>
    <w:rsid w:val="008D0E26"/>
    <w:rsid w:val="008D12B0"/>
    <w:rsid w:val="008D1BE5"/>
    <w:rsid w:val="008D21D5"/>
    <w:rsid w:val="008D4130"/>
    <w:rsid w:val="008D4216"/>
    <w:rsid w:val="008D46FA"/>
    <w:rsid w:val="008D4CF5"/>
    <w:rsid w:val="008D5973"/>
    <w:rsid w:val="008D5B64"/>
    <w:rsid w:val="008D7DB8"/>
    <w:rsid w:val="008E05A0"/>
    <w:rsid w:val="008E0F52"/>
    <w:rsid w:val="008E10C7"/>
    <w:rsid w:val="008E12D1"/>
    <w:rsid w:val="008E2DD4"/>
    <w:rsid w:val="008E399D"/>
    <w:rsid w:val="008E3EAD"/>
    <w:rsid w:val="008E3EB0"/>
    <w:rsid w:val="008E46D1"/>
    <w:rsid w:val="008E48B5"/>
    <w:rsid w:val="008E4C41"/>
    <w:rsid w:val="008E62A5"/>
    <w:rsid w:val="008E68B2"/>
    <w:rsid w:val="008E6DE3"/>
    <w:rsid w:val="008E71BB"/>
    <w:rsid w:val="008E73D6"/>
    <w:rsid w:val="008E745A"/>
    <w:rsid w:val="008E77F6"/>
    <w:rsid w:val="008E781C"/>
    <w:rsid w:val="008E7D97"/>
    <w:rsid w:val="008E7E71"/>
    <w:rsid w:val="008E7EAC"/>
    <w:rsid w:val="008F003E"/>
    <w:rsid w:val="008F09AB"/>
    <w:rsid w:val="008F11DB"/>
    <w:rsid w:val="008F12C0"/>
    <w:rsid w:val="008F13A4"/>
    <w:rsid w:val="008F18EA"/>
    <w:rsid w:val="008F1E21"/>
    <w:rsid w:val="008F1EA9"/>
    <w:rsid w:val="008F206D"/>
    <w:rsid w:val="008F33D4"/>
    <w:rsid w:val="008F3696"/>
    <w:rsid w:val="008F395D"/>
    <w:rsid w:val="008F59A6"/>
    <w:rsid w:val="008F6063"/>
    <w:rsid w:val="008F7309"/>
    <w:rsid w:val="008F7982"/>
    <w:rsid w:val="008F79E8"/>
    <w:rsid w:val="00900067"/>
    <w:rsid w:val="009006C4"/>
    <w:rsid w:val="00900709"/>
    <w:rsid w:val="00900A8E"/>
    <w:rsid w:val="009017FC"/>
    <w:rsid w:val="009018A7"/>
    <w:rsid w:val="00901911"/>
    <w:rsid w:val="00901948"/>
    <w:rsid w:val="00902498"/>
    <w:rsid w:val="00902D37"/>
    <w:rsid w:val="00902E01"/>
    <w:rsid w:val="00902E19"/>
    <w:rsid w:val="00904B4A"/>
    <w:rsid w:val="0090548D"/>
    <w:rsid w:val="00905900"/>
    <w:rsid w:val="00905B37"/>
    <w:rsid w:val="0090600E"/>
    <w:rsid w:val="00906468"/>
    <w:rsid w:val="00907206"/>
    <w:rsid w:val="00907823"/>
    <w:rsid w:val="009079CB"/>
    <w:rsid w:val="00907B13"/>
    <w:rsid w:val="00907C45"/>
    <w:rsid w:val="00910045"/>
    <w:rsid w:val="00910C05"/>
    <w:rsid w:val="00911514"/>
    <w:rsid w:val="00911FD8"/>
    <w:rsid w:val="00913504"/>
    <w:rsid w:val="00913F84"/>
    <w:rsid w:val="009141B9"/>
    <w:rsid w:val="009148A1"/>
    <w:rsid w:val="00914BEC"/>
    <w:rsid w:val="0091587F"/>
    <w:rsid w:val="00915A5F"/>
    <w:rsid w:val="00915B2B"/>
    <w:rsid w:val="00916A3F"/>
    <w:rsid w:val="00916DC3"/>
    <w:rsid w:val="00916F18"/>
    <w:rsid w:val="00917B36"/>
    <w:rsid w:val="009204C2"/>
    <w:rsid w:val="009206BA"/>
    <w:rsid w:val="009214A2"/>
    <w:rsid w:val="009216D4"/>
    <w:rsid w:val="009216E5"/>
    <w:rsid w:val="00922126"/>
    <w:rsid w:val="00922193"/>
    <w:rsid w:val="00922285"/>
    <w:rsid w:val="0092257E"/>
    <w:rsid w:val="00922B71"/>
    <w:rsid w:val="009232AE"/>
    <w:rsid w:val="00923BBE"/>
    <w:rsid w:val="00925018"/>
    <w:rsid w:val="00925494"/>
    <w:rsid w:val="00925524"/>
    <w:rsid w:val="00925A7A"/>
    <w:rsid w:val="00926008"/>
    <w:rsid w:val="00926C43"/>
    <w:rsid w:val="009272ED"/>
    <w:rsid w:val="00927F00"/>
    <w:rsid w:val="00930549"/>
    <w:rsid w:val="0093142F"/>
    <w:rsid w:val="00932A6F"/>
    <w:rsid w:val="0093469E"/>
    <w:rsid w:val="00934F09"/>
    <w:rsid w:val="00935245"/>
    <w:rsid w:val="00935458"/>
    <w:rsid w:val="00935722"/>
    <w:rsid w:val="00935C9A"/>
    <w:rsid w:val="00936846"/>
    <w:rsid w:val="0094113E"/>
    <w:rsid w:val="009419B3"/>
    <w:rsid w:val="00941A8B"/>
    <w:rsid w:val="00942E33"/>
    <w:rsid w:val="0094337A"/>
    <w:rsid w:val="009433FE"/>
    <w:rsid w:val="0094478A"/>
    <w:rsid w:val="00944B4B"/>
    <w:rsid w:val="00945233"/>
    <w:rsid w:val="00951D36"/>
    <w:rsid w:val="00951FB5"/>
    <w:rsid w:val="00952141"/>
    <w:rsid w:val="009526B1"/>
    <w:rsid w:val="00952A91"/>
    <w:rsid w:val="00952C63"/>
    <w:rsid w:val="00953465"/>
    <w:rsid w:val="00954413"/>
    <w:rsid w:val="0095481F"/>
    <w:rsid w:val="00954B85"/>
    <w:rsid w:val="00954F7D"/>
    <w:rsid w:val="00955418"/>
    <w:rsid w:val="00956425"/>
    <w:rsid w:val="00956BD1"/>
    <w:rsid w:val="0095713C"/>
    <w:rsid w:val="00960334"/>
    <w:rsid w:val="00960F0C"/>
    <w:rsid w:val="00961166"/>
    <w:rsid w:val="00961286"/>
    <w:rsid w:val="009612EA"/>
    <w:rsid w:val="00961B64"/>
    <w:rsid w:val="00961D94"/>
    <w:rsid w:val="00962AE6"/>
    <w:rsid w:val="00963742"/>
    <w:rsid w:val="009639F5"/>
    <w:rsid w:val="00964492"/>
    <w:rsid w:val="0096454C"/>
    <w:rsid w:val="009647CD"/>
    <w:rsid w:val="0096483A"/>
    <w:rsid w:val="0096568A"/>
    <w:rsid w:val="0096586A"/>
    <w:rsid w:val="009658E6"/>
    <w:rsid w:val="00965997"/>
    <w:rsid w:val="009661BE"/>
    <w:rsid w:val="0096638E"/>
    <w:rsid w:val="0096650B"/>
    <w:rsid w:val="00967DE8"/>
    <w:rsid w:val="00967E0F"/>
    <w:rsid w:val="00970C1C"/>
    <w:rsid w:val="009717CA"/>
    <w:rsid w:val="00972A70"/>
    <w:rsid w:val="00973280"/>
    <w:rsid w:val="0097358D"/>
    <w:rsid w:val="00974FC8"/>
    <w:rsid w:val="009753DC"/>
    <w:rsid w:val="00975E9B"/>
    <w:rsid w:val="00977E1C"/>
    <w:rsid w:val="009801F4"/>
    <w:rsid w:val="009803EC"/>
    <w:rsid w:val="00980BDC"/>
    <w:rsid w:val="00980C88"/>
    <w:rsid w:val="009816EC"/>
    <w:rsid w:val="00981826"/>
    <w:rsid w:val="00982709"/>
    <w:rsid w:val="0098303B"/>
    <w:rsid w:val="009832C3"/>
    <w:rsid w:val="00983431"/>
    <w:rsid w:val="009834F6"/>
    <w:rsid w:val="00983AD3"/>
    <w:rsid w:val="00983C78"/>
    <w:rsid w:val="00983F59"/>
    <w:rsid w:val="009848D4"/>
    <w:rsid w:val="00984940"/>
    <w:rsid w:val="00984C8B"/>
    <w:rsid w:val="00984DF7"/>
    <w:rsid w:val="0098564C"/>
    <w:rsid w:val="009858B7"/>
    <w:rsid w:val="00986337"/>
    <w:rsid w:val="00986DEF"/>
    <w:rsid w:val="00986FC9"/>
    <w:rsid w:val="0098760B"/>
    <w:rsid w:val="00987AD6"/>
    <w:rsid w:val="00987BCB"/>
    <w:rsid w:val="00990597"/>
    <w:rsid w:val="0099094D"/>
    <w:rsid w:val="00990D99"/>
    <w:rsid w:val="00991721"/>
    <w:rsid w:val="00991EDA"/>
    <w:rsid w:val="00991F30"/>
    <w:rsid w:val="00992176"/>
    <w:rsid w:val="009924BF"/>
    <w:rsid w:val="009925A2"/>
    <w:rsid w:val="009928D9"/>
    <w:rsid w:val="00993213"/>
    <w:rsid w:val="0099334E"/>
    <w:rsid w:val="00993D52"/>
    <w:rsid w:val="0099427C"/>
    <w:rsid w:val="00994B67"/>
    <w:rsid w:val="00995D1E"/>
    <w:rsid w:val="00996892"/>
    <w:rsid w:val="009A1423"/>
    <w:rsid w:val="009A17E1"/>
    <w:rsid w:val="009A18CB"/>
    <w:rsid w:val="009A2527"/>
    <w:rsid w:val="009A26CE"/>
    <w:rsid w:val="009A2951"/>
    <w:rsid w:val="009A2D73"/>
    <w:rsid w:val="009A2DCB"/>
    <w:rsid w:val="009A2EA9"/>
    <w:rsid w:val="009A33FA"/>
    <w:rsid w:val="009A405D"/>
    <w:rsid w:val="009A417B"/>
    <w:rsid w:val="009A4406"/>
    <w:rsid w:val="009A4518"/>
    <w:rsid w:val="009A4B67"/>
    <w:rsid w:val="009A51EA"/>
    <w:rsid w:val="009A5DCD"/>
    <w:rsid w:val="009A6052"/>
    <w:rsid w:val="009A6481"/>
    <w:rsid w:val="009A7432"/>
    <w:rsid w:val="009A7A76"/>
    <w:rsid w:val="009A7BEA"/>
    <w:rsid w:val="009B0B65"/>
    <w:rsid w:val="009B0E50"/>
    <w:rsid w:val="009B119A"/>
    <w:rsid w:val="009B16BE"/>
    <w:rsid w:val="009B1700"/>
    <w:rsid w:val="009B18FE"/>
    <w:rsid w:val="009B19BC"/>
    <w:rsid w:val="009B1C84"/>
    <w:rsid w:val="009B1D5A"/>
    <w:rsid w:val="009B1FE2"/>
    <w:rsid w:val="009B2872"/>
    <w:rsid w:val="009B2AA1"/>
    <w:rsid w:val="009B2D17"/>
    <w:rsid w:val="009B4896"/>
    <w:rsid w:val="009B5237"/>
    <w:rsid w:val="009B6E30"/>
    <w:rsid w:val="009B6ED1"/>
    <w:rsid w:val="009B6FE8"/>
    <w:rsid w:val="009B707D"/>
    <w:rsid w:val="009B7BD8"/>
    <w:rsid w:val="009B7EC0"/>
    <w:rsid w:val="009C0552"/>
    <w:rsid w:val="009C14FA"/>
    <w:rsid w:val="009C194E"/>
    <w:rsid w:val="009C20B4"/>
    <w:rsid w:val="009C2910"/>
    <w:rsid w:val="009C2C41"/>
    <w:rsid w:val="009C2E12"/>
    <w:rsid w:val="009C42B2"/>
    <w:rsid w:val="009C5937"/>
    <w:rsid w:val="009C5BD7"/>
    <w:rsid w:val="009C67D4"/>
    <w:rsid w:val="009C73D9"/>
    <w:rsid w:val="009D03BF"/>
    <w:rsid w:val="009D0AC2"/>
    <w:rsid w:val="009D0D10"/>
    <w:rsid w:val="009D0DC6"/>
    <w:rsid w:val="009D10C0"/>
    <w:rsid w:val="009D13F5"/>
    <w:rsid w:val="009D1B92"/>
    <w:rsid w:val="009D1D5C"/>
    <w:rsid w:val="009D1E8A"/>
    <w:rsid w:val="009D2007"/>
    <w:rsid w:val="009D2785"/>
    <w:rsid w:val="009D2D85"/>
    <w:rsid w:val="009D3EFB"/>
    <w:rsid w:val="009D4528"/>
    <w:rsid w:val="009D4811"/>
    <w:rsid w:val="009D5F90"/>
    <w:rsid w:val="009D6E26"/>
    <w:rsid w:val="009D7263"/>
    <w:rsid w:val="009D7298"/>
    <w:rsid w:val="009D73D6"/>
    <w:rsid w:val="009D7E56"/>
    <w:rsid w:val="009E07DB"/>
    <w:rsid w:val="009E159D"/>
    <w:rsid w:val="009E1BAB"/>
    <w:rsid w:val="009E263B"/>
    <w:rsid w:val="009E2788"/>
    <w:rsid w:val="009E3240"/>
    <w:rsid w:val="009E3C83"/>
    <w:rsid w:val="009E3D8E"/>
    <w:rsid w:val="009E4612"/>
    <w:rsid w:val="009E4E6A"/>
    <w:rsid w:val="009E4FF8"/>
    <w:rsid w:val="009E532E"/>
    <w:rsid w:val="009E53C1"/>
    <w:rsid w:val="009E53EB"/>
    <w:rsid w:val="009E6D11"/>
    <w:rsid w:val="009F1AE6"/>
    <w:rsid w:val="009F2893"/>
    <w:rsid w:val="009F29EF"/>
    <w:rsid w:val="009F34E9"/>
    <w:rsid w:val="009F493B"/>
    <w:rsid w:val="009F5211"/>
    <w:rsid w:val="009F53CC"/>
    <w:rsid w:val="009F544C"/>
    <w:rsid w:val="009F5D49"/>
    <w:rsid w:val="009F6012"/>
    <w:rsid w:val="009F6339"/>
    <w:rsid w:val="009F6B86"/>
    <w:rsid w:val="009F7166"/>
    <w:rsid w:val="009F782A"/>
    <w:rsid w:val="00A005F0"/>
    <w:rsid w:val="00A00750"/>
    <w:rsid w:val="00A0075B"/>
    <w:rsid w:val="00A009F6"/>
    <w:rsid w:val="00A00CB6"/>
    <w:rsid w:val="00A010A0"/>
    <w:rsid w:val="00A0125B"/>
    <w:rsid w:val="00A01323"/>
    <w:rsid w:val="00A0251F"/>
    <w:rsid w:val="00A0254C"/>
    <w:rsid w:val="00A0284B"/>
    <w:rsid w:val="00A028E3"/>
    <w:rsid w:val="00A02BC3"/>
    <w:rsid w:val="00A030F3"/>
    <w:rsid w:val="00A0351C"/>
    <w:rsid w:val="00A0415E"/>
    <w:rsid w:val="00A0429F"/>
    <w:rsid w:val="00A043F6"/>
    <w:rsid w:val="00A04A6A"/>
    <w:rsid w:val="00A0519C"/>
    <w:rsid w:val="00A05B75"/>
    <w:rsid w:val="00A05DFA"/>
    <w:rsid w:val="00A0638C"/>
    <w:rsid w:val="00A069A2"/>
    <w:rsid w:val="00A06CD2"/>
    <w:rsid w:val="00A072B7"/>
    <w:rsid w:val="00A07583"/>
    <w:rsid w:val="00A10134"/>
    <w:rsid w:val="00A11609"/>
    <w:rsid w:val="00A117B2"/>
    <w:rsid w:val="00A11FD6"/>
    <w:rsid w:val="00A12F7A"/>
    <w:rsid w:val="00A132A3"/>
    <w:rsid w:val="00A13B86"/>
    <w:rsid w:val="00A14886"/>
    <w:rsid w:val="00A14CB2"/>
    <w:rsid w:val="00A14D93"/>
    <w:rsid w:val="00A14F63"/>
    <w:rsid w:val="00A155B9"/>
    <w:rsid w:val="00A15676"/>
    <w:rsid w:val="00A16234"/>
    <w:rsid w:val="00A16CA5"/>
    <w:rsid w:val="00A17132"/>
    <w:rsid w:val="00A1715C"/>
    <w:rsid w:val="00A177CE"/>
    <w:rsid w:val="00A20778"/>
    <w:rsid w:val="00A21030"/>
    <w:rsid w:val="00A218D0"/>
    <w:rsid w:val="00A22BFE"/>
    <w:rsid w:val="00A22C96"/>
    <w:rsid w:val="00A23857"/>
    <w:rsid w:val="00A23934"/>
    <w:rsid w:val="00A23E6C"/>
    <w:rsid w:val="00A24255"/>
    <w:rsid w:val="00A24CED"/>
    <w:rsid w:val="00A25B28"/>
    <w:rsid w:val="00A25B71"/>
    <w:rsid w:val="00A2693A"/>
    <w:rsid w:val="00A26AD6"/>
    <w:rsid w:val="00A26CC8"/>
    <w:rsid w:val="00A26E4D"/>
    <w:rsid w:val="00A3094D"/>
    <w:rsid w:val="00A30D42"/>
    <w:rsid w:val="00A31437"/>
    <w:rsid w:val="00A31B94"/>
    <w:rsid w:val="00A32906"/>
    <w:rsid w:val="00A32DE5"/>
    <w:rsid w:val="00A34485"/>
    <w:rsid w:val="00A34DB2"/>
    <w:rsid w:val="00A34EF4"/>
    <w:rsid w:val="00A36460"/>
    <w:rsid w:val="00A36864"/>
    <w:rsid w:val="00A36A03"/>
    <w:rsid w:val="00A36E97"/>
    <w:rsid w:val="00A374F8"/>
    <w:rsid w:val="00A37659"/>
    <w:rsid w:val="00A378D4"/>
    <w:rsid w:val="00A40EB6"/>
    <w:rsid w:val="00A412C7"/>
    <w:rsid w:val="00A42554"/>
    <w:rsid w:val="00A4292B"/>
    <w:rsid w:val="00A42E24"/>
    <w:rsid w:val="00A4417D"/>
    <w:rsid w:val="00A448CF"/>
    <w:rsid w:val="00A45011"/>
    <w:rsid w:val="00A453BA"/>
    <w:rsid w:val="00A45D24"/>
    <w:rsid w:val="00A462FF"/>
    <w:rsid w:val="00A46ABE"/>
    <w:rsid w:val="00A46C38"/>
    <w:rsid w:val="00A46CE1"/>
    <w:rsid w:val="00A47127"/>
    <w:rsid w:val="00A472CA"/>
    <w:rsid w:val="00A4739A"/>
    <w:rsid w:val="00A47B50"/>
    <w:rsid w:val="00A50465"/>
    <w:rsid w:val="00A508A3"/>
    <w:rsid w:val="00A50C59"/>
    <w:rsid w:val="00A512CD"/>
    <w:rsid w:val="00A51B0B"/>
    <w:rsid w:val="00A52104"/>
    <w:rsid w:val="00A53665"/>
    <w:rsid w:val="00A53F1A"/>
    <w:rsid w:val="00A55379"/>
    <w:rsid w:val="00A56D65"/>
    <w:rsid w:val="00A57297"/>
    <w:rsid w:val="00A60468"/>
    <w:rsid w:val="00A60FF8"/>
    <w:rsid w:val="00A618F3"/>
    <w:rsid w:val="00A61A4B"/>
    <w:rsid w:val="00A63B3E"/>
    <w:rsid w:val="00A642F6"/>
    <w:rsid w:val="00A646E0"/>
    <w:rsid w:val="00A64EA0"/>
    <w:rsid w:val="00A64ED5"/>
    <w:rsid w:val="00A65029"/>
    <w:rsid w:val="00A65173"/>
    <w:rsid w:val="00A65529"/>
    <w:rsid w:val="00A65FAF"/>
    <w:rsid w:val="00A6718A"/>
    <w:rsid w:val="00A67BD4"/>
    <w:rsid w:val="00A67FD8"/>
    <w:rsid w:val="00A70C16"/>
    <w:rsid w:val="00A722E3"/>
    <w:rsid w:val="00A729EC"/>
    <w:rsid w:val="00A74182"/>
    <w:rsid w:val="00A74A05"/>
    <w:rsid w:val="00A74AE5"/>
    <w:rsid w:val="00A76441"/>
    <w:rsid w:val="00A77E61"/>
    <w:rsid w:val="00A80795"/>
    <w:rsid w:val="00A80945"/>
    <w:rsid w:val="00A80CDF"/>
    <w:rsid w:val="00A80D0E"/>
    <w:rsid w:val="00A81378"/>
    <w:rsid w:val="00A816EB"/>
    <w:rsid w:val="00A822C9"/>
    <w:rsid w:val="00A836FC"/>
    <w:rsid w:val="00A83E23"/>
    <w:rsid w:val="00A84012"/>
    <w:rsid w:val="00A84448"/>
    <w:rsid w:val="00A853A8"/>
    <w:rsid w:val="00A8540C"/>
    <w:rsid w:val="00A856F3"/>
    <w:rsid w:val="00A86542"/>
    <w:rsid w:val="00A867D6"/>
    <w:rsid w:val="00A869F9"/>
    <w:rsid w:val="00A86E22"/>
    <w:rsid w:val="00A900A6"/>
    <w:rsid w:val="00A91CEF"/>
    <w:rsid w:val="00A92135"/>
    <w:rsid w:val="00A92148"/>
    <w:rsid w:val="00A92249"/>
    <w:rsid w:val="00A92340"/>
    <w:rsid w:val="00A93F1D"/>
    <w:rsid w:val="00A9436F"/>
    <w:rsid w:val="00A9464E"/>
    <w:rsid w:val="00A95029"/>
    <w:rsid w:val="00A9534E"/>
    <w:rsid w:val="00A955AC"/>
    <w:rsid w:val="00A955BF"/>
    <w:rsid w:val="00A96D29"/>
    <w:rsid w:val="00A975FF"/>
    <w:rsid w:val="00A9773B"/>
    <w:rsid w:val="00A977B8"/>
    <w:rsid w:val="00A9784F"/>
    <w:rsid w:val="00A97B69"/>
    <w:rsid w:val="00A97C67"/>
    <w:rsid w:val="00AA15FA"/>
    <w:rsid w:val="00AA2D27"/>
    <w:rsid w:val="00AA3AE5"/>
    <w:rsid w:val="00AA4250"/>
    <w:rsid w:val="00AA44F6"/>
    <w:rsid w:val="00AA4770"/>
    <w:rsid w:val="00AA4A63"/>
    <w:rsid w:val="00AA67DD"/>
    <w:rsid w:val="00AA686C"/>
    <w:rsid w:val="00AA72C1"/>
    <w:rsid w:val="00AB0396"/>
    <w:rsid w:val="00AB10DD"/>
    <w:rsid w:val="00AB26F8"/>
    <w:rsid w:val="00AB2BFA"/>
    <w:rsid w:val="00AB2C9E"/>
    <w:rsid w:val="00AB4AF1"/>
    <w:rsid w:val="00AB4F4F"/>
    <w:rsid w:val="00AB523B"/>
    <w:rsid w:val="00AB5C8D"/>
    <w:rsid w:val="00AB612E"/>
    <w:rsid w:val="00AB623E"/>
    <w:rsid w:val="00AB66AA"/>
    <w:rsid w:val="00AB6D62"/>
    <w:rsid w:val="00AB7D79"/>
    <w:rsid w:val="00AC0492"/>
    <w:rsid w:val="00AC0798"/>
    <w:rsid w:val="00AC0BA1"/>
    <w:rsid w:val="00AC0F40"/>
    <w:rsid w:val="00AC13AA"/>
    <w:rsid w:val="00AC19E8"/>
    <w:rsid w:val="00AC1C59"/>
    <w:rsid w:val="00AC273A"/>
    <w:rsid w:val="00AC274F"/>
    <w:rsid w:val="00AC2E40"/>
    <w:rsid w:val="00AC30A9"/>
    <w:rsid w:val="00AC32AB"/>
    <w:rsid w:val="00AC3EB9"/>
    <w:rsid w:val="00AC4CB1"/>
    <w:rsid w:val="00AC55C5"/>
    <w:rsid w:val="00AC55F6"/>
    <w:rsid w:val="00AC5959"/>
    <w:rsid w:val="00AC6476"/>
    <w:rsid w:val="00AC6C3E"/>
    <w:rsid w:val="00AC7450"/>
    <w:rsid w:val="00AC7601"/>
    <w:rsid w:val="00AC7BE2"/>
    <w:rsid w:val="00AC7DE6"/>
    <w:rsid w:val="00AD2175"/>
    <w:rsid w:val="00AD31A8"/>
    <w:rsid w:val="00AD31FD"/>
    <w:rsid w:val="00AD3224"/>
    <w:rsid w:val="00AD35E6"/>
    <w:rsid w:val="00AD3990"/>
    <w:rsid w:val="00AD3E8F"/>
    <w:rsid w:val="00AD469E"/>
    <w:rsid w:val="00AD4BF5"/>
    <w:rsid w:val="00AD4CD2"/>
    <w:rsid w:val="00AD502E"/>
    <w:rsid w:val="00AD53E1"/>
    <w:rsid w:val="00AD5B88"/>
    <w:rsid w:val="00AD5E9A"/>
    <w:rsid w:val="00AD611C"/>
    <w:rsid w:val="00AD6D1F"/>
    <w:rsid w:val="00AD78BA"/>
    <w:rsid w:val="00AD7C18"/>
    <w:rsid w:val="00AE212D"/>
    <w:rsid w:val="00AE2E22"/>
    <w:rsid w:val="00AE3503"/>
    <w:rsid w:val="00AE3CD3"/>
    <w:rsid w:val="00AE4A06"/>
    <w:rsid w:val="00AE4EB8"/>
    <w:rsid w:val="00AE6296"/>
    <w:rsid w:val="00AE6EE3"/>
    <w:rsid w:val="00AE6F0E"/>
    <w:rsid w:val="00AE79FE"/>
    <w:rsid w:val="00AE7F75"/>
    <w:rsid w:val="00AF04BE"/>
    <w:rsid w:val="00AF0930"/>
    <w:rsid w:val="00AF1069"/>
    <w:rsid w:val="00AF2C66"/>
    <w:rsid w:val="00AF3220"/>
    <w:rsid w:val="00AF3406"/>
    <w:rsid w:val="00AF36DD"/>
    <w:rsid w:val="00AF43E4"/>
    <w:rsid w:val="00AF4A84"/>
    <w:rsid w:val="00AF651B"/>
    <w:rsid w:val="00AF6671"/>
    <w:rsid w:val="00AF6797"/>
    <w:rsid w:val="00AF6AF1"/>
    <w:rsid w:val="00AF6BFE"/>
    <w:rsid w:val="00AF7062"/>
    <w:rsid w:val="00AF777B"/>
    <w:rsid w:val="00AF7A38"/>
    <w:rsid w:val="00B00CFD"/>
    <w:rsid w:val="00B00F85"/>
    <w:rsid w:val="00B018D7"/>
    <w:rsid w:val="00B02E76"/>
    <w:rsid w:val="00B032A1"/>
    <w:rsid w:val="00B042DE"/>
    <w:rsid w:val="00B04343"/>
    <w:rsid w:val="00B0484A"/>
    <w:rsid w:val="00B04986"/>
    <w:rsid w:val="00B04B5C"/>
    <w:rsid w:val="00B05442"/>
    <w:rsid w:val="00B05B31"/>
    <w:rsid w:val="00B05BE6"/>
    <w:rsid w:val="00B05CDB"/>
    <w:rsid w:val="00B0623A"/>
    <w:rsid w:val="00B06ED4"/>
    <w:rsid w:val="00B06FDF"/>
    <w:rsid w:val="00B07E6E"/>
    <w:rsid w:val="00B10268"/>
    <w:rsid w:val="00B10D53"/>
    <w:rsid w:val="00B11085"/>
    <w:rsid w:val="00B1125D"/>
    <w:rsid w:val="00B11824"/>
    <w:rsid w:val="00B1249E"/>
    <w:rsid w:val="00B12C3F"/>
    <w:rsid w:val="00B1308F"/>
    <w:rsid w:val="00B13CC8"/>
    <w:rsid w:val="00B13D07"/>
    <w:rsid w:val="00B13F71"/>
    <w:rsid w:val="00B144D3"/>
    <w:rsid w:val="00B14784"/>
    <w:rsid w:val="00B14912"/>
    <w:rsid w:val="00B1498A"/>
    <w:rsid w:val="00B151EE"/>
    <w:rsid w:val="00B15456"/>
    <w:rsid w:val="00B15CE0"/>
    <w:rsid w:val="00B1634D"/>
    <w:rsid w:val="00B16E4B"/>
    <w:rsid w:val="00B17000"/>
    <w:rsid w:val="00B1701C"/>
    <w:rsid w:val="00B17570"/>
    <w:rsid w:val="00B2046F"/>
    <w:rsid w:val="00B22799"/>
    <w:rsid w:val="00B229BD"/>
    <w:rsid w:val="00B23410"/>
    <w:rsid w:val="00B23F37"/>
    <w:rsid w:val="00B24D67"/>
    <w:rsid w:val="00B25115"/>
    <w:rsid w:val="00B25614"/>
    <w:rsid w:val="00B259C7"/>
    <w:rsid w:val="00B25D39"/>
    <w:rsid w:val="00B2621D"/>
    <w:rsid w:val="00B26CA6"/>
    <w:rsid w:val="00B272AC"/>
    <w:rsid w:val="00B27E7C"/>
    <w:rsid w:val="00B3120F"/>
    <w:rsid w:val="00B31A88"/>
    <w:rsid w:val="00B31BA1"/>
    <w:rsid w:val="00B31C79"/>
    <w:rsid w:val="00B31D51"/>
    <w:rsid w:val="00B31EF5"/>
    <w:rsid w:val="00B34D59"/>
    <w:rsid w:val="00B350B9"/>
    <w:rsid w:val="00B36CAE"/>
    <w:rsid w:val="00B37753"/>
    <w:rsid w:val="00B405AB"/>
    <w:rsid w:val="00B407F3"/>
    <w:rsid w:val="00B4110F"/>
    <w:rsid w:val="00B4338B"/>
    <w:rsid w:val="00B43BD8"/>
    <w:rsid w:val="00B45CE6"/>
    <w:rsid w:val="00B45D7E"/>
    <w:rsid w:val="00B461D3"/>
    <w:rsid w:val="00B4755F"/>
    <w:rsid w:val="00B47FCD"/>
    <w:rsid w:val="00B506F5"/>
    <w:rsid w:val="00B50B99"/>
    <w:rsid w:val="00B522E6"/>
    <w:rsid w:val="00B52556"/>
    <w:rsid w:val="00B5297B"/>
    <w:rsid w:val="00B53248"/>
    <w:rsid w:val="00B54173"/>
    <w:rsid w:val="00B543CC"/>
    <w:rsid w:val="00B54528"/>
    <w:rsid w:val="00B54A3E"/>
    <w:rsid w:val="00B5584A"/>
    <w:rsid w:val="00B575DB"/>
    <w:rsid w:val="00B57EEB"/>
    <w:rsid w:val="00B6090B"/>
    <w:rsid w:val="00B60C14"/>
    <w:rsid w:val="00B60D93"/>
    <w:rsid w:val="00B60F71"/>
    <w:rsid w:val="00B62F4D"/>
    <w:rsid w:val="00B63168"/>
    <w:rsid w:val="00B6418B"/>
    <w:rsid w:val="00B6460D"/>
    <w:rsid w:val="00B64A48"/>
    <w:rsid w:val="00B6531A"/>
    <w:rsid w:val="00B65494"/>
    <w:rsid w:val="00B658F3"/>
    <w:rsid w:val="00B65C72"/>
    <w:rsid w:val="00B65F90"/>
    <w:rsid w:val="00B66683"/>
    <w:rsid w:val="00B7091C"/>
    <w:rsid w:val="00B710DA"/>
    <w:rsid w:val="00B7141A"/>
    <w:rsid w:val="00B7141D"/>
    <w:rsid w:val="00B71694"/>
    <w:rsid w:val="00B71C07"/>
    <w:rsid w:val="00B71CFC"/>
    <w:rsid w:val="00B72300"/>
    <w:rsid w:val="00B72690"/>
    <w:rsid w:val="00B74143"/>
    <w:rsid w:val="00B7444F"/>
    <w:rsid w:val="00B74AA2"/>
    <w:rsid w:val="00B755CA"/>
    <w:rsid w:val="00B76FA3"/>
    <w:rsid w:val="00B7714C"/>
    <w:rsid w:val="00B7730E"/>
    <w:rsid w:val="00B7751E"/>
    <w:rsid w:val="00B77847"/>
    <w:rsid w:val="00B80474"/>
    <w:rsid w:val="00B80A52"/>
    <w:rsid w:val="00B80CFB"/>
    <w:rsid w:val="00B81016"/>
    <w:rsid w:val="00B81088"/>
    <w:rsid w:val="00B8146F"/>
    <w:rsid w:val="00B8179D"/>
    <w:rsid w:val="00B81831"/>
    <w:rsid w:val="00B81C97"/>
    <w:rsid w:val="00B836A8"/>
    <w:rsid w:val="00B83764"/>
    <w:rsid w:val="00B83F49"/>
    <w:rsid w:val="00B84BB7"/>
    <w:rsid w:val="00B84E17"/>
    <w:rsid w:val="00B86425"/>
    <w:rsid w:val="00B865A9"/>
    <w:rsid w:val="00B874A0"/>
    <w:rsid w:val="00B877AE"/>
    <w:rsid w:val="00B8787E"/>
    <w:rsid w:val="00B9042F"/>
    <w:rsid w:val="00B90EB4"/>
    <w:rsid w:val="00B93365"/>
    <w:rsid w:val="00B936AB"/>
    <w:rsid w:val="00B93EB1"/>
    <w:rsid w:val="00B94372"/>
    <w:rsid w:val="00B947D9"/>
    <w:rsid w:val="00B94AF3"/>
    <w:rsid w:val="00B95402"/>
    <w:rsid w:val="00B9781A"/>
    <w:rsid w:val="00BA0A77"/>
    <w:rsid w:val="00BA0DB2"/>
    <w:rsid w:val="00BA22BD"/>
    <w:rsid w:val="00BA22C6"/>
    <w:rsid w:val="00BA3C64"/>
    <w:rsid w:val="00BA3D2E"/>
    <w:rsid w:val="00BA476E"/>
    <w:rsid w:val="00BA49E7"/>
    <w:rsid w:val="00BA4C2C"/>
    <w:rsid w:val="00BA55A9"/>
    <w:rsid w:val="00BA5746"/>
    <w:rsid w:val="00BA5ABF"/>
    <w:rsid w:val="00BA5B73"/>
    <w:rsid w:val="00BA6086"/>
    <w:rsid w:val="00BA6C6C"/>
    <w:rsid w:val="00BA7890"/>
    <w:rsid w:val="00BA7F3A"/>
    <w:rsid w:val="00BB0B49"/>
    <w:rsid w:val="00BB1680"/>
    <w:rsid w:val="00BB17B3"/>
    <w:rsid w:val="00BB1E65"/>
    <w:rsid w:val="00BB2BB8"/>
    <w:rsid w:val="00BB30D8"/>
    <w:rsid w:val="00BB31E0"/>
    <w:rsid w:val="00BB334F"/>
    <w:rsid w:val="00BB3782"/>
    <w:rsid w:val="00BB3967"/>
    <w:rsid w:val="00BB396C"/>
    <w:rsid w:val="00BB42E8"/>
    <w:rsid w:val="00BB52D5"/>
    <w:rsid w:val="00BB7B59"/>
    <w:rsid w:val="00BC0598"/>
    <w:rsid w:val="00BC0933"/>
    <w:rsid w:val="00BC0962"/>
    <w:rsid w:val="00BC0DA9"/>
    <w:rsid w:val="00BC0FF8"/>
    <w:rsid w:val="00BC19BC"/>
    <w:rsid w:val="00BC1BCC"/>
    <w:rsid w:val="00BC1FDA"/>
    <w:rsid w:val="00BC3941"/>
    <w:rsid w:val="00BC4EA3"/>
    <w:rsid w:val="00BC57D5"/>
    <w:rsid w:val="00BC5D94"/>
    <w:rsid w:val="00BC6573"/>
    <w:rsid w:val="00BC6C37"/>
    <w:rsid w:val="00BC6D31"/>
    <w:rsid w:val="00BC77D9"/>
    <w:rsid w:val="00BC7FF7"/>
    <w:rsid w:val="00BD0119"/>
    <w:rsid w:val="00BD0538"/>
    <w:rsid w:val="00BD16E6"/>
    <w:rsid w:val="00BD2C01"/>
    <w:rsid w:val="00BD3005"/>
    <w:rsid w:val="00BD3248"/>
    <w:rsid w:val="00BD3D86"/>
    <w:rsid w:val="00BD3ED6"/>
    <w:rsid w:val="00BD4101"/>
    <w:rsid w:val="00BD505D"/>
    <w:rsid w:val="00BD522F"/>
    <w:rsid w:val="00BD5538"/>
    <w:rsid w:val="00BD581D"/>
    <w:rsid w:val="00BD5DC1"/>
    <w:rsid w:val="00BD64A7"/>
    <w:rsid w:val="00BD6832"/>
    <w:rsid w:val="00BD6BAD"/>
    <w:rsid w:val="00BD7A4E"/>
    <w:rsid w:val="00BE02EA"/>
    <w:rsid w:val="00BE0DE8"/>
    <w:rsid w:val="00BE0E07"/>
    <w:rsid w:val="00BE10E3"/>
    <w:rsid w:val="00BE10FF"/>
    <w:rsid w:val="00BE1AE6"/>
    <w:rsid w:val="00BE1C67"/>
    <w:rsid w:val="00BE20C1"/>
    <w:rsid w:val="00BE21A6"/>
    <w:rsid w:val="00BE336F"/>
    <w:rsid w:val="00BE3B1A"/>
    <w:rsid w:val="00BE3E0D"/>
    <w:rsid w:val="00BE44E7"/>
    <w:rsid w:val="00BE46EB"/>
    <w:rsid w:val="00BE6836"/>
    <w:rsid w:val="00BE77A2"/>
    <w:rsid w:val="00BE7987"/>
    <w:rsid w:val="00BF1501"/>
    <w:rsid w:val="00BF1C3E"/>
    <w:rsid w:val="00BF2028"/>
    <w:rsid w:val="00BF3626"/>
    <w:rsid w:val="00BF3CFF"/>
    <w:rsid w:val="00BF3D4A"/>
    <w:rsid w:val="00BF3E45"/>
    <w:rsid w:val="00BF409D"/>
    <w:rsid w:val="00BF5C64"/>
    <w:rsid w:val="00BF5F22"/>
    <w:rsid w:val="00BF680E"/>
    <w:rsid w:val="00BF7314"/>
    <w:rsid w:val="00BF7A4D"/>
    <w:rsid w:val="00C01640"/>
    <w:rsid w:val="00C02208"/>
    <w:rsid w:val="00C035FE"/>
    <w:rsid w:val="00C03D75"/>
    <w:rsid w:val="00C04030"/>
    <w:rsid w:val="00C04888"/>
    <w:rsid w:val="00C04ADF"/>
    <w:rsid w:val="00C04F1F"/>
    <w:rsid w:val="00C056B1"/>
    <w:rsid w:val="00C05CE1"/>
    <w:rsid w:val="00C05FD3"/>
    <w:rsid w:val="00C06BC2"/>
    <w:rsid w:val="00C06BF6"/>
    <w:rsid w:val="00C06EBD"/>
    <w:rsid w:val="00C06F88"/>
    <w:rsid w:val="00C07A8A"/>
    <w:rsid w:val="00C07FE1"/>
    <w:rsid w:val="00C10097"/>
    <w:rsid w:val="00C1108D"/>
    <w:rsid w:val="00C11B07"/>
    <w:rsid w:val="00C11C42"/>
    <w:rsid w:val="00C11D31"/>
    <w:rsid w:val="00C129C3"/>
    <w:rsid w:val="00C13EFA"/>
    <w:rsid w:val="00C13F23"/>
    <w:rsid w:val="00C154D6"/>
    <w:rsid w:val="00C16027"/>
    <w:rsid w:val="00C165F9"/>
    <w:rsid w:val="00C16C37"/>
    <w:rsid w:val="00C1710C"/>
    <w:rsid w:val="00C1756A"/>
    <w:rsid w:val="00C17609"/>
    <w:rsid w:val="00C178E6"/>
    <w:rsid w:val="00C17917"/>
    <w:rsid w:val="00C2049D"/>
    <w:rsid w:val="00C21041"/>
    <w:rsid w:val="00C214FB"/>
    <w:rsid w:val="00C2158B"/>
    <w:rsid w:val="00C21A42"/>
    <w:rsid w:val="00C22760"/>
    <w:rsid w:val="00C22C27"/>
    <w:rsid w:val="00C23A00"/>
    <w:rsid w:val="00C24CBA"/>
    <w:rsid w:val="00C24F6B"/>
    <w:rsid w:val="00C24F98"/>
    <w:rsid w:val="00C25351"/>
    <w:rsid w:val="00C25B9E"/>
    <w:rsid w:val="00C25C42"/>
    <w:rsid w:val="00C26141"/>
    <w:rsid w:val="00C262DA"/>
    <w:rsid w:val="00C2685D"/>
    <w:rsid w:val="00C268DA"/>
    <w:rsid w:val="00C278C9"/>
    <w:rsid w:val="00C27A6E"/>
    <w:rsid w:val="00C30B9E"/>
    <w:rsid w:val="00C32BE5"/>
    <w:rsid w:val="00C33661"/>
    <w:rsid w:val="00C33F4F"/>
    <w:rsid w:val="00C33FC0"/>
    <w:rsid w:val="00C3402C"/>
    <w:rsid w:val="00C346DB"/>
    <w:rsid w:val="00C34831"/>
    <w:rsid w:val="00C34E95"/>
    <w:rsid w:val="00C3577E"/>
    <w:rsid w:val="00C35B07"/>
    <w:rsid w:val="00C35BE8"/>
    <w:rsid w:val="00C366D4"/>
    <w:rsid w:val="00C3712B"/>
    <w:rsid w:val="00C37533"/>
    <w:rsid w:val="00C4068B"/>
    <w:rsid w:val="00C4157C"/>
    <w:rsid w:val="00C416E2"/>
    <w:rsid w:val="00C41737"/>
    <w:rsid w:val="00C41E63"/>
    <w:rsid w:val="00C4235D"/>
    <w:rsid w:val="00C42655"/>
    <w:rsid w:val="00C42852"/>
    <w:rsid w:val="00C43158"/>
    <w:rsid w:val="00C434F4"/>
    <w:rsid w:val="00C43792"/>
    <w:rsid w:val="00C43D9D"/>
    <w:rsid w:val="00C4434D"/>
    <w:rsid w:val="00C44B77"/>
    <w:rsid w:val="00C44FD2"/>
    <w:rsid w:val="00C452FD"/>
    <w:rsid w:val="00C459A0"/>
    <w:rsid w:val="00C45D12"/>
    <w:rsid w:val="00C4620A"/>
    <w:rsid w:val="00C471F5"/>
    <w:rsid w:val="00C472D5"/>
    <w:rsid w:val="00C50204"/>
    <w:rsid w:val="00C5064C"/>
    <w:rsid w:val="00C50815"/>
    <w:rsid w:val="00C50E64"/>
    <w:rsid w:val="00C51ADD"/>
    <w:rsid w:val="00C52414"/>
    <w:rsid w:val="00C525A8"/>
    <w:rsid w:val="00C53196"/>
    <w:rsid w:val="00C53857"/>
    <w:rsid w:val="00C554E9"/>
    <w:rsid w:val="00C55A1E"/>
    <w:rsid w:val="00C55DC8"/>
    <w:rsid w:val="00C55FDF"/>
    <w:rsid w:val="00C573A3"/>
    <w:rsid w:val="00C57982"/>
    <w:rsid w:val="00C60942"/>
    <w:rsid w:val="00C60E6E"/>
    <w:rsid w:val="00C61236"/>
    <w:rsid w:val="00C61740"/>
    <w:rsid w:val="00C61CC9"/>
    <w:rsid w:val="00C6316D"/>
    <w:rsid w:val="00C63301"/>
    <w:rsid w:val="00C639C2"/>
    <w:rsid w:val="00C64907"/>
    <w:rsid w:val="00C6510E"/>
    <w:rsid w:val="00C6581C"/>
    <w:rsid w:val="00C65F5A"/>
    <w:rsid w:val="00C6674B"/>
    <w:rsid w:val="00C66A24"/>
    <w:rsid w:val="00C679C8"/>
    <w:rsid w:val="00C67F63"/>
    <w:rsid w:val="00C6EDA0"/>
    <w:rsid w:val="00C70317"/>
    <w:rsid w:val="00C70F2B"/>
    <w:rsid w:val="00C71C92"/>
    <w:rsid w:val="00C71CC2"/>
    <w:rsid w:val="00C72418"/>
    <w:rsid w:val="00C72E98"/>
    <w:rsid w:val="00C72FE7"/>
    <w:rsid w:val="00C73875"/>
    <w:rsid w:val="00C743BD"/>
    <w:rsid w:val="00C74EDC"/>
    <w:rsid w:val="00C74FB7"/>
    <w:rsid w:val="00C759B5"/>
    <w:rsid w:val="00C759B8"/>
    <w:rsid w:val="00C75E41"/>
    <w:rsid w:val="00C762B3"/>
    <w:rsid w:val="00C76E8D"/>
    <w:rsid w:val="00C76EFE"/>
    <w:rsid w:val="00C77279"/>
    <w:rsid w:val="00C777E9"/>
    <w:rsid w:val="00C7784A"/>
    <w:rsid w:val="00C80959"/>
    <w:rsid w:val="00C81B4F"/>
    <w:rsid w:val="00C81E21"/>
    <w:rsid w:val="00C82754"/>
    <w:rsid w:val="00C83E1F"/>
    <w:rsid w:val="00C84ECE"/>
    <w:rsid w:val="00C8545C"/>
    <w:rsid w:val="00C85F61"/>
    <w:rsid w:val="00C862E2"/>
    <w:rsid w:val="00C8691A"/>
    <w:rsid w:val="00C86A58"/>
    <w:rsid w:val="00C87A1A"/>
    <w:rsid w:val="00C87DF4"/>
    <w:rsid w:val="00C87EFF"/>
    <w:rsid w:val="00C90E96"/>
    <w:rsid w:val="00C90FAC"/>
    <w:rsid w:val="00C933B6"/>
    <w:rsid w:val="00C933E8"/>
    <w:rsid w:val="00C94A87"/>
    <w:rsid w:val="00C956D6"/>
    <w:rsid w:val="00C966FA"/>
    <w:rsid w:val="00C96834"/>
    <w:rsid w:val="00C97071"/>
    <w:rsid w:val="00CA0A9B"/>
    <w:rsid w:val="00CA15FF"/>
    <w:rsid w:val="00CA2689"/>
    <w:rsid w:val="00CA333D"/>
    <w:rsid w:val="00CA3622"/>
    <w:rsid w:val="00CA3B49"/>
    <w:rsid w:val="00CA4326"/>
    <w:rsid w:val="00CA47CC"/>
    <w:rsid w:val="00CA4DEB"/>
    <w:rsid w:val="00CA4EE2"/>
    <w:rsid w:val="00CA5093"/>
    <w:rsid w:val="00CA5277"/>
    <w:rsid w:val="00CA5359"/>
    <w:rsid w:val="00CA5612"/>
    <w:rsid w:val="00CA5DF7"/>
    <w:rsid w:val="00CA6165"/>
    <w:rsid w:val="00CA668A"/>
    <w:rsid w:val="00CA7053"/>
    <w:rsid w:val="00CA7203"/>
    <w:rsid w:val="00CA7550"/>
    <w:rsid w:val="00CA7A41"/>
    <w:rsid w:val="00CB014B"/>
    <w:rsid w:val="00CB026D"/>
    <w:rsid w:val="00CB1101"/>
    <w:rsid w:val="00CB11CC"/>
    <w:rsid w:val="00CB1335"/>
    <w:rsid w:val="00CB1447"/>
    <w:rsid w:val="00CB1BAA"/>
    <w:rsid w:val="00CB217B"/>
    <w:rsid w:val="00CB26FF"/>
    <w:rsid w:val="00CB32DF"/>
    <w:rsid w:val="00CB3800"/>
    <w:rsid w:val="00CB392D"/>
    <w:rsid w:val="00CB46AB"/>
    <w:rsid w:val="00CB5610"/>
    <w:rsid w:val="00CB5724"/>
    <w:rsid w:val="00CB5EC1"/>
    <w:rsid w:val="00CB66F0"/>
    <w:rsid w:val="00CB69A8"/>
    <w:rsid w:val="00CB6D1C"/>
    <w:rsid w:val="00CB6F04"/>
    <w:rsid w:val="00CB70EF"/>
    <w:rsid w:val="00CB7559"/>
    <w:rsid w:val="00CC0E83"/>
    <w:rsid w:val="00CC0F3B"/>
    <w:rsid w:val="00CC2222"/>
    <w:rsid w:val="00CC2851"/>
    <w:rsid w:val="00CC2C6D"/>
    <w:rsid w:val="00CC337D"/>
    <w:rsid w:val="00CC3860"/>
    <w:rsid w:val="00CC3900"/>
    <w:rsid w:val="00CC4C66"/>
    <w:rsid w:val="00CC5318"/>
    <w:rsid w:val="00CC5A16"/>
    <w:rsid w:val="00CC5A9C"/>
    <w:rsid w:val="00CC611B"/>
    <w:rsid w:val="00CC633E"/>
    <w:rsid w:val="00CC6749"/>
    <w:rsid w:val="00CC695B"/>
    <w:rsid w:val="00CC7171"/>
    <w:rsid w:val="00CC71A1"/>
    <w:rsid w:val="00CC723A"/>
    <w:rsid w:val="00CC79A0"/>
    <w:rsid w:val="00CC7F30"/>
    <w:rsid w:val="00CC7F47"/>
    <w:rsid w:val="00CD0264"/>
    <w:rsid w:val="00CD0308"/>
    <w:rsid w:val="00CD14FA"/>
    <w:rsid w:val="00CD208B"/>
    <w:rsid w:val="00CD2A26"/>
    <w:rsid w:val="00CD2A9A"/>
    <w:rsid w:val="00CD2F48"/>
    <w:rsid w:val="00CD3AEF"/>
    <w:rsid w:val="00CD41AE"/>
    <w:rsid w:val="00CD4571"/>
    <w:rsid w:val="00CD45BF"/>
    <w:rsid w:val="00CD551B"/>
    <w:rsid w:val="00CD6F96"/>
    <w:rsid w:val="00CE001C"/>
    <w:rsid w:val="00CE0D9E"/>
    <w:rsid w:val="00CE3D94"/>
    <w:rsid w:val="00CE4539"/>
    <w:rsid w:val="00CE46FD"/>
    <w:rsid w:val="00CE48F2"/>
    <w:rsid w:val="00CE4CBA"/>
    <w:rsid w:val="00CE580B"/>
    <w:rsid w:val="00CE5C63"/>
    <w:rsid w:val="00CE6891"/>
    <w:rsid w:val="00CE6CD1"/>
    <w:rsid w:val="00CE6D8B"/>
    <w:rsid w:val="00CE6EF6"/>
    <w:rsid w:val="00CE74F3"/>
    <w:rsid w:val="00CE7617"/>
    <w:rsid w:val="00CE7F09"/>
    <w:rsid w:val="00CF00C1"/>
    <w:rsid w:val="00CF03D4"/>
    <w:rsid w:val="00CF1E52"/>
    <w:rsid w:val="00CF1EC5"/>
    <w:rsid w:val="00CF1F09"/>
    <w:rsid w:val="00CF266F"/>
    <w:rsid w:val="00CF26EA"/>
    <w:rsid w:val="00CF2784"/>
    <w:rsid w:val="00CF3BDE"/>
    <w:rsid w:val="00CF4100"/>
    <w:rsid w:val="00CF4E51"/>
    <w:rsid w:val="00CF5931"/>
    <w:rsid w:val="00CF6465"/>
    <w:rsid w:val="00CF682E"/>
    <w:rsid w:val="00CF7810"/>
    <w:rsid w:val="00D00184"/>
    <w:rsid w:val="00D00904"/>
    <w:rsid w:val="00D00922"/>
    <w:rsid w:val="00D00B94"/>
    <w:rsid w:val="00D0151B"/>
    <w:rsid w:val="00D01758"/>
    <w:rsid w:val="00D02828"/>
    <w:rsid w:val="00D02E7A"/>
    <w:rsid w:val="00D02ED9"/>
    <w:rsid w:val="00D03369"/>
    <w:rsid w:val="00D037FD"/>
    <w:rsid w:val="00D03A63"/>
    <w:rsid w:val="00D044BE"/>
    <w:rsid w:val="00D048CB"/>
    <w:rsid w:val="00D059F9"/>
    <w:rsid w:val="00D067D6"/>
    <w:rsid w:val="00D076D2"/>
    <w:rsid w:val="00D0775A"/>
    <w:rsid w:val="00D07B5A"/>
    <w:rsid w:val="00D10AAB"/>
    <w:rsid w:val="00D11160"/>
    <w:rsid w:val="00D11AAF"/>
    <w:rsid w:val="00D11D51"/>
    <w:rsid w:val="00D12C29"/>
    <w:rsid w:val="00D13077"/>
    <w:rsid w:val="00D131F5"/>
    <w:rsid w:val="00D151CB"/>
    <w:rsid w:val="00D15ABD"/>
    <w:rsid w:val="00D16820"/>
    <w:rsid w:val="00D16AB5"/>
    <w:rsid w:val="00D16E59"/>
    <w:rsid w:val="00D17451"/>
    <w:rsid w:val="00D177FA"/>
    <w:rsid w:val="00D200B7"/>
    <w:rsid w:val="00D20FE3"/>
    <w:rsid w:val="00D213EC"/>
    <w:rsid w:val="00D2153C"/>
    <w:rsid w:val="00D21CF8"/>
    <w:rsid w:val="00D2274C"/>
    <w:rsid w:val="00D23068"/>
    <w:rsid w:val="00D235AB"/>
    <w:rsid w:val="00D2558E"/>
    <w:rsid w:val="00D26245"/>
    <w:rsid w:val="00D265DC"/>
    <w:rsid w:val="00D2786A"/>
    <w:rsid w:val="00D2797D"/>
    <w:rsid w:val="00D27C51"/>
    <w:rsid w:val="00D27C85"/>
    <w:rsid w:val="00D30553"/>
    <w:rsid w:val="00D3063D"/>
    <w:rsid w:val="00D30D04"/>
    <w:rsid w:val="00D319EC"/>
    <w:rsid w:val="00D32647"/>
    <w:rsid w:val="00D32BA9"/>
    <w:rsid w:val="00D336FB"/>
    <w:rsid w:val="00D33765"/>
    <w:rsid w:val="00D34893"/>
    <w:rsid w:val="00D348CA"/>
    <w:rsid w:val="00D35884"/>
    <w:rsid w:val="00D35C73"/>
    <w:rsid w:val="00D36492"/>
    <w:rsid w:val="00D3658E"/>
    <w:rsid w:val="00D36903"/>
    <w:rsid w:val="00D36F59"/>
    <w:rsid w:val="00D37642"/>
    <w:rsid w:val="00D404F3"/>
    <w:rsid w:val="00D40E6B"/>
    <w:rsid w:val="00D40EFC"/>
    <w:rsid w:val="00D4108C"/>
    <w:rsid w:val="00D423C6"/>
    <w:rsid w:val="00D426B0"/>
    <w:rsid w:val="00D43474"/>
    <w:rsid w:val="00D4365F"/>
    <w:rsid w:val="00D43E47"/>
    <w:rsid w:val="00D44215"/>
    <w:rsid w:val="00D44602"/>
    <w:rsid w:val="00D44B27"/>
    <w:rsid w:val="00D45097"/>
    <w:rsid w:val="00D450A7"/>
    <w:rsid w:val="00D452C7"/>
    <w:rsid w:val="00D45D5D"/>
    <w:rsid w:val="00D45E9F"/>
    <w:rsid w:val="00D46057"/>
    <w:rsid w:val="00D46BDD"/>
    <w:rsid w:val="00D471C3"/>
    <w:rsid w:val="00D477F1"/>
    <w:rsid w:val="00D47961"/>
    <w:rsid w:val="00D50075"/>
    <w:rsid w:val="00D509E3"/>
    <w:rsid w:val="00D512E6"/>
    <w:rsid w:val="00D51DC3"/>
    <w:rsid w:val="00D5306A"/>
    <w:rsid w:val="00D5389A"/>
    <w:rsid w:val="00D54064"/>
    <w:rsid w:val="00D54D1D"/>
    <w:rsid w:val="00D556B1"/>
    <w:rsid w:val="00D55B24"/>
    <w:rsid w:val="00D55EDD"/>
    <w:rsid w:val="00D5723B"/>
    <w:rsid w:val="00D577D3"/>
    <w:rsid w:val="00D60806"/>
    <w:rsid w:val="00D6084D"/>
    <w:rsid w:val="00D61520"/>
    <w:rsid w:val="00D63367"/>
    <w:rsid w:val="00D63757"/>
    <w:rsid w:val="00D63977"/>
    <w:rsid w:val="00D648F6"/>
    <w:rsid w:val="00D64974"/>
    <w:rsid w:val="00D64AAE"/>
    <w:rsid w:val="00D65071"/>
    <w:rsid w:val="00D6642F"/>
    <w:rsid w:val="00D66576"/>
    <w:rsid w:val="00D668F0"/>
    <w:rsid w:val="00D66C20"/>
    <w:rsid w:val="00D671DD"/>
    <w:rsid w:val="00D67256"/>
    <w:rsid w:val="00D672E9"/>
    <w:rsid w:val="00D67330"/>
    <w:rsid w:val="00D710A0"/>
    <w:rsid w:val="00D7174D"/>
    <w:rsid w:val="00D71A3A"/>
    <w:rsid w:val="00D73A6F"/>
    <w:rsid w:val="00D73DC3"/>
    <w:rsid w:val="00D73FFA"/>
    <w:rsid w:val="00D74229"/>
    <w:rsid w:val="00D74E39"/>
    <w:rsid w:val="00D75A5F"/>
    <w:rsid w:val="00D75CA8"/>
    <w:rsid w:val="00D75F20"/>
    <w:rsid w:val="00D762D0"/>
    <w:rsid w:val="00D76366"/>
    <w:rsid w:val="00D763FE"/>
    <w:rsid w:val="00D76565"/>
    <w:rsid w:val="00D77794"/>
    <w:rsid w:val="00D80AA9"/>
    <w:rsid w:val="00D80AF1"/>
    <w:rsid w:val="00D80E3C"/>
    <w:rsid w:val="00D80E51"/>
    <w:rsid w:val="00D81036"/>
    <w:rsid w:val="00D81CB2"/>
    <w:rsid w:val="00D82C45"/>
    <w:rsid w:val="00D83C27"/>
    <w:rsid w:val="00D83D70"/>
    <w:rsid w:val="00D8521B"/>
    <w:rsid w:val="00D85400"/>
    <w:rsid w:val="00D858C9"/>
    <w:rsid w:val="00D85C08"/>
    <w:rsid w:val="00D85E25"/>
    <w:rsid w:val="00D8621D"/>
    <w:rsid w:val="00D862D2"/>
    <w:rsid w:val="00D8652E"/>
    <w:rsid w:val="00D87099"/>
    <w:rsid w:val="00D87383"/>
    <w:rsid w:val="00D873AA"/>
    <w:rsid w:val="00D87AE1"/>
    <w:rsid w:val="00D90217"/>
    <w:rsid w:val="00D905A6"/>
    <w:rsid w:val="00D907FC"/>
    <w:rsid w:val="00D9090C"/>
    <w:rsid w:val="00D9098F"/>
    <w:rsid w:val="00D90C29"/>
    <w:rsid w:val="00D90E51"/>
    <w:rsid w:val="00D91280"/>
    <w:rsid w:val="00D9151C"/>
    <w:rsid w:val="00D917AA"/>
    <w:rsid w:val="00D919D5"/>
    <w:rsid w:val="00D925ED"/>
    <w:rsid w:val="00D93051"/>
    <w:rsid w:val="00D93373"/>
    <w:rsid w:val="00D93F68"/>
    <w:rsid w:val="00D941A4"/>
    <w:rsid w:val="00D94BBC"/>
    <w:rsid w:val="00D94CC1"/>
    <w:rsid w:val="00D95ADC"/>
    <w:rsid w:val="00D95E7E"/>
    <w:rsid w:val="00D96972"/>
    <w:rsid w:val="00D96C2B"/>
    <w:rsid w:val="00D96E73"/>
    <w:rsid w:val="00D97642"/>
    <w:rsid w:val="00D97764"/>
    <w:rsid w:val="00DA0630"/>
    <w:rsid w:val="00DA0813"/>
    <w:rsid w:val="00DA0E80"/>
    <w:rsid w:val="00DA1435"/>
    <w:rsid w:val="00DA18B0"/>
    <w:rsid w:val="00DA250A"/>
    <w:rsid w:val="00DA270B"/>
    <w:rsid w:val="00DA2803"/>
    <w:rsid w:val="00DA2EBE"/>
    <w:rsid w:val="00DA2FD2"/>
    <w:rsid w:val="00DA2FE9"/>
    <w:rsid w:val="00DA3008"/>
    <w:rsid w:val="00DA3D32"/>
    <w:rsid w:val="00DA3FB9"/>
    <w:rsid w:val="00DA41C4"/>
    <w:rsid w:val="00DA4377"/>
    <w:rsid w:val="00DA45E8"/>
    <w:rsid w:val="00DA510F"/>
    <w:rsid w:val="00DA6682"/>
    <w:rsid w:val="00DA6B40"/>
    <w:rsid w:val="00DA6BBC"/>
    <w:rsid w:val="00DA7526"/>
    <w:rsid w:val="00DA766B"/>
    <w:rsid w:val="00DA772F"/>
    <w:rsid w:val="00DB0211"/>
    <w:rsid w:val="00DB0C4F"/>
    <w:rsid w:val="00DB0DCC"/>
    <w:rsid w:val="00DB215F"/>
    <w:rsid w:val="00DB291E"/>
    <w:rsid w:val="00DB2BB0"/>
    <w:rsid w:val="00DB2BD0"/>
    <w:rsid w:val="00DB2D11"/>
    <w:rsid w:val="00DB2ED2"/>
    <w:rsid w:val="00DB30E8"/>
    <w:rsid w:val="00DB3BD3"/>
    <w:rsid w:val="00DB41F8"/>
    <w:rsid w:val="00DB4674"/>
    <w:rsid w:val="00DB5556"/>
    <w:rsid w:val="00DB692D"/>
    <w:rsid w:val="00DB713B"/>
    <w:rsid w:val="00DB7327"/>
    <w:rsid w:val="00DC0719"/>
    <w:rsid w:val="00DC07E7"/>
    <w:rsid w:val="00DC07F0"/>
    <w:rsid w:val="00DC1367"/>
    <w:rsid w:val="00DC2F5D"/>
    <w:rsid w:val="00DC3055"/>
    <w:rsid w:val="00DC3ED5"/>
    <w:rsid w:val="00DC459D"/>
    <w:rsid w:val="00DC4A46"/>
    <w:rsid w:val="00DC4C82"/>
    <w:rsid w:val="00DC5584"/>
    <w:rsid w:val="00DC5797"/>
    <w:rsid w:val="00DC66C8"/>
    <w:rsid w:val="00DC73FD"/>
    <w:rsid w:val="00DC791B"/>
    <w:rsid w:val="00DC7CE3"/>
    <w:rsid w:val="00DD052C"/>
    <w:rsid w:val="00DD0F98"/>
    <w:rsid w:val="00DD13E3"/>
    <w:rsid w:val="00DD217F"/>
    <w:rsid w:val="00DD2211"/>
    <w:rsid w:val="00DD2261"/>
    <w:rsid w:val="00DD23D0"/>
    <w:rsid w:val="00DD2CD3"/>
    <w:rsid w:val="00DD3270"/>
    <w:rsid w:val="00DD32B0"/>
    <w:rsid w:val="00DD3C0D"/>
    <w:rsid w:val="00DD4E55"/>
    <w:rsid w:val="00DD5019"/>
    <w:rsid w:val="00DD6272"/>
    <w:rsid w:val="00DD68C7"/>
    <w:rsid w:val="00DD7950"/>
    <w:rsid w:val="00DD7C2B"/>
    <w:rsid w:val="00DE05D3"/>
    <w:rsid w:val="00DE0E50"/>
    <w:rsid w:val="00DE1074"/>
    <w:rsid w:val="00DE2178"/>
    <w:rsid w:val="00DE22CB"/>
    <w:rsid w:val="00DE2A65"/>
    <w:rsid w:val="00DE2B63"/>
    <w:rsid w:val="00DE2C3E"/>
    <w:rsid w:val="00DE41A3"/>
    <w:rsid w:val="00DE4AF6"/>
    <w:rsid w:val="00DE4CB1"/>
    <w:rsid w:val="00DE50D4"/>
    <w:rsid w:val="00DE560D"/>
    <w:rsid w:val="00DE5FEA"/>
    <w:rsid w:val="00DE66D5"/>
    <w:rsid w:val="00DE6C66"/>
    <w:rsid w:val="00DF09DF"/>
    <w:rsid w:val="00DF0D05"/>
    <w:rsid w:val="00DF1429"/>
    <w:rsid w:val="00DF14BF"/>
    <w:rsid w:val="00DF19E9"/>
    <w:rsid w:val="00DF22C7"/>
    <w:rsid w:val="00DF29D1"/>
    <w:rsid w:val="00DF2FD8"/>
    <w:rsid w:val="00DF5EAB"/>
    <w:rsid w:val="00DF5EFE"/>
    <w:rsid w:val="00DF6096"/>
    <w:rsid w:val="00DF6A67"/>
    <w:rsid w:val="00DF78FC"/>
    <w:rsid w:val="00DF7E6E"/>
    <w:rsid w:val="00E00400"/>
    <w:rsid w:val="00E00609"/>
    <w:rsid w:val="00E01157"/>
    <w:rsid w:val="00E0197A"/>
    <w:rsid w:val="00E01E52"/>
    <w:rsid w:val="00E02281"/>
    <w:rsid w:val="00E024A9"/>
    <w:rsid w:val="00E027E7"/>
    <w:rsid w:val="00E03054"/>
    <w:rsid w:val="00E03FDA"/>
    <w:rsid w:val="00E042E1"/>
    <w:rsid w:val="00E04922"/>
    <w:rsid w:val="00E04EF5"/>
    <w:rsid w:val="00E0530C"/>
    <w:rsid w:val="00E058F3"/>
    <w:rsid w:val="00E06409"/>
    <w:rsid w:val="00E077A7"/>
    <w:rsid w:val="00E10355"/>
    <w:rsid w:val="00E1082C"/>
    <w:rsid w:val="00E10A67"/>
    <w:rsid w:val="00E10EE3"/>
    <w:rsid w:val="00E1110E"/>
    <w:rsid w:val="00E13047"/>
    <w:rsid w:val="00E1397F"/>
    <w:rsid w:val="00E1457A"/>
    <w:rsid w:val="00E14DAA"/>
    <w:rsid w:val="00E1596C"/>
    <w:rsid w:val="00E15F3D"/>
    <w:rsid w:val="00E161D1"/>
    <w:rsid w:val="00E16BFE"/>
    <w:rsid w:val="00E17A12"/>
    <w:rsid w:val="00E17CD5"/>
    <w:rsid w:val="00E203D1"/>
    <w:rsid w:val="00E2089A"/>
    <w:rsid w:val="00E2093B"/>
    <w:rsid w:val="00E213DF"/>
    <w:rsid w:val="00E219F5"/>
    <w:rsid w:val="00E21B0A"/>
    <w:rsid w:val="00E221ED"/>
    <w:rsid w:val="00E2220D"/>
    <w:rsid w:val="00E228EA"/>
    <w:rsid w:val="00E22F3D"/>
    <w:rsid w:val="00E2448A"/>
    <w:rsid w:val="00E245E6"/>
    <w:rsid w:val="00E25617"/>
    <w:rsid w:val="00E25BC8"/>
    <w:rsid w:val="00E25F4E"/>
    <w:rsid w:val="00E263F6"/>
    <w:rsid w:val="00E2657C"/>
    <w:rsid w:val="00E27676"/>
    <w:rsid w:val="00E3067F"/>
    <w:rsid w:val="00E328A3"/>
    <w:rsid w:val="00E32E42"/>
    <w:rsid w:val="00E33576"/>
    <w:rsid w:val="00E335E5"/>
    <w:rsid w:val="00E33E8E"/>
    <w:rsid w:val="00E3476A"/>
    <w:rsid w:val="00E34B3A"/>
    <w:rsid w:val="00E35344"/>
    <w:rsid w:val="00E35609"/>
    <w:rsid w:val="00E36B07"/>
    <w:rsid w:val="00E37021"/>
    <w:rsid w:val="00E37128"/>
    <w:rsid w:val="00E3780B"/>
    <w:rsid w:val="00E4088E"/>
    <w:rsid w:val="00E40D22"/>
    <w:rsid w:val="00E41BE6"/>
    <w:rsid w:val="00E42180"/>
    <w:rsid w:val="00E43962"/>
    <w:rsid w:val="00E44DBD"/>
    <w:rsid w:val="00E456B3"/>
    <w:rsid w:val="00E45704"/>
    <w:rsid w:val="00E45C4E"/>
    <w:rsid w:val="00E4695C"/>
    <w:rsid w:val="00E4788E"/>
    <w:rsid w:val="00E50045"/>
    <w:rsid w:val="00E50AB4"/>
    <w:rsid w:val="00E5123F"/>
    <w:rsid w:val="00E5134A"/>
    <w:rsid w:val="00E51AA9"/>
    <w:rsid w:val="00E51F35"/>
    <w:rsid w:val="00E526C9"/>
    <w:rsid w:val="00E53BC8"/>
    <w:rsid w:val="00E53E24"/>
    <w:rsid w:val="00E53E3B"/>
    <w:rsid w:val="00E54046"/>
    <w:rsid w:val="00E54614"/>
    <w:rsid w:val="00E54B56"/>
    <w:rsid w:val="00E54D17"/>
    <w:rsid w:val="00E5528F"/>
    <w:rsid w:val="00E55BA6"/>
    <w:rsid w:val="00E563FF"/>
    <w:rsid w:val="00E56BEE"/>
    <w:rsid w:val="00E56C58"/>
    <w:rsid w:val="00E57068"/>
    <w:rsid w:val="00E575B9"/>
    <w:rsid w:val="00E5764B"/>
    <w:rsid w:val="00E60320"/>
    <w:rsid w:val="00E6091B"/>
    <w:rsid w:val="00E60A41"/>
    <w:rsid w:val="00E60B0D"/>
    <w:rsid w:val="00E616AF"/>
    <w:rsid w:val="00E62375"/>
    <w:rsid w:val="00E62ECC"/>
    <w:rsid w:val="00E63E8D"/>
    <w:rsid w:val="00E64F8F"/>
    <w:rsid w:val="00E652A4"/>
    <w:rsid w:val="00E65CFC"/>
    <w:rsid w:val="00E661A1"/>
    <w:rsid w:val="00E66202"/>
    <w:rsid w:val="00E67722"/>
    <w:rsid w:val="00E67DCB"/>
    <w:rsid w:val="00E71393"/>
    <w:rsid w:val="00E71602"/>
    <w:rsid w:val="00E7194E"/>
    <w:rsid w:val="00E71B80"/>
    <w:rsid w:val="00E72595"/>
    <w:rsid w:val="00E726F8"/>
    <w:rsid w:val="00E72EB5"/>
    <w:rsid w:val="00E73101"/>
    <w:rsid w:val="00E73358"/>
    <w:rsid w:val="00E73C85"/>
    <w:rsid w:val="00E73CE8"/>
    <w:rsid w:val="00E748AF"/>
    <w:rsid w:val="00E74C5A"/>
    <w:rsid w:val="00E77615"/>
    <w:rsid w:val="00E77D37"/>
    <w:rsid w:val="00E77EB9"/>
    <w:rsid w:val="00E812A1"/>
    <w:rsid w:val="00E81859"/>
    <w:rsid w:val="00E8240A"/>
    <w:rsid w:val="00E82824"/>
    <w:rsid w:val="00E8311C"/>
    <w:rsid w:val="00E8369D"/>
    <w:rsid w:val="00E8384C"/>
    <w:rsid w:val="00E8386E"/>
    <w:rsid w:val="00E8393C"/>
    <w:rsid w:val="00E83D23"/>
    <w:rsid w:val="00E83D63"/>
    <w:rsid w:val="00E84BF2"/>
    <w:rsid w:val="00E85076"/>
    <w:rsid w:val="00E85359"/>
    <w:rsid w:val="00E858FC"/>
    <w:rsid w:val="00E859CF"/>
    <w:rsid w:val="00E86892"/>
    <w:rsid w:val="00E8731E"/>
    <w:rsid w:val="00E87447"/>
    <w:rsid w:val="00E87510"/>
    <w:rsid w:val="00E90269"/>
    <w:rsid w:val="00E907D1"/>
    <w:rsid w:val="00E90B40"/>
    <w:rsid w:val="00E90D31"/>
    <w:rsid w:val="00E90ECB"/>
    <w:rsid w:val="00E90EEC"/>
    <w:rsid w:val="00E91230"/>
    <w:rsid w:val="00E91267"/>
    <w:rsid w:val="00E928B5"/>
    <w:rsid w:val="00E92A8A"/>
    <w:rsid w:val="00E931F3"/>
    <w:rsid w:val="00E93ABE"/>
    <w:rsid w:val="00E93B5F"/>
    <w:rsid w:val="00E94861"/>
    <w:rsid w:val="00E94BF1"/>
    <w:rsid w:val="00E95085"/>
    <w:rsid w:val="00E95D89"/>
    <w:rsid w:val="00E960C9"/>
    <w:rsid w:val="00E9626F"/>
    <w:rsid w:val="00E96DB1"/>
    <w:rsid w:val="00E9766C"/>
    <w:rsid w:val="00EA05C7"/>
    <w:rsid w:val="00EA146E"/>
    <w:rsid w:val="00EA1697"/>
    <w:rsid w:val="00EA1A07"/>
    <w:rsid w:val="00EA1E4C"/>
    <w:rsid w:val="00EA23DD"/>
    <w:rsid w:val="00EA26DE"/>
    <w:rsid w:val="00EA2BA4"/>
    <w:rsid w:val="00EA423B"/>
    <w:rsid w:val="00EA44EF"/>
    <w:rsid w:val="00EA4BF9"/>
    <w:rsid w:val="00EA4DA2"/>
    <w:rsid w:val="00EA54BF"/>
    <w:rsid w:val="00EA58FC"/>
    <w:rsid w:val="00EA5A75"/>
    <w:rsid w:val="00EA6229"/>
    <w:rsid w:val="00EA640F"/>
    <w:rsid w:val="00EA6526"/>
    <w:rsid w:val="00EA696A"/>
    <w:rsid w:val="00EA6C00"/>
    <w:rsid w:val="00EA6FA1"/>
    <w:rsid w:val="00EA771E"/>
    <w:rsid w:val="00EA7AB1"/>
    <w:rsid w:val="00EB0FC3"/>
    <w:rsid w:val="00EB1A02"/>
    <w:rsid w:val="00EB1D19"/>
    <w:rsid w:val="00EB23C4"/>
    <w:rsid w:val="00EB29B6"/>
    <w:rsid w:val="00EB2A18"/>
    <w:rsid w:val="00EB35FA"/>
    <w:rsid w:val="00EB426F"/>
    <w:rsid w:val="00EB4592"/>
    <w:rsid w:val="00EB55CC"/>
    <w:rsid w:val="00EB5C6E"/>
    <w:rsid w:val="00EB5C9F"/>
    <w:rsid w:val="00EB5E92"/>
    <w:rsid w:val="00EB6652"/>
    <w:rsid w:val="00EB75B5"/>
    <w:rsid w:val="00EB7DEB"/>
    <w:rsid w:val="00EC1A82"/>
    <w:rsid w:val="00EC1E4B"/>
    <w:rsid w:val="00EC3F9A"/>
    <w:rsid w:val="00EC57DB"/>
    <w:rsid w:val="00EC68AE"/>
    <w:rsid w:val="00EC6BA3"/>
    <w:rsid w:val="00EC71BE"/>
    <w:rsid w:val="00EC7D80"/>
    <w:rsid w:val="00EC7DEB"/>
    <w:rsid w:val="00ED0725"/>
    <w:rsid w:val="00ED0F11"/>
    <w:rsid w:val="00ED170A"/>
    <w:rsid w:val="00ED1EB5"/>
    <w:rsid w:val="00ED2AE4"/>
    <w:rsid w:val="00ED419D"/>
    <w:rsid w:val="00ED51AE"/>
    <w:rsid w:val="00ED5204"/>
    <w:rsid w:val="00ED55E0"/>
    <w:rsid w:val="00ED6757"/>
    <w:rsid w:val="00ED687C"/>
    <w:rsid w:val="00ED6BF9"/>
    <w:rsid w:val="00ED7120"/>
    <w:rsid w:val="00ED73C6"/>
    <w:rsid w:val="00ED7E3B"/>
    <w:rsid w:val="00EE01E8"/>
    <w:rsid w:val="00EE03D7"/>
    <w:rsid w:val="00EE0A29"/>
    <w:rsid w:val="00EE174B"/>
    <w:rsid w:val="00EE190C"/>
    <w:rsid w:val="00EE1C6D"/>
    <w:rsid w:val="00EE20FC"/>
    <w:rsid w:val="00EE2829"/>
    <w:rsid w:val="00EE2985"/>
    <w:rsid w:val="00EE40C5"/>
    <w:rsid w:val="00EE48A0"/>
    <w:rsid w:val="00EE4A4A"/>
    <w:rsid w:val="00EE4FD5"/>
    <w:rsid w:val="00EE54EE"/>
    <w:rsid w:val="00EE6115"/>
    <w:rsid w:val="00EE6916"/>
    <w:rsid w:val="00EE6F4C"/>
    <w:rsid w:val="00EE72D5"/>
    <w:rsid w:val="00EE7405"/>
    <w:rsid w:val="00EE7438"/>
    <w:rsid w:val="00EF32AC"/>
    <w:rsid w:val="00EF3AA4"/>
    <w:rsid w:val="00EF3CFA"/>
    <w:rsid w:val="00EF405F"/>
    <w:rsid w:val="00EF414A"/>
    <w:rsid w:val="00EF61FD"/>
    <w:rsid w:val="00EF62FB"/>
    <w:rsid w:val="00EF672A"/>
    <w:rsid w:val="00EF77B5"/>
    <w:rsid w:val="00EF7AC5"/>
    <w:rsid w:val="00EF7ADC"/>
    <w:rsid w:val="00F0013D"/>
    <w:rsid w:val="00F00F1C"/>
    <w:rsid w:val="00F01603"/>
    <w:rsid w:val="00F017CF"/>
    <w:rsid w:val="00F01983"/>
    <w:rsid w:val="00F021EA"/>
    <w:rsid w:val="00F02B3B"/>
    <w:rsid w:val="00F02CD7"/>
    <w:rsid w:val="00F03915"/>
    <w:rsid w:val="00F043E7"/>
    <w:rsid w:val="00F05116"/>
    <w:rsid w:val="00F06B45"/>
    <w:rsid w:val="00F06F30"/>
    <w:rsid w:val="00F0715C"/>
    <w:rsid w:val="00F10F6F"/>
    <w:rsid w:val="00F124E5"/>
    <w:rsid w:val="00F125FA"/>
    <w:rsid w:val="00F12788"/>
    <w:rsid w:val="00F136C8"/>
    <w:rsid w:val="00F13FDA"/>
    <w:rsid w:val="00F14A0C"/>
    <w:rsid w:val="00F14A25"/>
    <w:rsid w:val="00F14CBE"/>
    <w:rsid w:val="00F16219"/>
    <w:rsid w:val="00F162EE"/>
    <w:rsid w:val="00F165EB"/>
    <w:rsid w:val="00F20E1C"/>
    <w:rsid w:val="00F20F92"/>
    <w:rsid w:val="00F2172A"/>
    <w:rsid w:val="00F218AA"/>
    <w:rsid w:val="00F22BE6"/>
    <w:rsid w:val="00F23133"/>
    <w:rsid w:val="00F232EA"/>
    <w:rsid w:val="00F23767"/>
    <w:rsid w:val="00F23D72"/>
    <w:rsid w:val="00F23E0E"/>
    <w:rsid w:val="00F24092"/>
    <w:rsid w:val="00F244E4"/>
    <w:rsid w:val="00F249A1"/>
    <w:rsid w:val="00F24D88"/>
    <w:rsid w:val="00F250CA"/>
    <w:rsid w:val="00F25E20"/>
    <w:rsid w:val="00F2611B"/>
    <w:rsid w:val="00F2663F"/>
    <w:rsid w:val="00F26801"/>
    <w:rsid w:val="00F27D7E"/>
    <w:rsid w:val="00F30424"/>
    <w:rsid w:val="00F3066E"/>
    <w:rsid w:val="00F30EEC"/>
    <w:rsid w:val="00F31857"/>
    <w:rsid w:val="00F31A0F"/>
    <w:rsid w:val="00F323F0"/>
    <w:rsid w:val="00F336B0"/>
    <w:rsid w:val="00F33C12"/>
    <w:rsid w:val="00F33FD6"/>
    <w:rsid w:val="00F3414E"/>
    <w:rsid w:val="00F34186"/>
    <w:rsid w:val="00F35AD4"/>
    <w:rsid w:val="00F35BC3"/>
    <w:rsid w:val="00F366E8"/>
    <w:rsid w:val="00F36AD0"/>
    <w:rsid w:val="00F36B6C"/>
    <w:rsid w:val="00F36BD2"/>
    <w:rsid w:val="00F40AF3"/>
    <w:rsid w:val="00F4197C"/>
    <w:rsid w:val="00F41E82"/>
    <w:rsid w:val="00F41EC6"/>
    <w:rsid w:val="00F42044"/>
    <w:rsid w:val="00F4235F"/>
    <w:rsid w:val="00F426E7"/>
    <w:rsid w:val="00F42FC6"/>
    <w:rsid w:val="00F43295"/>
    <w:rsid w:val="00F43371"/>
    <w:rsid w:val="00F43A1F"/>
    <w:rsid w:val="00F44A0D"/>
    <w:rsid w:val="00F45909"/>
    <w:rsid w:val="00F4651B"/>
    <w:rsid w:val="00F46643"/>
    <w:rsid w:val="00F47B89"/>
    <w:rsid w:val="00F50D87"/>
    <w:rsid w:val="00F51B40"/>
    <w:rsid w:val="00F52234"/>
    <w:rsid w:val="00F5350B"/>
    <w:rsid w:val="00F53B0B"/>
    <w:rsid w:val="00F53C24"/>
    <w:rsid w:val="00F544D7"/>
    <w:rsid w:val="00F54731"/>
    <w:rsid w:val="00F548EA"/>
    <w:rsid w:val="00F54929"/>
    <w:rsid w:val="00F55230"/>
    <w:rsid w:val="00F55940"/>
    <w:rsid w:val="00F56ACA"/>
    <w:rsid w:val="00F571F3"/>
    <w:rsid w:val="00F575BC"/>
    <w:rsid w:val="00F6067F"/>
    <w:rsid w:val="00F606F2"/>
    <w:rsid w:val="00F6185F"/>
    <w:rsid w:val="00F62147"/>
    <w:rsid w:val="00F6371E"/>
    <w:rsid w:val="00F6389B"/>
    <w:rsid w:val="00F64590"/>
    <w:rsid w:val="00F648B9"/>
    <w:rsid w:val="00F64FEA"/>
    <w:rsid w:val="00F65517"/>
    <w:rsid w:val="00F658A9"/>
    <w:rsid w:val="00F65ADA"/>
    <w:rsid w:val="00F66B7D"/>
    <w:rsid w:val="00F66F86"/>
    <w:rsid w:val="00F67212"/>
    <w:rsid w:val="00F67524"/>
    <w:rsid w:val="00F675D4"/>
    <w:rsid w:val="00F70EEB"/>
    <w:rsid w:val="00F71189"/>
    <w:rsid w:val="00F72463"/>
    <w:rsid w:val="00F73271"/>
    <w:rsid w:val="00F74CC2"/>
    <w:rsid w:val="00F7612C"/>
    <w:rsid w:val="00F76300"/>
    <w:rsid w:val="00F7650F"/>
    <w:rsid w:val="00F7723B"/>
    <w:rsid w:val="00F77537"/>
    <w:rsid w:val="00F7788D"/>
    <w:rsid w:val="00F80180"/>
    <w:rsid w:val="00F81CC2"/>
    <w:rsid w:val="00F820F5"/>
    <w:rsid w:val="00F826AE"/>
    <w:rsid w:val="00F82D4C"/>
    <w:rsid w:val="00F8334A"/>
    <w:rsid w:val="00F835CA"/>
    <w:rsid w:val="00F83675"/>
    <w:rsid w:val="00F83688"/>
    <w:rsid w:val="00F83E98"/>
    <w:rsid w:val="00F8474D"/>
    <w:rsid w:val="00F853ED"/>
    <w:rsid w:val="00F860E8"/>
    <w:rsid w:val="00F86813"/>
    <w:rsid w:val="00F86930"/>
    <w:rsid w:val="00F86B31"/>
    <w:rsid w:val="00F87507"/>
    <w:rsid w:val="00F90B00"/>
    <w:rsid w:val="00F91101"/>
    <w:rsid w:val="00F91B6A"/>
    <w:rsid w:val="00F91FB9"/>
    <w:rsid w:val="00F936DA"/>
    <w:rsid w:val="00F945A3"/>
    <w:rsid w:val="00F945DD"/>
    <w:rsid w:val="00F9465B"/>
    <w:rsid w:val="00F94D51"/>
    <w:rsid w:val="00F94DD7"/>
    <w:rsid w:val="00F9617D"/>
    <w:rsid w:val="00F96437"/>
    <w:rsid w:val="00F964F8"/>
    <w:rsid w:val="00F96957"/>
    <w:rsid w:val="00F969A0"/>
    <w:rsid w:val="00F97A92"/>
    <w:rsid w:val="00F97D7E"/>
    <w:rsid w:val="00FA14BE"/>
    <w:rsid w:val="00FA1637"/>
    <w:rsid w:val="00FA16D2"/>
    <w:rsid w:val="00FA189F"/>
    <w:rsid w:val="00FA210F"/>
    <w:rsid w:val="00FA3450"/>
    <w:rsid w:val="00FA3B36"/>
    <w:rsid w:val="00FA3C7D"/>
    <w:rsid w:val="00FA486B"/>
    <w:rsid w:val="00FA495A"/>
    <w:rsid w:val="00FA4DCA"/>
    <w:rsid w:val="00FA618D"/>
    <w:rsid w:val="00FA6B5E"/>
    <w:rsid w:val="00FA6BE9"/>
    <w:rsid w:val="00FA6D78"/>
    <w:rsid w:val="00FB010B"/>
    <w:rsid w:val="00FB2287"/>
    <w:rsid w:val="00FB235C"/>
    <w:rsid w:val="00FB24BA"/>
    <w:rsid w:val="00FB3922"/>
    <w:rsid w:val="00FB3E9A"/>
    <w:rsid w:val="00FB412A"/>
    <w:rsid w:val="00FB41EC"/>
    <w:rsid w:val="00FB4B17"/>
    <w:rsid w:val="00FB4D5A"/>
    <w:rsid w:val="00FB5189"/>
    <w:rsid w:val="00FB51F2"/>
    <w:rsid w:val="00FB5D7E"/>
    <w:rsid w:val="00FB607F"/>
    <w:rsid w:val="00FB6392"/>
    <w:rsid w:val="00FB6EA4"/>
    <w:rsid w:val="00FC03BB"/>
    <w:rsid w:val="00FC06E6"/>
    <w:rsid w:val="00FC06EA"/>
    <w:rsid w:val="00FC1516"/>
    <w:rsid w:val="00FC1BD8"/>
    <w:rsid w:val="00FC27BA"/>
    <w:rsid w:val="00FC2EA0"/>
    <w:rsid w:val="00FC37AB"/>
    <w:rsid w:val="00FC384E"/>
    <w:rsid w:val="00FC49C4"/>
    <w:rsid w:val="00FC5369"/>
    <w:rsid w:val="00FC5D93"/>
    <w:rsid w:val="00FC651D"/>
    <w:rsid w:val="00FC6F83"/>
    <w:rsid w:val="00FC756D"/>
    <w:rsid w:val="00FC7D39"/>
    <w:rsid w:val="00FC7DFE"/>
    <w:rsid w:val="00FD06E3"/>
    <w:rsid w:val="00FD0963"/>
    <w:rsid w:val="00FD0B15"/>
    <w:rsid w:val="00FD0FF2"/>
    <w:rsid w:val="00FD12C0"/>
    <w:rsid w:val="00FD20CF"/>
    <w:rsid w:val="00FD22EA"/>
    <w:rsid w:val="00FD2676"/>
    <w:rsid w:val="00FD26CE"/>
    <w:rsid w:val="00FD2F61"/>
    <w:rsid w:val="00FD3D53"/>
    <w:rsid w:val="00FD497F"/>
    <w:rsid w:val="00FD5BF6"/>
    <w:rsid w:val="00FD6FB9"/>
    <w:rsid w:val="00FD71C6"/>
    <w:rsid w:val="00FD73F3"/>
    <w:rsid w:val="00FD75C6"/>
    <w:rsid w:val="00FD76F9"/>
    <w:rsid w:val="00FE00CA"/>
    <w:rsid w:val="00FE020D"/>
    <w:rsid w:val="00FE0662"/>
    <w:rsid w:val="00FE0667"/>
    <w:rsid w:val="00FE0CDE"/>
    <w:rsid w:val="00FE2105"/>
    <w:rsid w:val="00FE2142"/>
    <w:rsid w:val="00FE2EC4"/>
    <w:rsid w:val="00FE2F0D"/>
    <w:rsid w:val="00FE3091"/>
    <w:rsid w:val="00FE3997"/>
    <w:rsid w:val="00FE3D8A"/>
    <w:rsid w:val="00FE4475"/>
    <w:rsid w:val="00FE5849"/>
    <w:rsid w:val="00FE5C28"/>
    <w:rsid w:val="00FE5CB4"/>
    <w:rsid w:val="00FE6970"/>
    <w:rsid w:val="00FE75F3"/>
    <w:rsid w:val="00FF003B"/>
    <w:rsid w:val="00FF099E"/>
    <w:rsid w:val="00FF122B"/>
    <w:rsid w:val="00FF2140"/>
    <w:rsid w:val="00FF303D"/>
    <w:rsid w:val="00FF34C6"/>
    <w:rsid w:val="00FF3B8A"/>
    <w:rsid w:val="00FF3C89"/>
    <w:rsid w:val="00FF3DFF"/>
    <w:rsid w:val="00FF4288"/>
    <w:rsid w:val="00FF4C33"/>
    <w:rsid w:val="00FF587B"/>
    <w:rsid w:val="00FF59CA"/>
    <w:rsid w:val="00FF59E4"/>
    <w:rsid w:val="00FF60B6"/>
    <w:rsid w:val="00FF7415"/>
    <w:rsid w:val="00FF761A"/>
    <w:rsid w:val="00FF78A2"/>
    <w:rsid w:val="00FF78CA"/>
    <w:rsid w:val="00FF7EFD"/>
    <w:rsid w:val="0163641A"/>
    <w:rsid w:val="019AE4C4"/>
    <w:rsid w:val="01B3F21B"/>
    <w:rsid w:val="022D4367"/>
    <w:rsid w:val="02A230FA"/>
    <w:rsid w:val="02FF4E80"/>
    <w:rsid w:val="03075690"/>
    <w:rsid w:val="03252786"/>
    <w:rsid w:val="03E7C795"/>
    <w:rsid w:val="0537E6A7"/>
    <w:rsid w:val="056DBCCD"/>
    <w:rsid w:val="05F326EF"/>
    <w:rsid w:val="076CA002"/>
    <w:rsid w:val="07CE01FA"/>
    <w:rsid w:val="0861F8BA"/>
    <w:rsid w:val="09089B35"/>
    <w:rsid w:val="091EBCA9"/>
    <w:rsid w:val="093CFEFB"/>
    <w:rsid w:val="0967E2F3"/>
    <w:rsid w:val="09841CC3"/>
    <w:rsid w:val="09AA2F25"/>
    <w:rsid w:val="0A0BBEB0"/>
    <w:rsid w:val="0A2B6519"/>
    <w:rsid w:val="0A2C084E"/>
    <w:rsid w:val="0A78772E"/>
    <w:rsid w:val="0B04846F"/>
    <w:rsid w:val="0B3A1101"/>
    <w:rsid w:val="0B52A1E6"/>
    <w:rsid w:val="0D3CF555"/>
    <w:rsid w:val="0D3D423D"/>
    <w:rsid w:val="0D9A8B31"/>
    <w:rsid w:val="0DE5D910"/>
    <w:rsid w:val="0DF5376C"/>
    <w:rsid w:val="0E3A9E92"/>
    <w:rsid w:val="0E7CC782"/>
    <w:rsid w:val="0ECC9816"/>
    <w:rsid w:val="0F2ABEE9"/>
    <w:rsid w:val="0F68ED2B"/>
    <w:rsid w:val="0FA0117F"/>
    <w:rsid w:val="115A1ACC"/>
    <w:rsid w:val="126EFC07"/>
    <w:rsid w:val="129E782C"/>
    <w:rsid w:val="12D51725"/>
    <w:rsid w:val="136551DA"/>
    <w:rsid w:val="13EF0629"/>
    <w:rsid w:val="1497F681"/>
    <w:rsid w:val="14F960C8"/>
    <w:rsid w:val="16310C2F"/>
    <w:rsid w:val="175313B3"/>
    <w:rsid w:val="178D3ACD"/>
    <w:rsid w:val="17A51794"/>
    <w:rsid w:val="17DEF26E"/>
    <w:rsid w:val="18FE6F90"/>
    <w:rsid w:val="1954BD1A"/>
    <w:rsid w:val="19A9D405"/>
    <w:rsid w:val="1A14B633"/>
    <w:rsid w:val="1A4530CA"/>
    <w:rsid w:val="1AEFBD6F"/>
    <w:rsid w:val="1B0C0A41"/>
    <w:rsid w:val="1BCB9CC5"/>
    <w:rsid w:val="1BF60E80"/>
    <w:rsid w:val="1D10A6E4"/>
    <w:rsid w:val="1D77546F"/>
    <w:rsid w:val="1F2C4D3D"/>
    <w:rsid w:val="1F94D41C"/>
    <w:rsid w:val="2051FE9D"/>
    <w:rsid w:val="2096ACA9"/>
    <w:rsid w:val="213B7FA4"/>
    <w:rsid w:val="21B350E9"/>
    <w:rsid w:val="225CAD38"/>
    <w:rsid w:val="227DFF7B"/>
    <w:rsid w:val="22C7300C"/>
    <w:rsid w:val="2305C313"/>
    <w:rsid w:val="230FDF26"/>
    <w:rsid w:val="23FEE313"/>
    <w:rsid w:val="257677AC"/>
    <w:rsid w:val="25A6EEA1"/>
    <w:rsid w:val="2642FE21"/>
    <w:rsid w:val="268C9DEB"/>
    <w:rsid w:val="2706D60F"/>
    <w:rsid w:val="27979002"/>
    <w:rsid w:val="27CEFF2D"/>
    <w:rsid w:val="27FFAC86"/>
    <w:rsid w:val="2830DC8A"/>
    <w:rsid w:val="2842CB5C"/>
    <w:rsid w:val="28658372"/>
    <w:rsid w:val="29FDDCD7"/>
    <w:rsid w:val="29FF1F06"/>
    <w:rsid w:val="2A4D8699"/>
    <w:rsid w:val="2A50F253"/>
    <w:rsid w:val="2B5DD738"/>
    <w:rsid w:val="2BEA1254"/>
    <w:rsid w:val="2C28832A"/>
    <w:rsid w:val="2C30D1BD"/>
    <w:rsid w:val="2D3FAEB2"/>
    <w:rsid w:val="2DE562B9"/>
    <w:rsid w:val="2E484220"/>
    <w:rsid w:val="2F7AFB5F"/>
    <w:rsid w:val="3000921B"/>
    <w:rsid w:val="3007B0A6"/>
    <w:rsid w:val="30193D0A"/>
    <w:rsid w:val="30325CBB"/>
    <w:rsid w:val="30570CB9"/>
    <w:rsid w:val="30711E90"/>
    <w:rsid w:val="30AB1B16"/>
    <w:rsid w:val="31F9D81D"/>
    <w:rsid w:val="3410B707"/>
    <w:rsid w:val="34266D09"/>
    <w:rsid w:val="3447D7CA"/>
    <w:rsid w:val="34F9D69D"/>
    <w:rsid w:val="3532286E"/>
    <w:rsid w:val="355DC150"/>
    <w:rsid w:val="3567D275"/>
    <w:rsid w:val="35927962"/>
    <w:rsid w:val="35C49619"/>
    <w:rsid w:val="374093C7"/>
    <w:rsid w:val="375391D3"/>
    <w:rsid w:val="375C4715"/>
    <w:rsid w:val="3783CD2D"/>
    <w:rsid w:val="37CC4640"/>
    <w:rsid w:val="3897A20E"/>
    <w:rsid w:val="38D239A5"/>
    <w:rsid w:val="38E82328"/>
    <w:rsid w:val="3A286516"/>
    <w:rsid w:val="3AB9768F"/>
    <w:rsid w:val="3C7600A3"/>
    <w:rsid w:val="3CB3D3B8"/>
    <w:rsid w:val="3DBE1B39"/>
    <w:rsid w:val="3E4FDFCA"/>
    <w:rsid w:val="3E84B53A"/>
    <w:rsid w:val="3F75A927"/>
    <w:rsid w:val="3FB771A2"/>
    <w:rsid w:val="3FBDC959"/>
    <w:rsid w:val="40BC068B"/>
    <w:rsid w:val="414FAA9F"/>
    <w:rsid w:val="41BE2587"/>
    <w:rsid w:val="4298D2EC"/>
    <w:rsid w:val="42EACFC9"/>
    <w:rsid w:val="43756521"/>
    <w:rsid w:val="43765585"/>
    <w:rsid w:val="444237E9"/>
    <w:rsid w:val="4447E355"/>
    <w:rsid w:val="4454FD19"/>
    <w:rsid w:val="44B0A2B6"/>
    <w:rsid w:val="45A1BD17"/>
    <w:rsid w:val="4613A4A7"/>
    <w:rsid w:val="4661827A"/>
    <w:rsid w:val="467003D7"/>
    <w:rsid w:val="47BE40EC"/>
    <w:rsid w:val="47D11364"/>
    <w:rsid w:val="47FC18A9"/>
    <w:rsid w:val="4911CCAE"/>
    <w:rsid w:val="495FDE1C"/>
    <w:rsid w:val="49634FA9"/>
    <w:rsid w:val="4991DB94"/>
    <w:rsid w:val="49C2769F"/>
    <w:rsid w:val="4AE05E7B"/>
    <w:rsid w:val="4AF5E1AE"/>
    <w:rsid w:val="4AFECE21"/>
    <w:rsid w:val="4B51FB94"/>
    <w:rsid w:val="4B771B86"/>
    <w:rsid w:val="4BB2255A"/>
    <w:rsid w:val="4C3A424F"/>
    <w:rsid w:val="4C7D689D"/>
    <w:rsid w:val="4C817C1C"/>
    <w:rsid w:val="4D5C129B"/>
    <w:rsid w:val="4DD84951"/>
    <w:rsid w:val="4E44F6B0"/>
    <w:rsid w:val="4E59D24D"/>
    <w:rsid w:val="4EAEB610"/>
    <w:rsid w:val="4F9225D9"/>
    <w:rsid w:val="4FDF71B4"/>
    <w:rsid w:val="502EF4E9"/>
    <w:rsid w:val="5267181A"/>
    <w:rsid w:val="52EB36D1"/>
    <w:rsid w:val="539357A4"/>
    <w:rsid w:val="54F132B3"/>
    <w:rsid w:val="557A89D5"/>
    <w:rsid w:val="567CF062"/>
    <w:rsid w:val="5692FD32"/>
    <w:rsid w:val="56980C26"/>
    <w:rsid w:val="5714C550"/>
    <w:rsid w:val="578D34B6"/>
    <w:rsid w:val="579FE7B7"/>
    <w:rsid w:val="5A3005B7"/>
    <w:rsid w:val="5A5F133A"/>
    <w:rsid w:val="5AA7F347"/>
    <w:rsid w:val="5AB6290B"/>
    <w:rsid w:val="5B29018E"/>
    <w:rsid w:val="5B57218F"/>
    <w:rsid w:val="5B87E21C"/>
    <w:rsid w:val="5BFE37A2"/>
    <w:rsid w:val="5C695528"/>
    <w:rsid w:val="5C97DB05"/>
    <w:rsid w:val="5D8348BC"/>
    <w:rsid w:val="5E0CA09F"/>
    <w:rsid w:val="5E46DACE"/>
    <w:rsid w:val="5E77BC79"/>
    <w:rsid w:val="5E8579D2"/>
    <w:rsid w:val="5F62E5D9"/>
    <w:rsid w:val="60341160"/>
    <w:rsid w:val="60697615"/>
    <w:rsid w:val="6138DFD1"/>
    <w:rsid w:val="615072DE"/>
    <w:rsid w:val="61ED7334"/>
    <w:rsid w:val="61F3CA00"/>
    <w:rsid w:val="63536FD2"/>
    <w:rsid w:val="6461284A"/>
    <w:rsid w:val="648426C5"/>
    <w:rsid w:val="649F7911"/>
    <w:rsid w:val="657DC463"/>
    <w:rsid w:val="658563D7"/>
    <w:rsid w:val="658EE7F4"/>
    <w:rsid w:val="65FE1CDC"/>
    <w:rsid w:val="668F277C"/>
    <w:rsid w:val="6834698D"/>
    <w:rsid w:val="68425875"/>
    <w:rsid w:val="691268C8"/>
    <w:rsid w:val="69AE6355"/>
    <w:rsid w:val="6A08139D"/>
    <w:rsid w:val="6C57FB80"/>
    <w:rsid w:val="6C68371C"/>
    <w:rsid w:val="6CA28C84"/>
    <w:rsid w:val="6CE0ABA6"/>
    <w:rsid w:val="6CEE0262"/>
    <w:rsid w:val="6D0CA653"/>
    <w:rsid w:val="6D0D04C2"/>
    <w:rsid w:val="6D1A5D1F"/>
    <w:rsid w:val="6D3F2B5B"/>
    <w:rsid w:val="6D4F1C5A"/>
    <w:rsid w:val="6D9A1EF3"/>
    <w:rsid w:val="6DEAE312"/>
    <w:rsid w:val="6E0FEA47"/>
    <w:rsid w:val="6E24B7BE"/>
    <w:rsid w:val="6E4D5C2D"/>
    <w:rsid w:val="6F140A4B"/>
    <w:rsid w:val="70466313"/>
    <w:rsid w:val="708D47E8"/>
    <w:rsid w:val="71471CEB"/>
    <w:rsid w:val="7168B83F"/>
    <w:rsid w:val="71A8B9B4"/>
    <w:rsid w:val="71D761F1"/>
    <w:rsid w:val="722AF605"/>
    <w:rsid w:val="72594A32"/>
    <w:rsid w:val="726E8E07"/>
    <w:rsid w:val="72A262C6"/>
    <w:rsid w:val="72F89D17"/>
    <w:rsid w:val="7315FCBB"/>
    <w:rsid w:val="7343750E"/>
    <w:rsid w:val="73BD2EEE"/>
    <w:rsid w:val="7460E03F"/>
    <w:rsid w:val="75612A25"/>
    <w:rsid w:val="75693088"/>
    <w:rsid w:val="759B5B67"/>
    <w:rsid w:val="75B01096"/>
    <w:rsid w:val="762A19C3"/>
    <w:rsid w:val="76AA0BB2"/>
    <w:rsid w:val="772D3300"/>
    <w:rsid w:val="774D67D3"/>
    <w:rsid w:val="778D3BD7"/>
    <w:rsid w:val="78016C35"/>
    <w:rsid w:val="7867AB4B"/>
    <w:rsid w:val="78B9A842"/>
    <w:rsid w:val="78C68738"/>
    <w:rsid w:val="78E768C6"/>
    <w:rsid w:val="7A2675ED"/>
    <w:rsid w:val="7A434481"/>
    <w:rsid w:val="7A8AF17E"/>
    <w:rsid w:val="7AB247E5"/>
    <w:rsid w:val="7ADF511C"/>
    <w:rsid w:val="7AF80E0D"/>
    <w:rsid w:val="7B2186AC"/>
    <w:rsid w:val="7B7ECA17"/>
    <w:rsid w:val="7CE77C62"/>
    <w:rsid w:val="7D4D7988"/>
    <w:rsid w:val="7DB99BF5"/>
    <w:rsid w:val="7DEEE798"/>
    <w:rsid w:val="7EE6ABB9"/>
    <w:rsid w:val="7F287E61"/>
    <w:rsid w:val="7F334370"/>
    <w:rsid w:val="7F70A716"/>
    <w:rsid w:val="7F7D5365"/>
    <w:rsid w:val="7F7F3D44"/>
    <w:rsid w:val="7F84CE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0848CA"/>
  <w15:chartTrackingRefBased/>
  <w15:docId w15:val="{038E2289-5D62-40C7-BB23-1227355A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D222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3D222C"/>
    <w:pPr>
      <w:spacing w:before="240"/>
      <w:outlineLvl w:val="1"/>
    </w:pPr>
    <w:rPr>
      <w:b/>
      <w:i/>
      <w:kern w:val="28"/>
      <w:sz w:val="28"/>
      <w:szCs w:val="28"/>
    </w:rPr>
  </w:style>
  <w:style w:type="paragraph" w:styleId="Heading3">
    <w:name w:val="heading 3"/>
    <w:basedOn w:val="Normal"/>
    <w:next w:val="Normal"/>
    <w:link w:val="Heading3Char"/>
    <w:uiPriority w:val="9"/>
    <w:semiHidden/>
    <w:unhideWhenUsed/>
    <w:qFormat/>
    <w:rsid w:val="000511E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2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2C"/>
    <w:rPr>
      <w:rFonts w:ascii="Segoe UI" w:hAnsi="Segoe UI" w:cs="Segoe UI"/>
      <w:sz w:val="18"/>
      <w:szCs w:val="18"/>
    </w:rPr>
  </w:style>
  <w:style w:type="character" w:customStyle="1" w:styleId="Heading2Char">
    <w:name w:val="Heading 2 Char"/>
    <w:basedOn w:val="DefaultParagraphFont"/>
    <w:link w:val="Heading2"/>
    <w:rsid w:val="003D222C"/>
    <w:rPr>
      <w:rFonts w:ascii="Arial" w:eastAsia="Times New Roman" w:hAnsi="Arial" w:cs="Times New Roman"/>
      <w:b/>
      <w:i/>
      <w:kern w:val="28"/>
      <w:sz w:val="28"/>
      <w:szCs w:val="2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3D222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3D222C"/>
    <w:rPr>
      <w:rFonts w:ascii="Arial" w:eastAsia="Times New Roman" w:hAnsi="Arial" w:cs="Times New Roman"/>
      <w:sz w:val="24"/>
      <w:szCs w:val="20"/>
      <w:lang w:eastAsia="en-GB"/>
    </w:rPr>
  </w:style>
  <w:style w:type="table" w:styleId="TableGrid">
    <w:name w:val="Table Grid"/>
    <w:basedOn w:val="TableNormal"/>
    <w:uiPriority w:val="39"/>
    <w:rsid w:val="003D22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D222C"/>
    <w:rPr>
      <w:color w:val="0563C1" w:themeColor="hyperlink"/>
      <w:u w:val="single"/>
    </w:rPr>
  </w:style>
  <w:style w:type="paragraph" w:styleId="Header">
    <w:name w:val="header"/>
    <w:basedOn w:val="Normal"/>
    <w:link w:val="HeaderChar"/>
    <w:uiPriority w:val="99"/>
    <w:unhideWhenUsed/>
    <w:rsid w:val="003D222C"/>
    <w:pPr>
      <w:tabs>
        <w:tab w:val="center" w:pos="4513"/>
        <w:tab w:val="right" w:pos="9026"/>
      </w:tabs>
    </w:pPr>
  </w:style>
  <w:style w:type="character" w:customStyle="1" w:styleId="HeaderChar">
    <w:name w:val="Header Char"/>
    <w:basedOn w:val="DefaultParagraphFont"/>
    <w:link w:val="Header"/>
    <w:uiPriority w:val="99"/>
    <w:rsid w:val="003D222C"/>
    <w:rPr>
      <w:rFonts w:ascii="Arial" w:eastAsia="Times New Roman" w:hAnsi="Arial" w:cs="Times New Roman"/>
      <w:sz w:val="24"/>
      <w:szCs w:val="24"/>
    </w:rPr>
  </w:style>
  <w:style w:type="paragraph" w:styleId="Footer">
    <w:name w:val="footer"/>
    <w:basedOn w:val="Normal"/>
    <w:link w:val="FooterChar"/>
    <w:uiPriority w:val="99"/>
    <w:unhideWhenUsed/>
    <w:rsid w:val="001A4AA4"/>
    <w:pPr>
      <w:tabs>
        <w:tab w:val="center" w:pos="4513"/>
        <w:tab w:val="right" w:pos="9026"/>
      </w:tabs>
    </w:pPr>
  </w:style>
  <w:style w:type="character" w:customStyle="1" w:styleId="FooterChar">
    <w:name w:val="Footer Char"/>
    <w:basedOn w:val="DefaultParagraphFont"/>
    <w:link w:val="Footer"/>
    <w:uiPriority w:val="99"/>
    <w:rsid w:val="001A4AA4"/>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86DFC"/>
    <w:rPr>
      <w:color w:val="605E5C"/>
      <w:shd w:val="clear" w:color="auto" w:fill="E1DFDD"/>
    </w:rPr>
  </w:style>
  <w:style w:type="character" w:styleId="FollowedHyperlink">
    <w:name w:val="FollowedHyperlink"/>
    <w:basedOn w:val="DefaultParagraphFont"/>
    <w:uiPriority w:val="99"/>
    <w:semiHidden/>
    <w:unhideWhenUsed/>
    <w:rsid w:val="001356EA"/>
    <w:rPr>
      <w:color w:val="954F72" w:themeColor="followedHyperlink"/>
      <w:u w:val="single"/>
    </w:rPr>
  </w:style>
  <w:style w:type="paragraph" w:styleId="NormalWeb">
    <w:name w:val="Normal (Web)"/>
    <w:basedOn w:val="Normal"/>
    <w:uiPriority w:val="99"/>
    <w:semiHidden/>
    <w:unhideWhenUsed/>
    <w:rsid w:val="00044A3F"/>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010F4C"/>
    <w:rPr>
      <w:sz w:val="16"/>
      <w:szCs w:val="16"/>
    </w:rPr>
  </w:style>
  <w:style w:type="paragraph" w:styleId="CommentText">
    <w:name w:val="annotation text"/>
    <w:basedOn w:val="Normal"/>
    <w:link w:val="CommentTextChar"/>
    <w:uiPriority w:val="99"/>
    <w:unhideWhenUsed/>
    <w:rsid w:val="00010F4C"/>
    <w:rPr>
      <w:sz w:val="20"/>
      <w:szCs w:val="20"/>
    </w:rPr>
  </w:style>
  <w:style w:type="character" w:customStyle="1" w:styleId="CommentTextChar">
    <w:name w:val="Comment Text Char"/>
    <w:basedOn w:val="DefaultParagraphFont"/>
    <w:link w:val="CommentText"/>
    <w:uiPriority w:val="99"/>
    <w:rsid w:val="00010F4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10F4C"/>
    <w:rPr>
      <w:b/>
      <w:bCs/>
    </w:rPr>
  </w:style>
  <w:style w:type="character" w:customStyle="1" w:styleId="CommentSubjectChar">
    <w:name w:val="Comment Subject Char"/>
    <w:basedOn w:val="CommentTextChar"/>
    <w:link w:val="CommentSubject"/>
    <w:uiPriority w:val="99"/>
    <w:semiHidden/>
    <w:rsid w:val="00010F4C"/>
    <w:rPr>
      <w:rFonts w:ascii="Arial" w:eastAsia="Times New Roman" w:hAnsi="Arial" w:cs="Times New Roman"/>
      <w:b/>
      <w:bCs/>
      <w:sz w:val="20"/>
      <w:szCs w:val="20"/>
    </w:rPr>
  </w:style>
  <w:style w:type="paragraph" w:customStyle="1" w:styleId="Default">
    <w:name w:val="Default"/>
    <w:rsid w:val="001B69DF"/>
    <w:pPr>
      <w:autoSpaceDE w:val="0"/>
      <w:autoSpaceDN w:val="0"/>
      <w:adjustRightInd w:val="0"/>
      <w:spacing w:after="0" w:line="240" w:lineRule="auto"/>
    </w:pPr>
    <w:rPr>
      <w:rFonts w:ascii="Calibri" w:hAnsi="Calibri" w:cs="Calibri"/>
      <w:color w:val="000000"/>
      <w:sz w:val="24"/>
      <w:szCs w:val="24"/>
    </w:rPr>
  </w:style>
  <w:style w:type="table" w:styleId="PlainTable1">
    <w:name w:val="Plain Table 1"/>
    <w:basedOn w:val="TableNormal"/>
    <w:uiPriority w:val="41"/>
    <w:rsid w:val="006768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166667"/>
  </w:style>
  <w:style w:type="character" w:customStyle="1" w:styleId="FootnoteTextChar">
    <w:name w:val="Footnote Text Char"/>
    <w:aliases w:val="F Char,single space Char,Style 25 Char,newfootnotetext Char,fn Char,Car Char,Char Char Char,ft Char,footnote Char,footnote text1 Char,Footnote Text Char1 Char Char,Footnote Text Char Char Char Char,Footnote Text Char1 Char1 Char"/>
    <w:basedOn w:val="DefaultParagraphFont"/>
    <w:link w:val="FootnoteText"/>
    <w:uiPriority w:val="99"/>
    <w:locked/>
    <w:rsid w:val="001429E0"/>
    <w:rPr>
      <w:sz w:val="20"/>
      <w:szCs w:val="20"/>
    </w:rPr>
  </w:style>
  <w:style w:type="paragraph" w:styleId="FootnoteText">
    <w:name w:val="footnote text"/>
    <w:aliases w:val="F,single space,Style 25,newfootnotetext,fn,Car,Char Char,ft,footnote,footnote text1,Footnote Text Char1 Char,Footnote Text Char Char Char,Footnote Text Char1 Char Char Char,Footnote Text Char Char Char Char Char,Footnote Text Char1 Char1"/>
    <w:basedOn w:val="Normal"/>
    <w:link w:val="FootnoteTextChar"/>
    <w:uiPriority w:val="99"/>
    <w:unhideWhenUsed/>
    <w:qFormat/>
    <w:rsid w:val="001429E0"/>
    <w:rPr>
      <w:rFonts w:asciiTheme="minorHAnsi" w:eastAsiaTheme="minorHAnsi" w:hAnsiTheme="minorHAnsi" w:cstheme="minorBidi"/>
      <w:sz w:val="20"/>
      <w:szCs w:val="20"/>
    </w:rPr>
  </w:style>
  <w:style w:type="character" w:customStyle="1" w:styleId="FootnoteTextChar1">
    <w:name w:val="Footnote Text Char1"/>
    <w:basedOn w:val="DefaultParagraphFont"/>
    <w:uiPriority w:val="99"/>
    <w:semiHidden/>
    <w:rsid w:val="001429E0"/>
    <w:rPr>
      <w:rFonts w:ascii="Arial" w:eastAsia="Times New Roman" w:hAnsi="Arial" w:cs="Times New Roman"/>
      <w:sz w:val="20"/>
      <w:szCs w:val="20"/>
    </w:rPr>
  </w:style>
  <w:style w:type="character" w:styleId="FootnoteReference">
    <w:name w:val="footnote reference"/>
    <w:aliases w:val="Style 24,fr,Ref. de nota al pi"/>
    <w:basedOn w:val="DefaultParagraphFont"/>
    <w:uiPriority w:val="99"/>
    <w:semiHidden/>
    <w:unhideWhenUsed/>
    <w:rsid w:val="001429E0"/>
    <w:rPr>
      <w:vertAlign w:val="superscript"/>
    </w:rPr>
  </w:style>
  <w:style w:type="paragraph" w:customStyle="1" w:styleId="paragraph">
    <w:name w:val="paragraph"/>
    <w:basedOn w:val="Normal"/>
    <w:rsid w:val="00791ECC"/>
    <w:pPr>
      <w:spacing w:before="100" w:beforeAutospacing="1" w:after="100" w:afterAutospacing="1"/>
    </w:pPr>
    <w:rPr>
      <w:rFonts w:ascii="Times New Roman" w:hAnsi="Times New Roman"/>
      <w:lang w:eastAsia="en-GB"/>
    </w:rPr>
  </w:style>
  <w:style w:type="character" w:customStyle="1" w:styleId="eop">
    <w:name w:val="eop"/>
    <w:basedOn w:val="DefaultParagraphFont"/>
    <w:rsid w:val="00791ECC"/>
  </w:style>
  <w:style w:type="character" w:customStyle="1" w:styleId="Heading3Char">
    <w:name w:val="Heading 3 Char"/>
    <w:basedOn w:val="DefaultParagraphFont"/>
    <w:link w:val="Heading3"/>
    <w:uiPriority w:val="9"/>
    <w:semiHidden/>
    <w:rsid w:val="000511ED"/>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574AE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299">
      <w:bodyDiv w:val="1"/>
      <w:marLeft w:val="0"/>
      <w:marRight w:val="0"/>
      <w:marTop w:val="0"/>
      <w:marBottom w:val="0"/>
      <w:divBdr>
        <w:top w:val="none" w:sz="0" w:space="0" w:color="auto"/>
        <w:left w:val="none" w:sz="0" w:space="0" w:color="auto"/>
        <w:bottom w:val="none" w:sz="0" w:space="0" w:color="auto"/>
        <w:right w:val="none" w:sz="0" w:space="0" w:color="auto"/>
      </w:divBdr>
      <w:divsChild>
        <w:div w:id="29889341">
          <w:marLeft w:val="0"/>
          <w:marRight w:val="0"/>
          <w:marTop w:val="0"/>
          <w:marBottom w:val="0"/>
          <w:divBdr>
            <w:top w:val="none" w:sz="0" w:space="0" w:color="auto"/>
            <w:left w:val="none" w:sz="0" w:space="0" w:color="auto"/>
            <w:bottom w:val="none" w:sz="0" w:space="0" w:color="auto"/>
            <w:right w:val="none" w:sz="0" w:space="0" w:color="auto"/>
          </w:divBdr>
        </w:div>
        <w:div w:id="509294829">
          <w:marLeft w:val="0"/>
          <w:marRight w:val="0"/>
          <w:marTop w:val="0"/>
          <w:marBottom w:val="0"/>
          <w:divBdr>
            <w:top w:val="none" w:sz="0" w:space="0" w:color="auto"/>
            <w:left w:val="none" w:sz="0" w:space="0" w:color="auto"/>
            <w:bottom w:val="none" w:sz="0" w:space="0" w:color="auto"/>
            <w:right w:val="none" w:sz="0" w:space="0" w:color="auto"/>
          </w:divBdr>
        </w:div>
      </w:divsChild>
    </w:div>
    <w:div w:id="13582271">
      <w:bodyDiv w:val="1"/>
      <w:marLeft w:val="0"/>
      <w:marRight w:val="0"/>
      <w:marTop w:val="0"/>
      <w:marBottom w:val="0"/>
      <w:divBdr>
        <w:top w:val="none" w:sz="0" w:space="0" w:color="auto"/>
        <w:left w:val="none" w:sz="0" w:space="0" w:color="auto"/>
        <w:bottom w:val="none" w:sz="0" w:space="0" w:color="auto"/>
        <w:right w:val="none" w:sz="0" w:space="0" w:color="auto"/>
      </w:divBdr>
    </w:div>
    <w:div w:id="30811400">
      <w:bodyDiv w:val="1"/>
      <w:marLeft w:val="0"/>
      <w:marRight w:val="0"/>
      <w:marTop w:val="0"/>
      <w:marBottom w:val="0"/>
      <w:divBdr>
        <w:top w:val="none" w:sz="0" w:space="0" w:color="auto"/>
        <w:left w:val="none" w:sz="0" w:space="0" w:color="auto"/>
        <w:bottom w:val="none" w:sz="0" w:space="0" w:color="auto"/>
        <w:right w:val="none" w:sz="0" w:space="0" w:color="auto"/>
      </w:divBdr>
    </w:div>
    <w:div w:id="68768613">
      <w:bodyDiv w:val="1"/>
      <w:marLeft w:val="0"/>
      <w:marRight w:val="0"/>
      <w:marTop w:val="0"/>
      <w:marBottom w:val="0"/>
      <w:divBdr>
        <w:top w:val="none" w:sz="0" w:space="0" w:color="auto"/>
        <w:left w:val="none" w:sz="0" w:space="0" w:color="auto"/>
        <w:bottom w:val="none" w:sz="0" w:space="0" w:color="auto"/>
        <w:right w:val="none" w:sz="0" w:space="0" w:color="auto"/>
      </w:divBdr>
      <w:divsChild>
        <w:div w:id="100951775">
          <w:marLeft w:val="0"/>
          <w:marRight w:val="0"/>
          <w:marTop w:val="0"/>
          <w:marBottom w:val="0"/>
          <w:divBdr>
            <w:top w:val="none" w:sz="0" w:space="0" w:color="auto"/>
            <w:left w:val="none" w:sz="0" w:space="0" w:color="auto"/>
            <w:bottom w:val="none" w:sz="0" w:space="0" w:color="auto"/>
            <w:right w:val="none" w:sz="0" w:space="0" w:color="auto"/>
          </w:divBdr>
        </w:div>
        <w:div w:id="810824192">
          <w:marLeft w:val="0"/>
          <w:marRight w:val="0"/>
          <w:marTop w:val="0"/>
          <w:marBottom w:val="0"/>
          <w:divBdr>
            <w:top w:val="none" w:sz="0" w:space="0" w:color="auto"/>
            <w:left w:val="none" w:sz="0" w:space="0" w:color="auto"/>
            <w:bottom w:val="none" w:sz="0" w:space="0" w:color="auto"/>
            <w:right w:val="none" w:sz="0" w:space="0" w:color="auto"/>
          </w:divBdr>
        </w:div>
        <w:div w:id="1080254387">
          <w:marLeft w:val="0"/>
          <w:marRight w:val="0"/>
          <w:marTop w:val="0"/>
          <w:marBottom w:val="0"/>
          <w:divBdr>
            <w:top w:val="none" w:sz="0" w:space="0" w:color="auto"/>
            <w:left w:val="none" w:sz="0" w:space="0" w:color="auto"/>
            <w:bottom w:val="none" w:sz="0" w:space="0" w:color="auto"/>
            <w:right w:val="none" w:sz="0" w:space="0" w:color="auto"/>
          </w:divBdr>
        </w:div>
        <w:div w:id="1123961217">
          <w:marLeft w:val="0"/>
          <w:marRight w:val="0"/>
          <w:marTop w:val="0"/>
          <w:marBottom w:val="0"/>
          <w:divBdr>
            <w:top w:val="none" w:sz="0" w:space="0" w:color="auto"/>
            <w:left w:val="none" w:sz="0" w:space="0" w:color="auto"/>
            <w:bottom w:val="none" w:sz="0" w:space="0" w:color="auto"/>
            <w:right w:val="none" w:sz="0" w:space="0" w:color="auto"/>
          </w:divBdr>
        </w:div>
        <w:div w:id="1774590422">
          <w:marLeft w:val="0"/>
          <w:marRight w:val="0"/>
          <w:marTop w:val="0"/>
          <w:marBottom w:val="0"/>
          <w:divBdr>
            <w:top w:val="none" w:sz="0" w:space="0" w:color="auto"/>
            <w:left w:val="none" w:sz="0" w:space="0" w:color="auto"/>
            <w:bottom w:val="none" w:sz="0" w:space="0" w:color="auto"/>
            <w:right w:val="none" w:sz="0" w:space="0" w:color="auto"/>
          </w:divBdr>
        </w:div>
      </w:divsChild>
    </w:div>
    <w:div w:id="116335585">
      <w:bodyDiv w:val="1"/>
      <w:marLeft w:val="0"/>
      <w:marRight w:val="0"/>
      <w:marTop w:val="0"/>
      <w:marBottom w:val="0"/>
      <w:divBdr>
        <w:top w:val="none" w:sz="0" w:space="0" w:color="auto"/>
        <w:left w:val="none" w:sz="0" w:space="0" w:color="auto"/>
        <w:bottom w:val="none" w:sz="0" w:space="0" w:color="auto"/>
        <w:right w:val="none" w:sz="0" w:space="0" w:color="auto"/>
      </w:divBdr>
    </w:div>
    <w:div w:id="145516311">
      <w:bodyDiv w:val="1"/>
      <w:marLeft w:val="0"/>
      <w:marRight w:val="0"/>
      <w:marTop w:val="0"/>
      <w:marBottom w:val="0"/>
      <w:divBdr>
        <w:top w:val="none" w:sz="0" w:space="0" w:color="auto"/>
        <w:left w:val="none" w:sz="0" w:space="0" w:color="auto"/>
        <w:bottom w:val="none" w:sz="0" w:space="0" w:color="auto"/>
        <w:right w:val="none" w:sz="0" w:space="0" w:color="auto"/>
      </w:divBdr>
      <w:divsChild>
        <w:div w:id="302391163">
          <w:marLeft w:val="0"/>
          <w:marRight w:val="0"/>
          <w:marTop w:val="0"/>
          <w:marBottom w:val="0"/>
          <w:divBdr>
            <w:top w:val="none" w:sz="0" w:space="0" w:color="auto"/>
            <w:left w:val="none" w:sz="0" w:space="0" w:color="auto"/>
            <w:bottom w:val="none" w:sz="0" w:space="0" w:color="auto"/>
            <w:right w:val="none" w:sz="0" w:space="0" w:color="auto"/>
          </w:divBdr>
        </w:div>
        <w:div w:id="863784125">
          <w:marLeft w:val="0"/>
          <w:marRight w:val="0"/>
          <w:marTop w:val="0"/>
          <w:marBottom w:val="0"/>
          <w:divBdr>
            <w:top w:val="none" w:sz="0" w:space="0" w:color="auto"/>
            <w:left w:val="none" w:sz="0" w:space="0" w:color="auto"/>
            <w:bottom w:val="none" w:sz="0" w:space="0" w:color="auto"/>
            <w:right w:val="none" w:sz="0" w:space="0" w:color="auto"/>
          </w:divBdr>
        </w:div>
      </w:divsChild>
    </w:div>
    <w:div w:id="165486525">
      <w:bodyDiv w:val="1"/>
      <w:marLeft w:val="0"/>
      <w:marRight w:val="0"/>
      <w:marTop w:val="0"/>
      <w:marBottom w:val="0"/>
      <w:divBdr>
        <w:top w:val="none" w:sz="0" w:space="0" w:color="auto"/>
        <w:left w:val="none" w:sz="0" w:space="0" w:color="auto"/>
        <w:bottom w:val="none" w:sz="0" w:space="0" w:color="auto"/>
        <w:right w:val="none" w:sz="0" w:space="0" w:color="auto"/>
      </w:divBdr>
    </w:div>
    <w:div w:id="175191157">
      <w:bodyDiv w:val="1"/>
      <w:marLeft w:val="0"/>
      <w:marRight w:val="0"/>
      <w:marTop w:val="0"/>
      <w:marBottom w:val="0"/>
      <w:divBdr>
        <w:top w:val="none" w:sz="0" w:space="0" w:color="auto"/>
        <w:left w:val="none" w:sz="0" w:space="0" w:color="auto"/>
        <w:bottom w:val="none" w:sz="0" w:space="0" w:color="auto"/>
        <w:right w:val="none" w:sz="0" w:space="0" w:color="auto"/>
      </w:divBdr>
    </w:div>
    <w:div w:id="184710352">
      <w:bodyDiv w:val="1"/>
      <w:marLeft w:val="0"/>
      <w:marRight w:val="0"/>
      <w:marTop w:val="0"/>
      <w:marBottom w:val="0"/>
      <w:divBdr>
        <w:top w:val="none" w:sz="0" w:space="0" w:color="auto"/>
        <w:left w:val="none" w:sz="0" w:space="0" w:color="auto"/>
        <w:bottom w:val="none" w:sz="0" w:space="0" w:color="auto"/>
        <w:right w:val="none" w:sz="0" w:space="0" w:color="auto"/>
      </w:divBdr>
    </w:div>
    <w:div w:id="259338843">
      <w:bodyDiv w:val="1"/>
      <w:marLeft w:val="0"/>
      <w:marRight w:val="0"/>
      <w:marTop w:val="0"/>
      <w:marBottom w:val="0"/>
      <w:divBdr>
        <w:top w:val="none" w:sz="0" w:space="0" w:color="auto"/>
        <w:left w:val="none" w:sz="0" w:space="0" w:color="auto"/>
        <w:bottom w:val="none" w:sz="0" w:space="0" w:color="auto"/>
        <w:right w:val="none" w:sz="0" w:space="0" w:color="auto"/>
      </w:divBdr>
      <w:divsChild>
        <w:div w:id="39475970">
          <w:marLeft w:val="0"/>
          <w:marRight w:val="0"/>
          <w:marTop w:val="0"/>
          <w:marBottom w:val="0"/>
          <w:divBdr>
            <w:top w:val="none" w:sz="0" w:space="0" w:color="auto"/>
            <w:left w:val="none" w:sz="0" w:space="0" w:color="auto"/>
            <w:bottom w:val="none" w:sz="0" w:space="0" w:color="auto"/>
            <w:right w:val="none" w:sz="0" w:space="0" w:color="auto"/>
          </w:divBdr>
        </w:div>
        <w:div w:id="168567630">
          <w:marLeft w:val="0"/>
          <w:marRight w:val="0"/>
          <w:marTop w:val="0"/>
          <w:marBottom w:val="0"/>
          <w:divBdr>
            <w:top w:val="none" w:sz="0" w:space="0" w:color="auto"/>
            <w:left w:val="none" w:sz="0" w:space="0" w:color="auto"/>
            <w:bottom w:val="none" w:sz="0" w:space="0" w:color="auto"/>
            <w:right w:val="none" w:sz="0" w:space="0" w:color="auto"/>
          </w:divBdr>
        </w:div>
        <w:div w:id="234702573">
          <w:marLeft w:val="0"/>
          <w:marRight w:val="0"/>
          <w:marTop w:val="0"/>
          <w:marBottom w:val="0"/>
          <w:divBdr>
            <w:top w:val="none" w:sz="0" w:space="0" w:color="auto"/>
            <w:left w:val="none" w:sz="0" w:space="0" w:color="auto"/>
            <w:bottom w:val="none" w:sz="0" w:space="0" w:color="auto"/>
            <w:right w:val="none" w:sz="0" w:space="0" w:color="auto"/>
          </w:divBdr>
        </w:div>
      </w:divsChild>
    </w:div>
    <w:div w:id="275911149">
      <w:bodyDiv w:val="1"/>
      <w:marLeft w:val="0"/>
      <w:marRight w:val="0"/>
      <w:marTop w:val="0"/>
      <w:marBottom w:val="0"/>
      <w:divBdr>
        <w:top w:val="none" w:sz="0" w:space="0" w:color="auto"/>
        <w:left w:val="none" w:sz="0" w:space="0" w:color="auto"/>
        <w:bottom w:val="none" w:sz="0" w:space="0" w:color="auto"/>
        <w:right w:val="none" w:sz="0" w:space="0" w:color="auto"/>
      </w:divBdr>
    </w:div>
    <w:div w:id="276302783">
      <w:bodyDiv w:val="1"/>
      <w:marLeft w:val="0"/>
      <w:marRight w:val="0"/>
      <w:marTop w:val="0"/>
      <w:marBottom w:val="0"/>
      <w:divBdr>
        <w:top w:val="none" w:sz="0" w:space="0" w:color="auto"/>
        <w:left w:val="none" w:sz="0" w:space="0" w:color="auto"/>
        <w:bottom w:val="none" w:sz="0" w:space="0" w:color="auto"/>
        <w:right w:val="none" w:sz="0" w:space="0" w:color="auto"/>
      </w:divBdr>
    </w:div>
    <w:div w:id="388189697">
      <w:bodyDiv w:val="1"/>
      <w:marLeft w:val="0"/>
      <w:marRight w:val="0"/>
      <w:marTop w:val="0"/>
      <w:marBottom w:val="0"/>
      <w:divBdr>
        <w:top w:val="none" w:sz="0" w:space="0" w:color="auto"/>
        <w:left w:val="none" w:sz="0" w:space="0" w:color="auto"/>
        <w:bottom w:val="none" w:sz="0" w:space="0" w:color="auto"/>
        <w:right w:val="none" w:sz="0" w:space="0" w:color="auto"/>
      </w:divBdr>
    </w:div>
    <w:div w:id="440078050">
      <w:bodyDiv w:val="1"/>
      <w:marLeft w:val="0"/>
      <w:marRight w:val="0"/>
      <w:marTop w:val="0"/>
      <w:marBottom w:val="0"/>
      <w:divBdr>
        <w:top w:val="none" w:sz="0" w:space="0" w:color="auto"/>
        <w:left w:val="none" w:sz="0" w:space="0" w:color="auto"/>
        <w:bottom w:val="none" w:sz="0" w:space="0" w:color="auto"/>
        <w:right w:val="none" w:sz="0" w:space="0" w:color="auto"/>
      </w:divBdr>
      <w:divsChild>
        <w:div w:id="28145795">
          <w:marLeft w:val="0"/>
          <w:marRight w:val="0"/>
          <w:marTop w:val="0"/>
          <w:marBottom w:val="0"/>
          <w:divBdr>
            <w:top w:val="none" w:sz="0" w:space="0" w:color="auto"/>
            <w:left w:val="none" w:sz="0" w:space="0" w:color="auto"/>
            <w:bottom w:val="none" w:sz="0" w:space="0" w:color="auto"/>
            <w:right w:val="none" w:sz="0" w:space="0" w:color="auto"/>
          </w:divBdr>
        </w:div>
        <w:div w:id="1434133354">
          <w:marLeft w:val="0"/>
          <w:marRight w:val="0"/>
          <w:marTop w:val="0"/>
          <w:marBottom w:val="0"/>
          <w:divBdr>
            <w:top w:val="none" w:sz="0" w:space="0" w:color="auto"/>
            <w:left w:val="none" w:sz="0" w:space="0" w:color="auto"/>
            <w:bottom w:val="none" w:sz="0" w:space="0" w:color="auto"/>
            <w:right w:val="none" w:sz="0" w:space="0" w:color="auto"/>
          </w:divBdr>
        </w:div>
      </w:divsChild>
    </w:div>
    <w:div w:id="445079962">
      <w:bodyDiv w:val="1"/>
      <w:marLeft w:val="0"/>
      <w:marRight w:val="0"/>
      <w:marTop w:val="0"/>
      <w:marBottom w:val="0"/>
      <w:divBdr>
        <w:top w:val="none" w:sz="0" w:space="0" w:color="auto"/>
        <w:left w:val="none" w:sz="0" w:space="0" w:color="auto"/>
        <w:bottom w:val="none" w:sz="0" w:space="0" w:color="auto"/>
        <w:right w:val="none" w:sz="0" w:space="0" w:color="auto"/>
      </w:divBdr>
    </w:div>
    <w:div w:id="446824940">
      <w:bodyDiv w:val="1"/>
      <w:marLeft w:val="0"/>
      <w:marRight w:val="0"/>
      <w:marTop w:val="0"/>
      <w:marBottom w:val="0"/>
      <w:divBdr>
        <w:top w:val="none" w:sz="0" w:space="0" w:color="auto"/>
        <w:left w:val="none" w:sz="0" w:space="0" w:color="auto"/>
        <w:bottom w:val="none" w:sz="0" w:space="0" w:color="auto"/>
        <w:right w:val="none" w:sz="0" w:space="0" w:color="auto"/>
      </w:divBdr>
      <w:divsChild>
        <w:div w:id="241530377">
          <w:marLeft w:val="0"/>
          <w:marRight w:val="0"/>
          <w:marTop w:val="0"/>
          <w:marBottom w:val="0"/>
          <w:divBdr>
            <w:top w:val="none" w:sz="0" w:space="0" w:color="auto"/>
            <w:left w:val="none" w:sz="0" w:space="0" w:color="auto"/>
            <w:bottom w:val="none" w:sz="0" w:space="0" w:color="auto"/>
            <w:right w:val="none" w:sz="0" w:space="0" w:color="auto"/>
          </w:divBdr>
        </w:div>
        <w:div w:id="314843631">
          <w:marLeft w:val="0"/>
          <w:marRight w:val="0"/>
          <w:marTop w:val="0"/>
          <w:marBottom w:val="0"/>
          <w:divBdr>
            <w:top w:val="none" w:sz="0" w:space="0" w:color="auto"/>
            <w:left w:val="none" w:sz="0" w:space="0" w:color="auto"/>
            <w:bottom w:val="none" w:sz="0" w:space="0" w:color="auto"/>
            <w:right w:val="none" w:sz="0" w:space="0" w:color="auto"/>
          </w:divBdr>
        </w:div>
        <w:div w:id="332800393">
          <w:marLeft w:val="0"/>
          <w:marRight w:val="0"/>
          <w:marTop w:val="0"/>
          <w:marBottom w:val="0"/>
          <w:divBdr>
            <w:top w:val="none" w:sz="0" w:space="0" w:color="auto"/>
            <w:left w:val="none" w:sz="0" w:space="0" w:color="auto"/>
            <w:bottom w:val="none" w:sz="0" w:space="0" w:color="auto"/>
            <w:right w:val="none" w:sz="0" w:space="0" w:color="auto"/>
          </w:divBdr>
        </w:div>
        <w:div w:id="701906105">
          <w:marLeft w:val="0"/>
          <w:marRight w:val="0"/>
          <w:marTop w:val="0"/>
          <w:marBottom w:val="0"/>
          <w:divBdr>
            <w:top w:val="none" w:sz="0" w:space="0" w:color="auto"/>
            <w:left w:val="none" w:sz="0" w:space="0" w:color="auto"/>
            <w:bottom w:val="none" w:sz="0" w:space="0" w:color="auto"/>
            <w:right w:val="none" w:sz="0" w:space="0" w:color="auto"/>
          </w:divBdr>
        </w:div>
        <w:div w:id="1311519319">
          <w:marLeft w:val="0"/>
          <w:marRight w:val="0"/>
          <w:marTop w:val="0"/>
          <w:marBottom w:val="0"/>
          <w:divBdr>
            <w:top w:val="none" w:sz="0" w:space="0" w:color="auto"/>
            <w:left w:val="none" w:sz="0" w:space="0" w:color="auto"/>
            <w:bottom w:val="none" w:sz="0" w:space="0" w:color="auto"/>
            <w:right w:val="none" w:sz="0" w:space="0" w:color="auto"/>
          </w:divBdr>
        </w:div>
        <w:div w:id="1421633958">
          <w:marLeft w:val="0"/>
          <w:marRight w:val="0"/>
          <w:marTop w:val="0"/>
          <w:marBottom w:val="0"/>
          <w:divBdr>
            <w:top w:val="none" w:sz="0" w:space="0" w:color="auto"/>
            <w:left w:val="none" w:sz="0" w:space="0" w:color="auto"/>
            <w:bottom w:val="none" w:sz="0" w:space="0" w:color="auto"/>
            <w:right w:val="none" w:sz="0" w:space="0" w:color="auto"/>
          </w:divBdr>
        </w:div>
        <w:div w:id="1456145368">
          <w:marLeft w:val="0"/>
          <w:marRight w:val="0"/>
          <w:marTop w:val="0"/>
          <w:marBottom w:val="0"/>
          <w:divBdr>
            <w:top w:val="none" w:sz="0" w:space="0" w:color="auto"/>
            <w:left w:val="none" w:sz="0" w:space="0" w:color="auto"/>
            <w:bottom w:val="none" w:sz="0" w:space="0" w:color="auto"/>
            <w:right w:val="none" w:sz="0" w:space="0" w:color="auto"/>
          </w:divBdr>
        </w:div>
        <w:div w:id="1629774060">
          <w:marLeft w:val="0"/>
          <w:marRight w:val="0"/>
          <w:marTop w:val="0"/>
          <w:marBottom w:val="0"/>
          <w:divBdr>
            <w:top w:val="none" w:sz="0" w:space="0" w:color="auto"/>
            <w:left w:val="none" w:sz="0" w:space="0" w:color="auto"/>
            <w:bottom w:val="none" w:sz="0" w:space="0" w:color="auto"/>
            <w:right w:val="none" w:sz="0" w:space="0" w:color="auto"/>
          </w:divBdr>
        </w:div>
        <w:div w:id="1718897118">
          <w:marLeft w:val="0"/>
          <w:marRight w:val="0"/>
          <w:marTop w:val="0"/>
          <w:marBottom w:val="0"/>
          <w:divBdr>
            <w:top w:val="none" w:sz="0" w:space="0" w:color="auto"/>
            <w:left w:val="none" w:sz="0" w:space="0" w:color="auto"/>
            <w:bottom w:val="none" w:sz="0" w:space="0" w:color="auto"/>
            <w:right w:val="none" w:sz="0" w:space="0" w:color="auto"/>
          </w:divBdr>
        </w:div>
        <w:div w:id="1818523208">
          <w:marLeft w:val="0"/>
          <w:marRight w:val="0"/>
          <w:marTop w:val="0"/>
          <w:marBottom w:val="0"/>
          <w:divBdr>
            <w:top w:val="none" w:sz="0" w:space="0" w:color="auto"/>
            <w:left w:val="none" w:sz="0" w:space="0" w:color="auto"/>
            <w:bottom w:val="none" w:sz="0" w:space="0" w:color="auto"/>
            <w:right w:val="none" w:sz="0" w:space="0" w:color="auto"/>
          </w:divBdr>
        </w:div>
        <w:div w:id="1941177829">
          <w:marLeft w:val="0"/>
          <w:marRight w:val="0"/>
          <w:marTop w:val="0"/>
          <w:marBottom w:val="0"/>
          <w:divBdr>
            <w:top w:val="none" w:sz="0" w:space="0" w:color="auto"/>
            <w:left w:val="none" w:sz="0" w:space="0" w:color="auto"/>
            <w:bottom w:val="none" w:sz="0" w:space="0" w:color="auto"/>
            <w:right w:val="none" w:sz="0" w:space="0" w:color="auto"/>
          </w:divBdr>
        </w:div>
      </w:divsChild>
    </w:div>
    <w:div w:id="455489878">
      <w:bodyDiv w:val="1"/>
      <w:marLeft w:val="0"/>
      <w:marRight w:val="0"/>
      <w:marTop w:val="0"/>
      <w:marBottom w:val="0"/>
      <w:divBdr>
        <w:top w:val="none" w:sz="0" w:space="0" w:color="auto"/>
        <w:left w:val="none" w:sz="0" w:space="0" w:color="auto"/>
        <w:bottom w:val="none" w:sz="0" w:space="0" w:color="auto"/>
        <w:right w:val="none" w:sz="0" w:space="0" w:color="auto"/>
      </w:divBdr>
    </w:div>
    <w:div w:id="470295397">
      <w:bodyDiv w:val="1"/>
      <w:marLeft w:val="0"/>
      <w:marRight w:val="0"/>
      <w:marTop w:val="0"/>
      <w:marBottom w:val="0"/>
      <w:divBdr>
        <w:top w:val="none" w:sz="0" w:space="0" w:color="auto"/>
        <w:left w:val="none" w:sz="0" w:space="0" w:color="auto"/>
        <w:bottom w:val="none" w:sz="0" w:space="0" w:color="auto"/>
        <w:right w:val="none" w:sz="0" w:space="0" w:color="auto"/>
      </w:divBdr>
    </w:div>
    <w:div w:id="478376458">
      <w:bodyDiv w:val="1"/>
      <w:marLeft w:val="0"/>
      <w:marRight w:val="0"/>
      <w:marTop w:val="0"/>
      <w:marBottom w:val="0"/>
      <w:divBdr>
        <w:top w:val="none" w:sz="0" w:space="0" w:color="auto"/>
        <w:left w:val="none" w:sz="0" w:space="0" w:color="auto"/>
        <w:bottom w:val="none" w:sz="0" w:space="0" w:color="auto"/>
        <w:right w:val="none" w:sz="0" w:space="0" w:color="auto"/>
      </w:divBdr>
    </w:div>
    <w:div w:id="590313962">
      <w:bodyDiv w:val="1"/>
      <w:marLeft w:val="0"/>
      <w:marRight w:val="0"/>
      <w:marTop w:val="0"/>
      <w:marBottom w:val="0"/>
      <w:divBdr>
        <w:top w:val="none" w:sz="0" w:space="0" w:color="auto"/>
        <w:left w:val="none" w:sz="0" w:space="0" w:color="auto"/>
        <w:bottom w:val="none" w:sz="0" w:space="0" w:color="auto"/>
        <w:right w:val="none" w:sz="0" w:space="0" w:color="auto"/>
      </w:divBdr>
    </w:div>
    <w:div w:id="700209226">
      <w:bodyDiv w:val="1"/>
      <w:marLeft w:val="0"/>
      <w:marRight w:val="0"/>
      <w:marTop w:val="0"/>
      <w:marBottom w:val="0"/>
      <w:divBdr>
        <w:top w:val="none" w:sz="0" w:space="0" w:color="auto"/>
        <w:left w:val="none" w:sz="0" w:space="0" w:color="auto"/>
        <w:bottom w:val="none" w:sz="0" w:space="0" w:color="auto"/>
        <w:right w:val="none" w:sz="0" w:space="0" w:color="auto"/>
      </w:divBdr>
    </w:div>
    <w:div w:id="773091919">
      <w:bodyDiv w:val="1"/>
      <w:marLeft w:val="0"/>
      <w:marRight w:val="0"/>
      <w:marTop w:val="0"/>
      <w:marBottom w:val="0"/>
      <w:divBdr>
        <w:top w:val="none" w:sz="0" w:space="0" w:color="auto"/>
        <w:left w:val="none" w:sz="0" w:space="0" w:color="auto"/>
        <w:bottom w:val="none" w:sz="0" w:space="0" w:color="auto"/>
        <w:right w:val="none" w:sz="0" w:space="0" w:color="auto"/>
      </w:divBdr>
    </w:div>
    <w:div w:id="785318402">
      <w:bodyDiv w:val="1"/>
      <w:marLeft w:val="0"/>
      <w:marRight w:val="0"/>
      <w:marTop w:val="0"/>
      <w:marBottom w:val="0"/>
      <w:divBdr>
        <w:top w:val="none" w:sz="0" w:space="0" w:color="auto"/>
        <w:left w:val="none" w:sz="0" w:space="0" w:color="auto"/>
        <w:bottom w:val="none" w:sz="0" w:space="0" w:color="auto"/>
        <w:right w:val="none" w:sz="0" w:space="0" w:color="auto"/>
      </w:divBdr>
    </w:div>
    <w:div w:id="820927037">
      <w:bodyDiv w:val="1"/>
      <w:marLeft w:val="0"/>
      <w:marRight w:val="0"/>
      <w:marTop w:val="0"/>
      <w:marBottom w:val="0"/>
      <w:divBdr>
        <w:top w:val="none" w:sz="0" w:space="0" w:color="auto"/>
        <w:left w:val="none" w:sz="0" w:space="0" w:color="auto"/>
        <w:bottom w:val="none" w:sz="0" w:space="0" w:color="auto"/>
        <w:right w:val="none" w:sz="0" w:space="0" w:color="auto"/>
      </w:divBdr>
    </w:div>
    <w:div w:id="827332858">
      <w:bodyDiv w:val="1"/>
      <w:marLeft w:val="0"/>
      <w:marRight w:val="0"/>
      <w:marTop w:val="0"/>
      <w:marBottom w:val="0"/>
      <w:divBdr>
        <w:top w:val="none" w:sz="0" w:space="0" w:color="auto"/>
        <w:left w:val="none" w:sz="0" w:space="0" w:color="auto"/>
        <w:bottom w:val="none" w:sz="0" w:space="0" w:color="auto"/>
        <w:right w:val="none" w:sz="0" w:space="0" w:color="auto"/>
      </w:divBdr>
      <w:divsChild>
        <w:div w:id="1210343983">
          <w:marLeft w:val="0"/>
          <w:marRight w:val="0"/>
          <w:marTop w:val="0"/>
          <w:marBottom w:val="0"/>
          <w:divBdr>
            <w:top w:val="none" w:sz="0" w:space="0" w:color="auto"/>
            <w:left w:val="none" w:sz="0" w:space="0" w:color="auto"/>
            <w:bottom w:val="none" w:sz="0" w:space="0" w:color="auto"/>
            <w:right w:val="none" w:sz="0" w:space="0" w:color="auto"/>
          </w:divBdr>
        </w:div>
        <w:div w:id="1498765199">
          <w:marLeft w:val="0"/>
          <w:marRight w:val="0"/>
          <w:marTop w:val="0"/>
          <w:marBottom w:val="0"/>
          <w:divBdr>
            <w:top w:val="none" w:sz="0" w:space="0" w:color="auto"/>
            <w:left w:val="none" w:sz="0" w:space="0" w:color="auto"/>
            <w:bottom w:val="none" w:sz="0" w:space="0" w:color="auto"/>
            <w:right w:val="none" w:sz="0" w:space="0" w:color="auto"/>
          </w:divBdr>
        </w:div>
      </w:divsChild>
    </w:div>
    <w:div w:id="865019900">
      <w:bodyDiv w:val="1"/>
      <w:marLeft w:val="0"/>
      <w:marRight w:val="0"/>
      <w:marTop w:val="0"/>
      <w:marBottom w:val="0"/>
      <w:divBdr>
        <w:top w:val="none" w:sz="0" w:space="0" w:color="auto"/>
        <w:left w:val="none" w:sz="0" w:space="0" w:color="auto"/>
        <w:bottom w:val="none" w:sz="0" w:space="0" w:color="auto"/>
        <w:right w:val="none" w:sz="0" w:space="0" w:color="auto"/>
      </w:divBdr>
    </w:div>
    <w:div w:id="893200156">
      <w:bodyDiv w:val="1"/>
      <w:marLeft w:val="0"/>
      <w:marRight w:val="0"/>
      <w:marTop w:val="0"/>
      <w:marBottom w:val="0"/>
      <w:divBdr>
        <w:top w:val="none" w:sz="0" w:space="0" w:color="auto"/>
        <w:left w:val="none" w:sz="0" w:space="0" w:color="auto"/>
        <w:bottom w:val="none" w:sz="0" w:space="0" w:color="auto"/>
        <w:right w:val="none" w:sz="0" w:space="0" w:color="auto"/>
      </w:divBdr>
    </w:div>
    <w:div w:id="939989666">
      <w:bodyDiv w:val="1"/>
      <w:marLeft w:val="0"/>
      <w:marRight w:val="0"/>
      <w:marTop w:val="0"/>
      <w:marBottom w:val="0"/>
      <w:divBdr>
        <w:top w:val="none" w:sz="0" w:space="0" w:color="auto"/>
        <w:left w:val="none" w:sz="0" w:space="0" w:color="auto"/>
        <w:bottom w:val="none" w:sz="0" w:space="0" w:color="auto"/>
        <w:right w:val="none" w:sz="0" w:space="0" w:color="auto"/>
      </w:divBdr>
    </w:div>
    <w:div w:id="955021772">
      <w:bodyDiv w:val="1"/>
      <w:marLeft w:val="0"/>
      <w:marRight w:val="0"/>
      <w:marTop w:val="0"/>
      <w:marBottom w:val="0"/>
      <w:divBdr>
        <w:top w:val="none" w:sz="0" w:space="0" w:color="auto"/>
        <w:left w:val="none" w:sz="0" w:space="0" w:color="auto"/>
        <w:bottom w:val="none" w:sz="0" w:space="0" w:color="auto"/>
        <w:right w:val="none" w:sz="0" w:space="0" w:color="auto"/>
      </w:divBdr>
    </w:div>
    <w:div w:id="971516610">
      <w:bodyDiv w:val="1"/>
      <w:marLeft w:val="0"/>
      <w:marRight w:val="0"/>
      <w:marTop w:val="0"/>
      <w:marBottom w:val="0"/>
      <w:divBdr>
        <w:top w:val="none" w:sz="0" w:space="0" w:color="auto"/>
        <w:left w:val="none" w:sz="0" w:space="0" w:color="auto"/>
        <w:bottom w:val="none" w:sz="0" w:space="0" w:color="auto"/>
        <w:right w:val="none" w:sz="0" w:space="0" w:color="auto"/>
      </w:divBdr>
    </w:div>
    <w:div w:id="976379738">
      <w:bodyDiv w:val="1"/>
      <w:marLeft w:val="0"/>
      <w:marRight w:val="0"/>
      <w:marTop w:val="0"/>
      <w:marBottom w:val="0"/>
      <w:divBdr>
        <w:top w:val="none" w:sz="0" w:space="0" w:color="auto"/>
        <w:left w:val="none" w:sz="0" w:space="0" w:color="auto"/>
        <w:bottom w:val="none" w:sz="0" w:space="0" w:color="auto"/>
        <w:right w:val="none" w:sz="0" w:space="0" w:color="auto"/>
      </w:divBdr>
    </w:div>
    <w:div w:id="1028722660">
      <w:bodyDiv w:val="1"/>
      <w:marLeft w:val="0"/>
      <w:marRight w:val="0"/>
      <w:marTop w:val="0"/>
      <w:marBottom w:val="0"/>
      <w:divBdr>
        <w:top w:val="none" w:sz="0" w:space="0" w:color="auto"/>
        <w:left w:val="none" w:sz="0" w:space="0" w:color="auto"/>
        <w:bottom w:val="none" w:sz="0" w:space="0" w:color="auto"/>
        <w:right w:val="none" w:sz="0" w:space="0" w:color="auto"/>
      </w:divBdr>
    </w:div>
    <w:div w:id="1058477337">
      <w:bodyDiv w:val="1"/>
      <w:marLeft w:val="0"/>
      <w:marRight w:val="0"/>
      <w:marTop w:val="0"/>
      <w:marBottom w:val="0"/>
      <w:divBdr>
        <w:top w:val="none" w:sz="0" w:space="0" w:color="auto"/>
        <w:left w:val="none" w:sz="0" w:space="0" w:color="auto"/>
        <w:bottom w:val="none" w:sz="0" w:space="0" w:color="auto"/>
        <w:right w:val="none" w:sz="0" w:space="0" w:color="auto"/>
      </w:divBdr>
    </w:div>
    <w:div w:id="1097873258">
      <w:bodyDiv w:val="1"/>
      <w:marLeft w:val="0"/>
      <w:marRight w:val="0"/>
      <w:marTop w:val="0"/>
      <w:marBottom w:val="0"/>
      <w:divBdr>
        <w:top w:val="none" w:sz="0" w:space="0" w:color="auto"/>
        <w:left w:val="none" w:sz="0" w:space="0" w:color="auto"/>
        <w:bottom w:val="none" w:sz="0" w:space="0" w:color="auto"/>
        <w:right w:val="none" w:sz="0" w:space="0" w:color="auto"/>
      </w:divBdr>
    </w:div>
    <w:div w:id="1213419135">
      <w:bodyDiv w:val="1"/>
      <w:marLeft w:val="0"/>
      <w:marRight w:val="0"/>
      <w:marTop w:val="0"/>
      <w:marBottom w:val="0"/>
      <w:divBdr>
        <w:top w:val="none" w:sz="0" w:space="0" w:color="auto"/>
        <w:left w:val="none" w:sz="0" w:space="0" w:color="auto"/>
        <w:bottom w:val="none" w:sz="0" w:space="0" w:color="auto"/>
        <w:right w:val="none" w:sz="0" w:space="0" w:color="auto"/>
      </w:divBdr>
    </w:div>
    <w:div w:id="1226987317">
      <w:bodyDiv w:val="1"/>
      <w:marLeft w:val="0"/>
      <w:marRight w:val="0"/>
      <w:marTop w:val="0"/>
      <w:marBottom w:val="0"/>
      <w:divBdr>
        <w:top w:val="none" w:sz="0" w:space="0" w:color="auto"/>
        <w:left w:val="none" w:sz="0" w:space="0" w:color="auto"/>
        <w:bottom w:val="none" w:sz="0" w:space="0" w:color="auto"/>
        <w:right w:val="none" w:sz="0" w:space="0" w:color="auto"/>
      </w:divBdr>
      <w:divsChild>
        <w:div w:id="1870409337">
          <w:marLeft w:val="0"/>
          <w:marRight w:val="0"/>
          <w:marTop w:val="0"/>
          <w:marBottom w:val="0"/>
          <w:divBdr>
            <w:top w:val="none" w:sz="0" w:space="0" w:color="auto"/>
            <w:left w:val="none" w:sz="0" w:space="0" w:color="auto"/>
            <w:bottom w:val="none" w:sz="0" w:space="0" w:color="auto"/>
            <w:right w:val="none" w:sz="0" w:space="0" w:color="auto"/>
          </w:divBdr>
        </w:div>
        <w:div w:id="2060593857">
          <w:marLeft w:val="0"/>
          <w:marRight w:val="0"/>
          <w:marTop w:val="0"/>
          <w:marBottom w:val="0"/>
          <w:divBdr>
            <w:top w:val="none" w:sz="0" w:space="0" w:color="auto"/>
            <w:left w:val="none" w:sz="0" w:space="0" w:color="auto"/>
            <w:bottom w:val="none" w:sz="0" w:space="0" w:color="auto"/>
            <w:right w:val="none" w:sz="0" w:space="0" w:color="auto"/>
          </w:divBdr>
        </w:div>
      </w:divsChild>
    </w:div>
    <w:div w:id="1242568530">
      <w:bodyDiv w:val="1"/>
      <w:marLeft w:val="0"/>
      <w:marRight w:val="0"/>
      <w:marTop w:val="0"/>
      <w:marBottom w:val="0"/>
      <w:divBdr>
        <w:top w:val="none" w:sz="0" w:space="0" w:color="auto"/>
        <w:left w:val="none" w:sz="0" w:space="0" w:color="auto"/>
        <w:bottom w:val="none" w:sz="0" w:space="0" w:color="auto"/>
        <w:right w:val="none" w:sz="0" w:space="0" w:color="auto"/>
      </w:divBdr>
    </w:div>
    <w:div w:id="1282766639">
      <w:bodyDiv w:val="1"/>
      <w:marLeft w:val="0"/>
      <w:marRight w:val="0"/>
      <w:marTop w:val="0"/>
      <w:marBottom w:val="0"/>
      <w:divBdr>
        <w:top w:val="none" w:sz="0" w:space="0" w:color="auto"/>
        <w:left w:val="none" w:sz="0" w:space="0" w:color="auto"/>
        <w:bottom w:val="none" w:sz="0" w:space="0" w:color="auto"/>
        <w:right w:val="none" w:sz="0" w:space="0" w:color="auto"/>
      </w:divBdr>
    </w:div>
    <w:div w:id="1293248558">
      <w:bodyDiv w:val="1"/>
      <w:marLeft w:val="0"/>
      <w:marRight w:val="0"/>
      <w:marTop w:val="0"/>
      <w:marBottom w:val="0"/>
      <w:divBdr>
        <w:top w:val="none" w:sz="0" w:space="0" w:color="auto"/>
        <w:left w:val="none" w:sz="0" w:space="0" w:color="auto"/>
        <w:bottom w:val="none" w:sz="0" w:space="0" w:color="auto"/>
        <w:right w:val="none" w:sz="0" w:space="0" w:color="auto"/>
      </w:divBdr>
    </w:div>
    <w:div w:id="1316490108">
      <w:bodyDiv w:val="1"/>
      <w:marLeft w:val="0"/>
      <w:marRight w:val="0"/>
      <w:marTop w:val="0"/>
      <w:marBottom w:val="0"/>
      <w:divBdr>
        <w:top w:val="none" w:sz="0" w:space="0" w:color="auto"/>
        <w:left w:val="none" w:sz="0" w:space="0" w:color="auto"/>
        <w:bottom w:val="none" w:sz="0" w:space="0" w:color="auto"/>
        <w:right w:val="none" w:sz="0" w:space="0" w:color="auto"/>
      </w:divBdr>
    </w:div>
    <w:div w:id="1355695836">
      <w:bodyDiv w:val="1"/>
      <w:marLeft w:val="0"/>
      <w:marRight w:val="0"/>
      <w:marTop w:val="0"/>
      <w:marBottom w:val="0"/>
      <w:divBdr>
        <w:top w:val="none" w:sz="0" w:space="0" w:color="auto"/>
        <w:left w:val="none" w:sz="0" w:space="0" w:color="auto"/>
        <w:bottom w:val="none" w:sz="0" w:space="0" w:color="auto"/>
        <w:right w:val="none" w:sz="0" w:space="0" w:color="auto"/>
      </w:divBdr>
    </w:div>
    <w:div w:id="1374623258">
      <w:bodyDiv w:val="1"/>
      <w:marLeft w:val="0"/>
      <w:marRight w:val="0"/>
      <w:marTop w:val="0"/>
      <w:marBottom w:val="0"/>
      <w:divBdr>
        <w:top w:val="none" w:sz="0" w:space="0" w:color="auto"/>
        <w:left w:val="none" w:sz="0" w:space="0" w:color="auto"/>
        <w:bottom w:val="none" w:sz="0" w:space="0" w:color="auto"/>
        <w:right w:val="none" w:sz="0" w:space="0" w:color="auto"/>
      </w:divBdr>
    </w:div>
    <w:div w:id="1378895564">
      <w:bodyDiv w:val="1"/>
      <w:marLeft w:val="0"/>
      <w:marRight w:val="0"/>
      <w:marTop w:val="0"/>
      <w:marBottom w:val="0"/>
      <w:divBdr>
        <w:top w:val="none" w:sz="0" w:space="0" w:color="auto"/>
        <w:left w:val="none" w:sz="0" w:space="0" w:color="auto"/>
        <w:bottom w:val="none" w:sz="0" w:space="0" w:color="auto"/>
        <w:right w:val="none" w:sz="0" w:space="0" w:color="auto"/>
      </w:divBdr>
    </w:div>
    <w:div w:id="1608464391">
      <w:bodyDiv w:val="1"/>
      <w:marLeft w:val="0"/>
      <w:marRight w:val="0"/>
      <w:marTop w:val="0"/>
      <w:marBottom w:val="0"/>
      <w:divBdr>
        <w:top w:val="none" w:sz="0" w:space="0" w:color="auto"/>
        <w:left w:val="none" w:sz="0" w:space="0" w:color="auto"/>
        <w:bottom w:val="none" w:sz="0" w:space="0" w:color="auto"/>
        <w:right w:val="none" w:sz="0" w:space="0" w:color="auto"/>
      </w:divBdr>
    </w:div>
    <w:div w:id="1660771483">
      <w:bodyDiv w:val="1"/>
      <w:marLeft w:val="0"/>
      <w:marRight w:val="0"/>
      <w:marTop w:val="0"/>
      <w:marBottom w:val="0"/>
      <w:divBdr>
        <w:top w:val="none" w:sz="0" w:space="0" w:color="auto"/>
        <w:left w:val="none" w:sz="0" w:space="0" w:color="auto"/>
        <w:bottom w:val="none" w:sz="0" w:space="0" w:color="auto"/>
        <w:right w:val="none" w:sz="0" w:space="0" w:color="auto"/>
      </w:divBdr>
    </w:div>
    <w:div w:id="1705522976">
      <w:bodyDiv w:val="1"/>
      <w:marLeft w:val="0"/>
      <w:marRight w:val="0"/>
      <w:marTop w:val="0"/>
      <w:marBottom w:val="0"/>
      <w:divBdr>
        <w:top w:val="none" w:sz="0" w:space="0" w:color="auto"/>
        <w:left w:val="none" w:sz="0" w:space="0" w:color="auto"/>
        <w:bottom w:val="none" w:sz="0" w:space="0" w:color="auto"/>
        <w:right w:val="none" w:sz="0" w:space="0" w:color="auto"/>
      </w:divBdr>
    </w:div>
    <w:div w:id="1749771156">
      <w:bodyDiv w:val="1"/>
      <w:marLeft w:val="0"/>
      <w:marRight w:val="0"/>
      <w:marTop w:val="0"/>
      <w:marBottom w:val="0"/>
      <w:divBdr>
        <w:top w:val="none" w:sz="0" w:space="0" w:color="auto"/>
        <w:left w:val="none" w:sz="0" w:space="0" w:color="auto"/>
        <w:bottom w:val="none" w:sz="0" w:space="0" w:color="auto"/>
        <w:right w:val="none" w:sz="0" w:space="0" w:color="auto"/>
      </w:divBdr>
    </w:div>
    <w:div w:id="1754038159">
      <w:bodyDiv w:val="1"/>
      <w:marLeft w:val="0"/>
      <w:marRight w:val="0"/>
      <w:marTop w:val="0"/>
      <w:marBottom w:val="0"/>
      <w:divBdr>
        <w:top w:val="none" w:sz="0" w:space="0" w:color="auto"/>
        <w:left w:val="none" w:sz="0" w:space="0" w:color="auto"/>
        <w:bottom w:val="none" w:sz="0" w:space="0" w:color="auto"/>
        <w:right w:val="none" w:sz="0" w:space="0" w:color="auto"/>
      </w:divBdr>
    </w:div>
    <w:div w:id="1764643297">
      <w:bodyDiv w:val="1"/>
      <w:marLeft w:val="0"/>
      <w:marRight w:val="0"/>
      <w:marTop w:val="0"/>
      <w:marBottom w:val="0"/>
      <w:divBdr>
        <w:top w:val="none" w:sz="0" w:space="0" w:color="auto"/>
        <w:left w:val="none" w:sz="0" w:space="0" w:color="auto"/>
        <w:bottom w:val="none" w:sz="0" w:space="0" w:color="auto"/>
        <w:right w:val="none" w:sz="0" w:space="0" w:color="auto"/>
      </w:divBdr>
    </w:div>
    <w:div w:id="1790054149">
      <w:bodyDiv w:val="1"/>
      <w:marLeft w:val="0"/>
      <w:marRight w:val="0"/>
      <w:marTop w:val="0"/>
      <w:marBottom w:val="0"/>
      <w:divBdr>
        <w:top w:val="none" w:sz="0" w:space="0" w:color="auto"/>
        <w:left w:val="none" w:sz="0" w:space="0" w:color="auto"/>
        <w:bottom w:val="none" w:sz="0" w:space="0" w:color="auto"/>
        <w:right w:val="none" w:sz="0" w:space="0" w:color="auto"/>
      </w:divBdr>
    </w:div>
    <w:div w:id="1920944178">
      <w:bodyDiv w:val="1"/>
      <w:marLeft w:val="0"/>
      <w:marRight w:val="0"/>
      <w:marTop w:val="0"/>
      <w:marBottom w:val="0"/>
      <w:divBdr>
        <w:top w:val="none" w:sz="0" w:space="0" w:color="auto"/>
        <w:left w:val="none" w:sz="0" w:space="0" w:color="auto"/>
        <w:bottom w:val="none" w:sz="0" w:space="0" w:color="auto"/>
        <w:right w:val="none" w:sz="0" w:space="0" w:color="auto"/>
      </w:divBdr>
    </w:div>
    <w:div w:id="1931885065">
      <w:bodyDiv w:val="1"/>
      <w:marLeft w:val="0"/>
      <w:marRight w:val="0"/>
      <w:marTop w:val="0"/>
      <w:marBottom w:val="0"/>
      <w:divBdr>
        <w:top w:val="none" w:sz="0" w:space="0" w:color="auto"/>
        <w:left w:val="none" w:sz="0" w:space="0" w:color="auto"/>
        <w:bottom w:val="none" w:sz="0" w:space="0" w:color="auto"/>
        <w:right w:val="none" w:sz="0" w:space="0" w:color="auto"/>
      </w:divBdr>
    </w:div>
    <w:div w:id="1945573173">
      <w:bodyDiv w:val="1"/>
      <w:marLeft w:val="0"/>
      <w:marRight w:val="0"/>
      <w:marTop w:val="0"/>
      <w:marBottom w:val="0"/>
      <w:divBdr>
        <w:top w:val="none" w:sz="0" w:space="0" w:color="auto"/>
        <w:left w:val="none" w:sz="0" w:space="0" w:color="auto"/>
        <w:bottom w:val="none" w:sz="0" w:space="0" w:color="auto"/>
        <w:right w:val="none" w:sz="0" w:space="0" w:color="auto"/>
      </w:divBdr>
    </w:div>
    <w:div w:id="1946185028">
      <w:bodyDiv w:val="1"/>
      <w:marLeft w:val="0"/>
      <w:marRight w:val="0"/>
      <w:marTop w:val="0"/>
      <w:marBottom w:val="0"/>
      <w:divBdr>
        <w:top w:val="none" w:sz="0" w:space="0" w:color="auto"/>
        <w:left w:val="none" w:sz="0" w:space="0" w:color="auto"/>
        <w:bottom w:val="none" w:sz="0" w:space="0" w:color="auto"/>
        <w:right w:val="none" w:sz="0" w:space="0" w:color="auto"/>
      </w:divBdr>
    </w:div>
    <w:div w:id="1964539081">
      <w:bodyDiv w:val="1"/>
      <w:marLeft w:val="0"/>
      <w:marRight w:val="0"/>
      <w:marTop w:val="0"/>
      <w:marBottom w:val="0"/>
      <w:divBdr>
        <w:top w:val="none" w:sz="0" w:space="0" w:color="auto"/>
        <w:left w:val="none" w:sz="0" w:space="0" w:color="auto"/>
        <w:bottom w:val="none" w:sz="0" w:space="0" w:color="auto"/>
        <w:right w:val="none" w:sz="0" w:space="0" w:color="auto"/>
      </w:divBdr>
    </w:div>
    <w:div w:id="2048096139">
      <w:bodyDiv w:val="1"/>
      <w:marLeft w:val="0"/>
      <w:marRight w:val="0"/>
      <w:marTop w:val="0"/>
      <w:marBottom w:val="0"/>
      <w:divBdr>
        <w:top w:val="none" w:sz="0" w:space="0" w:color="auto"/>
        <w:left w:val="none" w:sz="0" w:space="0" w:color="auto"/>
        <w:bottom w:val="none" w:sz="0" w:space="0" w:color="auto"/>
        <w:right w:val="none" w:sz="0" w:space="0" w:color="auto"/>
      </w:divBdr>
    </w:div>
    <w:div w:id="2119714802">
      <w:bodyDiv w:val="1"/>
      <w:marLeft w:val="0"/>
      <w:marRight w:val="0"/>
      <w:marTop w:val="0"/>
      <w:marBottom w:val="0"/>
      <w:divBdr>
        <w:top w:val="none" w:sz="0" w:space="0" w:color="auto"/>
        <w:left w:val="none" w:sz="0" w:space="0" w:color="auto"/>
        <w:bottom w:val="none" w:sz="0" w:space="0" w:color="auto"/>
        <w:right w:val="none" w:sz="0" w:space="0" w:color="auto"/>
      </w:divBdr>
    </w:div>
    <w:div w:id="21392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evtracker.fcdo.gov.uk/projects/GB-GOV-13-ICF-0014-SIPLA/documents" TargetMode="External"/><Relationship Id="rId18" Type="http://schemas.openxmlformats.org/officeDocument/2006/relationships/footer" Target="footer2.xml"/><Relationship Id="rId26" Type="http://schemas.openxmlformats.org/officeDocument/2006/relationships/hyperlink" Target="https://www.iadb.org/en/projects-search?country=&amp;sector=&amp;status=&amp;query=RG-T3337" TargetMode="Externa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tyles" Target="styles.xml"/><Relationship Id="rId12" Type="http://schemas.openxmlformats.org/officeDocument/2006/relationships/hyperlink" Target="https://aidstream.org/files/documents/Sustainable-Infrastructure-Programme---Business-Case-(FINAL-Redacted)-20180525010513.pdf" TargetMode="External"/><Relationship Id="rId17" Type="http://schemas.openxmlformats.org/officeDocument/2006/relationships/footer" Target="footer1.xml"/><Relationship Id="rId25" Type="http://schemas.openxmlformats.org/officeDocument/2006/relationships/hyperlink" Target="https://www.iadb.org/en/project/RG-T329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iadb.org/en/project/BR-T1415"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dbinvest.org/en/projects/pv-llanos-3"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idbinvest.org/en/projects/electribus-bogota" TargetMode="External"/><Relationship Id="rId28" Type="http://schemas.openxmlformats.org/officeDocument/2006/relationships/hyperlink" Target="https://www.iadb.org/en/project/ME-T1405"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www.iadb.org/en/project/CO-T1558"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ience-and-innovation-network.s3.eu-west-2.amazonaws.com/BEIS+ICF/SIPLA/SIP+Latam+Annual+Review+2019.docx" TargetMode="External"/><Relationship Id="rId22" Type="http://schemas.openxmlformats.org/officeDocument/2006/relationships/hyperlink" Target="https://www.idbinvest.org/en/projects/green-fidc-origo" TargetMode="External"/><Relationship Id="rId27" Type="http://schemas.openxmlformats.org/officeDocument/2006/relationships/hyperlink" Target="https://www.iadb.org/en/projects-search?country=&amp;sector=&amp;status=&amp;query=RG-T3337" TargetMode="External"/><Relationship Id="rId30" Type="http://schemas.openxmlformats.org/officeDocument/2006/relationships/hyperlink" Target="https://www.iadb.org/en/project/CO-T15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ad9e33-5271-4ce6-bdd9-333434fbc601">
      <UserInfo>
        <DisplayName>Bray, Callum (BEIS)</DisplayName>
        <AccountId>1135</AccountId>
        <AccountType/>
      </UserInfo>
      <UserInfo>
        <DisplayName>zz_Lugt, Ellie (International - Climate and Energy)</DisplayName>
        <AccountId>1134</AccountId>
        <AccountType/>
      </UserInfo>
      <UserInfo>
        <DisplayName>White, James (International - Climate and Energy)</DisplayName>
        <AccountId>1136</AccountId>
        <AccountType/>
      </UserInfo>
      <UserInfo>
        <DisplayName>Walter, Poppy (Clean Growth)</DisplayName>
        <AccountId>1489</AccountId>
        <AccountType/>
      </UserInfo>
      <UserInfo>
        <DisplayName>Robinson, Giulia (International - Climate and Energy)</DisplayName>
        <AccountId>1436</AccountId>
        <AccountType/>
      </UserInfo>
      <UserInfo>
        <DisplayName>Hughes, Catriona (BEIS)</DisplayName>
        <AccountId>1191</AccountId>
        <AccountType/>
      </UserInfo>
      <UserInfo>
        <DisplayName>White, Alastair (International - Climate and Energy)</DisplayName>
        <AccountId>1268</AccountId>
        <AccountType/>
      </UserInfo>
      <UserInfo>
        <DisplayName>Andrews, Sophie (International - Climate and Energy)</DisplayName>
        <AccountId>1433</AccountId>
        <AccountType/>
      </UserInfo>
      <UserInfo>
        <DisplayName>Patrick, Niall (International - Climate and Energy)</DisplayName>
        <AccountId>534</AccountId>
        <AccountType/>
      </UserInfo>
      <UserInfo>
        <DisplayName>Stathakopoulou, Christina (Implementation &amp; Delivery)</DisplayName>
        <AccountId>1518</AccountId>
        <AccountType/>
      </UserInfo>
      <UserInfo>
        <DisplayName>zz_Sardeson, Lottie (Intl Climate Finance - Investments)</DisplayName>
        <AccountId>282</AccountId>
        <AccountType/>
      </UserInfo>
      <UserInfo>
        <DisplayName>Donegan, Brendan (Intl Climate Finance - Partnerships)</DisplayName>
        <AccountId>539</AccountId>
        <AccountType/>
      </UserInfo>
      <UserInfo>
        <DisplayName>zz_Gibbs, Douglas (Intl Climate Finance - Investments)</DisplayName>
        <AccountId>13</AccountId>
        <AccountType/>
      </UserInfo>
      <UserInfo>
        <DisplayName>Mills, Sarah (Intl Climate Finance - Investments)</DisplayName>
        <AccountId>66</AccountId>
        <AccountType/>
      </UserInfo>
      <UserInfo>
        <DisplayName>Farmer, Will (Intl Climate Finance - Portfolio)</DisplayName>
        <AccountId>142</AccountId>
        <AccountType/>
      </UserInfo>
      <UserInfo>
        <DisplayName>Ahmed, Tajbee (Intl Climate Finance - Portfolio)</DisplayName>
        <AccountId>219</AccountId>
        <AccountType/>
      </UserInfo>
      <UserInfo>
        <DisplayName>Evans, Sian (Intl Climate Finance - Partnerships)</DisplayName>
        <AccountId>104</AccountId>
        <AccountType/>
      </UserInfo>
      <UserInfo>
        <DisplayName>Davis, Owen (Intl Climate Finance - Portfolio)</DisplayName>
        <AccountId>245</AccountId>
        <AccountType/>
      </UserInfo>
      <UserInfo>
        <DisplayName>Paton, Ellen (Intl Climate Finance - Investments)</DisplayName>
        <AccountId>37</AccountId>
        <AccountType/>
      </UserInfo>
      <UserInfo>
        <DisplayName>Kasliwal, Pritika (Intl Climate Finance - Partnerships)</DisplayName>
        <AccountId>81</AccountId>
        <AccountType/>
      </UserInfo>
      <UserInfo>
        <DisplayName>Hirschhausen, Lara (Intl Climate Finance - Investments)</DisplayName>
        <AccountId>218</AccountId>
        <AccountType/>
      </UserInfo>
      <UserInfo>
        <DisplayName>Schuler, Nina (International - Climate and Energy)</DisplayName>
        <AccountId>2097</AccountId>
        <AccountType/>
      </UserInfo>
      <UserInfo>
        <DisplayName>Alam, Ashufta (Intl Climate Finance - Investments)</DisplayName>
        <AccountId>139</AccountId>
        <AccountType/>
      </UserInfo>
      <UserInfo>
        <DisplayName>Augustin, Sidney (Intl Climate Finance - Portfolio)</DisplayName>
        <AccountId>267</AccountId>
        <AccountType/>
      </UserInfo>
      <UserInfo>
        <DisplayName>Killion2, Laura (Intl Climate Finance - Portfolio)</DisplayName>
        <AccountId>150</AccountId>
        <AccountType/>
      </UserInfo>
    </SharedWithUsers>
    <TaxCatchAll xmlns="92ad9e33-5271-4ce6-bdd9-333434fbc601">
      <Value>1</Value>
    </TaxCatchAll>
    <Government_x0020_Body xmlns="b413c3fd-5a3b-4239-b985-69032e371c04">BEIS</Government_x0020_Body>
    <Date_x0020_Opened xmlns="b413c3fd-5a3b-4239-b985-69032e371c04">2021-06-14T13:06:55+00:00</Date_x0020_Opened>
    <LegacyData xmlns="aaacb922-5235-4a66-b188-303b9b46fbd7" xsi:nil="true"/>
    <Descriptor xmlns="0063f72e-ace3-48fb-9c1f-5b513408b31f" xsi:nil="true"/>
    <m975189f4ba442ecbf67d4147307b177 xmlns="92ad9e33-5271-4ce6-bdd9-333434fbc601">
      <Terms xmlns="http://schemas.microsoft.com/office/infopath/2007/PartnerControls">
        <TermInfo xmlns="http://schemas.microsoft.com/office/infopath/2007/PartnerControls">
          <TermName xmlns="http://schemas.microsoft.com/office/infopath/2007/PartnerControls">International Climate Finance</TermName>
          <TermId xmlns="http://schemas.microsoft.com/office/infopath/2007/PartnerControls">25a07eec-082c-4868-be05-2bef48a6767e</TermId>
        </TermInfo>
      </Terms>
    </m975189f4ba442ecbf67d4147307b177>
    <Security_x0020_Classification xmlns="0063f72e-ace3-48fb-9c1f-5b513408b31f">OFFICIAL</Security_x0020_Classification>
    <Retention_x0020_Label xmlns="a8f60570-4bd3-4f2b-950b-a996de8ab151" xsi:nil="true"/>
    <Date_x0020_Closed xmlns="b413c3fd-5a3b-4239-b985-69032e371c04" xsi:nil="true"/>
    <_dlc_DocId xmlns="92ad9e33-5271-4ce6-bdd9-333434fbc601">FQW7PQWC2EQU-720610831-50122</_dlc_DocId>
    <_dlc_DocIdUrl xmlns="92ad9e33-5271-4ce6-bdd9-333434fbc601">
      <Url>https://beisgov.sharepoint.com/sites/ICF/_layouts/15/DocIdRedir.aspx?ID=FQW7PQWC2EQU-720610831-50122</Url>
      <Description>FQW7PQWC2EQU-720610831-50122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BBBAFD14273B545B612A7DFACD821FD" ma:contentTypeVersion="17" ma:contentTypeDescription="Create a new document." ma:contentTypeScope="" ma:versionID="88b7e5013dba5cc4fe9299d702a1e54b">
  <xsd:schema xmlns:xsd="http://www.w3.org/2001/XMLSchema" xmlns:xs="http://www.w3.org/2001/XMLSchema" xmlns:p="http://schemas.microsoft.com/office/2006/metadata/properties" xmlns:ns2="92ad9e33-5271-4ce6-bdd9-333434fbc601" xmlns:ns3="0063f72e-ace3-48fb-9c1f-5b513408b31f" xmlns:ns4="b413c3fd-5a3b-4239-b985-69032e371c04" xmlns:ns5="a8f60570-4bd3-4f2b-950b-a996de8ab151" xmlns:ns6="aaacb922-5235-4a66-b188-303b9b46fbd7" xmlns:ns7="36ebd5cd-78f0-47d9-a37e-8098d9379116" targetNamespace="http://schemas.microsoft.com/office/2006/metadata/properties" ma:root="true" ma:fieldsID="7c667f6d63d240484460242c071ffc3f" ns2:_="" ns3:_="" ns4:_="" ns5:_="" ns6:_="" ns7:_="">
    <xsd:import namespace="92ad9e33-5271-4ce6-bdd9-333434fbc601"/>
    <xsd:import namespace="0063f72e-ace3-48fb-9c1f-5b513408b31f"/>
    <xsd:import namespace="b413c3fd-5a3b-4239-b985-69032e371c04"/>
    <xsd:import namespace="a8f60570-4bd3-4f2b-950b-a996de8ab151"/>
    <xsd:import namespace="aaacb922-5235-4a66-b188-303b9b46fbd7"/>
    <xsd:import namespace="36ebd5cd-78f0-47d9-a37e-8098d9379116"/>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ad9e33-5271-4ce6-bdd9-333434fbc6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International Climate Finance|25a07eec-082c-4868-be05-2bef48a6767e"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136d9e3-02d7-4447-9a9a-9d02553843e1}" ma:internalName="TaxCatchAll" ma:showField="CatchAllData"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136d9e3-02d7-4447-9a9a-9d02553843e1}" ma:internalName="TaxCatchAllLabel" ma:readOnly="true" ma:showField="CatchAllDataLabel" ma:web="92ad9e33-5271-4ce6-bdd9-333434fbc60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ebd5cd-78f0-47d9-a37e-8098d9379116"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AutoTags" ma:index="28" nillable="true" ma:displayName="Tags" ma:internalName="MediaServiceAutoTags"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CA949-4A17-4A58-8CB4-38E906E85F6A}">
  <ds:schemaRefs>
    <ds:schemaRef ds:uri="http://schemas.microsoft.com/office/2006/metadata/properties"/>
    <ds:schemaRef ds:uri="http://schemas.microsoft.com/office/infopath/2007/PartnerControls"/>
    <ds:schemaRef ds:uri="92ad9e33-5271-4ce6-bdd9-333434fbc601"/>
    <ds:schemaRef ds:uri="b413c3fd-5a3b-4239-b985-69032e371c04"/>
    <ds:schemaRef ds:uri="aaacb922-5235-4a66-b188-303b9b46fbd7"/>
    <ds:schemaRef ds:uri="0063f72e-ace3-48fb-9c1f-5b513408b31f"/>
    <ds:schemaRef ds:uri="a8f60570-4bd3-4f2b-950b-a996de8ab151"/>
  </ds:schemaRefs>
</ds:datastoreItem>
</file>

<file path=customXml/itemProps2.xml><?xml version="1.0" encoding="utf-8"?>
<ds:datastoreItem xmlns:ds="http://schemas.openxmlformats.org/officeDocument/2006/customXml" ds:itemID="{68307C8D-B8DB-4A3D-946C-D85685CE39B5}">
  <ds:schemaRefs>
    <ds:schemaRef ds:uri="http://schemas.microsoft.com/sharepoint/events"/>
  </ds:schemaRefs>
</ds:datastoreItem>
</file>

<file path=customXml/itemProps3.xml><?xml version="1.0" encoding="utf-8"?>
<ds:datastoreItem xmlns:ds="http://schemas.openxmlformats.org/officeDocument/2006/customXml" ds:itemID="{3CE98AA2-2EF8-4B34-9962-2F9D01721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ad9e33-5271-4ce6-bdd9-333434fbc601"/>
    <ds:schemaRef ds:uri="0063f72e-ace3-48fb-9c1f-5b513408b31f"/>
    <ds:schemaRef ds:uri="b413c3fd-5a3b-4239-b985-69032e371c04"/>
    <ds:schemaRef ds:uri="a8f60570-4bd3-4f2b-950b-a996de8ab151"/>
    <ds:schemaRef ds:uri="aaacb922-5235-4a66-b188-303b9b46fbd7"/>
    <ds:schemaRef ds:uri="36ebd5cd-78f0-47d9-a37e-8098d9379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542131-BD40-42FA-BF1D-325659C74395}">
  <ds:schemaRefs>
    <ds:schemaRef ds:uri="http://schemas.microsoft.com/sharepoint/v3/contenttype/forms"/>
  </ds:schemaRefs>
</ds:datastoreItem>
</file>

<file path=customXml/itemProps5.xml><?xml version="1.0" encoding="utf-8"?>
<ds:datastoreItem xmlns:ds="http://schemas.openxmlformats.org/officeDocument/2006/customXml" ds:itemID="{3BC24931-77AF-401C-A15E-DC95E7D1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8908</Words>
  <Characters>50779</Characters>
  <Application>Microsoft Office Word</Application>
  <DocSecurity>4</DocSecurity>
  <Lines>423</Lines>
  <Paragraphs>119</Paragraphs>
  <ScaleCrop>false</ScaleCrop>
  <Company/>
  <LinksUpToDate>false</LinksUpToDate>
  <CharactersWithSpaces>59568</CharactersWithSpaces>
  <SharedDoc>false</SharedDoc>
  <HLinks>
    <vt:vector size="78" baseType="variant">
      <vt:variant>
        <vt:i4>4915220</vt:i4>
      </vt:variant>
      <vt:variant>
        <vt:i4>36</vt:i4>
      </vt:variant>
      <vt:variant>
        <vt:i4>0</vt:i4>
      </vt:variant>
      <vt:variant>
        <vt:i4>5</vt:i4>
      </vt:variant>
      <vt:variant>
        <vt:lpwstr>https://www.iadb.org/en/project/CO-T1558</vt:lpwstr>
      </vt:variant>
      <vt:variant>
        <vt:lpwstr/>
      </vt:variant>
      <vt:variant>
        <vt:i4>4325393</vt:i4>
      </vt:variant>
      <vt:variant>
        <vt:i4>33</vt:i4>
      </vt:variant>
      <vt:variant>
        <vt:i4>0</vt:i4>
      </vt:variant>
      <vt:variant>
        <vt:i4>5</vt:i4>
      </vt:variant>
      <vt:variant>
        <vt:lpwstr>https://www.iadb.org/en/project/CO-T1501</vt:lpwstr>
      </vt:variant>
      <vt:variant>
        <vt:lpwstr/>
      </vt:variant>
      <vt:variant>
        <vt:i4>5898257</vt:i4>
      </vt:variant>
      <vt:variant>
        <vt:i4>30</vt:i4>
      </vt:variant>
      <vt:variant>
        <vt:i4>0</vt:i4>
      </vt:variant>
      <vt:variant>
        <vt:i4>5</vt:i4>
      </vt:variant>
      <vt:variant>
        <vt:lpwstr>https://www.iadb.org/en/project/BR-T1415</vt:lpwstr>
      </vt:variant>
      <vt:variant>
        <vt:lpwstr/>
      </vt:variant>
      <vt:variant>
        <vt:i4>5046303</vt:i4>
      </vt:variant>
      <vt:variant>
        <vt:i4>27</vt:i4>
      </vt:variant>
      <vt:variant>
        <vt:i4>0</vt:i4>
      </vt:variant>
      <vt:variant>
        <vt:i4>5</vt:i4>
      </vt:variant>
      <vt:variant>
        <vt:lpwstr>https://www.iadb.org/en/project/ME-T1405</vt:lpwstr>
      </vt:variant>
      <vt:variant>
        <vt:lpwstr/>
      </vt:variant>
      <vt:variant>
        <vt:i4>2818107</vt:i4>
      </vt:variant>
      <vt:variant>
        <vt:i4>24</vt:i4>
      </vt:variant>
      <vt:variant>
        <vt:i4>0</vt:i4>
      </vt:variant>
      <vt:variant>
        <vt:i4>5</vt:i4>
      </vt:variant>
      <vt:variant>
        <vt:lpwstr>https://www.iadb.org/en/projects-search?country=&amp;sector=&amp;status=&amp;query=RG-T3337</vt:lpwstr>
      </vt:variant>
      <vt:variant>
        <vt:lpwstr/>
      </vt:variant>
      <vt:variant>
        <vt:i4>2818107</vt:i4>
      </vt:variant>
      <vt:variant>
        <vt:i4>21</vt:i4>
      </vt:variant>
      <vt:variant>
        <vt:i4>0</vt:i4>
      </vt:variant>
      <vt:variant>
        <vt:i4>5</vt:i4>
      </vt:variant>
      <vt:variant>
        <vt:lpwstr>https://www.iadb.org/en/projects-search?country=&amp;sector=&amp;status=&amp;query=RG-T3337</vt:lpwstr>
      </vt:variant>
      <vt:variant>
        <vt:lpwstr/>
      </vt:variant>
      <vt:variant>
        <vt:i4>5046283</vt:i4>
      </vt:variant>
      <vt:variant>
        <vt:i4>18</vt:i4>
      </vt:variant>
      <vt:variant>
        <vt:i4>0</vt:i4>
      </vt:variant>
      <vt:variant>
        <vt:i4>5</vt:i4>
      </vt:variant>
      <vt:variant>
        <vt:lpwstr>https://www.iadb.org/en/project/RG-T3291</vt:lpwstr>
      </vt:variant>
      <vt:variant>
        <vt:lpwstr/>
      </vt:variant>
      <vt:variant>
        <vt:i4>4522066</vt:i4>
      </vt:variant>
      <vt:variant>
        <vt:i4>15</vt:i4>
      </vt:variant>
      <vt:variant>
        <vt:i4>0</vt:i4>
      </vt:variant>
      <vt:variant>
        <vt:i4>5</vt:i4>
      </vt:variant>
      <vt:variant>
        <vt:lpwstr>https://www.idbinvest.org/en/projects/pv-llanos-3</vt:lpwstr>
      </vt:variant>
      <vt:variant>
        <vt:lpwstr/>
      </vt:variant>
      <vt:variant>
        <vt:i4>6357051</vt:i4>
      </vt:variant>
      <vt:variant>
        <vt:i4>12</vt:i4>
      </vt:variant>
      <vt:variant>
        <vt:i4>0</vt:i4>
      </vt:variant>
      <vt:variant>
        <vt:i4>5</vt:i4>
      </vt:variant>
      <vt:variant>
        <vt:lpwstr>https://www.idbinvest.org/en/projects/electribus-bogota</vt:lpwstr>
      </vt:variant>
      <vt:variant>
        <vt:lpwstr/>
      </vt:variant>
      <vt:variant>
        <vt:i4>2424872</vt:i4>
      </vt:variant>
      <vt:variant>
        <vt:i4>9</vt:i4>
      </vt:variant>
      <vt:variant>
        <vt:i4>0</vt:i4>
      </vt:variant>
      <vt:variant>
        <vt:i4>5</vt:i4>
      </vt:variant>
      <vt:variant>
        <vt:lpwstr>https://www.idbinvest.org/en/projects/green-fidc-origo</vt:lpwstr>
      </vt:variant>
      <vt:variant>
        <vt:lpwstr/>
      </vt:variant>
      <vt:variant>
        <vt:i4>2424938</vt:i4>
      </vt:variant>
      <vt:variant>
        <vt:i4>6</vt:i4>
      </vt:variant>
      <vt:variant>
        <vt:i4>0</vt:i4>
      </vt:variant>
      <vt:variant>
        <vt:i4>5</vt:i4>
      </vt:variant>
      <vt:variant>
        <vt:lpwstr>https://science-and-innovation-network.s3.eu-west-2.amazonaws.com/BEIS+ICF/SIPLA/SIP+Latam+Annual+Review+2019.docx</vt:lpwstr>
      </vt:variant>
      <vt:variant>
        <vt:lpwstr/>
      </vt:variant>
      <vt:variant>
        <vt:i4>7274622</vt:i4>
      </vt:variant>
      <vt:variant>
        <vt:i4>3</vt:i4>
      </vt:variant>
      <vt:variant>
        <vt:i4>0</vt:i4>
      </vt:variant>
      <vt:variant>
        <vt:i4>5</vt:i4>
      </vt:variant>
      <vt:variant>
        <vt:lpwstr>https://devtracker.fcdo.gov.uk/projects/GB-GOV-13-ICF-0014-SIPLA/documents</vt:lpwstr>
      </vt:variant>
      <vt:variant>
        <vt:lpwstr/>
      </vt:variant>
      <vt:variant>
        <vt:i4>3801210</vt:i4>
      </vt:variant>
      <vt:variant>
        <vt:i4>0</vt:i4>
      </vt:variant>
      <vt:variant>
        <vt:i4>0</vt:i4>
      </vt:variant>
      <vt:variant>
        <vt:i4>5</vt:i4>
      </vt:variant>
      <vt:variant>
        <vt:lpwstr>https://aidstream.org/files/documents/Sustainable-Infrastructure-Programme---Business-Case-(FINAL-Redacted)-20180525010513.pdf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Smithers, William (Intl Climate Finance: Portfolio)</dc:creator>
  <cp:keywords/>
  <dc:description/>
  <cp:lastModifiedBy>Stathakopoulou, Christina (Implementation &amp; Delivery)</cp:lastModifiedBy>
  <cp:revision>2</cp:revision>
  <dcterms:created xsi:type="dcterms:W3CDTF">2021-10-01T09:46:00Z</dcterms:created>
  <dcterms:modified xsi:type="dcterms:W3CDTF">2021-10-01T09:46:00Z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2020-07-31T08:26:31Z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cddeefbe-1e4c-49e9-8a2d-000074bea76d</vt:lpwstr>
  </property>
  <property fmtid="{D5CDD505-2E9C-101B-9397-08002B2CF9AE}" pid="8" name="MSIP_Label_ba62f585-b40f-4ab9-bafe-39150f03d124_ContentBits">
    <vt:lpwstr>0</vt:lpwstr>
  </property>
  <property fmtid="{D5CDD505-2E9C-101B-9397-08002B2CF9AE}" pid="9" name="Business Document Type">
    <vt:lpwstr>Annual review</vt:lpwstr>
  </property>
  <property fmtid="{D5CDD505-2E9C-101B-9397-08002B2CF9AE}" pid="10" name="Business Unit">
    <vt:lpwstr>1;#International Climate Finance|25a07eec-082c-4868-be05-2bef48a6767e</vt:lpwstr>
  </property>
  <property fmtid="{D5CDD505-2E9C-101B-9397-08002B2CF9AE}" pid="11" name="MSIP_Label_e4c996da-17fa-4fc5-8989-2758fb4cf86b_ActionId">
    <vt:lpwstr>919708a4-416e-499e-8edc-0000a189eb48</vt:lpwstr>
  </property>
  <property fmtid="{D5CDD505-2E9C-101B-9397-08002B2CF9AE}" pid="12" name="MSIP_Label_e4c996da-17fa-4fc5-8989-2758fb4cf86b_SiteId">
    <vt:lpwstr>cdf709af-1a18-4c74-bd93-6d14a64d73b3</vt:lpwstr>
  </property>
  <property fmtid="{D5CDD505-2E9C-101B-9397-08002B2CF9AE}" pid="13" name="MSIP_Label_e4c996da-17fa-4fc5-8989-2758fb4cf86b_ContentBits">
    <vt:lpwstr>1</vt:lpwstr>
  </property>
  <property fmtid="{D5CDD505-2E9C-101B-9397-08002B2CF9AE}" pid="14" name="ContentTypeId">
    <vt:lpwstr>0x010100ABBBAFD14273B545B612A7DFACD821FD</vt:lpwstr>
  </property>
  <property fmtid="{D5CDD505-2E9C-101B-9397-08002B2CF9AE}" pid="15" name="MSIP_Label_e4c996da-17fa-4fc5-8989-2758fb4cf86b_Enabled">
    <vt:lpwstr>true</vt:lpwstr>
  </property>
  <property fmtid="{D5CDD505-2E9C-101B-9397-08002B2CF9AE}" pid="16" name="MSIP_Label_e4c996da-17fa-4fc5-8989-2758fb4cf86b_Name">
    <vt:lpwstr>OFFICIAL</vt:lpwstr>
  </property>
  <property fmtid="{D5CDD505-2E9C-101B-9397-08002B2CF9AE}" pid="17" name="_dlc_DocIdItemGuid">
    <vt:lpwstr>8e1caaa6-d580-4a55-97e1-f6e928bda200</vt:lpwstr>
  </property>
  <property fmtid="{D5CDD505-2E9C-101B-9397-08002B2CF9AE}" pid="18" name="MSIP_Label_e4c996da-17fa-4fc5-8989-2758fb4cf86b_SetDate">
    <vt:lpwstr>2020-03-30T16:49:07Z</vt:lpwstr>
  </property>
  <property fmtid="{D5CDD505-2E9C-101B-9397-08002B2CF9AE}" pid="19" name="MSIP_Label_e4c996da-17fa-4fc5-8989-2758fb4cf86b_Method">
    <vt:lpwstr>Standard</vt:lpwstr>
  </property>
</Properties>
</file>