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5949"/>
        <w:gridCol w:w="3680"/>
      </w:tblGrid>
      <w:tr w:rsidR="00F40CDB" w:rsidRPr="00373026" w14:paraId="635EBF5F" w14:textId="77777777" w:rsidTr="00191418">
        <w:trPr>
          <w:trHeight w:val="363"/>
        </w:trPr>
        <w:tc>
          <w:tcPr>
            <w:tcW w:w="9629" w:type="dxa"/>
            <w:gridSpan w:val="2"/>
            <w:tcBorders>
              <w:top w:val="single" w:sz="4" w:space="0" w:color="auto"/>
              <w:left w:val="single" w:sz="4" w:space="0" w:color="auto"/>
              <w:bottom w:val="dotted" w:sz="2" w:space="0" w:color="000000" w:themeColor="text1"/>
              <w:right w:val="single" w:sz="4" w:space="0" w:color="auto"/>
            </w:tcBorders>
          </w:tcPr>
          <w:p w14:paraId="7CF8799F" w14:textId="77777777" w:rsidR="00F40CDB" w:rsidRPr="00373026" w:rsidRDefault="00F40CDB" w:rsidP="00191418">
            <w:pPr>
              <w:spacing w:line="276" w:lineRule="auto"/>
              <w:jc w:val="both"/>
              <w:rPr>
                <w:b/>
                <w:sz w:val="22"/>
                <w:szCs w:val="22"/>
              </w:rPr>
            </w:pPr>
            <w:r w:rsidRPr="00373026">
              <w:rPr>
                <w:b/>
                <w:sz w:val="22"/>
                <w:szCs w:val="22"/>
              </w:rPr>
              <w:t xml:space="preserve">Title:  UK Sustainable Infrastructure Programme </w:t>
            </w:r>
          </w:p>
        </w:tc>
      </w:tr>
      <w:tr w:rsidR="00F40CDB" w:rsidRPr="00373026" w14:paraId="53BB705C" w14:textId="77777777" w:rsidTr="00191418">
        <w:trPr>
          <w:trHeight w:val="331"/>
        </w:trPr>
        <w:tc>
          <w:tcPr>
            <w:tcW w:w="5949" w:type="dxa"/>
            <w:tcBorders>
              <w:top w:val="dotted" w:sz="2" w:space="0" w:color="000000" w:themeColor="text1"/>
              <w:left w:val="single" w:sz="4" w:space="0" w:color="000000" w:themeColor="text1"/>
              <w:bottom w:val="dotted" w:sz="2" w:space="0" w:color="000000" w:themeColor="text1"/>
              <w:right w:val="dotted" w:sz="2" w:space="0" w:color="000000" w:themeColor="text1"/>
            </w:tcBorders>
            <w:hideMark/>
          </w:tcPr>
          <w:p w14:paraId="44E08E08" w14:textId="77777777" w:rsidR="00F40CDB" w:rsidRPr="00373026" w:rsidRDefault="00F40CDB" w:rsidP="00191418">
            <w:pPr>
              <w:spacing w:line="276" w:lineRule="auto"/>
              <w:jc w:val="both"/>
              <w:rPr>
                <w:b/>
                <w:sz w:val="22"/>
                <w:szCs w:val="22"/>
              </w:rPr>
            </w:pPr>
            <w:r w:rsidRPr="00373026">
              <w:rPr>
                <w:b/>
                <w:sz w:val="22"/>
                <w:szCs w:val="22"/>
              </w:rPr>
              <w:t>Programme Value £: 177.5 million</w:t>
            </w:r>
          </w:p>
        </w:tc>
        <w:tc>
          <w:tcPr>
            <w:tcW w:w="3680" w:type="dxa"/>
            <w:tcBorders>
              <w:top w:val="dotted" w:sz="2" w:space="0" w:color="000000" w:themeColor="text1"/>
              <w:left w:val="dotted" w:sz="2" w:space="0" w:color="000000" w:themeColor="text1"/>
              <w:bottom w:val="dotted" w:sz="2" w:space="0" w:color="000000" w:themeColor="text1"/>
              <w:right w:val="single" w:sz="4" w:space="0" w:color="000000" w:themeColor="text1"/>
            </w:tcBorders>
            <w:hideMark/>
          </w:tcPr>
          <w:p w14:paraId="75B59FAC" w14:textId="77777777" w:rsidR="00F40CDB" w:rsidRPr="00373026" w:rsidRDefault="00F40CDB" w:rsidP="00191418">
            <w:pPr>
              <w:spacing w:line="276" w:lineRule="auto"/>
              <w:jc w:val="both"/>
              <w:rPr>
                <w:b/>
                <w:sz w:val="22"/>
                <w:szCs w:val="22"/>
              </w:rPr>
            </w:pPr>
            <w:r w:rsidRPr="00373026">
              <w:rPr>
                <w:b/>
                <w:sz w:val="22"/>
                <w:szCs w:val="22"/>
              </w:rPr>
              <w:t xml:space="preserve">Review date: </w:t>
            </w:r>
            <w:r w:rsidRPr="00DA796F">
              <w:rPr>
                <w:bCs/>
                <w:sz w:val="22"/>
                <w:szCs w:val="22"/>
              </w:rPr>
              <w:t>Jan 2019 - Dec 2019</w:t>
            </w:r>
          </w:p>
        </w:tc>
      </w:tr>
      <w:tr w:rsidR="00F40CDB" w:rsidRPr="00373026" w14:paraId="41C57CDE" w14:textId="77777777" w:rsidTr="00191418">
        <w:trPr>
          <w:trHeight w:val="342"/>
        </w:trPr>
        <w:tc>
          <w:tcPr>
            <w:tcW w:w="5949" w:type="dxa"/>
            <w:vMerge w:val="restart"/>
            <w:tcBorders>
              <w:top w:val="dotted" w:sz="2" w:space="0" w:color="000000" w:themeColor="text1"/>
              <w:left w:val="single" w:sz="4" w:space="0" w:color="auto"/>
              <w:right w:val="dotted" w:sz="2" w:space="0" w:color="000000" w:themeColor="text1"/>
            </w:tcBorders>
          </w:tcPr>
          <w:p w14:paraId="58D26265" w14:textId="77777777" w:rsidR="00F40CDB" w:rsidRPr="00E14293" w:rsidRDefault="00F40CDB" w:rsidP="00191418">
            <w:pPr>
              <w:spacing w:line="276" w:lineRule="auto"/>
              <w:jc w:val="both"/>
              <w:rPr>
                <w:bCs/>
                <w:sz w:val="22"/>
                <w:szCs w:val="22"/>
              </w:rPr>
            </w:pPr>
            <w:r w:rsidRPr="00373026">
              <w:rPr>
                <w:b/>
                <w:sz w:val="22"/>
                <w:szCs w:val="22"/>
              </w:rPr>
              <w:t xml:space="preserve">Programme Code: </w:t>
            </w:r>
            <w:r w:rsidRPr="00DA796F">
              <w:rPr>
                <w:bCs/>
                <w:sz w:val="22"/>
                <w:szCs w:val="22"/>
              </w:rPr>
              <w:t>GB-GOV-13-ICF-0014-SIPLA</w:t>
            </w:r>
          </w:p>
          <w:p w14:paraId="1A15A8E4" w14:textId="77777777" w:rsidR="00F40CDB" w:rsidRPr="00373026" w:rsidRDefault="00F40CDB" w:rsidP="00191418">
            <w:pPr>
              <w:spacing w:line="276" w:lineRule="auto"/>
              <w:jc w:val="both"/>
              <w:rPr>
                <w:b/>
                <w:sz w:val="22"/>
                <w:szCs w:val="22"/>
              </w:rPr>
            </w:pPr>
          </w:p>
        </w:tc>
        <w:tc>
          <w:tcPr>
            <w:tcW w:w="3680" w:type="dxa"/>
            <w:tcBorders>
              <w:top w:val="dotted" w:sz="2" w:space="0" w:color="000000" w:themeColor="text1"/>
              <w:left w:val="dotted" w:sz="2" w:space="0" w:color="000000" w:themeColor="text1"/>
              <w:bottom w:val="dotted" w:sz="2" w:space="0" w:color="000000" w:themeColor="text1"/>
              <w:right w:val="single" w:sz="4" w:space="0" w:color="auto"/>
            </w:tcBorders>
            <w:hideMark/>
          </w:tcPr>
          <w:p w14:paraId="4BFCF165" w14:textId="77777777" w:rsidR="00F40CDB" w:rsidRPr="00373026" w:rsidRDefault="00F40CDB" w:rsidP="00191418">
            <w:pPr>
              <w:spacing w:line="276" w:lineRule="auto"/>
              <w:jc w:val="both"/>
              <w:rPr>
                <w:b/>
                <w:bCs/>
                <w:sz w:val="22"/>
                <w:szCs w:val="22"/>
              </w:rPr>
            </w:pPr>
            <w:r w:rsidRPr="00373026">
              <w:rPr>
                <w:b/>
                <w:sz w:val="22"/>
                <w:szCs w:val="22"/>
              </w:rPr>
              <w:t>Programme end date:</w:t>
            </w:r>
            <w:r w:rsidRPr="00373026">
              <w:rPr>
                <w:sz w:val="22"/>
                <w:szCs w:val="22"/>
              </w:rPr>
              <w:t xml:space="preserve"> Nov 2022</w:t>
            </w:r>
          </w:p>
        </w:tc>
      </w:tr>
      <w:tr w:rsidR="00F40CDB" w:rsidRPr="00373026" w14:paraId="003238FE" w14:textId="77777777" w:rsidTr="00191418">
        <w:trPr>
          <w:trHeight w:val="342"/>
        </w:trPr>
        <w:tc>
          <w:tcPr>
            <w:tcW w:w="5949" w:type="dxa"/>
            <w:vMerge/>
            <w:tcBorders>
              <w:left w:val="single" w:sz="4" w:space="0" w:color="auto"/>
              <w:bottom w:val="single" w:sz="4" w:space="0" w:color="auto"/>
              <w:right w:val="dotted" w:sz="2" w:space="0" w:color="000000" w:themeColor="text1"/>
            </w:tcBorders>
          </w:tcPr>
          <w:p w14:paraId="50542DEF" w14:textId="77777777" w:rsidR="00F40CDB" w:rsidRPr="00373026" w:rsidRDefault="00F40CDB" w:rsidP="00191418">
            <w:pPr>
              <w:spacing w:line="276" w:lineRule="auto"/>
              <w:jc w:val="both"/>
              <w:rPr>
                <w:b/>
                <w:sz w:val="22"/>
                <w:szCs w:val="22"/>
              </w:rPr>
            </w:pPr>
          </w:p>
        </w:tc>
        <w:tc>
          <w:tcPr>
            <w:tcW w:w="3680" w:type="dxa"/>
            <w:tcBorders>
              <w:top w:val="dotted" w:sz="2" w:space="0" w:color="000000" w:themeColor="text1"/>
              <w:left w:val="dotted" w:sz="2" w:space="0" w:color="000000" w:themeColor="text1"/>
              <w:bottom w:val="single" w:sz="4" w:space="0" w:color="auto"/>
              <w:right w:val="single" w:sz="4" w:space="0" w:color="auto"/>
            </w:tcBorders>
          </w:tcPr>
          <w:p w14:paraId="48730922" w14:textId="77777777" w:rsidR="00F40CDB" w:rsidRPr="00373026" w:rsidRDefault="00F40CDB" w:rsidP="00191418">
            <w:pPr>
              <w:spacing w:line="276" w:lineRule="auto"/>
              <w:jc w:val="both"/>
              <w:rPr>
                <w:b/>
                <w:sz w:val="22"/>
                <w:szCs w:val="22"/>
              </w:rPr>
            </w:pPr>
            <w:r w:rsidRPr="00373026">
              <w:rPr>
                <w:b/>
                <w:sz w:val="22"/>
                <w:szCs w:val="22"/>
              </w:rPr>
              <w:t xml:space="preserve">Programme start date: </w:t>
            </w:r>
            <w:r w:rsidRPr="00373026">
              <w:rPr>
                <w:bCs/>
                <w:sz w:val="22"/>
                <w:szCs w:val="22"/>
              </w:rPr>
              <w:t>Nov 2017</w:t>
            </w:r>
          </w:p>
        </w:tc>
      </w:tr>
    </w:tbl>
    <w:p w14:paraId="0BAFC1E9" w14:textId="77777777" w:rsidR="00F40CDB" w:rsidRPr="00373026" w:rsidRDefault="00F40CDB" w:rsidP="00F40CDB">
      <w:pPr>
        <w:spacing w:line="276" w:lineRule="auto"/>
        <w:jc w:val="both"/>
        <w:rPr>
          <w:b/>
          <w:sz w:val="22"/>
          <w:szCs w:val="22"/>
        </w:rPr>
      </w:pPr>
    </w:p>
    <w:p w14:paraId="70AECB74" w14:textId="77777777" w:rsidR="00F40CDB" w:rsidRPr="00373026" w:rsidRDefault="00F40CDB" w:rsidP="00F40CDB">
      <w:pPr>
        <w:spacing w:line="276" w:lineRule="auto"/>
        <w:jc w:val="both"/>
        <w:rPr>
          <w:b/>
          <w:sz w:val="22"/>
          <w:szCs w:val="22"/>
        </w:rPr>
      </w:pPr>
      <w:r w:rsidRPr="00373026">
        <w:rPr>
          <w:b/>
          <w:sz w:val="22"/>
          <w:szCs w:val="22"/>
        </w:rPr>
        <w:t xml:space="preserve">Summary of Programme Performance </w:t>
      </w:r>
    </w:p>
    <w:p w14:paraId="7CC009BD" w14:textId="77777777" w:rsidR="00F40CDB" w:rsidRPr="00373026" w:rsidRDefault="00F40CDB" w:rsidP="00F40CDB">
      <w:pPr>
        <w:spacing w:line="276" w:lineRule="auto"/>
        <w:jc w:val="both"/>
        <w:rPr>
          <w:b/>
          <w:sz w:val="22"/>
          <w:szCs w:val="22"/>
        </w:rPr>
      </w:pPr>
    </w:p>
    <w:tbl>
      <w:tblPr>
        <w:tblStyle w:val="TableGrid"/>
        <w:tblW w:w="9544" w:type="dxa"/>
        <w:tblLook w:val="04A0" w:firstRow="1" w:lastRow="0" w:firstColumn="1" w:lastColumn="0" w:noHBand="0" w:noVBand="1"/>
      </w:tblPr>
      <w:tblGrid>
        <w:gridCol w:w="3249"/>
        <w:gridCol w:w="1708"/>
        <w:gridCol w:w="1190"/>
        <w:gridCol w:w="1131"/>
        <w:gridCol w:w="1133"/>
        <w:gridCol w:w="1133"/>
      </w:tblGrid>
      <w:tr w:rsidR="00F40CDB" w:rsidRPr="00373026" w14:paraId="60497A51" w14:textId="77777777" w:rsidTr="00367D40">
        <w:trPr>
          <w:trHeight w:val="398"/>
        </w:trPr>
        <w:tc>
          <w:tcPr>
            <w:tcW w:w="3249"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35642CBA" w14:textId="77777777" w:rsidR="00F40CDB" w:rsidRPr="00DA796F" w:rsidRDefault="00F40CDB" w:rsidP="00191418">
            <w:pPr>
              <w:spacing w:line="276" w:lineRule="auto"/>
              <w:jc w:val="both"/>
              <w:rPr>
                <w:sz w:val="20"/>
                <w:szCs w:val="20"/>
              </w:rPr>
            </w:pPr>
            <w:r w:rsidRPr="00DA796F">
              <w:rPr>
                <w:sz w:val="20"/>
                <w:szCs w:val="20"/>
              </w:rPr>
              <w:t>Year</w:t>
            </w:r>
          </w:p>
        </w:tc>
        <w:tc>
          <w:tcPr>
            <w:tcW w:w="1708" w:type="dxa"/>
            <w:tcBorders>
              <w:top w:val="single" w:sz="4" w:space="0" w:color="auto"/>
              <w:left w:val="single" w:sz="4" w:space="0" w:color="auto"/>
              <w:bottom w:val="single" w:sz="4" w:space="0" w:color="auto"/>
              <w:right w:val="single" w:sz="4" w:space="0" w:color="auto"/>
            </w:tcBorders>
          </w:tcPr>
          <w:p w14:paraId="5F14BA21" w14:textId="77777777" w:rsidR="00F40CDB" w:rsidRPr="00DA796F" w:rsidRDefault="00F40CDB" w:rsidP="00191418">
            <w:pPr>
              <w:spacing w:line="276" w:lineRule="auto"/>
              <w:jc w:val="both"/>
              <w:rPr>
                <w:b/>
                <w:sz w:val="20"/>
                <w:szCs w:val="20"/>
              </w:rPr>
            </w:pPr>
            <w:r w:rsidRPr="00DA796F">
              <w:rPr>
                <w:b/>
                <w:sz w:val="20"/>
                <w:szCs w:val="20"/>
              </w:rPr>
              <w:t>2018</w:t>
            </w:r>
          </w:p>
        </w:tc>
        <w:tc>
          <w:tcPr>
            <w:tcW w:w="1190" w:type="dxa"/>
            <w:tcBorders>
              <w:top w:val="single" w:sz="4" w:space="0" w:color="auto"/>
              <w:left w:val="single" w:sz="4" w:space="0" w:color="auto"/>
              <w:bottom w:val="single" w:sz="4" w:space="0" w:color="auto"/>
              <w:right w:val="single" w:sz="4" w:space="0" w:color="auto"/>
            </w:tcBorders>
          </w:tcPr>
          <w:p w14:paraId="393566AB" w14:textId="77777777" w:rsidR="00F40CDB" w:rsidRPr="00DA796F" w:rsidRDefault="00F40CDB" w:rsidP="00191418">
            <w:pPr>
              <w:spacing w:line="276" w:lineRule="auto"/>
              <w:jc w:val="both"/>
              <w:rPr>
                <w:b/>
                <w:sz w:val="20"/>
                <w:szCs w:val="20"/>
              </w:rPr>
            </w:pPr>
            <w:r w:rsidRPr="00DA796F">
              <w:rPr>
                <w:b/>
                <w:sz w:val="20"/>
                <w:szCs w:val="20"/>
              </w:rPr>
              <w:t>2019</w:t>
            </w:r>
          </w:p>
        </w:tc>
        <w:tc>
          <w:tcPr>
            <w:tcW w:w="1131" w:type="dxa"/>
            <w:tcBorders>
              <w:top w:val="single" w:sz="4" w:space="0" w:color="auto"/>
              <w:left w:val="single" w:sz="4" w:space="0" w:color="auto"/>
              <w:bottom w:val="single" w:sz="4" w:space="0" w:color="auto"/>
              <w:right w:val="single" w:sz="4" w:space="0" w:color="auto"/>
            </w:tcBorders>
          </w:tcPr>
          <w:p w14:paraId="50B0906D" w14:textId="4F296D2A" w:rsidR="00F40CDB" w:rsidRPr="00DA796F" w:rsidRDefault="00367D40" w:rsidP="00191418">
            <w:pPr>
              <w:spacing w:line="276" w:lineRule="auto"/>
              <w:jc w:val="both"/>
              <w:rPr>
                <w:b/>
                <w:sz w:val="20"/>
                <w:szCs w:val="20"/>
              </w:rPr>
            </w:pPr>
            <w:r>
              <w:rPr>
                <w:b/>
                <w:sz w:val="20"/>
                <w:szCs w:val="20"/>
              </w:rPr>
              <w:t>2020</w:t>
            </w:r>
          </w:p>
        </w:tc>
        <w:tc>
          <w:tcPr>
            <w:tcW w:w="1133" w:type="dxa"/>
            <w:tcBorders>
              <w:top w:val="single" w:sz="4" w:space="0" w:color="auto"/>
              <w:left w:val="single" w:sz="4" w:space="0" w:color="auto"/>
              <w:bottom w:val="single" w:sz="4" w:space="0" w:color="auto"/>
              <w:right w:val="single" w:sz="4" w:space="0" w:color="auto"/>
            </w:tcBorders>
          </w:tcPr>
          <w:p w14:paraId="20A18B6D" w14:textId="7737F0AF" w:rsidR="00F40CDB" w:rsidRPr="00DA796F" w:rsidRDefault="00367D40" w:rsidP="00191418">
            <w:pPr>
              <w:spacing w:line="276" w:lineRule="auto"/>
              <w:jc w:val="both"/>
              <w:rPr>
                <w:b/>
                <w:sz w:val="20"/>
                <w:szCs w:val="20"/>
              </w:rPr>
            </w:pPr>
            <w:r>
              <w:rPr>
                <w:b/>
                <w:sz w:val="20"/>
                <w:szCs w:val="20"/>
              </w:rPr>
              <w:t>2021</w:t>
            </w:r>
          </w:p>
        </w:tc>
        <w:tc>
          <w:tcPr>
            <w:tcW w:w="1133" w:type="dxa"/>
            <w:tcBorders>
              <w:top w:val="single" w:sz="4" w:space="0" w:color="auto"/>
              <w:left w:val="single" w:sz="4" w:space="0" w:color="auto"/>
              <w:bottom w:val="single" w:sz="4" w:space="0" w:color="auto"/>
              <w:right w:val="single" w:sz="4" w:space="0" w:color="auto"/>
            </w:tcBorders>
          </w:tcPr>
          <w:p w14:paraId="706EA8AA" w14:textId="073D68E5" w:rsidR="00F40CDB" w:rsidRPr="00DA796F" w:rsidRDefault="00367D40" w:rsidP="00191418">
            <w:pPr>
              <w:spacing w:line="276" w:lineRule="auto"/>
              <w:jc w:val="both"/>
              <w:rPr>
                <w:b/>
                <w:sz w:val="20"/>
                <w:szCs w:val="20"/>
              </w:rPr>
            </w:pPr>
            <w:r>
              <w:rPr>
                <w:b/>
                <w:sz w:val="20"/>
                <w:szCs w:val="20"/>
              </w:rPr>
              <w:t>2022</w:t>
            </w:r>
          </w:p>
        </w:tc>
      </w:tr>
      <w:tr w:rsidR="00F40CDB" w:rsidRPr="00373026" w14:paraId="62EB7A87" w14:textId="77777777" w:rsidTr="00367D40">
        <w:trPr>
          <w:trHeight w:val="398"/>
        </w:trPr>
        <w:tc>
          <w:tcPr>
            <w:tcW w:w="3249"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DE6594D" w14:textId="19FD869A" w:rsidR="00F40CDB" w:rsidRPr="00DA796F" w:rsidRDefault="00F40CDB" w:rsidP="00191418">
            <w:pPr>
              <w:spacing w:line="276" w:lineRule="auto"/>
              <w:jc w:val="both"/>
              <w:rPr>
                <w:sz w:val="20"/>
                <w:szCs w:val="20"/>
              </w:rPr>
            </w:pPr>
            <w:r w:rsidRPr="00DA796F">
              <w:rPr>
                <w:sz w:val="20"/>
                <w:szCs w:val="20"/>
              </w:rPr>
              <w:t xml:space="preserve">Overall </w:t>
            </w:r>
            <w:r w:rsidR="00844C3D">
              <w:rPr>
                <w:sz w:val="20"/>
                <w:szCs w:val="20"/>
              </w:rPr>
              <w:t>Output</w:t>
            </w:r>
            <w:r w:rsidRPr="00DA796F">
              <w:rPr>
                <w:sz w:val="20"/>
                <w:szCs w:val="20"/>
              </w:rPr>
              <w:t xml:space="preserve"> Score</w:t>
            </w:r>
          </w:p>
        </w:tc>
        <w:tc>
          <w:tcPr>
            <w:tcW w:w="1708" w:type="dxa"/>
            <w:tcBorders>
              <w:top w:val="single" w:sz="4" w:space="0" w:color="auto"/>
              <w:left w:val="single" w:sz="4" w:space="0" w:color="auto"/>
              <w:bottom w:val="single" w:sz="4" w:space="0" w:color="auto"/>
              <w:right w:val="single" w:sz="4" w:space="0" w:color="auto"/>
            </w:tcBorders>
          </w:tcPr>
          <w:p w14:paraId="08FCE40D" w14:textId="77777777" w:rsidR="00F40CDB" w:rsidRPr="00DA796F" w:rsidRDefault="00F40CDB" w:rsidP="00191418">
            <w:pPr>
              <w:spacing w:line="276" w:lineRule="auto"/>
              <w:jc w:val="both"/>
              <w:rPr>
                <w:b/>
                <w:sz w:val="20"/>
                <w:szCs w:val="20"/>
              </w:rPr>
            </w:pPr>
            <w:r w:rsidRPr="00DA796F">
              <w:rPr>
                <w:b/>
                <w:sz w:val="20"/>
                <w:szCs w:val="20"/>
              </w:rPr>
              <w:t>B</w:t>
            </w:r>
          </w:p>
        </w:tc>
        <w:tc>
          <w:tcPr>
            <w:tcW w:w="1190" w:type="dxa"/>
            <w:tcBorders>
              <w:top w:val="single" w:sz="4" w:space="0" w:color="auto"/>
              <w:left w:val="single" w:sz="4" w:space="0" w:color="auto"/>
              <w:bottom w:val="single" w:sz="4" w:space="0" w:color="auto"/>
              <w:right w:val="single" w:sz="4" w:space="0" w:color="auto"/>
            </w:tcBorders>
          </w:tcPr>
          <w:p w14:paraId="68C56A9C" w14:textId="77777777" w:rsidR="00F40CDB" w:rsidRPr="00DA796F" w:rsidRDefault="00F40CDB" w:rsidP="00191418">
            <w:pPr>
              <w:spacing w:line="276" w:lineRule="auto"/>
              <w:jc w:val="both"/>
              <w:rPr>
                <w:b/>
                <w:sz w:val="20"/>
                <w:szCs w:val="20"/>
              </w:rPr>
            </w:pPr>
            <w:r w:rsidRPr="00DA796F">
              <w:rPr>
                <w:b/>
                <w:sz w:val="20"/>
                <w:szCs w:val="20"/>
              </w:rPr>
              <w:t>B</w:t>
            </w:r>
          </w:p>
        </w:tc>
        <w:tc>
          <w:tcPr>
            <w:tcW w:w="1131" w:type="dxa"/>
            <w:tcBorders>
              <w:top w:val="single" w:sz="4" w:space="0" w:color="auto"/>
              <w:left w:val="single" w:sz="4" w:space="0" w:color="auto"/>
              <w:bottom w:val="single" w:sz="4" w:space="0" w:color="auto"/>
              <w:right w:val="single" w:sz="4" w:space="0" w:color="auto"/>
            </w:tcBorders>
          </w:tcPr>
          <w:p w14:paraId="7897E319" w14:textId="77777777" w:rsidR="00F40CDB" w:rsidRPr="00DA796F" w:rsidRDefault="00F40CDB" w:rsidP="00191418">
            <w:pPr>
              <w:spacing w:line="276" w:lineRule="auto"/>
              <w:jc w:val="both"/>
              <w:rPr>
                <w:b/>
                <w:sz w:val="20"/>
                <w:szCs w:val="20"/>
              </w:rPr>
            </w:pPr>
          </w:p>
        </w:tc>
        <w:tc>
          <w:tcPr>
            <w:tcW w:w="1133" w:type="dxa"/>
            <w:tcBorders>
              <w:top w:val="single" w:sz="4" w:space="0" w:color="auto"/>
              <w:left w:val="single" w:sz="4" w:space="0" w:color="auto"/>
              <w:bottom w:val="single" w:sz="4" w:space="0" w:color="auto"/>
              <w:right w:val="single" w:sz="4" w:space="0" w:color="auto"/>
            </w:tcBorders>
          </w:tcPr>
          <w:p w14:paraId="75F01CA8" w14:textId="77777777" w:rsidR="00F40CDB" w:rsidRPr="00DA796F" w:rsidRDefault="00F40CDB" w:rsidP="00191418">
            <w:pPr>
              <w:spacing w:line="276" w:lineRule="auto"/>
              <w:jc w:val="both"/>
              <w:rPr>
                <w:b/>
                <w:sz w:val="20"/>
                <w:szCs w:val="20"/>
              </w:rPr>
            </w:pPr>
          </w:p>
        </w:tc>
        <w:tc>
          <w:tcPr>
            <w:tcW w:w="1133" w:type="dxa"/>
            <w:tcBorders>
              <w:top w:val="single" w:sz="4" w:space="0" w:color="auto"/>
              <w:left w:val="single" w:sz="4" w:space="0" w:color="auto"/>
              <w:bottom w:val="single" w:sz="4" w:space="0" w:color="auto"/>
              <w:right w:val="single" w:sz="4" w:space="0" w:color="auto"/>
            </w:tcBorders>
          </w:tcPr>
          <w:p w14:paraId="17884C80" w14:textId="77777777" w:rsidR="00F40CDB" w:rsidRPr="00DA796F" w:rsidRDefault="00F40CDB" w:rsidP="00191418">
            <w:pPr>
              <w:spacing w:line="276" w:lineRule="auto"/>
              <w:jc w:val="both"/>
              <w:rPr>
                <w:b/>
                <w:sz w:val="20"/>
                <w:szCs w:val="20"/>
              </w:rPr>
            </w:pPr>
          </w:p>
        </w:tc>
      </w:tr>
      <w:tr w:rsidR="00F40CDB" w:rsidRPr="00373026" w14:paraId="373DBE06" w14:textId="77777777" w:rsidTr="00367D40">
        <w:trPr>
          <w:trHeight w:val="431"/>
        </w:trPr>
        <w:tc>
          <w:tcPr>
            <w:tcW w:w="3249"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EC87770" w14:textId="77777777" w:rsidR="00F40CDB" w:rsidRPr="00DA796F" w:rsidRDefault="00F40CDB" w:rsidP="00191418">
            <w:pPr>
              <w:spacing w:line="276" w:lineRule="auto"/>
              <w:jc w:val="both"/>
              <w:rPr>
                <w:sz w:val="20"/>
                <w:szCs w:val="20"/>
              </w:rPr>
            </w:pPr>
            <w:r w:rsidRPr="00DA796F">
              <w:rPr>
                <w:sz w:val="20"/>
                <w:szCs w:val="20"/>
              </w:rPr>
              <w:t xml:space="preserve">Risk Rating </w:t>
            </w:r>
          </w:p>
        </w:tc>
        <w:tc>
          <w:tcPr>
            <w:tcW w:w="1708" w:type="dxa"/>
            <w:tcBorders>
              <w:top w:val="single" w:sz="4" w:space="0" w:color="auto"/>
              <w:left w:val="single" w:sz="4" w:space="0" w:color="auto"/>
              <w:bottom w:val="single" w:sz="4" w:space="0" w:color="auto"/>
              <w:right w:val="single" w:sz="4" w:space="0" w:color="auto"/>
            </w:tcBorders>
          </w:tcPr>
          <w:p w14:paraId="6B9B0131" w14:textId="77777777" w:rsidR="00F40CDB" w:rsidRPr="00DA796F" w:rsidRDefault="00F40CDB" w:rsidP="00191418">
            <w:pPr>
              <w:spacing w:line="276" w:lineRule="auto"/>
              <w:jc w:val="both"/>
              <w:rPr>
                <w:b/>
                <w:sz w:val="20"/>
                <w:szCs w:val="20"/>
              </w:rPr>
            </w:pPr>
            <w:r w:rsidRPr="00DA796F">
              <w:rPr>
                <w:b/>
                <w:sz w:val="20"/>
                <w:szCs w:val="20"/>
              </w:rPr>
              <w:t>Moderate</w:t>
            </w:r>
          </w:p>
        </w:tc>
        <w:tc>
          <w:tcPr>
            <w:tcW w:w="1190" w:type="dxa"/>
            <w:tcBorders>
              <w:top w:val="single" w:sz="4" w:space="0" w:color="auto"/>
              <w:left w:val="single" w:sz="4" w:space="0" w:color="auto"/>
              <w:bottom w:val="single" w:sz="4" w:space="0" w:color="auto"/>
              <w:right w:val="single" w:sz="4" w:space="0" w:color="auto"/>
            </w:tcBorders>
          </w:tcPr>
          <w:p w14:paraId="3489983B" w14:textId="77777777" w:rsidR="00F40CDB" w:rsidRPr="00DA796F" w:rsidRDefault="00F40CDB" w:rsidP="00191418">
            <w:pPr>
              <w:spacing w:line="276" w:lineRule="auto"/>
              <w:jc w:val="both"/>
              <w:rPr>
                <w:b/>
                <w:sz w:val="20"/>
                <w:szCs w:val="20"/>
              </w:rPr>
            </w:pPr>
            <w:r w:rsidRPr="00DA796F">
              <w:rPr>
                <w:b/>
                <w:sz w:val="20"/>
                <w:szCs w:val="20"/>
              </w:rPr>
              <w:t>Major</w:t>
            </w:r>
          </w:p>
        </w:tc>
        <w:tc>
          <w:tcPr>
            <w:tcW w:w="1131" w:type="dxa"/>
            <w:tcBorders>
              <w:top w:val="single" w:sz="4" w:space="0" w:color="auto"/>
              <w:left w:val="single" w:sz="4" w:space="0" w:color="auto"/>
              <w:bottom w:val="single" w:sz="4" w:space="0" w:color="auto"/>
              <w:right w:val="single" w:sz="4" w:space="0" w:color="auto"/>
            </w:tcBorders>
          </w:tcPr>
          <w:p w14:paraId="1DA1EAC6" w14:textId="77777777" w:rsidR="00F40CDB" w:rsidRPr="00DA796F" w:rsidRDefault="00F40CDB" w:rsidP="00191418">
            <w:pPr>
              <w:spacing w:line="276" w:lineRule="auto"/>
              <w:jc w:val="both"/>
              <w:rPr>
                <w:b/>
                <w:sz w:val="20"/>
                <w:szCs w:val="20"/>
              </w:rPr>
            </w:pPr>
          </w:p>
        </w:tc>
        <w:tc>
          <w:tcPr>
            <w:tcW w:w="1133" w:type="dxa"/>
            <w:tcBorders>
              <w:top w:val="single" w:sz="4" w:space="0" w:color="auto"/>
              <w:left w:val="single" w:sz="4" w:space="0" w:color="auto"/>
              <w:bottom w:val="single" w:sz="4" w:space="0" w:color="auto"/>
              <w:right w:val="single" w:sz="4" w:space="0" w:color="auto"/>
            </w:tcBorders>
          </w:tcPr>
          <w:p w14:paraId="67B87183" w14:textId="77777777" w:rsidR="00F40CDB" w:rsidRPr="00DA796F" w:rsidRDefault="00F40CDB" w:rsidP="00191418">
            <w:pPr>
              <w:spacing w:line="276" w:lineRule="auto"/>
              <w:jc w:val="both"/>
              <w:rPr>
                <w:b/>
                <w:sz w:val="20"/>
                <w:szCs w:val="20"/>
              </w:rPr>
            </w:pPr>
          </w:p>
        </w:tc>
        <w:tc>
          <w:tcPr>
            <w:tcW w:w="1133" w:type="dxa"/>
            <w:tcBorders>
              <w:top w:val="single" w:sz="4" w:space="0" w:color="auto"/>
              <w:left w:val="single" w:sz="4" w:space="0" w:color="auto"/>
              <w:bottom w:val="single" w:sz="4" w:space="0" w:color="auto"/>
              <w:right w:val="single" w:sz="4" w:space="0" w:color="auto"/>
            </w:tcBorders>
          </w:tcPr>
          <w:p w14:paraId="29E7A8A6" w14:textId="77777777" w:rsidR="00F40CDB" w:rsidRPr="00DA796F" w:rsidRDefault="00F40CDB" w:rsidP="00191418">
            <w:pPr>
              <w:spacing w:line="276" w:lineRule="auto"/>
              <w:jc w:val="both"/>
              <w:rPr>
                <w:b/>
                <w:sz w:val="20"/>
                <w:szCs w:val="20"/>
              </w:rPr>
            </w:pPr>
          </w:p>
        </w:tc>
      </w:tr>
    </w:tbl>
    <w:p w14:paraId="57A5C2FC" w14:textId="77777777" w:rsidR="00F40CDB" w:rsidRPr="00373026" w:rsidRDefault="00F40CDB" w:rsidP="00F40CDB">
      <w:pPr>
        <w:spacing w:line="276" w:lineRule="auto"/>
        <w:jc w:val="both"/>
        <w:rPr>
          <w:b/>
          <w:sz w:val="22"/>
          <w:szCs w:val="22"/>
        </w:rPr>
      </w:pPr>
    </w:p>
    <w:tbl>
      <w:tblPr>
        <w:tblStyle w:val="TableGrid"/>
        <w:tblW w:w="0" w:type="auto"/>
        <w:tblInd w:w="-5" w:type="dxa"/>
        <w:tblLook w:val="04A0" w:firstRow="1" w:lastRow="0" w:firstColumn="1" w:lastColumn="0" w:noHBand="0" w:noVBand="1"/>
      </w:tblPr>
      <w:tblGrid>
        <w:gridCol w:w="9548"/>
      </w:tblGrid>
      <w:tr w:rsidR="00367D40" w:rsidRPr="00373026" w14:paraId="756E6C9B" w14:textId="77777777" w:rsidTr="00367D40">
        <w:trPr>
          <w:trHeight w:val="372"/>
        </w:trPr>
        <w:tc>
          <w:tcPr>
            <w:tcW w:w="9548" w:type="dxa"/>
            <w:shd w:val="clear" w:color="auto" w:fill="FFFFFF" w:themeFill="background1"/>
            <w:hideMark/>
          </w:tcPr>
          <w:p w14:paraId="2F218CF1" w14:textId="3CD7E9A0" w:rsidR="00367D40" w:rsidRPr="00367D40" w:rsidRDefault="008470BC" w:rsidP="00191418">
            <w:pPr>
              <w:spacing w:line="276" w:lineRule="auto"/>
              <w:jc w:val="both"/>
              <w:rPr>
                <w:rFonts w:cs="Arial"/>
                <w:sz w:val="22"/>
                <w:szCs w:val="22"/>
              </w:rPr>
            </w:pPr>
            <w:hyperlink r:id="rId12" w:history="1">
              <w:r w:rsidR="00367D40" w:rsidRPr="00367D40">
                <w:rPr>
                  <w:rStyle w:val="Hyperlink"/>
                  <w:rFonts w:cs="Arial"/>
                  <w:bCs/>
                  <w:sz w:val="22"/>
                  <w:szCs w:val="22"/>
                </w:rPr>
                <w:t>Link to Business Case</w:t>
              </w:r>
            </w:hyperlink>
            <w:r w:rsidR="00367D40" w:rsidRPr="00367D40">
              <w:rPr>
                <w:rFonts w:cs="Arial"/>
                <w:bCs/>
                <w:sz w:val="22"/>
                <w:szCs w:val="22"/>
              </w:rPr>
              <w:t xml:space="preserve"> </w:t>
            </w:r>
          </w:p>
        </w:tc>
      </w:tr>
      <w:tr w:rsidR="00367D40" w:rsidRPr="00373026" w14:paraId="500F3E8A" w14:textId="77777777" w:rsidTr="00367D40">
        <w:trPr>
          <w:trHeight w:val="423"/>
        </w:trPr>
        <w:tc>
          <w:tcPr>
            <w:tcW w:w="9548" w:type="dxa"/>
            <w:shd w:val="clear" w:color="auto" w:fill="FFFFFF" w:themeFill="background1"/>
            <w:hideMark/>
          </w:tcPr>
          <w:p w14:paraId="28497D68" w14:textId="35E3B1F2" w:rsidR="00367D40" w:rsidRPr="00367D40" w:rsidRDefault="008470BC" w:rsidP="00191418">
            <w:pPr>
              <w:spacing w:line="276" w:lineRule="auto"/>
              <w:jc w:val="both"/>
              <w:rPr>
                <w:rFonts w:cs="Arial"/>
                <w:bCs/>
                <w:i/>
                <w:sz w:val="22"/>
                <w:szCs w:val="22"/>
              </w:rPr>
            </w:pPr>
            <w:hyperlink r:id="rId13" w:history="1">
              <w:r w:rsidR="00367D40" w:rsidRPr="00367D40">
                <w:rPr>
                  <w:rStyle w:val="Hyperlink"/>
                  <w:rFonts w:cs="Arial"/>
                  <w:bCs/>
                  <w:sz w:val="22"/>
                  <w:szCs w:val="22"/>
                </w:rPr>
                <w:t>Link to Results Framework</w:t>
              </w:r>
            </w:hyperlink>
          </w:p>
        </w:tc>
      </w:tr>
      <w:tr w:rsidR="00367D40" w:rsidRPr="00373026" w14:paraId="77D1C30A" w14:textId="77777777" w:rsidTr="00367D40">
        <w:trPr>
          <w:trHeight w:val="423"/>
        </w:trPr>
        <w:tc>
          <w:tcPr>
            <w:tcW w:w="9548" w:type="dxa"/>
            <w:shd w:val="clear" w:color="auto" w:fill="FFFFFF" w:themeFill="background1"/>
          </w:tcPr>
          <w:p w14:paraId="73DF20B3" w14:textId="723647BE" w:rsidR="00367D40" w:rsidRPr="00367D40" w:rsidRDefault="008470BC" w:rsidP="00191418">
            <w:pPr>
              <w:spacing w:line="276" w:lineRule="auto"/>
              <w:jc w:val="both"/>
              <w:rPr>
                <w:rFonts w:cs="Arial"/>
                <w:bCs/>
                <w:sz w:val="22"/>
                <w:szCs w:val="22"/>
              </w:rPr>
            </w:pPr>
            <w:hyperlink r:id="rId14" w:history="1">
              <w:r w:rsidR="00367D40" w:rsidRPr="00367D40">
                <w:rPr>
                  <w:rStyle w:val="Hyperlink"/>
                  <w:rFonts w:cs="Arial"/>
                  <w:bCs/>
                  <w:sz w:val="22"/>
                  <w:szCs w:val="22"/>
                </w:rPr>
                <w:t>Link to previous Annual Review</w:t>
              </w:r>
            </w:hyperlink>
            <w:r w:rsidR="00367D40" w:rsidRPr="00367D40">
              <w:rPr>
                <w:rFonts w:cs="Arial"/>
                <w:bCs/>
                <w:sz w:val="22"/>
                <w:szCs w:val="22"/>
              </w:rPr>
              <w:t xml:space="preserve"> </w:t>
            </w:r>
          </w:p>
        </w:tc>
      </w:tr>
    </w:tbl>
    <w:p w14:paraId="3A627DBE" w14:textId="77777777" w:rsidR="00F40CDB" w:rsidRDefault="00F40CDB" w:rsidP="00F40CDB">
      <w:pPr>
        <w:spacing w:line="276" w:lineRule="auto"/>
        <w:jc w:val="both"/>
        <w:rPr>
          <w:sz w:val="22"/>
          <w:szCs w:val="22"/>
        </w:rPr>
      </w:pPr>
    </w:p>
    <w:p w14:paraId="236FA468" w14:textId="54D35FB5" w:rsidR="00F40CDB" w:rsidRDefault="00F40CDB" w:rsidP="00F40CDB">
      <w:pPr>
        <w:spacing w:line="276" w:lineRule="auto"/>
        <w:jc w:val="both"/>
        <w:rPr>
          <w:sz w:val="22"/>
          <w:szCs w:val="22"/>
          <w:u w:val="single"/>
        </w:rPr>
      </w:pPr>
      <w:r>
        <w:rPr>
          <w:sz w:val="22"/>
          <w:szCs w:val="22"/>
        </w:rPr>
        <w:t>T</w:t>
      </w:r>
      <w:r w:rsidRPr="00373026">
        <w:rPr>
          <w:sz w:val="22"/>
          <w:szCs w:val="22"/>
        </w:rPr>
        <w:t>his Annual Review reports against progress made between 1 January 2019 and 31 December 2019. This is the second Annual Review for the UK Sustainable Infrastructure Programme in Latin America (SIP</w:t>
      </w:r>
      <w:r>
        <w:rPr>
          <w:sz w:val="22"/>
          <w:szCs w:val="22"/>
        </w:rPr>
        <w:t>-LA</w:t>
      </w:r>
      <w:r w:rsidRPr="00373026">
        <w:rPr>
          <w:sz w:val="22"/>
          <w:szCs w:val="22"/>
        </w:rPr>
        <w:t xml:space="preserve">). </w:t>
      </w:r>
      <w:r w:rsidRPr="00373026">
        <w:rPr>
          <w:sz w:val="22"/>
          <w:szCs w:val="22"/>
          <w:u w:val="single"/>
        </w:rPr>
        <w:t xml:space="preserve">The programme has scored a B - </w:t>
      </w:r>
      <w:r w:rsidR="00844C3D">
        <w:rPr>
          <w:sz w:val="22"/>
          <w:szCs w:val="22"/>
          <w:u w:val="single"/>
        </w:rPr>
        <w:t>Output</w:t>
      </w:r>
      <w:r w:rsidRPr="00373026">
        <w:rPr>
          <w:sz w:val="22"/>
          <w:szCs w:val="22"/>
          <w:u w:val="single"/>
        </w:rPr>
        <w:t>s have moderately not met expectations.</w:t>
      </w:r>
    </w:p>
    <w:p w14:paraId="4738E1BC" w14:textId="77777777" w:rsidR="00F40CDB" w:rsidRPr="00373026" w:rsidRDefault="00F40CDB" w:rsidP="00F40CDB">
      <w:pPr>
        <w:spacing w:line="276" w:lineRule="auto"/>
        <w:jc w:val="both"/>
        <w:rPr>
          <w:sz w:val="22"/>
          <w:szCs w:val="22"/>
        </w:rPr>
      </w:pPr>
    </w:p>
    <w:p w14:paraId="6C363C3D" w14:textId="4A330475" w:rsidR="00F40CDB" w:rsidRPr="00373026" w:rsidRDefault="00F40CDB" w:rsidP="00F40CDB">
      <w:pPr>
        <w:pBdr>
          <w:top w:val="single" w:sz="4" w:space="1" w:color="auto"/>
          <w:left w:val="single" w:sz="4" w:space="4" w:color="auto"/>
          <w:bottom w:val="single" w:sz="4" w:space="1" w:color="auto"/>
          <w:right w:val="single" w:sz="4" w:space="4" w:color="auto"/>
        </w:pBdr>
        <w:shd w:val="clear" w:color="auto" w:fill="D9E2F3" w:themeFill="accent1" w:themeFillTint="33"/>
        <w:spacing w:before="120" w:after="120" w:line="276" w:lineRule="auto"/>
        <w:jc w:val="both"/>
        <w:rPr>
          <w:sz w:val="22"/>
          <w:szCs w:val="22"/>
        </w:rPr>
      </w:pPr>
      <w:r w:rsidRPr="00373026">
        <w:rPr>
          <w:b/>
          <w:sz w:val="22"/>
          <w:szCs w:val="22"/>
        </w:rPr>
        <w:t xml:space="preserve">A. SUMMARY AND OVERVIEW </w:t>
      </w:r>
    </w:p>
    <w:p w14:paraId="7ED8031E" w14:textId="223ECC74" w:rsidR="00F40CDB" w:rsidRPr="00373026" w:rsidRDefault="00F40CDB" w:rsidP="00F40CDB">
      <w:pPr>
        <w:spacing w:before="120" w:after="120" w:line="276" w:lineRule="auto"/>
        <w:jc w:val="both"/>
        <w:rPr>
          <w:rFonts w:cs="Arial"/>
          <w:sz w:val="22"/>
          <w:szCs w:val="22"/>
        </w:rPr>
      </w:pPr>
      <w:r w:rsidRPr="00373026">
        <w:rPr>
          <w:b/>
          <w:sz w:val="22"/>
          <w:szCs w:val="22"/>
        </w:rPr>
        <w:t xml:space="preserve">Description of programme </w:t>
      </w:r>
    </w:p>
    <w:p w14:paraId="5BA7BE37" w14:textId="63A00B17" w:rsidR="00F40CDB" w:rsidRDefault="00F40CDB" w:rsidP="00F40CDB">
      <w:pPr>
        <w:pStyle w:val="NormalWeb"/>
        <w:spacing w:before="120" w:beforeAutospacing="0" w:after="120" w:afterAutospacing="0" w:line="276" w:lineRule="auto"/>
        <w:jc w:val="both"/>
        <w:rPr>
          <w:rFonts w:ascii="Arial" w:hAnsi="Arial" w:cs="Arial"/>
          <w:color w:val="000000"/>
          <w:sz w:val="22"/>
          <w:szCs w:val="22"/>
        </w:rPr>
      </w:pPr>
      <w:r w:rsidRPr="00C172E8">
        <w:rPr>
          <w:rFonts w:ascii="Arial" w:hAnsi="Arial" w:cs="Arial"/>
          <w:sz w:val="22"/>
          <w:szCs w:val="22"/>
        </w:rPr>
        <w:t xml:space="preserve">The Sustainable Infrastructure Programme Latin America (SIP-LA) </w:t>
      </w:r>
      <w:r w:rsidRPr="00373026">
        <w:rPr>
          <w:rFonts w:ascii="Arial" w:hAnsi="Arial" w:cs="Arial"/>
          <w:color w:val="000000"/>
          <w:sz w:val="22"/>
          <w:szCs w:val="22"/>
        </w:rPr>
        <w:t>is a £177.5m bilateral programme funded by UK International Climate Finance (ICF) and delivered by the Inter-American Development Bank (IDB). SIP</w:t>
      </w:r>
      <w:r>
        <w:rPr>
          <w:rFonts w:ascii="Arial" w:hAnsi="Arial" w:cs="Arial"/>
          <w:color w:val="000000"/>
          <w:sz w:val="22"/>
          <w:szCs w:val="22"/>
        </w:rPr>
        <w:t>-LA</w:t>
      </w:r>
      <w:r w:rsidRPr="00373026">
        <w:rPr>
          <w:rFonts w:ascii="Arial" w:hAnsi="Arial" w:cs="Arial"/>
          <w:color w:val="000000"/>
          <w:sz w:val="22"/>
          <w:szCs w:val="22"/>
        </w:rPr>
        <w:t xml:space="preserve"> supports partner countries to achieve their emission reduction commitments by mobilising private investment into low-carbon infrastructure. </w:t>
      </w:r>
      <w:r w:rsidRPr="00C172E8">
        <w:rPr>
          <w:rFonts w:ascii="Arial" w:hAnsi="Arial" w:cs="Arial"/>
          <w:color w:val="000000"/>
          <w:sz w:val="22"/>
          <w:szCs w:val="22"/>
        </w:rPr>
        <w:t xml:space="preserve">The programme </w:t>
      </w:r>
      <w:r w:rsidR="00C97A61">
        <w:rPr>
          <w:rFonts w:ascii="Arial" w:hAnsi="Arial" w:cs="Arial"/>
          <w:color w:val="000000"/>
          <w:sz w:val="22"/>
          <w:szCs w:val="22"/>
        </w:rPr>
        <w:t>provides</w:t>
      </w:r>
      <w:r>
        <w:rPr>
          <w:rFonts w:ascii="Arial" w:hAnsi="Arial" w:cs="Arial"/>
          <w:color w:val="000000"/>
          <w:sz w:val="22"/>
          <w:szCs w:val="22"/>
        </w:rPr>
        <w:t xml:space="preserve"> public sector </w:t>
      </w:r>
      <w:r w:rsidR="008C77B2">
        <w:rPr>
          <w:rFonts w:ascii="Arial" w:hAnsi="Arial" w:cs="Arial"/>
          <w:color w:val="000000"/>
          <w:sz w:val="22"/>
          <w:szCs w:val="22"/>
        </w:rPr>
        <w:t>technical assistance</w:t>
      </w:r>
      <w:r>
        <w:rPr>
          <w:rFonts w:ascii="Arial" w:hAnsi="Arial" w:cs="Arial"/>
          <w:color w:val="000000"/>
          <w:sz w:val="22"/>
          <w:szCs w:val="22"/>
        </w:rPr>
        <w:t xml:space="preserve"> alongside private sector </w:t>
      </w:r>
      <w:r w:rsidR="008C77B2">
        <w:rPr>
          <w:rFonts w:ascii="Arial" w:hAnsi="Arial" w:cs="Arial"/>
          <w:color w:val="000000"/>
          <w:sz w:val="22"/>
          <w:szCs w:val="22"/>
        </w:rPr>
        <w:t>technical assistance</w:t>
      </w:r>
      <w:r>
        <w:rPr>
          <w:rFonts w:ascii="Arial" w:hAnsi="Arial" w:cs="Arial"/>
          <w:color w:val="000000"/>
          <w:sz w:val="22"/>
          <w:szCs w:val="22"/>
        </w:rPr>
        <w:t xml:space="preserve"> and </w:t>
      </w:r>
      <w:r w:rsidR="00844C3D">
        <w:rPr>
          <w:rFonts w:ascii="Arial" w:hAnsi="Arial" w:cs="Arial"/>
          <w:color w:val="000000"/>
          <w:sz w:val="22"/>
          <w:szCs w:val="22"/>
        </w:rPr>
        <w:t>blended finance</w:t>
      </w:r>
      <w:r>
        <w:rPr>
          <w:rFonts w:ascii="Arial" w:hAnsi="Arial" w:cs="Arial"/>
          <w:color w:val="000000"/>
          <w:sz w:val="22"/>
          <w:szCs w:val="22"/>
        </w:rPr>
        <w:t xml:space="preserve"> investments. It</w:t>
      </w:r>
      <w:r w:rsidRPr="00373026">
        <w:rPr>
          <w:rFonts w:ascii="Arial" w:hAnsi="Arial" w:cs="Arial"/>
          <w:color w:val="000000"/>
          <w:sz w:val="22"/>
          <w:szCs w:val="22"/>
        </w:rPr>
        <w:t xml:space="preserve"> works with four partner countries: Brazil, Colombia, Mexico</w:t>
      </w:r>
      <w:r>
        <w:rPr>
          <w:rFonts w:ascii="Arial" w:hAnsi="Arial" w:cs="Arial"/>
          <w:color w:val="000000"/>
          <w:sz w:val="22"/>
          <w:szCs w:val="22"/>
        </w:rPr>
        <w:t>,</w:t>
      </w:r>
      <w:r w:rsidRPr="00373026">
        <w:rPr>
          <w:rFonts w:ascii="Arial" w:hAnsi="Arial" w:cs="Arial"/>
          <w:color w:val="000000"/>
          <w:sz w:val="22"/>
          <w:szCs w:val="22"/>
        </w:rPr>
        <w:t xml:space="preserve"> and Peru. </w:t>
      </w:r>
    </w:p>
    <w:p w14:paraId="4D3933EC" w14:textId="6D5C14AE" w:rsidR="00F40CDB" w:rsidRPr="00E453F4" w:rsidRDefault="00F40CDB" w:rsidP="00F40CDB">
      <w:pPr>
        <w:spacing w:before="120" w:after="120" w:line="276" w:lineRule="auto"/>
        <w:jc w:val="both"/>
        <w:rPr>
          <w:rFonts w:cs="Arial"/>
          <w:color w:val="000000"/>
          <w:sz w:val="22"/>
          <w:szCs w:val="22"/>
        </w:rPr>
      </w:pPr>
      <w:r>
        <w:rPr>
          <w:rFonts w:cs="Arial"/>
          <w:color w:val="000000"/>
          <w:sz w:val="22"/>
          <w:szCs w:val="22"/>
        </w:rPr>
        <w:t xml:space="preserve">SIP-LA </w:t>
      </w:r>
      <w:r w:rsidRPr="00E235C5">
        <w:rPr>
          <w:rFonts w:cs="Arial"/>
          <w:color w:val="000000"/>
          <w:sz w:val="22"/>
          <w:szCs w:val="22"/>
        </w:rPr>
        <w:t xml:space="preserve">is implemented across both the public and private sector arms of </w:t>
      </w:r>
      <w:r w:rsidR="00D12787">
        <w:rPr>
          <w:rFonts w:cs="Arial"/>
          <w:color w:val="000000"/>
          <w:sz w:val="22"/>
          <w:szCs w:val="22"/>
        </w:rPr>
        <w:t>IDB</w:t>
      </w:r>
      <w:r w:rsidRPr="00E235C5">
        <w:rPr>
          <w:rFonts w:cs="Arial"/>
          <w:color w:val="000000"/>
          <w:sz w:val="22"/>
          <w:szCs w:val="22"/>
        </w:rPr>
        <w:t xml:space="preserve"> Group. </w:t>
      </w:r>
      <w:r w:rsidR="00D12787">
        <w:rPr>
          <w:rFonts w:cs="Arial"/>
          <w:color w:val="000000"/>
          <w:sz w:val="22"/>
          <w:szCs w:val="22"/>
        </w:rPr>
        <w:t>IDB</w:t>
      </w:r>
      <w:r w:rsidRPr="00E235C5">
        <w:rPr>
          <w:rFonts w:cs="Arial"/>
          <w:color w:val="000000"/>
          <w:sz w:val="22"/>
          <w:szCs w:val="22"/>
        </w:rPr>
        <w:t xml:space="preserve"> Climate Change Division leads on engagement with partner governments and the delivery of public sector </w:t>
      </w:r>
      <w:r w:rsidR="008C77B2">
        <w:rPr>
          <w:rFonts w:cs="Arial"/>
          <w:color w:val="000000"/>
          <w:sz w:val="22"/>
          <w:szCs w:val="22"/>
        </w:rPr>
        <w:t>technical assistance</w:t>
      </w:r>
      <w:r w:rsidRPr="00E235C5">
        <w:rPr>
          <w:rFonts w:cs="Arial"/>
          <w:color w:val="000000"/>
          <w:sz w:val="22"/>
          <w:szCs w:val="22"/>
        </w:rPr>
        <w:t xml:space="preserve"> activities. IDB Invest, </w:t>
      </w:r>
      <w:r w:rsidR="00D12787">
        <w:rPr>
          <w:rFonts w:cs="Arial"/>
          <w:color w:val="000000"/>
          <w:sz w:val="22"/>
          <w:szCs w:val="22"/>
        </w:rPr>
        <w:t>IDB</w:t>
      </w:r>
      <w:r w:rsidRPr="00E235C5">
        <w:rPr>
          <w:rFonts w:cs="Arial"/>
          <w:color w:val="000000"/>
          <w:sz w:val="22"/>
          <w:szCs w:val="22"/>
        </w:rPr>
        <w:t xml:space="preserve">’s investment arm, manages the </w:t>
      </w:r>
      <w:r w:rsidR="00844C3D">
        <w:rPr>
          <w:rFonts w:cs="Arial"/>
          <w:color w:val="000000"/>
          <w:sz w:val="22"/>
          <w:szCs w:val="22"/>
        </w:rPr>
        <w:t>blended finance</w:t>
      </w:r>
      <w:r w:rsidRPr="00E235C5">
        <w:rPr>
          <w:rFonts w:cs="Arial"/>
          <w:color w:val="000000"/>
          <w:sz w:val="22"/>
          <w:szCs w:val="22"/>
        </w:rPr>
        <w:t xml:space="preserve"> component and the </w:t>
      </w:r>
      <w:r w:rsidR="008A25B5">
        <w:rPr>
          <w:rFonts w:cs="Arial"/>
          <w:color w:val="000000"/>
          <w:sz w:val="22"/>
          <w:szCs w:val="22"/>
        </w:rPr>
        <w:t>private sector</w:t>
      </w:r>
      <w:r w:rsidRPr="00E235C5">
        <w:rPr>
          <w:rFonts w:cs="Arial"/>
          <w:color w:val="000000"/>
          <w:sz w:val="22"/>
          <w:szCs w:val="22"/>
        </w:rPr>
        <w:t xml:space="preserve"> </w:t>
      </w:r>
      <w:r w:rsidR="008C77B2">
        <w:rPr>
          <w:rFonts w:cs="Arial"/>
          <w:color w:val="000000"/>
          <w:sz w:val="22"/>
          <w:szCs w:val="22"/>
        </w:rPr>
        <w:t>technical assistance</w:t>
      </w:r>
      <w:r w:rsidRPr="00E235C5">
        <w:rPr>
          <w:rFonts w:cs="Arial"/>
          <w:color w:val="000000"/>
          <w:sz w:val="22"/>
          <w:szCs w:val="22"/>
        </w:rPr>
        <w:t xml:space="preserve"> activities.</w:t>
      </w:r>
    </w:p>
    <w:p w14:paraId="48470264" w14:textId="74E695B5" w:rsidR="00F40CDB" w:rsidRPr="000A67A7" w:rsidRDefault="00F40CDB" w:rsidP="00F40CDB">
      <w:pPr>
        <w:spacing w:before="120" w:after="120" w:line="276" w:lineRule="auto"/>
        <w:jc w:val="both"/>
        <w:rPr>
          <w:rFonts w:cs="Arial"/>
          <w:b/>
          <w:sz w:val="22"/>
          <w:szCs w:val="22"/>
          <w:u w:val="single"/>
        </w:rPr>
      </w:pPr>
      <w:r w:rsidRPr="000A67A7">
        <w:rPr>
          <w:rFonts w:cs="Arial"/>
          <w:b/>
          <w:sz w:val="22"/>
          <w:szCs w:val="22"/>
          <w:u w:val="single"/>
        </w:rPr>
        <w:t xml:space="preserve">Summary of progress and supporting narrative for the overall score in this review </w:t>
      </w:r>
    </w:p>
    <w:p w14:paraId="0F830681" w14:textId="09C8A854" w:rsidR="00F40CDB" w:rsidRPr="006D0EDA" w:rsidRDefault="00F40CDB" w:rsidP="00F40CDB">
      <w:pPr>
        <w:spacing w:before="120" w:after="120" w:line="276" w:lineRule="auto"/>
        <w:jc w:val="both"/>
        <w:rPr>
          <w:sz w:val="22"/>
          <w:szCs w:val="22"/>
        </w:rPr>
      </w:pPr>
      <w:r w:rsidRPr="00373026">
        <w:rPr>
          <w:sz w:val="22"/>
          <w:szCs w:val="22"/>
        </w:rPr>
        <w:t>This is the second Annual Review</w:t>
      </w:r>
      <w:r>
        <w:rPr>
          <w:sz w:val="22"/>
          <w:szCs w:val="22"/>
        </w:rPr>
        <w:t xml:space="preserve"> </w:t>
      </w:r>
      <w:r w:rsidRPr="00373026">
        <w:rPr>
          <w:sz w:val="22"/>
          <w:szCs w:val="22"/>
        </w:rPr>
        <w:t>for the Sustainable Infrastructure Programme</w:t>
      </w:r>
      <w:r>
        <w:rPr>
          <w:sz w:val="22"/>
          <w:szCs w:val="22"/>
        </w:rPr>
        <w:t xml:space="preserve"> </w:t>
      </w:r>
      <w:r w:rsidRPr="00373026">
        <w:rPr>
          <w:sz w:val="22"/>
          <w:szCs w:val="22"/>
        </w:rPr>
        <w:t xml:space="preserve">Latin America </w:t>
      </w:r>
      <w:r w:rsidRPr="00373026" w:rsidDel="006D0EDA">
        <w:rPr>
          <w:sz w:val="22"/>
          <w:szCs w:val="22"/>
        </w:rPr>
        <w:t>(SIP</w:t>
      </w:r>
      <w:r>
        <w:rPr>
          <w:sz w:val="22"/>
          <w:szCs w:val="22"/>
        </w:rPr>
        <w:t>-LA</w:t>
      </w:r>
      <w:r w:rsidDel="006D0EDA">
        <w:rPr>
          <w:sz w:val="22"/>
          <w:szCs w:val="22"/>
        </w:rPr>
        <w:t>)</w:t>
      </w:r>
      <w:r w:rsidRPr="00373026">
        <w:rPr>
          <w:sz w:val="22"/>
          <w:szCs w:val="22"/>
        </w:rPr>
        <w:t>.</w:t>
      </w:r>
      <w:r>
        <w:rPr>
          <w:sz w:val="22"/>
          <w:szCs w:val="22"/>
        </w:rPr>
        <w:t xml:space="preserve"> It is too early to assess progress made against the outcomes of the programme. Whilst the programme has delivered </w:t>
      </w:r>
      <w:r w:rsidR="008C77B2">
        <w:rPr>
          <w:sz w:val="22"/>
          <w:szCs w:val="22"/>
        </w:rPr>
        <w:t>technical assistance</w:t>
      </w:r>
      <w:r>
        <w:rPr>
          <w:sz w:val="22"/>
          <w:szCs w:val="22"/>
        </w:rPr>
        <w:t xml:space="preserve"> across its four target countries, it is yet to make any </w:t>
      </w:r>
      <w:r w:rsidR="00844C3D">
        <w:rPr>
          <w:sz w:val="22"/>
          <w:szCs w:val="22"/>
        </w:rPr>
        <w:t>blended finance</w:t>
      </w:r>
      <w:r>
        <w:rPr>
          <w:sz w:val="22"/>
          <w:szCs w:val="22"/>
        </w:rPr>
        <w:t xml:space="preserve"> investments. </w:t>
      </w:r>
    </w:p>
    <w:p w14:paraId="309D4C85" w14:textId="70A63A27" w:rsidR="00F40CDB" w:rsidRPr="000A67A7" w:rsidRDefault="00F40CDB" w:rsidP="00F40CDB">
      <w:pPr>
        <w:spacing w:before="120" w:after="120" w:line="276" w:lineRule="auto"/>
        <w:jc w:val="both"/>
        <w:rPr>
          <w:b/>
          <w:bCs/>
          <w:sz w:val="22"/>
          <w:szCs w:val="22"/>
        </w:rPr>
      </w:pPr>
      <w:r>
        <w:rPr>
          <w:b/>
          <w:bCs/>
          <w:sz w:val="22"/>
          <w:szCs w:val="22"/>
        </w:rPr>
        <w:t xml:space="preserve">Progress on </w:t>
      </w:r>
      <w:r w:rsidR="00844C3D">
        <w:rPr>
          <w:b/>
          <w:bCs/>
          <w:sz w:val="22"/>
          <w:szCs w:val="22"/>
        </w:rPr>
        <w:t>Output</w:t>
      </w:r>
      <w:r>
        <w:rPr>
          <w:b/>
          <w:bCs/>
          <w:sz w:val="22"/>
          <w:szCs w:val="22"/>
        </w:rPr>
        <w:t>s:</w:t>
      </w:r>
    </w:p>
    <w:p w14:paraId="1D8D5300" w14:textId="6E534637" w:rsidR="00F40CDB" w:rsidRDefault="00F40CDB" w:rsidP="00F40CDB">
      <w:pPr>
        <w:spacing w:before="120" w:after="120" w:line="276" w:lineRule="auto"/>
        <w:jc w:val="both"/>
        <w:rPr>
          <w:sz w:val="22"/>
          <w:szCs w:val="22"/>
        </w:rPr>
      </w:pPr>
      <w:r>
        <w:rPr>
          <w:sz w:val="22"/>
          <w:szCs w:val="22"/>
        </w:rPr>
        <w:t xml:space="preserve">The programme has achieved its </w:t>
      </w:r>
      <w:r w:rsidR="007E2EDB">
        <w:rPr>
          <w:sz w:val="22"/>
          <w:szCs w:val="22"/>
        </w:rPr>
        <w:t xml:space="preserve">milestones for Year 2 against </w:t>
      </w:r>
      <w:r w:rsidR="00844C3D">
        <w:rPr>
          <w:sz w:val="22"/>
          <w:szCs w:val="22"/>
        </w:rPr>
        <w:t>Output</w:t>
      </w:r>
      <w:r w:rsidR="007E2EDB">
        <w:rPr>
          <w:sz w:val="22"/>
          <w:szCs w:val="22"/>
        </w:rPr>
        <w:t xml:space="preserve"> 1</w:t>
      </w:r>
      <w:r>
        <w:rPr>
          <w:sz w:val="22"/>
          <w:szCs w:val="22"/>
        </w:rPr>
        <w:t xml:space="preserve"> for </w:t>
      </w:r>
      <w:r w:rsidR="008C77B2">
        <w:rPr>
          <w:sz w:val="22"/>
          <w:szCs w:val="22"/>
        </w:rPr>
        <w:t>technical assistance</w:t>
      </w:r>
      <w:r w:rsidR="007E2EDB">
        <w:rPr>
          <w:sz w:val="22"/>
          <w:szCs w:val="22"/>
        </w:rPr>
        <w:t>.</w:t>
      </w:r>
    </w:p>
    <w:p w14:paraId="51B5E1D1" w14:textId="457C20CA" w:rsidR="00F40CDB" w:rsidRPr="000246D1" w:rsidRDefault="00F40CDB" w:rsidP="00F40CDB">
      <w:pPr>
        <w:spacing w:before="120" w:after="120" w:line="276" w:lineRule="auto"/>
        <w:jc w:val="both"/>
        <w:rPr>
          <w:sz w:val="22"/>
          <w:szCs w:val="22"/>
        </w:rPr>
      </w:pPr>
      <w:r>
        <w:rPr>
          <w:sz w:val="22"/>
          <w:szCs w:val="22"/>
        </w:rPr>
        <w:t xml:space="preserve">SIP-LA does not have any milestone to assess progress against </w:t>
      </w:r>
      <w:r w:rsidR="00844C3D">
        <w:rPr>
          <w:sz w:val="22"/>
          <w:szCs w:val="22"/>
        </w:rPr>
        <w:t>Output</w:t>
      </w:r>
      <w:r>
        <w:rPr>
          <w:sz w:val="22"/>
          <w:szCs w:val="22"/>
        </w:rPr>
        <w:t xml:space="preserve"> 2</w:t>
      </w:r>
      <w:r w:rsidR="0039307E">
        <w:rPr>
          <w:sz w:val="22"/>
          <w:szCs w:val="22"/>
        </w:rPr>
        <w:t xml:space="preserve"> which assess its</w:t>
      </w:r>
      <w:r>
        <w:rPr>
          <w:sz w:val="22"/>
          <w:szCs w:val="22"/>
        </w:rPr>
        <w:t xml:space="preserve"> </w:t>
      </w:r>
      <w:r w:rsidR="00844C3D">
        <w:rPr>
          <w:sz w:val="22"/>
          <w:szCs w:val="22"/>
        </w:rPr>
        <w:t>blended finance</w:t>
      </w:r>
      <w:r>
        <w:rPr>
          <w:sz w:val="22"/>
          <w:szCs w:val="22"/>
        </w:rPr>
        <w:t xml:space="preserve"> activities. This is because the milestones are being reprofiled. </w:t>
      </w:r>
      <w:r w:rsidR="00645A6D">
        <w:rPr>
          <w:sz w:val="22"/>
          <w:szCs w:val="22"/>
        </w:rPr>
        <w:t>SIP-LA</w:t>
      </w:r>
      <w:r>
        <w:rPr>
          <w:sz w:val="22"/>
          <w:szCs w:val="22"/>
        </w:rPr>
        <w:t xml:space="preserve"> 2018 Annual Review</w:t>
      </w:r>
      <w:r w:rsidR="008D0F4B">
        <w:rPr>
          <w:sz w:val="22"/>
          <w:szCs w:val="22"/>
        </w:rPr>
        <w:t xml:space="preserve"> </w:t>
      </w:r>
      <w:r>
        <w:rPr>
          <w:sz w:val="22"/>
          <w:szCs w:val="22"/>
        </w:rPr>
        <w:t>recommended that BEIS and</w:t>
      </w:r>
      <w:r w:rsidR="00BA67D3">
        <w:rPr>
          <w:sz w:val="22"/>
          <w:szCs w:val="22"/>
        </w:rPr>
        <w:t xml:space="preserve"> </w:t>
      </w:r>
      <w:r>
        <w:rPr>
          <w:sz w:val="22"/>
          <w:szCs w:val="22"/>
        </w:rPr>
        <w:t>IDB review the</w:t>
      </w:r>
      <w:r w:rsidR="006C475F">
        <w:rPr>
          <w:sz w:val="22"/>
          <w:szCs w:val="22"/>
        </w:rPr>
        <w:t xml:space="preserve"> programme</w:t>
      </w:r>
      <w:r>
        <w:rPr>
          <w:sz w:val="22"/>
          <w:szCs w:val="22"/>
        </w:rPr>
        <w:t xml:space="preserve"> </w:t>
      </w:r>
      <w:r w:rsidR="00844C3D">
        <w:rPr>
          <w:sz w:val="22"/>
          <w:szCs w:val="22"/>
        </w:rPr>
        <w:t>log frame</w:t>
      </w:r>
      <w:r>
        <w:rPr>
          <w:sz w:val="22"/>
          <w:szCs w:val="22"/>
        </w:rPr>
        <w:t xml:space="preserve"> and reprofile the </w:t>
      </w:r>
      <w:r w:rsidR="00844C3D">
        <w:rPr>
          <w:sz w:val="22"/>
          <w:szCs w:val="22"/>
        </w:rPr>
        <w:t>output</w:t>
      </w:r>
      <w:r>
        <w:rPr>
          <w:sz w:val="22"/>
          <w:szCs w:val="22"/>
        </w:rPr>
        <w:t xml:space="preserve"> and outcome milestones that assess </w:t>
      </w:r>
      <w:r w:rsidR="00844C3D">
        <w:rPr>
          <w:sz w:val="22"/>
          <w:szCs w:val="22"/>
        </w:rPr>
        <w:t>blended finance</w:t>
      </w:r>
      <w:r>
        <w:rPr>
          <w:sz w:val="22"/>
          <w:szCs w:val="22"/>
        </w:rPr>
        <w:t xml:space="preserve"> </w:t>
      </w:r>
      <w:r w:rsidR="0039307E">
        <w:rPr>
          <w:sz w:val="22"/>
          <w:szCs w:val="22"/>
        </w:rPr>
        <w:t>i</w:t>
      </w:r>
      <w:r>
        <w:rPr>
          <w:sz w:val="22"/>
          <w:szCs w:val="22"/>
        </w:rPr>
        <w:t>nvestments (</w:t>
      </w:r>
      <w:r w:rsidR="00844C3D">
        <w:rPr>
          <w:sz w:val="22"/>
          <w:szCs w:val="22"/>
        </w:rPr>
        <w:t>Output</w:t>
      </w:r>
      <w:r>
        <w:rPr>
          <w:sz w:val="22"/>
          <w:szCs w:val="22"/>
        </w:rPr>
        <w:t xml:space="preserve"> 2). This was because the original milestones</w:t>
      </w:r>
      <w:r w:rsidRPr="009D7B03">
        <w:rPr>
          <w:sz w:val="22"/>
          <w:szCs w:val="22"/>
        </w:rPr>
        <w:t xml:space="preserve"> </w:t>
      </w:r>
      <w:r>
        <w:rPr>
          <w:sz w:val="22"/>
          <w:szCs w:val="22"/>
        </w:rPr>
        <w:t xml:space="preserve">did not factor in </w:t>
      </w:r>
      <w:r w:rsidRPr="009D7B03">
        <w:rPr>
          <w:sz w:val="22"/>
          <w:szCs w:val="22"/>
        </w:rPr>
        <w:lastRenderedPageBreak/>
        <w:t xml:space="preserve">the </w:t>
      </w:r>
      <w:r w:rsidRPr="00F452DA">
        <w:rPr>
          <w:sz w:val="22"/>
          <w:szCs w:val="22"/>
        </w:rPr>
        <w:t>time-lag between project origination and operationalisation</w:t>
      </w:r>
      <w:r>
        <w:rPr>
          <w:sz w:val="22"/>
          <w:szCs w:val="22"/>
        </w:rPr>
        <w:t xml:space="preserve">. The 2018 </w:t>
      </w:r>
      <w:r w:rsidR="00E46BD5">
        <w:rPr>
          <w:sz w:val="22"/>
          <w:szCs w:val="22"/>
        </w:rPr>
        <w:t>Annual Review</w:t>
      </w:r>
      <w:r>
        <w:rPr>
          <w:sz w:val="22"/>
          <w:szCs w:val="22"/>
        </w:rPr>
        <w:t xml:space="preserve"> also recommended that BEIS and </w:t>
      </w:r>
      <w:r w:rsidR="00D12787">
        <w:rPr>
          <w:sz w:val="22"/>
          <w:szCs w:val="22"/>
        </w:rPr>
        <w:t>IDB</w:t>
      </w:r>
      <w:r>
        <w:rPr>
          <w:sz w:val="22"/>
          <w:szCs w:val="22"/>
        </w:rPr>
        <w:t xml:space="preserve"> restructure the </w:t>
      </w:r>
      <w:r w:rsidR="00844C3D">
        <w:rPr>
          <w:sz w:val="22"/>
          <w:szCs w:val="22"/>
        </w:rPr>
        <w:t>log frame</w:t>
      </w:r>
      <w:r>
        <w:rPr>
          <w:sz w:val="22"/>
          <w:szCs w:val="22"/>
        </w:rPr>
        <w:t xml:space="preserve">. This has taken longer than </w:t>
      </w:r>
      <w:r w:rsidR="00B8687F">
        <w:rPr>
          <w:sz w:val="22"/>
          <w:szCs w:val="22"/>
        </w:rPr>
        <w:t xml:space="preserve">originally </w:t>
      </w:r>
      <w:r>
        <w:rPr>
          <w:sz w:val="22"/>
          <w:szCs w:val="22"/>
        </w:rPr>
        <w:t xml:space="preserve">anticipated because of </w:t>
      </w:r>
      <w:r w:rsidR="005A3002">
        <w:rPr>
          <w:sz w:val="22"/>
          <w:szCs w:val="22"/>
        </w:rPr>
        <w:t xml:space="preserve">the impacts of </w:t>
      </w:r>
      <w:r w:rsidR="00844C3D">
        <w:rPr>
          <w:sz w:val="22"/>
          <w:szCs w:val="22"/>
        </w:rPr>
        <w:t>COVID-19</w:t>
      </w:r>
      <w:r w:rsidR="005A3002">
        <w:rPr>
          <w:sz w:val="22"/>
          <w:szCs w:val="22"/>
        </w:rPr>
        <w:t xml:space="preserve"> lockdown</w:t>
      </w:r>
      <w:r>
        <w:rPr>
          <w:sz w:val="22"/>
          <w:szCs w:val="22"/>
        </w:rPr>
        <w:t>, team changes and emerging requirements in the review scope.</w:t>
      </w:r>
      <w:r w:rsidRPr="009E1133">
        <w:rPr>
          <w:sz w:val="22"/>
          <w:szCs w:val="22"/>
        </w:rPr>
        <w:t xml:space="preserve"> </w:t>
      </w:r>
      <w:r>
        <w:rPr>
          <w:sz w:val="22"/>
          <w:szCs w:val="22"/>
        </w:rPr>
        <w:t xml:space="preserve">IDB and BEIS are currently working to reprofile milestones and consider whether achievement should be extended beyond the original programme completion date of </w:t>
      </w:r>
      <w:r w:rsidR="0057321D">
        <w:rPr>
          <w:sz w:val="22"/>
          <w:szCs w:val="22"/>
        </w:rPr>
        <w:t xml:space="preserve">November </w:t>
      </w:r>
      <w:r>
        <w:rPr>
          <w:sz w:val="22"/>
          <w:szCs w:val="22"/>
        </w:rPr>
        <w:t xml:space="preserve">2022. </w:t>
      </w:r>
    </w:p>
    <w:p w14:paraId="49A4FF51" w14:textId="4D7D6233" w:rsidR="00F40CDB" w:rsidRDefault="00F40CDB" w:rsidP="00F40CDB">
      <w:pPr>
        <w:spacing w:before="120" w:after="120" w:line="276" w:lineRule="auto"/>
        <w:jc w:val="both"/>
        <w:rPr>
          <w:bCs/>
          <w:sz w:val="22"/>
          <w:szCs w:val="22"/>
        </w:rPr>
      </w:pPr>
      <w:r>
        <w:rPr>
          <w:sz w:val="22"/>
          <w:szCs w:val="22"/>
        </w:rPr>
        <w:t xml:space="preserve">Progress on </w:t>
      </w:r>
      <w:r w:rsidR="00844C3D">
        <w:rPr>
          <w:sz w:val="22"/>
          <w:szCs w:val="22"/>
        </w:rPr>
        <w:t>Output</w:t>
      </w:r>
      <w:r>
        <w:rPr>
          <w:sz w:val="22"/>
          <w:szCs w:val="22"/>
        </w:rPr>
        <w:t xml:space="preserve"> 2</w:t>
      </w:r>
      <w:r w:rsidR="00BA367A">
        <w:rPr>
          <w:sz w:val="22"/>
          <w:szCs w:val="22"/>
        </w:rPr>
        <w:t xml:space="preserve"> (</w:t>
      </w:r>
      <w:r w:rsidR="009261A0">
        <w:rPr>
          <w:sz w:val="22"/>
          <w:szCs w:val="22"/>
        </w:rPr>
        <w:t xml:space="preserve">which relates to the programme’s </w:t>
      </w:r>
      <w:r w:rsidR="00844C3D">
        <w:rPr>
          <w:sz w:val="22"/>
          <w:szCs w:val="22"/>
        </w:rPr>
        <w:t>blended finance</w:t>
      </w:r>
      <w:r w:rsidR="00BA367A">
        <w:rPr>
          <w:sz w:val="22"/>
          <w:szCs w:val="22"/>
        </w:rPr>
        <w:t xml:space="preserve">) </w:t>
      </w:r>
      <w:r w:rsidR="009261A0">
        <w:rPr>
          <w:sz w:val="22"/>
          <w:szCs w:val="22"/>
        </w:rPr>
        <w:t>was</w:t>
      </w:r>
      <w:r>
        <w:rPr>
          <w:sz w:val="22"/>
          <w:szCs w:val="22"/>
        </w:rPr>
        <w:t xml:space="preserve"> slow</w:t>
      </w:r>
      <w:r w:rsidR="00A83EE7">
        <w:rPr>
          <w:sz w:val="22"/>
          <w:szCs w:val="22"/>
        </w:rPr>
        <w:t xml:space="preserve"> over the review period</w:t>
      </w:r>
      <w:r>
        <w:rPr>
          <w:sz w:val="22"/>
          <w:szCs w:val="22"/>
        </w:rPr>
        <w:t xml:space="preserve"> and </w:t>
      </w:r>
      <w:r>
        <w:rPr>
          <w:bCs/>
          <w:sz w:val="22"/>
          <w:szCs w:val="22"/>
        </w:rPr>
        <w:t xml:space="preserve">the programme has not yet made any capital investments. This is primarily attributable to two factors. First, in 2019 the political context and change in administrations in Mexico, Peru and Brazil significantly impacted the ability for </w:t>
      </w:r>
      <w:r w:rsidR="00D12787">
        <w:rPr>
          <w:bCs/>
          <w:sz w:val="22"/>
          <w:szCs w:val="22"/>
        </w:rPr>
        <w:t>IDB</w:t>
      </w:r>
      <w:r>
        <w:rPr>
          <w:bCs/>
          <w:sz w:val="22"/>
          <w:szCs w:val="22"/>
        </w:rPr>
        <w:t xml:space="preserve"> to make investments with SIP-LA funds. In Peru, a change</w:t>
      </w:r>
      <w:r w:rsidR="00DC303B">
        <w:rPr>
          <w:bCs/>
          <w:sz w:val="22"/>
          <w:szCs w:val="22"/>
        </w:rPr>
        <w:t xml:space="preserve"> in</w:t>
      </w:r>
      <w:r>
        <w:rPr>
          <w:bCs/>
          <w:sz w:val="22"/>
          <w:szCs w:val="22"/>
        </w:rPr>
        <w:t xml:space="preserve"> political priorities and the impact on key markets affected IDB’s ability to identify suitable investments and develop a pipeline. </w:t>
      </w:r>
      <w:r w:rsidR="00D911AE">
        <w:rPr>
          <w:bCs/>
          <w:sz w:val="22"/>
          <w:szCs w:val="22"/>
        </w:rPr>
        <w:t>There were two investments approved by BEIS in 2019 which were expected to yield results, however p</w:t>
      </w:r>
      <w:r>
        <w:rPr>
          <w:bCs/>
          <w:sz w:val="22"/>
          <w:szCs w:val="22"/>
        </w:rPr>
        <w:t>olicy and regulatory changes in relevant sectors in Brazil and Mexico contributed to the withdrawal and postponement of SIP</w:t>
      </w:r>
      <w:r w:rsidR="004C657A">
        <w:rPr>
          <w:bCs/>
          <w:sz w:val="22"/>
          <w:szCs w:val="22"/>
        </w:rPr>
        <w:t>-LA</w:t>
      </w:r>
      <w:r>
        <w:rPr>
          <w:bCs/>
          <w:sz w:val="22"/>
          <w:szCs w:val="22"/>
        </w:rPr>
        <w:t xml:space="preserve"> funds from </w:t>
      </w:r>
      <w:r w:rsidR="00D911AE">
        <w:rPr>
          <w:bCs/>
          <w:sz w:val="22"/>
          <w:szCs w:val="22"/>
        </w:rPr>
        <w:t>the</w:t>
      </w:r>
      <w:r>
        <w:rPr>
          <w:bCs/>
          <w:sz w:val="22"/>
          <w:szCs w:val="22"/>
        </w:rPr>
        <w:t xml:space="preserve"> investments. Second, latent delays in developing a </w:t>
      </w:r>
      <w:r w:rsidR="00844C3D">
        <w:rPr>
          <w:bCs/>
          <w:sz w:val="22"/>
          <w:szCs w:val="22"/>
        </w:rPr>
        <w:t>blended finance</w:t>
      </w:r>
      <w:r>
        <w:rPr>
          <w:bCs/>
          <w:sz w:val="22"/>
          <w:szCs w:val="22"/>
        </w:rPr>
        <w:t xml:space="preserve"> portfolio in</w:t>
      </w:r>
      <w:r w:rsidR="0047239A">
        <w:rPr>
          <w:bCs/>
          <w:sz w:val="22"/>
          <w:szCs w:val="22"/>
        </w:rPr>
        <w:t xml:space="preserve"> </w:t>
      </w:r>
      <w:r>
        <w:rPr>
          <w:bCs/>
          <w:sz w:val="22"/>
          <w:szCs w:val="22"/>
        </w:rPr>
        <w:t xml:space="preserve">2018 of operation impacted the </w:t>
      </w:r>
      <w:r w:rsidR="001A5252">
        <w:rPr>
          <w:bCs/>
          <w:sz w:val="22"/>
          <w:szCs w:val="22"/>
        </w:rPr>
        <w:t>availability</w:t>
      </w:r>
      <w:r>
        <w:rPr>
          <w:bCs/>
          <w:sz w:val="22"/>
          <w:szCs w:val="22"/>
        </w:rPr>
        <w:t xml:space="preserve"> of suitable investments across the region for </w:t>
      </w:r>
      <w:r w:rsidR="0047239A">
        <w:rPr>
          <w:bCs/>
          <w:sz w:val="22"/>
          <w:szCs w:val="22"/>
        </w:rPr>
        <w:t>the following year.</w:t>
      </w:r>
      <w:r>
        <w:rPr>
          <w:bCs/>
          <w:sz w:val="22"/>
          <w:szCs w:val="22"/>
        </w:rPr>
        <w:t xml:space="preserve"> IDB </w:t>
      </w:r>
      <w:r w:rsidR="001A5252">
        <w:rPr>
          <w:bCs/>
          <w:sz w:val="22"/>
          <w:szCs w:val="22"/>
        </w:rPr>
        <w:t>had not</w:t>
      </w:r>
      <w:r>
        <w:rPr>
          <w:bCs/>
          <w:sz w:val="22"/>
          <w:szCs w:val="22"/>
        </w:rPr>
        <w:t xml:space="preserve"> develop</w:t>
      </w:r>
      <w:r w:rsidR="001A5252">
        <w:rPr>
          <w:bCs/>
          <w:sz w:val="22"/>
          <w:szCs w:val="22"/>
        </w:rPr>
        <w:t>ed</w:t>
      </w:r>
      <w:r>
        <w:rPr>
          <w:bCs/>
          <w:sz w:val="22"/>
          <w:szCs w:val="22"/>
        </w:rPr>
        <w:t xml:space="preserve"> a diverse </w:t>
      </w:r>
      <w:r w:rsidR="001A5252">
        <w:rPr>
          <w:bCs/>
          <w:sz w:val="22"/>
          <w:szCs w:val="22"/>
        </w:rPr>
        <w:t>pipeline</w:t>
      </w:r>
      <w:r>
        <w:rPr>
          <w:bCs/>
          <w:sz w:val="22"/>
          <w:szCs w:val="22"/>
        </w:rPr>
        <w:t xml:space="preserve"> capable of responding to the changing political contexts</w:t>
      </w:r>
      <w:r w:rsidR="001A5252">
        <w:rPr>
          <w:bCs/>
          <w:sz w:val="22"/>
          <w:szCs w:val="22"/>
        </w:rPr>
        <w:t xml:space="preserve"> in 2019</w:t>
      </w:r>
      <w:r>
        <w:rPr>
          <w:bCs/>
          <w:sz w:val="22"/>
          <w:szCs w:val="22"/>
        </w:rPr>
        <w:t xml:space="preserve">. Despite this, </w:t>
      </w:r>
      <w:r w:rsidR="007A3DFE">
        <w:rPr>
          <w:bCs/>
          <w:sz w:val="22"/>
          <w:szCs w:val="22"/>
        </w:rPr>
        <w:t xml:space="preserve">wider </w:t>
      </w:r>
      <w:r w:rsidR="00080ECA">
        <w:rPr>
          <w:bCs/>
          <w:sz w:val="22"/>
          <w:szCs w:val="22"/>
        </w:rPr>
        <w:t xml:space="preserve">programme </w:t>
      </w:r>
      <w:r>
        <w:rPr>
          <w:bCs/>
          <w:sz w:val="22"/>
          <w:szCs w:val="22"/>
        </w:rPr>
        <w:t xml:space="preserve">progress in 2019 </w:t>
      </w:r>
      <w:r w:rsidR="007A3DFE">
        <w:rPr>
          <w:bCs/>
          <w:sz w:val="22"/>
          <w:szCs w:val="22"/>
        </w:rPr>
        <w:t>resulted in</w:t>
      </w:r>
      <w:r>
        <w:rPr>
          <w:bCs/>
          <w:sz w:val="22"/>
          <w:szCs w:val="22"/>
        </w:rPr>
        <w:t xml:space="preserve"> </w:t>
      </w:r>
      <w:r w:rsidR="00D12787">
        <w:rPr>
          <w:bCs/>
          <w:sz w:val="22"/>
          <w:szCs w:val="22"/>
        </w:rPr>
        <w:t>IDB</w:t>
      </w:r>
      <w:r>
        <w:rPr>
          <w:bCs/>
          <w:sz w:val="22"/>
          <w:szCs w:val="22"/>
        </w:rPr>
        <w:t xml:space="preserve"> establish</w:t>
      </w:r>
      <w:r w:rsidR="007A3DFE">
        <w:rPr>
          <w:bCs/>
          <w:sz w:val="22"/>
          <w:szCs w:val="22"/>
        </w:rPr>
        <w:t>ing</w:t>
      </w:r>
      <w:r>
        <w:rPr>
          <w:bCs/>
          <w:sz w:val="22"/>
          <w:szCs w:val="22"/>
        </w:rPr>
        <w:t xml:space="preserve"> a </w:t>
      </w:r>
      <w:r w:rsidR="00844C3D">
        <w:rPr>
          <w:bCs/>
          <w:sz w:val="22"/>
          <w:szCs w:val="22"/>
        </w:rPr>
        <w:t>blended finance</w:t>
      </w:r>
      <w:r>
        <w:rPr>
          <w:bCs/>
          <w:sz w:val="22"/>
          <w:szCs w:val="22"/>
        </w:rPr>
        <w:t xml:space="preserve"> pipeline</w:t>
      </w:r>
      <w:r w:rsidR="00080ECA">
        <w:rPr>
          <w:bCs/>
          <w:sz w:val="22"/>
          <w:szCs w:val="22"/>
        </w:rPr>
        <w:t xml:space="preserve"> by using the</w:t>
      </w:r>
      <w:r>
        <w:rPr>
          <w:bCs/>
          <w:sz w:val="22"/>
          <w:szCs w:val="22"/>
        </w:rPr>
        <w:t xml:space="preserve"> </w:t>
      </w:r>
      <w:r w:rsidR="00080ECA">
        <w:rPr>
          <w:bCs/>
          <w:sz w:val="22"/>
          <w:szCs w:val="22"/>
        </w:rPr>
        <w:t xml:space="preserve">foundations laid through </w:t>
      </w:r>
      <w:r>
        <w:rPr>
          <w:bCs/>
          <w:sz w:val="22"/>
          <w:szCs w:val="22"/>
        </w:rPr>
        <w:t xml:space="preserve">successful </w:t>
      </w:r>
      <w:r w:rsidR="008C77B2">
        <w:rPr>
          <w:bCs/>
          <w:sz w:val="22"/>
          <w:szCs w:val="22"/>
        </w:rPr>
        <w:t>technical assistance</w:t>
      </w:r>
      <w:r w:rsidR="00E46BD5">
        <w:rPr>
          <w:bCs/>
          <w:sz w:val="22"/>
          <w:szCs w:val="22"/>
        </w:rPr>
        <w:t>.</w:t>
      </w:r>
      <w:r>
        <w:rPr>
          <w:bCs/>
          <w:sz w:val="22"/>
          <w:szCs w:val="22"/>
        </w:rPr>
        <w:t xml:space="preserve"> </w:t>
      </w:r>
      <w:r w:rsidR="00E46BD5">
        <w:rPr>
          <w:bCs/>
          <w:sz w:val="22"/>
          <w:szCs w:val="22"/>
        </w:rPr>
        <w:t>A</w:t>
      </w:r>
      <w:r>
        <w:rPr>
          <w:bCs/>
          <w:sz w:val="22"/>
          <w:szCs w:val="22"/>
        </w:rPr>
        <w:t xml:space="preserve">s a </w:t>
      </w:r>
      <w:r w:rsidR="00E46BD5">
        <w:rPr>
          <w:bCs/>
          <w:sz w:val="22"/>
          <w:szCs w:val="22"/>
        </w:rPr>
        <w:t>result,</w:t>
      </w:r>
      <w:r>
        <w:rPr>
          <w:bCs/>
          <w:sz w:val="22"/>
          <w:szCs w:val="22"/>
        </w:rPr>
        <w:t xml:space="preserve"> </w:t>
      </w:r>
      <w:r w:rsidR="004A36B3">
        <w:rPr>
          <w:bCs/>
          <w:sz w:val="22"/>
          <w:szCs w:val="22"/>
        </w:rPr>
        <w:t>I</w:t>
      </w:r>
      <w:r w:rsidR="00164249">
        <w:rPr>
          <w:bCs/>
          <w:sz w:val="22"/>
          <w:szCs w:val="22"/>
        </w:rPr>
        <w:t xml:space="preserve">DB has presented two investments to BEIS, who have provided </w:t>
      </w:r>
      <w:r w:rsidR="00645A6D">
        <w:rPr>
          <w:bCs/>
          <w:sz w:val="22"/>
          <w:szCs w:val="22"/>
        </w:rPr>
        <w:t>‘no-objection’</w:t>
      </w:r>
      <w:r w:rsidR="00164249">
        <w:rPr>
          <w:bCs/>
          <w:sz w:val="22"/>
          <w:szCs w:val="22"/>
        </w:rPr>
        <w:t xml:space="preserve"> </w:t>
      </w:r>
      <w:r>
        <w:rPr>
          <w:bCs/>
          <w:sz w:val="22"/>
          <w:szCs w:val="22"/>
        </w:rPr>
        <w:t>so far in 2020.</w:t>
      </w:r>
    </w:p>
    <w:p w14:paraId="4ADCB9D6" w14:textId="77777777" w:rsidR="00D12787" w:rsidRPr="00DD1C15" w:rsidRDefault="00D12787" w:rsidP="00D12787">
      <w:pPr>
        <w:spacing w:before="120" w:after="120" w:line="276" w:lineRule="auto"/>
        <w:jc w:val="both"/>
        <w:rPr>
          <w:b/>
          <w:sz w:val="22"/>
          <w:szCs w:val="22"/>
        </w:rPr>
      </w:pPr>
      <w:r>
        <w:rPr>
          <w:b/>
          <w:sz w:val="22"/>
          <w:szCs w:val="22"/>
        </w:rPr>
        <w:t>Progress on the portfolio</w:t>
      </w:r>
      <w:r w:rsidRPr="00DD1C15">
        <w:rPr>
          <w:b/>
          <w:sz w:val="22"/>
          <w:szCs w:val="22"/>
        </w:rPr>
        <w:t>:</w:t>
      </w:r>
    </w:p>
    <w:p w14:paraId="27BE0640" w14:textId="1E4ED1E8" w:rsidR="006D3A9A" w:rsidRPr="00407765" w:rsidRDefault="00D12787" w:rsidP="006D3A9A">
      <w:pPr>
        <w:spacing w:before="120" w:after="120" w:line="276" w:lineRule="auto"/>
        <w:jc w:val="both"/>
        <w:rPr>
          <w:rFonts w:cs="Arial"/>
          <w:bCs/>
          <w:sz w:val="22"/>
          <w:szCs w:val="22"/>
        </w:rPr>
      </w:pPr>
      <w:r w:rsidRPr="00B01A03">
        <w:rPr>
          <w:bCs/>
          <w:sz w:val="22"/>
          <w:szCs w:val="22"/>
        </w:rPr>
        <w:t xml:space="preserve">Mid-way through the 2019 review period BEIS and IDB instigated a </w:t>
      </w:r>
      <w:r w:rsidR="004276FA">
        <w:rPr>
          <w:bCs/>
          <w:sz w:val="22"/>
          <w:szCs w:val="22"/>
        </w:rPr>
        <w:t xml:space="preserve">review </w:t>
      </w:r>
      <w:r w:rsidRPr="00B01A03">
        <w:rPr>
          <w:bCs/>
          <w:sz w:val="22"/>
          <w:szCs w:val="22"/>
        </w:rPr>
        <w:t>of</w:t>
      </w:r>
      <w:r>
        <w:rPr>
          <w:bCs/>
          <w:sz w:val="22"/>
          <w:szCs w:val="22"/>
        </w:rPr>
        <w:t xml:space="preserve"> the</w:t>
      </w:r>
      <w:r w:rsidRPr="00B01A03">
        <w:rPr>
          <w:bCs/>
          <w:sz w:val="22"/>
          <w:szCs w:val="22"/>
        </w:rPr>
        <w:t xml:space="preserve"> programme – primarily to address recommendations concerning milestones. The review</w:t>
      </w:r>
      <w:r>
        <w:rPr>
          <w:bCs/>
          <w:sz w:val="22"/>
          <w:szCs w:val="22"/>
        </w:rPr>
        <w:t xml:space="preserve"> was</w:t>
      </w:r>
      <w:r w:rsidRPr="00B01A03">
        <w:rPr>
          <w:bCs/>
          <w:sz w:val="22"/>
          <w:szCs w:val="22"/>
        </w:rPr>
        <w:t xml:space="preserve"> prompted by concerns about pipeline coherence and achieving a portfolio</w:t>
      </w:r>
      <w:r>
        <w:rPr>
          <w:bCs/>
          <w:sz w:val="22"/>
          <w:szCs w:val="22"/>
        </w:rPr>
        <w:t xml:space="preserve"> vision in the four partner countries. </w:t>
      </w:r>
      <w:r>
        <w:rPr>
          <w:sz w:val="22"/>
          <w:szCs w:val="22"/>
        </w:rPr>
        <w:t>IDB</w:t>
      </w:r>
      <w:r w:rsidRPr="008E03B7">
        <w:rPr>
          <w:sz w:val="22"/>
          <w:szCs w:val="22"/>
        </w:rPr>
        <w:t xml:space="preserve"> identified a risk that </w:t>
      </w:r>
      <w:r w:rsidR="00844C3D">
        <w:rPr>
          <w:sz w:val="22"/>
          <w:szCs w:val="22"/>
        </w:rPr>
        <w:t>blended finance</w:t>
      </w:r>
      <w:r w:rsidRPr="008E03B7">
        <w:rPr>
          <w:sz w:val="22"/>
          <w:szCs w:val="22"/>
        </w:rPr>
        <w:t xml:space="preserve"> investments may not be made in all four partner countries, </w:t>
      </w:r>
      <w:r>
        <w:rPr>
          <w:sz w:val="22"/>
          <w:szCs w:val="22"/>
        </w:rPr>
        <w:t xml:space="preserve">highlighting in </w:t>
      </w:r>
      <w:r w:rsidRPr="008E03B7">
        <w:rPr>
          <w:sz w:val="22"/>
          <w:szCs w:val="22"/>
        </w:rPr>
        <w:t xml:space="preserve">particular the difficulties experienced in Peru. </w:t>
      </w:r>
      <w:r>
        <w:rPr>
          <w:bCs/>
          <w:sz w:val="22"/>
          <w:szCs w:val="22"/>
        </w:rPr>
        <w:t xml:space="preserve">BEIS and IDB teams worked together to initiate a </w:t>
      </w:r>
      <w:r w:rsidR="004276FA">
        <w:rPr>
          <w:bCs/>
          <w:sz w:val="22"/>
          <w:szCs w:val="22"/>
        </w:rPr>
        <w:t>review</w:t>
      </w:r>
      <w:r>
        <w:rPr>
          <w:bCs/>
          <w:sz w:val="22"/>
          <w:szCs w:val="22"/>
        </w:rPr>
        <w:t xml:space="preserve"> which would refine elements of SIP-LA and develop tools to guide the strategic approach to the portfolio in each of the four partner countries. So far, the </w:t>
      </w:r>
      <w:r w:rsidR="00844C3D">
        <w:rPr>
          <w:bCs/>
          <w:sz w:val="22"/>
          <w:szCs w:val="22"/>
        </w:rPr>
        <w:t>log frame</w:t>
      </w:r>
      <w:r>
        <w:rPr>
          <w:bCs/>
          <w:sz w:val="22"/>
          <w:szCs w:val="22"/>
        </w:rPr>
        <w:t xml:space="preserve"> </w:t>
      </w:r>
      <w:r w:rsidR="00912345">
        <w:rPr>
          <w:bCs/>
          <w:sz w:val="22"/>
          <w:szCs w:val="22"/>
        </w:rPr>
        <w:t>is being updated</w:t>
      </w:r>
      <w:r>
        <w:rPr>
          <w:bCs/>
          <w:sz w:val="22"/>
          <w:szCs w:val="22"/>
        </w:rPr>
        <w:t xml:space="preserve"> and a Value for Money (VfM) framework has been developed. IDB and BEIS are currently working on the development of frameworks for each country that will articulate an overarching strategy for achieving </w:t>
      </w:r>
      <w:r w:rsidR="00912345">
        <w:rPr>
          <w:bCs/>
          <w:sz w:val="22"/>
          <w:szCs w:val="22"/>
        </w:rPr>
        <w:t>partnership</w:t>
      </w:r>
      <w:r>
        <w:rPr>
          <w:bCs/>
          <w:sz w:val="22"/>
          <w:szCs w:val="22"/>
        </w:rPr>
        <w:t xml:space="preserve"> aims. The reprofiling of </w:t>
      </w:r>
      <w:r w:rsidR="00844C3D">
        <w:rPr>
          <w:bCs/>
          <w:sz w:val="22"/>
          <w:szCs w:val="22"/>
        </w:rPr>
        <w:t>blended finance</w:t>
      </w:r>
      <w:r>
        <w:rPr>
          <w:bCs/>
          <w:sz w:val="22"/>
          <w:szCs w:val="22"/>
        </w:rPr>
        <w:t xml:space="preserve"> milestones will also be considered by BEIS and IDB upon completion of the </w:t>
      </w:r>
      <w:r w:rsidR="00891C30">
        <w:rPr>
          <w:bCs/>
          <w:sz w:val="22"/>
          <w:szCs w:val="22"/>
        </w:rPr>
        <w:t>l</w:t>
      </w:r>
      <w:r w:rsidR="00844C3D">
        <w:rPr>
          <w:bCs/>
          <w:sz w:val="22"/>
          <w:szCs w:val="22"/>
        </w:rPr>
        <w:t>og frame</w:t>
      </w:r>
      <w:r>
        <w:rPr>
          <w:bCs/>
          <w:sz w:val="22"/>
          <w:szCs w:val="22"/>
        </w:rPr>
        <w:t xml:space="preserve">. This work is ongoing and has required a lot of both IDB and BEIS’ programming teams’ resource. </w:t>
      </w:r>
      <w:r w:rsidR="006D3A9A">
        <w:rPr>
          <w:bCs/>
          <w:sz w:val="22"/>
          <w:szCs w:val="22"/>
        </w:rPr>
        <w:t>There is a risk that, while this review is executed, delivery is further delayed. BEIS have instructed IDB to pause investment proposals until the strategic review is complete, this has resulted in the IDB finding alternative funding sources for two investments from the SIP-LA investment pipeline for 2020. However, the improvements made to SIP-LA should ultimately ensure programming is more efficient, tailored to delivering transformational change across the region and aligned with HMG best practice.</w:t>
      </w:r>
      <w:r w:rsidR="006D3A9A" w:rsidRPr="000932C7">
        <w:rPr>
          <w:rFonts w:cs="Arial"/>
          <w:bCs/>
          <w:i/>
          <w:iCs/>
          <w:sz w:val="22"/>
          <w:szCs w:val="22"/>
        </w:rPr>
        <w:t xml:space="preserve"> </w:t>
      </w:r>
    </w:p>
    <w:p w14:paraId="10D2218F" w14:textId="40028085" w:rsidR="00D12787" w:rsidRPr="00407765" w:rsidRDefault="00D12787" w:rsidP="00D12787">
      <w:pPr>
        <w:spacing w:before="120" w:after="120" w:line="276" w:lineRule="auto"/>
        <w:jc w:val="both"/>
        <w:rPr>
          <w:rFonts w:cs="Arial"/>
          <w:bCs/>
          <w:sz w:val="22"/>
          <w:szCs w:val="22"/>
        </w:rPr>
      </w:pPr>
    </w:p>
    <w:p w14:paraId="3F3A6CC8" w14:textId="500FCB62" w:rsidR="00F40CDB" w:rsidRPr="005374FA" w:rsidRDefault="00F40CDB" w:rsidP="00F40CDB">
      <w:pPr>
        <w:spacing w:before="120" w:after="120" w:line="276" w:lineRule="auto"/>
        <w:jc w:val="both"/>
        <w:rPr>
          <w:b/>
          <w:sz w:val="22"/>
          <w:szCs w:val="22"/>
        </w:rPr>
      </w:pPr>
      <w:r>
        <w:rPr>
          <w:b/>
          <w:sz w:val="22"/>
          <w:szCs w:val="22"/>
        </w:rPr>
        <w:t>Monitoring and Evaluation:</w:t>
      </w:r>
    </w:p>
    <w:p w14:paraId="3F6C0D4C" w14:textId="068D7779" w:rsidR="00F40CDB" w:rsidRDefault="00F40CDB" w:rsidP="00F40CDB">
      <w:pPr>
        <w:spacing w:before="120" w:after="120" w:line="276" w:lineRule="auto"/>
        <w:jc w:val="both"/>
        <w:rPr>
          <w:bCs/>
          <w:sz w:val="22"/>
          <w:szCs w:val="22"/>
        </w:rPr>
      </w:pPr>
      <w:r w:rsidRPr="00DA796F">
        <w:rPr>
          <w:bCs/>
          <w:sz w:val="22"/>
          <w:szCs w:val="22"/>
        </w:rPr>
        <w:t xml:space="preserve">A key milestone </w:t>
      </w:r>
      <w:r>
        <w:rPr>
          <w:bCs/>
          <w:sz w:val="22"/>
          <w:szCs w:val="22"/>
        </w:rPr>
        <w:t xml:space="preserve">for the </w:t>
      </w:r>
      <w:r w:rsidR="00DC75CF">
        <w:rPr>
          <w:bCs/>
          <w:sz w:val="22"/>
          <w:szCs w:val="22"/>
        </w:rPr>
        <w:t>m</w:t>
      </w:r>
      <w:r>
        <w:rPr>
          <w:bCs/>
          <w:sz w:val="22"/>
          <w:szCs w:val="22"/>
        </w:rPr>
        <w:t xml:space="preserve">onitoring and </w:t>
      </w:r>
      <w:r w:rsidR="00DC75CF">
        <w:rPr>
          <w:bCs/>
          <w:sz w:val="22"/>
          <w:szCs w:val="22"/>
        </w:rPr>
        <w:t>e</w:t>
      </w:r>
      <w:r>
        <w:rPr>
          <w:bCs/>
          <w:sz w:val="22"/>
          <w:szCs w:val="22"/>
        </w:rPr>
        <w:t xml:space="preserve">valuation of the programme </w:t>
      </w:r>
      <w:r w:rsidRPr="00DA796F">
        <w:rPr>
          <w:bCs/>
          <w:sz w:val="22"/>
          <w:szCs w:val="22"/>
        </w:rPr>
        <w:t xml:space="preserve">was the completion of </w:t>
      </w:r>
      <w:r w:rsidR="00645A6D">
        <w:rPr>
          <w:bCs/>
          <w:sz w:val="22"/>
          <w:szCs w:val="22"/>
        </w:rPr>
        <w:t>SIP-LA</w:t>
      </w:r>
      <w:r w:rsidRPr="00DA796F">
        <w:rPr>
          <w:bCs/>
          <w:sz w:val="22"/>
          <w:szCs w:val="22"/>
        </w:rPr>
        <w:t xml:space="preserve"> Baseline </w:t>
      </w:r>
      <w:r w:rsidR="00E40CF0">
        <w:rPr>
          <w:bCs/>
          <w:sz w:val="22"/>
          <w:szCs w:val="22"/>
        </w:rPr>
        <w:t>S</w:t>
      </w:r>
      <w:r w:rsidRPr="00DA796F">
        <w:rPr>
          <w:bCs/>
          <w:sz w:val="22"/>
          <w:szCs w:val="22"/>
        </w:rPr>
        <w:t>tudy. IDB contracted Accenture, a global consultancy firm, to set a qualitative and quantitative baseline to inform a better understanding of SIP</w:t>
      </w:r>
      <w:r w:rsidR="00891C30">
        <w:rPr>
          <w:bCs/>
          <w:sz w:val="22"/>
          <w:szCs w:val="22"/>
        </w:rPr>
        <w:t>-LA</w:t>
      </w:r>
      <w:r w:rsidRPr="00DA796F">
        <w:rPr>
          <w:bCs/>
          <w:sz w:val="22"/>
          <w:szCs w:val="22"/>
        </w:rPr>
        <w:t xml:space="preserve"> impact over time and to provide insights on potential opportunity areas.</w:t>
      </w:r>
      <w:r w:rsidR="00367A04">
        <w:rPr>
          <w:bCs/>
          <w:sz w:val="22"/>
          <w:szCs w:val="22"/>
        </w:rPr>
        <w:t xml:space="preserve"> The findings of the study will be used to inform programming</w:t>
      </w:r>
      <w:r w:rsidR="00F039E9">
        <w:rPr>
          <w:bCs/>
          <w:sz w:val="22"/>
          <w:szCs w:val="22"/>
        </w:rPr>
        <w:t>, particularly at the scoping stage</w:t>
      </w:r>
      <w:r w:rsidR="00E504AB">
        <w:rPr>
          <w:bCs/>
          <w:sz w:val="22"/>
          <w:szCs w:val="22"/>
        </w:rPr>
        <w:t>.</w:t>
      </w:r>
      <w:r w:rsidR="00F039E9">
        <w:rPr>
          <w:bCs/>
          <w:sz w:val="22"/>
          <w:szCs w:val="22"/>
        </w:rPr>
        <w:t xml:space="preserve"> IDB will reference this report in the proposals of investments and </w:t>
      </w:r>
      <w:r w:rsidR="008C77B2">
        <w:rPr>
          <w:bCs/>
          <w:sz w:val="22"/>
          <w:szCs w:val="22"/>
        </w:rPr>
        <w:t>technical assistance</w:t>
      </w:r>
      <w:r w:rsidR="00F039E9">
        <w:rPr>
          <w:bCs/>
          <w:sz w:val="22"/>
          <w:szCs w:val="22"/>
        </w:rPr>
        <w:t xml:space="preserve"> to BEIS. The report will also be used to inform the</w:t>
      </w:r>
      <w:r w:rsidR="000B06EE">
        <w:rPr>
          <w:bCs/>
          <w:sz w:val="22"/>
          <w:szCs w:val="22"/>
        </w:rPr>
        <w:t xml:space="preserve"> content o</w:t>
      </w:r>
      <w:r w:rsidR="00E504AB">
        <w:rPr>
          <w:bCs/>
          <w:sz w:val="22"/>
          <w:szCs w:val="22"/>
        </w:rPr>
        <w:t>f</w:t>
      </w:r>
      <w:r w:rsidR="000B06EE">
        <w:rPr>
          <w:bCs/>
          <w:sz w:val="22"/>
          <w:szCs w:val="22"/>
        </w:rPr>
        <w:t xml:space="preserve"> the</w:t>
      </w:r>
      <w:r w:rsidR="00F039E9">
        <w:rPr>
          <w:bCs/>
          <w:sz w:val="22"/>
          <w:szCs w:val="22"/>
        </w:rPr>
        <w:t xml:space="preserve"> </w:t>
      </w:r>
      <w:r w:rsidR="000B06EE">
        <w:rPr>
          <w:bCs/>
          <w:sz w:val="22"/>
          <w:szCs w:val="22"/>
        </w:rPr>
        <w:t xml:space="preserve">evaluation plan for the remainder of the </w:t>
      </w:r>
      <w:r w:rsidR="003C36F7">
        <w:rPr>
          <w:bCs/>
          <w:sz w:val="22"/>
          <w:szCs w:val="22"/>
        </w:rPr>
        <w:t>programme’s</w:t>
      </w:r>
      <w:r w:rsidR="000B06EE">
        <w:rPr>
          <w:bCs/>
          <w:sz w:val="22"/>
          <w:szCs w:val="22"/>
        </w:rPr>
        <w:t xml:space="preserve"> lifetime.</w:t>
      </w:r>
    </w:p>
    <w:p w14:paraId="23D7A42B" w14:textId="77777777" w:rsidR="00D12787" w:rsidRPr="000A67A7" w:rsidRDefault="00D12787" w:rsidP="00D12787">
      <w:pPr>
        <w:spacing w:before="120" w:after="120" w:line="276" w:lineRule="auto"/>
        <w:jc w:val="both"/>
        <w:rPr>
          <w:b/>
          <w:sz w:val="22"/>
          <w:szCs w:val="22"/>
        </w:rPr>
      </w:pPr>
      <w:r>
        <w:rPr>
          <w:b/>
          <w:sz w:val="22"/>
          <w:szCs w:val="22"/>
        </w:rPr>
        <w:t>Progress on recommendations:</w:t>
      </w:r>
    </w:p>
    <w:p w14:paraId="22C1D439" w14:textId="54DB180B" w:rsidR="00D12787" w:rsidRPr="008B7B6E" w:rsidRDefault="00D12787" w:rsidP="00D12787">
      <w:pPr>
        <w:spacing w:before="120" w:after="120" w:line="276" w:lineRule="auto"/>
        <w:jc w:val="both"/>
        <w:rPr>
          <w:bCs/>
          <w:sz w:val="22"/>
          <w:szCs w:val="22"/>
        </w:rPr>
      </w:pPr>
      <w:r w:rsidRPr="008B7B6E">
        <w:rPr>
          <w:bCs/>
          <w:sz w:val="22"/>
          <w:szCs w:val="22"/>
        </w:rPr>
        <w:t xml:space="preserve">SIP-LA has made some progress in achieving the recommendations of </w:t>
      </w:r>
      <w:r w:rsidR="00645A6D">
        <w:rPr>
          <w:bCs/>
          <w:sz w:val="22"/>
          <w:szCs w:val="22"/>
        </w:rPr>
        <w:t>SIP-LA</w:t>
      </w:r>
      <w:r w:rsidRPr="008B7B6E">
        <w:rPr>
          <w:bCs/>
          <w:sz w:val="22"/>
          <w:szCs w:val="22"/>
        </w:rPr>
        <w:t xml:space="preserve"> 2018 Annual Review, although timely completion of some recommendations has been delayed by staff changes in the BEIS team </w:t>
      </w:r>
      <w:r w:rsidRPr="008B7B6E">
        <w:rPr>
          <w:bCs/>
          <w:sz w:val="22"/>
          <w:szCs w:val="22"/>
        </w:rPr>
        <w:lastRenderedPageBreak/>
        <w:t xml:space="preserve">and </w:t>
      </w:r>
      <w:r w:rsidR="00844C3D">
        <w:rPr>
          <w:bCs/>
          <w:sz w:val="22"/>
          <w:szCs w:val="22"/>
        </w:rPr>
        <w:t>COVID-19</w:t>
      </w:r>
      <w:r w:rsidRPr="008B7B6E">
        <w:rPr>
          <w:bCs/>
          <w:sz w:val="22"/>
          <w:szCs w:val="22"/>
        </w:rPr>
        <w:t xml:space="preserve"> impacts. Importantly, SIP-LA now has a strong pipeline and BEIS has given </w:t>
      </w:r>
      <w:r w:rsidR="00645A6D">
        <w:rPr>
          <w:bCs/>
          <w:sz w:val="22"/>
          <w:szCs w:val="22"/>
        </w:rPr>
        <w:t>‘no-objection’</w:t>
      </w:r>
      <w:r w:rsidRPr="008B7B6E">
        <w:rPr>
          <w:bCs/>
          <w:sz w:val="22"/>
          <w:szCs w:val="22"/>
        </w:rPr>
        <w:t xml:space="preserve"> approval to two sizable investments in the first half of 2020. </w:t>
      </w:r>
      <w:proofErr w:type="gramStart"/>
      <w:r w:rsidRPr="008B7B6E">
        <w:rPr>
          <w:bCs/>
          <w:sz w:val="22"/>
          <w:szCs w:val="22"/>
        </w:rPr>
        <w:t>It’s</w:t>
      </w:r>
      <w:proofErr w:type="gramEnd"/>
      <w:r w:rsidRPr="008B7B6E">
        <w:rPr>
          <w:bCs/>
          <w:sz w:val="22"/>
          <w:szCs w:val="22"/>
        </w:rPr>
        <w:t xml:space="preserve"> expected that the remaining recommendations will be completed in Autumn 2020. </w:t>
      </w:r>
      <w:r w:rsidR="00522391" w:rsidRPr="008B7B6E">
        <w:rPr>
          <w:bCs/>
          <w:sz w:val="22"/>
          <w:szCs w:val="22"/>
        </w:rPr>
        <w:t>SIP-LA has received increased visibility regionally</w:t>
      </w:r>
      <w:r w:rsidR="00522391">
        <w:rPr>
          <w:bCs/>
          <w:sz w:val="22"/>
          <w:szCs w:val="22"/>
        </w:rPr>
        <w:t xml:space="preserve"> due to increased engagement of embassies and subsequent profiling of the programme through diplomatic channels</w:t>
      </w:r>
      <w:r w:rsidR="00522391" w:rsidRPr="008B7B6E">
        <w:rPr>
          <w:bCs/>
          <w:sz w:val="22"/>
          <w:szCs w:val="22"/>
        </w:rPr>
        <w:t xml:space="preserve">. </w:t>
      </w:r>
    </w:p>
    <w:p w14:paraId="00F756F1" w14:textId="452C06FE" w:rsidR="00D12787" w:rsidRDefault="00D12787" w:rsidP="00D12787">
      <w:pPr>
        <w:spacing w:before="120" w:after="120" w:line="276" w:lineRule="auto"/>
        <w:jc w:val="both"/>
        <w:rPr>
          <w:sz w:val="22"/>
          <w:szCs w:val="22"/>
        </w:rPr>
      </w:pPr>
      <w:r w:rsidRPr="008B7B6E">
        <w:rPr>
          <w:bCs/>
          <w:sz w:val="22"/>
          <w:szCs w:val="22"/>
        </w:rPr>
        <w:t xml:space="preserve">In addition to the recommendations set out in the 2018 Annual Review, BEIS and IDB are working to strengthen elements of SIP-LA’s governance. This includes developing a </w:t>
      </w:r>
      <w:r>
        <w:rPr>
          <w:bCs/>
          <w:sz w:val="22"/>
          <w:szCs w:val="22"/>
        </w:rPr>
        <w:t>VfM</w:t>
      </w:r>
      <w:r w:rsidRPr="008B7B6E">
        <w:rPr>
          <w:bCs/>
          <w:sz w:val="22"/>
          <w:szCs w:val="22"/>
        </w:rPr>
        <w:t xml:space="preserve"> Framework that can support programme monitoring alongside the </w:t>
      </w:r>
      <w:r w:rsidR="00844C3D">
        <w:rPr>
          <w:bCs/>
          <w:sz w:val="22"/>
          <w:szCs w:val="22"/>
        </w:rPr>
        <w:t>Log frame</w:t>
      </w:r>
      <w:r w:rsidRPr="008B7B6E">
        <w:rPr>
          <w:bCs/>
          <w:sz w:val="22"/>
          <w:szCs w:val="22"/>
        </w:rPr>
        <w:t>. BEIS and IDB are also working to incorporate strategic outlines for each SIP-LA country into SIP-LA’s project processes. These measures are expected to be completed in Autumn 2020.</w:t>
      </w:r>
    </w:p>
    <w:p w14:paraId="68DA901D" w14:textId="77777777" w:rsidR="00D12787" w:rsidRDefault="00D12787" w:rsidP="00F40CDB">
      <w:pPr>
        <w:spacing w:before="120" w:after="120" w:line="276" w:lineRule="auto"/>
        <w:jc w:val="both"/>
        <w:rPr>
          <w:bCs/>
          <w:sz w:val="22"/>
          <w:szCs w:val="22"/>
        </w:rPr>
      </w:pPr>
    </w:p>
    <w:p w14:paraId="0F8642F7" w14:textId="6C485585" w:rsidR="00F40CDB" w:rsidRPr="00373026" w:rsidRDefault="00F40CDB" w:rsidP="00F40CDB">
      <w:pPr>
        <w:spacing w:before="120" w:after="120" w:line="276" w:lineRule="auto"/>
        <w:jc w:val="both"/>
        <w:rPr>
          <w:b/>
          <w:sz w:val="22"/>
          <w:szCs w:val="22"/>
        </w:rPr>
      </w:pPr>
      <w:r w:rsidRPr="00373026">
        <w:rPr>
          <w:b/>
          <w:sz w:val="22"/>
          <w:szCs w:val="22"/>
        </w:rPr>
        <w:t>Progress against recommendations from the last review</w:t>
      </w:r>
    </w:p>
    <w:tbl>
      <w:tblPr>
        <w:tblStyle w:val="TableGrid"/>
        <w:tblW w:w="10463" w:type="dxa"/>
        <w:jc w:val="center"/>
        <w:tblLook w:val="04A0" w:firstRow="1" w:lastRow="0" w:firstColumn="1" w:lastColumn="0" w:noHBand="0" w:noVBand="1"/>
      </w:tblPr>
      <w:tblGrid>
        <w:gridCol w:w="4916"/>
        <w:gridCol w:w="5547"/>
      </w:tblGrid>
      <w:tr w:rsidR="00F40CDB" w:rsidRPr="0005528B" w14:paraId="33D6A054" w14:textId="77777777" w:rsidTr="00752136">
        <w:trPr>
          <w:trHeight w:val="258"/>
          <w:jc w:val="center"/>
        </w:trPr>
        <w:tc>
          <w:tcPr>
            <w:tcW w:w="4916" w:type="dxa"/>
            <w:shd w:val="clear" w:color="auto" w:fill="D9E2F3" w:themeFill="accent1" w:themeFillTint="33"/>
          </w:tcPr>
          <w:p w14:paraId="6EB3C77A" w14:textId="77777777" w:rsidR="00F40CDB" w:rsidRPr="0005528B" w:rsidRDefault="00F40CDB" w:rsidP="00191418">
            <w:pPr>
              <w:spacing w:before="120" w:after="120" w:line="276" w:lineRule="auto"/>
              <w:jc w:val="both"/>
              <w:rPr>
                <w:b/>
                <w:sz w:val="20"/>
                <w:szCs w:val="20"/>
              </w:rPr>
            </w:pPr>
            <w:r w:rsidRPr="0005528B">
              <w:rPr>
                <w:b/>
                <w:sz w:val="20"/>
                <w:szCs w:val="20"/>
              </w:rPr>
              <w:t>Recommendation</w:t>
            </w:r>
          </w:p>
        </w:tc>
        <w:tc>
          <w:tcPr>
            <w:tcW w:w="5547" w:type="dxa"/>
            <w:shd w:val="clear" w:color="auto" w:fill="D9E2F3" w:themeFill="accent1" w:themeFillTint="33"/>
          </w:tcPr>
          <w:p w14:paraId="01F87614" w14:textId="77777777" w:rsidR="00F40CDB" w:rsidRPr="0005528B" w:rsidRDefault="00F40CDB" w:rsidP="00191418">
            <w:pPr>
              <w:spacing w:before="120" w:after="120" w:line="276" w:lineRule="auto"/>
              <w:jc w:val="both"/>
              <w:rPr>
                <w:b/>
                <w:sz w:val="20"/>
                <w:szCs w:val="20"/>
              </w:rPr>
            </w:pPr>
            <w:r w:rsidRPr="0005528B">
              <w:rPr>
                <w:b/>
                <w:sz w:val="20"/>
                <w:szCs w:val="20"/>
              </w:rPr>
              <w:t>Progress</w:t>
            </w:r>
          </w:p>
        </w:tc>
      </w:tr>
      <w:tr w:rsidR="00F40CDB" w:rsidRPr="0005528B" w14:paraId="2E9CE500" w14:textId="77777777" w:rsidTr="00752136">
        <w:trPr>
          <w:trHeight w:val="1641"/>
          <w:jc w:val="center"/>
        </w:trPr>
        <w:tc>
          <w:tcPr>
            <w:tcW w:w="4916" w:type="dxa"/>
          </w:tcPr>
          <w:p w14:paraId="4BD17FCC" w14:textId="6A93E4B2" w:rsidR="00F40CDB" w:rsidRPr="00DA796F" w:rsidRDefault="00F40CDB" w:rsidP="00191418">
            <w:pPr>
              <w:pStyle w:val="ListParagraph"/>
              <w:numPr>
                <w:ilvl w:val="0"/>
                <w:numId w:val="3"/>
              </w:numPr>
              <w:tabs>
                <w:tab w:val="left" w:pos="6915"/>
                <w:tab w:val="left" w:pos="9495"/>
              </w:tabs>
              <w:spacing w:before="120" w:after="120" w:line="276" w:lineRule="auto"/>
              <w:ind w:left="313" w:hanging="284"/>
              <w:jc w:val="both"/>
              <w:rPr>
                <w:b/>
                <w:sz w:val="20"/>
              </w:rPr>
            </w:pPr>
            <w:r w:rsidRPr="0005528B">
              <w:rPr>
                <w:rFonts w:cs="Arial"/>
                <w:sz w:val="20"/>
              </w:rPr>
              <w:t>BEIS and IDB to update the log</w:t>
            </w:r>
            <w:r w:rsidR="00891C30">
              <w:rPr>
                <w:rFonts w:cs="Arial"/>
                <w:sz w:val="20"/>
              </w:rPr>
              <w:t xml:space="preserve"> </w:t>
            </w:r>
            <w:r w:rsidRPr="0005528B">
              <w:rPr>
                <w:rFonts w:cs="Arial"/>
                <w:sz w:val="20"/>
              </w:rPr>
              <w:t xml:space="preserve">frame to ensure there is a valid results chain and coherent expression of the changes expected. This should include a redefinition of </w:t>
            </w:r>
            <w:r w:rsidR="00844C3D">
              <w:rPr>
                <w:rFonts w:cs="Arial"/>
                <w:sz w:val="20"/>
              </w:rPr>
              <w:t>Output</w:t>
            </w:r>
            <w:r w:rsidRPr="0005528B">
              <w:rPr>
                <w:rFonts w:cs="Arial"/>
                <w:sz w:val="20"/>
              </w:rPr>
              <w:t xml:space="preserve"> indicators to better capture the results expected from </w:t>
            </w:r>
            <w:r w:rsidR="008C77B2">
              <w:rPr>
                <w:rFonts w:cs="Arial"/>
                <w:sz w:val="20"/>
              </w:rPr>
              <w:t>technical assistance</w:t>
            </w:r>
            <w:r w:rsidR="00891C30">
              <w:rPr>
                <w:rFonts w:cs="Arial"/>
                <w:sz w:val="20"/>
              </w:rPr>
              <w:t xml:space="preserve"> </w:t>
            </w:r>
            <w:r w:rsidRPr="0005528B">
              <w:rPr>
                <w:rFonts w:cs="Arial"/>
                <w:sz w:val="20"/>
              </w:rPr>
              <w:t>activities. Expected result targets should also be updated for future years. BEIS and IDB to agree revised log</w:t>
            </w:r>
            <w:r w:rsidR="00891C30">
              <w:rPr>
                <w:rFonts w:cs="Arial"/>
                <w:sz w:val="20"/>
              </w:rPr>
              <w:t xml:space="preserve"> </w:t>
            </w:r>
            <w:r w:rsidRPr="0005528B">
              <w:rPr>
                <w:rFonts w:cs="Arial"/>
                <w:sz w:val="20"/>
              </w:rPr>
              <w:t>frame by December 2019.</w:t>
            </w:r>
          </w:p>
        </w:tc>
        <w:tc>
          <w:tcPr>
            <w:tcW w:w="5547" w:type="dxa"/>
          </w:tcPr>
          <w:p w14:paraId="3F209851" w14:textId="539E957A" w:rsidR="00F40CDB" w:rsidRPr="0005528B" w:rsidRDefault="00F40CDB" w:rsidP="00191418">
            <w:pPr>
              <w:spacing w:before="120" w:after="120" w:line="276" w:lineRule="auto"/>
              <w:jc w:val="both"/>
              <w:rPr>
                <w:rFonts w:cs="Arial"/>
                <w:sz w:val="20"/>
                <w:szCs w:val="20"/>
              </w:rPr>
            </w:pPr>
            <w:r w:rsidRPr="0005528B">
              <w:rPr>
                <w:i/>
                <w:iCs/>
                <w:sz w:val="20"/>
                <w:szCs w:val="20"/>
              </w:rPr>
              <w:t>Partially achieved</w:t>
            </w:r>
            <w:r w:rsidR="00AD5F5C">
              <w:rPr>
                <w:i/>
                <w:iCs/>
                <w:sz w:val="20"/>
                <w:szCs w:val="20"/>
              </w:rPr>
              <w:t xml:space="preserve"> </w:t>
            </w:r>
            <w:r w:rsidRPr="0005528B">
              <w:rPr>
                <w:sz w:val="20"/>
                <w:szCs w:val="20"/>
              </w:rPr>
              <w:t xml:space="preserve">– </w:t>
            </w:r>
            <w:r>
              <w:rPr>
                <w:sz w:val="20"/>
                <w:szCs w:val="20"/>
              </w:rPr>
              <w:t xml:space="preserve">BEIS and IDB have worked to revise the </w:t>
            </w:r>
            <w:r w:rsidR="00844C3D">
              <w:rPr>
                <w:sz w:val="20"/>
                <w:szCs w:val="20"/>
              </w:rPr>
              <w:t>log frame</w:t>
            </w:r>
            <w:r>
              <w:rPr>
                <w:sz w:val="20"/>
                <w:szCs w:val="20"/>
              </w:rPr>
              <w:t xml:space="preserve"> in line with the recommendation.</w:t>
            </w:r>
            <w:r w:rsidR="009857AB">
              <w:rPr>
                <w:sz w:val="20"/>
                <w:szCs w:val="20"/>
              </w:rPr>
              <w:t xml:space="preserve"> </w:t>
            </w:r>
            <w:r w:rsidR="009857AB" w:rsidRPr="009857AB">
              <w:rPr>
                <w:sz w:val="20"/>
                <w:szCs w:val="20"/>
              </w:rPr>
              <w:t xml:space="preserve">This has </w:t>
            </w:r>
            <w:r w:rsidR="007E7BA9">
              <w:rPr>
                <w:sz w:val="20"/>
                <w:szCs w:val="20"/>
              </w:rPr>
              <w:t xml:space="preserve">been partially delayed </w:t>
            </w:r>
            <w:r w:rsidR="009857AB" w:rsidRPr="009857AB">
              <w:rPr>
                <w:sz w:val="20"/>
                <w:szCs w:val="20"/>
              </w:rPr>
              <w:t xml:space="preserve">because of the impacts of </w:t>
            </w:r>
            <w:r w:rsidR="00844C3D">
              <w:rPr>
                <w:sz w:val="20"/>
                <w:szCs w:val="20"/>
              </w:rPr>
              <w:t>COVID-19</w:t>
            </w:r>
            <w:r w:rsidR="009857AB" w:rsidRPr="009857AB">
              <w:rPr>
                <w:sz w:val="20"/>
                <w:szCs w:val="20"/>
              </w:rPr>
              <w:t xml:space="preserve"> lockdown, team changes and emerging requirements in the review scope. </w:t>
            </w:r>
            <w:r>
              <w:rPr>
                <w:sz w:val="20"/>
                <w:szCs w:val="20"/>
              </w:rPr>
              <w:t xml:space="preserve">This is expected to be finalised </w:t>
            </w:r>
            <w:r w:rsidR="00794911">
              <w:rPr>
                <w:sz w:val="20"/>
                <w:szCs w:val="20"/>
              </w:rPr>
              <w:t xml:space="preserve">by October 31, </w:t>
            </w:r>
            <w:r>
              <w:rPr>
                <w:sz w:val="20"/>
                <w:szCs w:val="20"/>
              </w:rPr>
              <w:t xml:space="preserve">2020. </w:t>
            </w:r>
            <w:r w:rsidRPr="0005528B">
              <w:rPr>
                <w:sz w:val="20"/>
                <w:szCs w:val="20"/>
              </w:rPr>
              <w:t xml:space="preserve">Targets for revised indicators and milestones are </w:t>
            </w:r>
            <w:r>
              <w:rPr>
                <w:sz w:val="20"/>
                <w:szCs w:val="20"/>
              </w:rPr>
              <w:t xml:space="preserve">yet </w:t>
            </w:r>
            <w:r w:rsidRPr="0005528B">
              <w:rPr>
                <w:sz w:val="20"/>
                <w:szCs w:val="20"/>
              </w:rPr>
              <w:t>to be finalised.</w:t>
            </w:r>
            <w:r w:rsidR="005B0B84">
              <w:rPr>
                <w:sz w:val="20"/>
                <w:szCs w:val="20"/>
              </w:rPr>
              <w:t xml:space="preserve"> </w:t>
            </w:r>
          </w:p>
          <w:p w14:paraId="608021C8" w14:textId="77777777" w:rsidR="00F40CDB" w:rsidRPr="0005528B" w:rsidRDefault="00F40CDB" w:rsidP="00191418">
            <w:pPr>
              <w:spacing w:before="120" w:after="120" w:line="276" w:lineRule="auto"/>
              <w:jc w:val="both"/>
              <w:rPr>
                <w:rFonts w:cs="Arial"/>
                <w:sz w:val="20"/>
                <w:szCs w:val="20"/>
              </w:rPr>
            </w:pPr>
          </w:p>
        </w:tc>
      </w:tr>
      <w:tr w:rsidR="00F40CDB" w:rsidRPr="0005528B" w14:paraId="6D936B46" w14:textId="77777777" w:rsidTr="00752136">
        <w:trPr>
          <w:trHeight w:val="1404"/>
          <w:jc w:val="center"/>
        </w:trPr>
        <w:tc>
          <w:tcPr>
            <w:tcW w:w="4916" w:type="dxa"/>
          </w:tcPr>
          <w:p w14:paraId="540A07B1" w14:textId="77777777" w:rsidR="00F40CDB" w:rsidRPr="0005528B" w:rsidRDefault="00F40CDB" w:rsidP="00191418">
            <w:pPr>
              <w:pStyle w:val="ListParagraph"/>
              <w:numPr>
                <w:ilvl w:val="0"/>
                <w:numId w:val="3"/>
              </w:numPr>
              <w:tabs>
                <w:tab w:val="left" w:pos="6915"/>
                <w:tab w:val="left" w:pos="9495"/>
              </w:tabs>
              <w:spacing w:before="120" w:after="120" w:line="276" w:lineRule="auto"/>
              <w:ind w:left="313" w:hanging="284"/>
              <w:jc w:val="both"/>
              <w:rPr>
                <w:rFonts w:cs="Arial"/>
                <w:sz w:val="20"/>
              </w:rPr>
            </w:pPr>
            <w:r w:rsidRPr="0005528B">
              <w:rPr>
                <w:rFonts w:eastAsiaTheme="minorHAnsi" w:cs="Arial"/>
                <w:bCs/>
                <w:sz w:val="20"/>
              </w:rPr>
              <w:t xml:space="preserve">BEIS to explore ways to </w:t>
            </w:r>
            <w:r w:rsidRPr="0005528B">
              <w:rPr>
                <w:rFonts w:cs="Arial"/>
                <w:bCs/>
                <w:sz w:val="20"/>
              </w:rPr>
              <w:t xml:space="preserve">improve coordination with other UK climate programming delivering </w:t>
            </w:r>
            <w:r>
              <w:rPr>
                <w:rFonts w:cs="Arial"/>
                <w:bCs/>
                <w:sz w:val="20"/>
              </w:rPr>
              <w:t xml:space="preserve">TA </w:t>
            </w:r>
            <w:r w:rsidRPr="0005528B">
              <w:rPr>
                <w:rFonts w:cs="Arial"/>
                <w:bCs/>
                <w:sz w:val="20"/>
              </w:rPr>
              <w:t>in the region. Plans in place by October 2019.</w:t>
            </w:r>
          </w:p>
        </w:tc>
        <w:tc>
          <w:tcPr>
            <w:tcW w:w="5547" w:type="dxa"/>
          </w:tcPr>
          <w:p w14:paraId="1FD5F136" w14:textId="77777777" w:rsidR="00F40CDB" w:rsidRPr="0005528B" w:rsidRDefault="00F40CDB" w:rsidP="00191418">
            <w:pPr>
              <w:spacing w:before="120" w:after="120" w:line="276" w:lineRule="auto"/>
              <w:jc w:val="both"/>
              <w:rPr>
                <w:sz w:val="20"/>
                <w:szCs w:val="20"/>
              </w:rPr>
            </w:pPr>
            <w:r w:rsidRPr="0005528B">
              <w:rPr>
                <w:i/>
                <w:iCs/>
                <w:sz w:val="20"/>
                <w:szCs w:val="20"/>
              </w:rPr>
              <w:t xml:space="preserve">Achieved - </w:t>
            </w:r>
            <w:r w:rsidRPr="0005528B">
              <w:rPr>
                <w:sz w:val="20"/>
                <w:szCs w:val="20"/>
              </w:rPr>
              <w:t xml:space="preserve">BEIS has </w:t>
            </w:r>
            <w:r>
              <w:rPr>
                <w:sz w:val="20"/>
                <w:szCs w:val="20"/>
              </w:rPr>
              <w:t>established regular ICF coordination meetings with UK embassy teams and increased the</w:t>
            </w:r>
            <w:r w:rsidRPr="0005528B">
              <w:rPr>
                <w:sz w:val="20"/>
                <w:szCs w:val="20"/>
              </w:rPr>
              <w:t xml:space="preserve"> communication and frequency of information sharing with </w:t>
            </w:r>
            <w:r>
              <w:rPr>
                <w:sz w:val="20"/>
                <w:szCs w:val="20"/>
              </w:rPr>
              <w:t>other UK climate programmes delivering TA</w:t>
            </w:r>
            <w:r w:rsidRPr="0005528B">
              <w:rPr>
                <w:sz w:val="20"/>
                <w:szCs w:val="20"/>
              </w:rPr>
              <w:t xml:space="preserve"> in the Latin America region.</w:t>
            </w:r>
          </w:p>
        </w:tc>
      </w:tr>
      <w:tr w:rsidR="00F40CDB" w:rsidRPr="0005528B" w14:paraId="1EFEA7B9" w14:textId="77777777" w:rsidTr="00752136">
        <w:trPr>
          <w:trHeight w:val="1356"/>
          <w:jc w:val="center"/>
        </w:trPr>
        <w:tc>
          <w:tcPr>
            <w:tcW w:w="4916" w:type="dxa"/>
          </w:tcPr>
          <w:p w14:paraId="4B874148" w14:textId="77777777" w:rsidR="00F40CDB" w:rsidRPr="0005528B" w:rsidRDefault="00F40CDB" w:rsidP="00191418">
            <w:pPr>
              <w:pStyle w:val="ListParagraph"/>
              <w:numPr>
                <w:ilvl w:val="0"/>
                <w:numId w:val="3"/>
              </w:numPr>
              <w:tabs>
                <w:tab w:val="left" w:pos="6915"/>
                <w:tab w:val="left" w:pos="9495"/>
              </w:tabs>
              <w:spacing w:before="120" w:after="120" w:line="276" w:lineRule="auto"/>
              <w:ind w:left="313" w:hanging="284"/>
              <w:jc w:val="both"/>
              <w:rPr>
                <w:rFonts w:eastAsiaTheme="minorHAnsi" w:cs="Arial"/>
                <w:bCs/>
                <w:sz w:val="20"/>
              </w:rPr>
            </w:pPr>
            <w:r w:rsidRPr="0005528B">
              <w:rPr>
                <w:rFonts w:cs="Arial"/>
                <w:sz w:val="20"/>
              </w:rPr>
              <w:t>BEIS and IDB to develop a standard protocol for engagement with the British Embassy (BE) network in order to improve coordination between other UK climate programmes, identify opportunities to maximise climate policy impact and deliver strong UK visibility. Protocol agreed by October 2019.</w:t>
            </w:r>
          </w:p>
        </w:tc>
        <w:tc>
          <w:tcPr>
            <w:tcW w:w="5547" w:type="dxa"/>
          </w:tcPr>
          <w:p w14:paraId="1EE053E1" w14:textId="0F242523" w:rsidR="00F40CDB" w:rsidRPr="0005528B" w:rsidRDefault="00F40CDB" w:rsidP="00191418">
            <w:pPr>
              <w:spacing w:before="120" w:after="120" w:line="276" w:lineRule="auto"/>
              <w:jc w:val="both"/>
              <w:rPr>
                <w:sz w:val="20"/>
                <w:szCs w:val="20"/>
              </w:rPr>
            </w:pPr>
            <w:r w:rsidRPr="0005528B">
              <w:rPr>
                <w:i/>
                <w:iCs/>
                <w:sz w:val="20"/>
                <w:szCs w:val="20"/>
              </w:rPr>
              <w:t xml:space="preserve">Achieved – </w:t>
            </w:r>
            <w:r w:rsidRPr="0005528B">
              <w:rPr>
                <w:sz w:val="20"/>
                <w:szCs w:val="20"/>
              </w:rPr>
              <w:t>BEIS ha</w:t>
            </w:r>
            <w:r>
              <w:rPr>
                <w:sz w:val="20"/>
                <w:szCs w:val="20"/>
              </w:rPr>
              <w:t>s</w:t>
            </w:r>
            <w:r w:rsidRPr="0005528B">
              <w:rPr>
                <w:sz w:val="20"/>
                <w:szCs w:val="20"/>
              </w:rPr>
              <w:t xml:space="preserve"> increased engagement with </w:t>
            </w:r>
            <w:r w:rsidR="007E7BA9">
              <w:rPr>
                <w:sz w:val="20"/>
                <w:szCs w:val="20"/>
              </w:rPr>
              <w:t xml:space="preserve">UK </w:t>
            </w:r>
            <w:r w:rsidRPr="0005528B">
              <w:rPr>
                <w:sz w:val="20"/>
                <w:szCs w:val="20"/>
              </w:rPr>
              <w:t>embassy teams through bi-monthly programming update</w:t>
            </w:r>
            <w:r>
              <w:rPr>
                <w:sz w:val="20"/>
                <w:szCs w:val="20"/>
              </w:rPr>
              <w:t>s</w:t>
            </w:r>
            <w:r w:rsidRPr="0005528B">
              <w:rPr>
                <w:sz w:val="20"/>
                <w:szCs w:val="20"/>
              </w:rPr>
              <w:t xml:space="preserve">. </w:t>
            </w:r>
            <w:r w:rsidR="00BE2D59">
              <w:rPr>
                <w:sz w:val="20"/>
                <w:szCs w:val="20"/>
              </w:rPr>
              <w:t xml:space="preserve">The visibility of the programme has been improved through dissemination activities and particularly the UK-Climate partnership in Colombia. </w:t>
            </w:r>
          </w:p>
        </w:tc>
      </w:tr>
      <w:tr w:rsidR="00F40CDB" w:rsidRPr="0005528B" w14:paraId="1D43F8DF" w14:textId="77777777" w:rsidTr="00752136">
        <w:trPr>
          <w:trHeight w:val="1150"/>
          <w:jc w:val="center"/>
        </w:trPr>
        <w:tc>
          <w:tcPr>
            <w:tcW w:w="4916" w:type="dxa"/>
          </w:tcPr>
          <w:p w14:paraId="2A75148A" w14:textId="21C9420E" w:rsidR="001C24B2" w:rsidRPr="001C24B2" w:rsidRDefault="00F40CDB" w:rsidP="001C24B2">
            <w:pPr>
              <w:pStyle w:val="ListParagraph"/>
              <w:numPr>
                <w:ilvl w:val="0"/>
                <w:numId w:val="3"/>
              </w:numPr>
              <w:spacing w:before="120" w:after="120" w:line="276" w:lineRule="auto"/>
              <w:ind w:left="313" w:hanging="284"/>
              <w:jc w:val="both"/>
              <w:rPr>
                <w:rFonts w:cs="Arial"/>
                <w:sz w:val="20"/>
              </w:rPr>
            </w:pPr>
            <w:r w:rsidRPr="0005528B">
              <w:rPr>
                <w:rFonts w:cs="Arial"/>
                <w:bCs/>
                <w:iCs/>
                <w:sz w:val="20"/>
              </w:rPr>
              <w:t xml:space="preserve">BEIS and IDB to formally discuss the </w:t>
            </w:r>
            <w:r w:rsidR="00844C3D">
              <w:rPr>
                <w:rFonts w:cs="Arial"/>
                <w:bCs/>
                <w:iCs/>
                <w:sz w:val="20"/>
              </w:rPr>
              <w:t>blended finance</w:t>
            </w:r>
            <w:r w:rsidRPr="0005528B">
              <w:rPr>
                <w:rFonts w:cs="Arial"/>
                <w:bCs/>
                <w:iCs/>
                <w:sz w:val="20"/>
              </w:rPr>
              <w:t xml:space="preserve"> pipeline</w:t>
            </w:r>
            <w:r>
              <w:rPr>
                <w:rFonts w:cs="Arial"/>
                <w:bCs/>
                <w:iCs/>
                <w:sz w:val="20"/>
              </w:rPr>
              <w:t xml:space="preserve"> </w:t>
            </w:r>
            <w:r w:rsidRPr="0005528B">
              <w:rPr>
                <w:rFonts w:cs="Arial"/>
                <w:bCs/>
                <w:iCs/>
                <w:sz w:val="20"/>
              </w:rPr>
              <w:t>(including upcoming and prospective operations) at least biannually with a focus on additionality, transformational change and finance leveraged. Plans in place by September 2019.</w:t>
            </w:r>
          </w:p>
        </w:tc>
        <w:tc>
          <w:tcPr>
            <w:tcW w:w="5547" w:type="dxa"/>
          </w:tcPr>
          <w:p w14:paraId="68A1ABAD" w14:textId="67B19057" w:rsidR="00F40CDB" w:rsidRPr="0005528B" w:rsidRDefault="00F40CDB" w:rsidP="00191418">
            <w:pPr>
              <w:spacing w:before="120" w:after="120" w:line="276" w:lineRule="auto"/>
              <w:jc w:val="both"/>
              <w:rPr>
                <w:sz w:val="20"/>
                <w:szCs w:val="20"/>
              </w:rPr>
            </w:pPr>
            <w:r w:rsidRPr="0005528B">
              <w:rPr>
                <w:i/>
                <w:iCs/>
                <w:sz w:val="20"/>
                <w:szCs w:val="20"/>
              </w:rPr>
              <w:t xml:space="preserve">Achieved – </w:t>
            </w:r>
            <w:r w:rsidRPr="0005528B">
              <w:rPr>
                <w:sz w:val="20"/>
                <w:szCs w:val="20"/>
              </w:rPr>
              <w:t>IDB</w:t>
            </w:r>
            <w:r w:rsidR="00794911">
              <w:rPr>
                <w:sz w:val="20"/>
                <w:szCs w:val="20"/>
              </w:rPr>
              <w:t xml:space="preserve"> have provided </w:t>
            </w:r>
            <w:r w:rsidR="0065471E">
              <w:rPr>
                <w:sz w:val="20"/>
                <w:szCs w:val="20"/>
              </w:rPr>
              <w:t xml:space="preserve">BEIS with an indicative </w:t>
            </w:r>
            <w:r w:rsidR="00844C3D">
              <w:rPr>
                <w:sz w:val="20"/>
                <w:szCs w:val="20"/>
              </w:rPr>
              <w:t>blended finance</w:t>
            </w:r>
            <w:r w:rsidR="0065471E">
              <w:rPr>
                <w:sz w:val="20"/>
                <w:szCs w:val="20"/>
              </w:rPr>
              <w:t xml:space="preserve"> p</w:t>
            </w:r>
            <w:r w:rsidR="00002A01">
              <w:rPr>
                <w:sz w:val="20"/>
                <w:szCs w:val="20"/>
              </w:rPr>
              <w:t>ipeline.</w:t>
            </w:r>
            <w:r w:rsidRPr="0005528B">
              <w:rPr>
                <w:sz w:val="20"/>
                <w:szCs w:val="20"/>
              </w:rPr>
              <w:t xml:space="preserve"> </w:t>
            </w:r>
            <w:r w:rsidR="00A37F88">
              <w:rPr>
                <w:sz w:val="20"/>
                <w:szCs w:val="20"/>
              </w:rPr>
              <w:t xml:space="preserve">BEIS has requested that IDB </w:t>
            </w:r>
            <w:r w:rsidR="001C5FEF">
              <w:rPr>
                <w:sz w:val="20"/>
                <w:szCs w:val="20"/>
              </w:rPr>
              <w:t xml:space="preserve">incorporate the pipeline into the strategic country frameworks that are in development, projects should be listed with indicative attrition rates. </w:t>
            </w:r>
            <w:r w:rsidR="00D12787">
              <w:rPr>
                <w:sz w:val="20"/>
                <w:szCs w:val="20"/>
              </w:rPr>
              <w:t>IDB</w:t>
            </w:r>
            <w:r w:rsidR="00002A01">
              <w:rPr>
                <w:sz w:val="20"/>
                <w:szCs w:val="20"/>
              </w:rPr>
              <w:t xml:space="preserve"> and</w:t>
            </w:r>
            <w:r>
              <w:rPr>
                <w:sz w:val="20"/>
                <w:szCs w:val="20"/>
              </w:rPr>
              <w:t xml:space="preserve"> BEIS discuss </w:t>
            </w:r>
            <w:r w:rsidR="00645A6D">
              <w:rPr>
                <w:sz w:val="20"/>
                <w:szCs w:val="20"/>
              </w:rPr>
              <w:t>SIP-LA</w:t>
            </w:r>
            <w:r>
              <w:rPr>
                <w:sz w:val="20"/>
                <w:szCs w:val="20"/>
              </w:rPr>
              <w:t xml:space="preserve"> </w:t>
            </w:r>
            <w:r w:rsidR="00844C3D">
              <w:rPr>
                <w:sz w:val="20"/>
                <w:szCs w:val="20"/>
              </w:rPr>
              <w:t>blended finance</w:t>
            </w:r>
            <w:r>
              <w:rPr>
                <w:sz w:val="20"/>
                <w:szCs w:val="20"/>
              </w:rPr>
              <w:t xml:space="preserve"> pipeline biannually</w:t>
            </w:r>
            <w:r w:rsidR="00A37F88">
              <w:rPr>
                <w:sz w:val="20"/>
                <w:szCs w:val="20"/>
              </w:rPr>
              <w:t>.</w:t>
            </w:r>
            <w:r>
              <w:rPr>
                <w:sz w:val="20"/>
                <w:szCs w:val="20"/>
              </w:rPr>
              <w:t xml:space="preserve"> </w:t>
            </w:r>
          </w:p>
        </w:tc>
      </w:tr>
      <w:tr w:rsidR="00F40CDB" w:rsidRPr="0005528B" w14:paraId="50526BF2" w14:textId="77777777" w:rsidTr="00752136">
        <w:trPr>
          <w:trHeight w:val="802"/>
          <w:jc w:val="center"/>
        </w:trPr>
        <w:tc>
          <w:tcPr>
            <w:tcW w:w="4916" w:type="dxa"/>
          </w:tcPr>
          <w:p w14:paraId="53AF4180" w14:textId="601A6BBE" w:rsidR="00F40CDB" w:rsidRPr="0005528B" w:rsidRDefault="00F40CDB" w:rsidP="00191418">
            <w:pPr>
              <w:pStyle w:val="ListParagraph"/>
              <w:numPr>
                <w:ilvl w:val="0"/>
                <w:numId w:val="3"/>
              </w:numPr>
              <w:spacing w:before="120" w:after="120" w:line="276" w:lineRule="auto"/>
              <w:ind w:left="313" w:hanging="284"/>
              <w:jc w:val="both"/>
              <w:rPr>
                <w:rFonts w:cs="Arial"/>
                <w:bCs/>
                <w:iCs/>
                <w:sz w:val="20"/>
              </w:rPr>
            </w:pPr>
            <w:r w:rsidRPr="0005528B">
              <w:rPr>
                <w:rFonts w:cs="Arial"/>
                <w:bCs/>
                <w:iCs/>
                <w:sz w:val="20"/>
              </w:rPr>
              <w:t xml:space="preserve">BEIS and IDB to reprofile targets for </w:t>
            </w:r>
            <w:r w:rsidR="00844C3D">
              <w:rPr>
                <w:rFonts w:cs="Arial"/>
                <w:bCs/>
                <w:iCs/>
                <w:sz w:val="20"/>
              </w:rPr>
              <w:t>Output</w:t>
            </w:r>
            <w:r w:rsidRPr="0005528B">
              <w:rPr>
                <w:rFonts w:cs="Arial"/>
                <w:bCs/>
                <w:iCs/>
                <w:sz w:val="20"/>
              </w:rPr>
              <w:t xml:space="preserve"> 2 results and revalidate assumptions on operating start dates. BEIS to complete modelling by October 2019.</w:t>
            </w:r>
          </w:p>
        </w:tc>
        <w:tc>
          <w:tcPr>
            <w:tcW w:w="5547" w:type="dxa"/>
          </w:tcPr>
          <w:p w14:paraId="0570B813" w14:textId="6CC9A2F1" w:rsidR="00F40CDB" w:rsidRPr="009047CE" w:rsidRDefault="00F40CDB" w:rsidP="00191418">
            <w:pPr>
              <w:spacing w:before="120" w:after="120" w:line="276" w:lineRule="auto"/>
              <w:jc w:val="both"/>
              <w:rPr>
                <w:sz w:val="20"/>
                <w:szCs w:val="20"/>
              </w:rPr>
            </w:pPr>
            <w:r w:rsidRPr="0005528B">
              <w:rPr>
                <w:i/>
                <w:iCs/>
                <w:sz w:val="20"/>
                <w:szCs w:val="20"/>
              </w:rPr>
              <w:t xml:space="preserve"> </w:t>
            </w:r>
            <w:r>
              <w:rPr>
                <w:i/>
                <w:iCs/>
                <w:sz w:val="20"/>
                <w:szCs w:val="20"/>
              </w:rPr>
              <w:t>Not-a</w:t>
            </w:r>
            <w:r w:rsidRPr="0005528B">
              <w:rPr>
                <w:i/>
                <w:iCs/>
                <w:sz w:val="20"/>
                <w:szCs w:val="20"/>
              </w:rPr>
              <w:t>chieved –</w:t>
            </w:r>
            <w:r w:rsidR="00693CF5">
              <w:rPr>
                <w:i/>
                <w:iCs/>
                <w:sz w:val="20"/>
                <w:szCs w:val="20"/>
              </w:rPr>
              <w:t xml:space="preserve"> </w:t>
            </w:r>
            <w:r w:rsidR="00670C58">
              <w:rPr>
                <w:sz w:val="20"/>
                <w:szCs w:val="20"/>
              </w:rPr>
              <w:t xml:space="preserve">The reprofiling of milestones has not been achieved because the decision was taken by BEIS to </w:t>
            </w:r>
            <w:r w:rsidR="00184426">
              <w:rPr>
                <w:sz w:val="20"/>
                <w:szCs w:val="20"/>
              </w:rPr>
              <w:t xml:space="preserve">finalise this after the revised </w:t>
            </w:r>
            <w:r w:rsidR="00844C3D">
              <w:rPr>
                <w:sz w:val="20"/>
                <w:szCs w:val="20"/>
              </w:rPr>
              <w:t>log frame</w:t>
            </w:r>
            <w:r w:rsidR="00184426">
              <w:rPr>
                <w:sz w:val="20"/>
                <w:szCs w:val="20"/>
              </w:rPr>
              <w:t xml:space="preserve"> was agreed. </w:t>
            </w:r>
            <w:r w:rsidR="009047CE" w:rsidRPr="009047CE">
              <w:rPr>
                <w:sz w:val="20"/>
                <w:szCs w:val="20"/>
              </w:rPr>
              <w:t xml:space="preserve">This has taken longer than anticipated because of the impacts of </w:t>
            </w:r>
            <w:r w:rsidR="00844C3D">
              <w:rPr>
                <w:sz w:val="20"/>
                <w:szCs w:val="20"/>
              </w:rPr>
              <w:t>COVID-19</w:t>
            </w:r>
            <w:r w:rsidR="009047CE" w:rsidRPr="009047CE">
              <w:rPr>
                <w:sz w:val="20"/>
                <w:szCs w:val="20"/>
              </w:rPr>
              <w:t xml:space="preserve"> lockdown, team changes and emerging requirements in the </w:t>
            </w:r>
            <w:r w:rsidR="00844C3D">
              <w:rPr>
                <w:sz w:val="20"/>
                <w:szCs w:val="20"/>
              </w:rPr>
              <w:t>log frame</w:t>
            </w:r>
            <w:r w:rsidR="009047CE">
              <w:rPr>
                <w:sz w:val="20"/>
                <w:szCs w:val="20"/>
              </w:rPr>
              <w:t xml:space="preserve"> </w:t>
            </w:r>
            <w:r w:rsidR="009047CE" w:rsidRPr="009047CE">
              <w:rPr>
                <w:sz w:val="20"/>
                <w:szCs w:val="20"/>
              </w:rPr>
              <w:t xml:space="preserve">review scope. IDB and BEIS are currently working to reprofile milestones and consider whether achievement should be extended beyond the original programme </w:t>
            </w:r>
            <w:r w:rsidR="009047CE" w:rsidRPr="009047CE">
              <w:rPr>
                <w:sz w:val="20"/>
                <w:szCs w:val="20"/>
              </w:rPr>
              <w:lastRenderedPageBreak/>
              <w:t>completion date of November 2022.</w:t>
            </w:r>
            <w:r w:rsidR="00857888">
              <w:rPr>
                <w:sz w:val="20"/>
                <w:szCs w:val="20"/>
              </w:rPr>
              <w:t xml:space="preserve"> This will be complete by 31 January 202</w:t>
            </w:r>
            <w:r w:rsidR="00B41C22">
              <w:rPr>
                <w:sz w:val="20"/>
                <w:szCs w:val="20"/>
              </w:rPr>
              <w:t>1.</w:t>
            </w:r>
            <w:r w:rsidR="00857888">
              <w:rPr>
                <w:sz w:val="20"/>
                <w:szCs w:val="20"/>
              </w:rPr>
              <w:t xml:space="preserve"> </w:t>
            </w:r>
          </w:p>
        </w:tc>
      </w:tr>
      <w:tr w:rsidR="00F40CDB" w:rsidRPr="0005528B" w14:paraId="5B439DF9" w14:textId="77777777" w:rsidTr="008779F2">
        <w:trPr>
          <w:trHeight w:val="441"/>
          <w:jc w:val="center"/>
        </w:trPr>
        <w:tc>
          <w:tcPr>
            <w:tcW w:w="4916" w:type="dxa"/>
            <w:shd w:val="clear" w:color="auto" w:fill="FFFFFF" w:themeFill="background1"/>
          </w:tcPr>
          <w:p w14:paraId="050401DA" w14:textId="689620B2" w:rsidR="00F40CDB" w:rsidRPr="0005528B" w:rsidRDefault="00F40CDB" w:rsidP="00191418">
            <w:pPr>
              <w:pStyle w:val="ListParagraph"/>
              <w:numPr>
                <w:ilvl w:val="0"/>
                <w:numId w:val="3"/>
              </w:numPr>
              <w:spacing w:before="120" w:after="120" w:line="276" w:lineRule="auto"/>
              <w:ind w:left="313" w:hanging="284"/>
              <w:jc w:val="both"/>
              <w:rPr>
                <w:rFonts w:cs="Arial"/>
                <w:bCs/>
                <w:iCs/>
                <w:sz w:val="20"/>
              </w:rPr>
            </w:pPr>
            <w:r w:rsidRPr="0005528B">
              <w:rPr>
                <w:rFonts w:cs="Arial"/>
                <w:bCs/>
                <w:sz w:val="20"/>
              </w:rPr>
              <w:lastRenderedPageBreak/>
              <w:t xml:space="preserve">BEIS and IDB to define relevant </w:t>
            </w:r>
            <w:r w:rsidR="00D12787">
              <w:rPr>
                <w:rFonts w:cs="Arial"/>
                <w:bCs/>
                <w:sz w:val="20"/>
              </w:rPr>
              <w:t>VfM</w:t>
            </w:r>
            <w:r w:rsidRPr="0005528B">
              <w:rPr>
                <w:rFonts w:cs="Arial"/>
                <w:bCs/>
                <w:sz w:val="20"/>
              </w:rPr>
              <w:t xml:space="preserve"> performance indicators. Indicators agreed by November 2019.</w:t>
            </w:r>
          </w:p>
        </w:tc>
        <w:tc>
          <w:tcPr>
            <w:tcW w:w="5547" w:type="dxa"/>
            <w:shd w:val="clear" w:color="auto" w:fill="FFFFFF" w:themeFill="background1"/>
          </w:tcPr>
          <w:p w14:paraId="05C7C0FF" w14:textId="7E8CEA21" w:rsidR="00F40CDB" w:rsidRPr="0005528B" w:rsidRDefault="00F40CDB" w:rsidP="00191418">
            <w:pPr>
              <w:spacing w:before="120" w:after="120" w:line="276" w:lineRule="auto"/>
              <w:jc w:val="both"/>
              <w:rPr>
                <w:b/>
                <w:bCs/>
                <w:sz w:val="20"/>
                <w:szCs w:val="20"/>
              </w:rPr>
            </w:pPr>
            <w:r>
              <w:rPr>
                <w:i/>
                <w:iCs/>
                <w:sz w:val="20"/>
                <w:szCs w:val="20"/>
              </w:rPr>
              <w:t xml:space="preserve">Partly </w:t>
            </w:r>
            <w:r w:rsidRPr="0005528B">
              <w:rPr>
                <w:i/>
                <w:iCs/>
                <w:sz w:val="20"/>
                <w:szCs w:val="20"/>
              </w:rPr>
              <w:t xml:space="preserve">Achieved </w:t>
            </w:r>
            <w:r w:rsidR="00970C30">
              <w:rPr>
                <w:i/>
                <w:iCs/>
                <w:sz w:val="20"/>
                <w:szCs w:val="20"/>
              </w:rPr>
              <w:t xml:space="preserve">- </w:t>
            </w:r>
            <w:r w:rsidR="00D12787">
              <w:rPr>
                <w:sz w:val="20"/>
                <w:szCs w:val="20"/>
              </w:rPr>
              <w:t>VfM</w:t>
            </w:r>
            <w:r>
              <w:rPr>
                <w:sz w:val="20"/>
                <w:szCs w:val="20"/>
              </w:rPr>
              <w:t xml:space="preserve"> indicators have</w:t>
            </w:r>
            <w:r w:rsidRPr="0005528B">
              <w:rPr>
                <w:sz w:val="20"/>
                <w:szCs w:val="20"/>
              </w:rPr>
              <w:t xml:space="preserve"> been </w:t>
            </w:r>
            <w:r w:rsidRPr="00B66DEF">
              <w:rPr>
                <w:sz w:val="20"/>
                <w:szCs w:val="20"/>
              </w:rPr>
              <w:t>drafted b</w:t>
            </w:r>
            <w:r w:rsidRPr="0005528B">
              <w:rPr>
                <w:sz w:val="20"/>
                <w:szCs w:val="20"/>
              </w:rPr>
              <w:t xml:space="preserve">y BEIS and </w:t>
            </w:r>
            <w:r w:rsidR="00D12787">
              <w:rPr>
                <w:sz w:val="20"/>
                <w:szCs w:val="20"/>
              </w:rPr>
              <w:t>IDB</w:t>
            </w:r>
            <w:r w:rsidR="00AD5F5C">
              <w:rPr>
                <w:sz w:val="20"/>
                <w:szCs w:val="20"/>
              </w:rPr>
              <w:t>.</w:t>
            </w:r>
            <w:r w:rsidRPr="0005528B">
              <w:rPr>
                <w:sz w:val="20"/>
                <w:szCs w:val="20"/>
              </w:rPr>
              <w:t xml:space="preserve"> </w:t>
            </w:r>
            <w:r w:rsidR="00AD5F5C">
              <w:rPr>
                <w:sz w:val="20"/>
                <w:szCs w:val="20"/>
              </w:rPr>
              <w:t>T</w:t>
            </w:r>
            <w:r w:rsidRPr="0005528B">
              <w:rPr>
                <w:sz w:val="20"/>
                <w:szCs w:val="20"/>
              </w:rPr>
              <w:t>h</w:t>
            </w:r>
            <w:r>
              <w:rPr>
                <w:sz w:val="20"/>
                <w:szCs w:val="20"/>
              </w:rPr>
              <w:t>ey</w:t>
            </w:r>
            <w:r w:rsidRPr="0005528B">
              <w:rPr>
                <w:sz w:val="20"/>
                <w:szCs w:val="20"/>
              </w:rPr>
              <w:t xml:space="preserve"> define relevant </w:t>
            </w:r>
            <w:r>
              <w:rPr>
                <w:sz w:val="20"/>
                <w:szCs w:val="20"/>
              </w:rPr>
              <w:t>measures</w:t>
            </w:r>
            <w:r w:rsidRPr="0005528B">
              <w:rPr>
                <w:sz w:val="20"/>
                <w:szCs w:val="20"/>
              </w:rPr>
              <w:t xml:space="preserve"> at </w:t>
            </w:r>
            <w:r w:rsidR="00844C3D">
              <w:rPr>
                <w:sz w:val="20"/>
                <w:szCs w:val="20"/>
              </w:rPr>
              <w:t>blended finance</w:t>
            </w:r>
            <w:r w:rsidRPr="0005528B">
              <w:rPr>
                <w:sz w:val="20"/>
                <w:szCs w:val="20"/>
              </w:rPr>
              <w:t xml:space="preserve"> project and portfolio level and TA project and portfolio level. </w:t>
            </w:r>
            <w:r>
              <w:rPr>
                <w:sz w:val="20"/>
                <w:szCs w:val="20"/>
              </w:rPr>
              <w:t xml:space="preserve">These </w:t>
            </w:r>
            <w:r w:rsidR="00A60F3C">
              <w:rPr>
                <w:sz w:val="20"/>
                <w:szCs w:val="20"/>
              </w:rPr>
              <w:t xml:space="preserve">have not been finalised because the decision was made to align approval with the revised </w:t>
            </w:r>
            <w:r w:rsidR="00844C3D">
              <w:rPr>
                <w:sz w:val="20"/>
                <w:szCs w:val="20"/>
              </w:rPr>
              <w:t>log frame</w:t>
            </w:r>
            <w:r w:rsidR="00A60F3C">
              <w:rPr>
                <w:sz w:val="20"/>
                <w:szCs w:val="20"/>
              </w:rPr>
              <w:t xml:space="preserve"> which </w:t>
            </w:r>
            <w:r w:rsidR="002D27D8">
              <w:rPr>
                <w:sz w:val="20"/>
                <w:szCs w:val="20"/>
              </w:rPr>
              <w:t>h</w:t>
            </w:r>
            <w:r w:rsidR="00A60F3C">
              <w:rPr>
                <w:sz w:val="20"/>
                <w:szCs w:val="20"/>
              </w:rPr>
              <w:t xml:space="preserve">as been delayed (See </w:t>
            </w:r>
            <w:r w:rsidR="00D82051">
              <w:rPr>
                <w:sz w:val="20"/>
                <w:szCs w:val="20"/>
              </w:rPr>
              <w:t xml:space="preserve">1). This is expected to be finalised by October </w:t>
            </w:r>
            <w:r w:rsidR="00E07005">
              <w:rPr>
                <w:sz w:val="20"/>
                <w:szCs w:val="20"/>
              </w:rPr>
              <w:t>31,</w:t>
            </w:r>
            <w:r w:rsidR="00D82051">
              <w:rPr>
                <w:sz w:val="20"/>
                <w:szCs w:val="20"/>
              </w:rPr>
              <w:t xml:space="preserve"> 2020. </w:t>
            </w:r>
          </w:p>
        </w:tc>
      </w:tr>
      <w:tr w:rsidR="00F40CDB" w:rsidRPr="0005528B" w14:paraId="345B9199" w14:textId="77777777" w:rsidTr="00681861">
        <w:trPr>
          <w:trHeight w:val="2055"/>
          <w:jc w:val="center"/>
        </w:trPr>
        <w:tc>
          <w:tcPr>
            <w:tcW w:w="4916" w:type="dxa"/>
          </w:tcPr>
          <w:p w14:paraId="4C104128" w14:textId="77777777" w:rsidR="00F40CDB" w:rsidRPr="00DA796F" w:rsidRDefault="00F40CDB" w:rsidP="00191418">
            <w:pPr>
              <w:pStyle w:val="ListParagraph"/>
              <w:numPr>
                <w:ilvl w:val="0"/>
                <w:numId w:val="3"/>
              </w:numPr>
              <w:spacing w:before="120" w:after="120" w:line="276" w:lineRule="auto"/>
              <w:ind w:left="313" w:hanging="284"/>
              <w:jc w:val="both"/>
              <w:rPr>
                <w:rFonts w:cs="Arial"/>
                <w:bCs/>
                <w:sz w:val="20"/>
              </w:rPr>
            </w:pPr>
            <w:r w:rsidRPr="0005528B">
              <w:rPr>
                <w:rFonts w:eastAsiaTheme="minorHAnsi" w:cs="Arial"/>
                <w:bCs/>
                <w:sz w:val="20"/>
              </w:rPr>
              <w:t>BEIS to maintain oversight of IDB managed evaluation activities and conduct an internal stocktake of progress and quality upon receipt of the final baseline evaluation. Stock-take complete by December 2019.</w:t>
            </w:r>
            <w:r w:rsidRPr="0005528B">
              <w:rPr>
                <w:rFonts w:cs="Arial"/>
                <w:sz w:val="20"/>
              </w:rPr>
              <w:t xml:space="preserve"> </w:t>
            </w:r>
          </w:p>
        </w:tc>
        <w:tc>
          <w:tcPr>
            <w:tcW w:w="5547" w:type="dxa"/>
          </w:tcPr>
          <w:p w14:paraId="26A0845C" w14:textId="18157054" w:rsidR="00F40CDB" w:rsidRPr="0005528B" w:rsidRDefault="00F40CDB" w:rsidP="00191418">
            <w:pPr>
              <w:spacing w:before="120" w:after="120" w:line="276" w:lineRule="auto"/>
              <w:jc w:val="both"/>
              <w:rPr>
                <w:sz w:val="20"/>
                <w:szCs w:val="20"/>
              </w:rPr>
            </w:pPr>
            <w:r w:rsidRPr="0005528B">
              <w:rPr>
                <w:i/>
                <w:iCs/>
                <w:sz w:val="20"/>
                <w:szCs w:val="20"/>
              </w:rPr>
              <w:t>Achieved -</w:t>
            </w:r>
            <w:r w:rsidRPr="0005528B">
              <w:rPr>
                <w:sz w:val="20"/>
                <w:szCs w:val="20"/>
              </w:rPr>
              <w:t xml:space="preserve"> </w:t>
            </w:r>
            <w:r w:rsidR="00645A6D">
              <w:rPr>
                <w:sz w:val="20"/>
                <w:szCs w:val="20"/>
              </w:rPr>
              <w:t>SIP-LA</w:t>
            </w:r>
            <w:r w:rsidR="002D27D8">
              <w:rPr>
                <w:sz w:val="20"/>
                <w:szCs w:val="20"/>
              </w:rPr>
              <w:t xml:space="preserve"> B</w:t>
            </w:r>
            <w:r w:rsidRPr="0005528B">
              <w:rPr>
                <w:sz w:val="20"/>
                <w:szCs w:val="20"/>
              </w:rPr>
              <w:t xml:space="preserve">aseline </w:t>
            </w:r>
            <w:r w:rsidR="002D27D8">
              <w:rPr>
                <w:sz w:val="20"/>
                <w:szCs w:val="20"/>
              </w:rPr>
              <w:t>S</w:t>
            </w:r>
            <w:r w:rsidRPr="0005528B">
              <w:rPr>
                <w:sz w:val="20"/>
                <w:szCs w:val="20"/>
              </w:rPr>
              <w:t>tudy, was completed in 201</w:t>
            </w:r>
            <w:r w:rsidR="000C5161">
              <w:rPr>
                <w:sz w:val="20"/>
                <w:szCs w:val="20"/>
              </w:rPr>
              <w:t>9, representing the first of the planned evaluation activities for the programme.</w:t>
            </w:r>
            <w:r w:rsidRPr="0005528B">
              <w:rPr>
                <w:sz w:val="20"/>
                <w:szCs w:val="20"/>
              </w:rPr>
              <w:t xml:space="preserve"> </w:t>
            </w:r>
            <w:r w:rsidR="00BC51DB">
              <w:rPr>
                <w:sz w:val="20"/>
                <w:szCs w:val="20"/>
              </w:rPr>
              <w:t xml:space="preserve">BEIS oversaw the management of the baseline study and were engaged in the process. The subsequent evaluation plan will </w:t>
            </w:r>
            <w:r w:rsidR="00681861">
              <w:rPr>
                <w:sz w:val="20"/>
                <w:szCs w:val="20"/>
              </w:rPr>
              <w:t>be developed</w:t>
            </w:r>
            <w:r w:rsidR="00AF13E2">
              <w:rPr>
                <w:sz w:val="20"/>
                <w:szCs w:val="20"/>
              </w:rPr>
              <w:t xml:space="preserve"> in accordance with section 9.5 of the administration agreement.</w:t>
            </w:r>
          </w:p>
          <w:p w14:paraId="77027551" w14:textId="77777777" w:rsidR="00F40CDB" w:rsidRPr="0005528B" w:rsidRDefault="00F40CDB" w:rsidP="00191418">
            <w:pPr>
              <w:spacing w:before="120" w:after="120" w:line="276" w:lineRule="auto"/>
              <w:jc w:val="both"/>
              <w:rPr>
                <w:sz w:val="20"/>
                <w:szCs w:val="20"/>
              </w:rPr>
            </w:pPr>
            <w:r w:rsidRPr="0005528B">
              <w:rPr>
                <w:sz w:val="20"/>
                <w:szCs w:val="20"/>
              </w:rPr>
              <w:t xml:space="preserve"> </w:t>
            </w:r>
          </w:p>
        </w:tc>
      </w:tr>
      <w:tr w:rsidR="00F40CDB" w:rsidRPr="0005528B" w14:paraId="59D71122" w14:textId="77777777" w:rsidTr="00752136">
        <w:trPr>
          <w:trHeight w:val="1189"/>
          <w:jc w:val="center"/>
        </w:trPr>
        <w:tc>
          <w:tcPr>
            <w:tcW w:w="4916" w:type="dxa"/>
          </w:tcPr>
          <w:p w14:paraId="37ED6716" w14:textId="77777777" w:rsidR="00F40CDB" w:rsidRPr="0005528B" w:rsidRDefault="00F40CDB" w:rsidP="00191418">
            <w:pPr>
              <w:pStyle w:val="ListParagraph"/>
              <w:numPr>
                <w:ilvl w:val="0"/>
                <w:numId w:val="3"/>
              </w:numPr>
              <w:spacing w:before="120" w:after="120" w:line="276" w:lineRule="auto"/>
              <w:ind w:left="313" w:hanging="284"/>
              <w:jc w:val="both"/>
              <w:rPr>
                <w:rFonts w:eastAsiaTheme="minorHAnsi" w:cs="Arial"/>
                <w:bCs/>
                <w:sz w:val="20"/>
              </w:rPr>
            </w:pPr>
            <w:r w:rsidRPr="0005528B">
              <w:rPr>
                <w:rFonts w:cs="Arial"/>
                <w:bCs/>
                <w:sz w:val="20"/>
              </w:rPr>
              <w:t>BEIS and IDB to develop a methodology (KPI 15 Methodology) which outlines how the programme’s likely transformational impact can be monitored on an annual basis. Methodology complete by December 2019.</w:t>
            </w:r>
          </w:p>
        </w:tc>
        <w:tc>
          <w:tcPr>
            <w:tcW w:w="5547" w:type="dxa"/>
          </w:tcPr>
          <w:p w14:paraId="29987BEE" w14:textId="0E05A58C" w:rsidR="00F40CDB" w:rsidRPr="0005528B" w:rsidRDefault="00F40CDB" w:rsidP="00191418">
            <w:pPr>
              <w:spacing w:before="120" w:after="120" w:line="276" w:lineRule="auto"/>
              <w:jc w:val="both"/>
              <w:rPr>
                <w:sz w:val="20"/>
                <w:szCs w:val="20"/>
              </w:rPr>
            </w:pPr>
            <w:r w:rsidRPr="0005528B">
              <w:rPr>
                <w:i/>
                <w:iCs/>
                <w:sz w:val="20"/>
                <w:szCs w:val="20"/>
              </w:rPr>
              <w:t>Partially achieved</w:t>
            </w:r>
            <w:r w:rsidR="00614513">
              <w:rPr>
                <w:i/>
                <w:iCs/>
                <w:sz w:val="20"/>
                <w:szCs w:val="20"/>
              </w:rPr>
              <w:t xml:space="preserve"> </w:t>
            </w:r>
            <w:r w:rsidRPr="0005528B">
              <w:rPr>
                <w:i/>
                <w:iCs/>
                <w:sz w:val="20"/>
                <w:szCs w:val="20"/>
              </w:rPr>
              <w:t>–</w:t>
            </w:r>
            <w:r w:rsidRPr="0005528B">
              <w:rPr>
                <w:sz w:val="20"/>
                <w:szCs w:val="20"/>
              </w:rPr>
              <w:t xml:space="preserve"> </w:t>
            </w:r>
            <w:r w:rsidR="00711E81">
              <w:rPr>
                <w:sz w:val="20"/>
                <w:szCs w:val="20"/>
              </w:rPr>
              <w:t xml:space="preserve">BEIS has </w:t>
            </w:r>
            <w:r w:rsidR="008B70E5">
              <w:rPr>
                <w:sz w:val="20"/>
                <w:szCs w:val="20"/>
              </w:rPr>
              <w:t xml:space="preserve">developed a draft methodology for </w:t>
            </w:r>
            <w:r>
              <w:rPr>
                <w:sz w:val="20"/>
                <w:szCs w:val="20"/>
              </w:rPr>
              <w:t>KPI15</w:t>
            </w:r>
            <w:r w:rsidR="008B70E5">
              <w:rPr>
                <w:sz w:val="20"/>
                <w:szCs w:val="20"/>
              </w:rPr>
              <w:t xml:space="preserve">. This </w:t>
            </w:r>
            <w:r w:rsidRPr="0005528B">
              <w:rPr>
                <w:sz w:val="20"/>
                <w:szCs w:val="20"/>
              </w:rPr>
              <w:t>requires further discussion and sign off</w:t>
            </w:r>
            <w:r w:rsidR="008B70E5">
              <w:rPr>
                <w:sz w:val="20"/>
                <w:szCs w:val="20"/>
              </w:rPr>
              <w:t xml:space="preserve"> by </w:t>
            </w:r>
            <w:r w:rsidRPr="0005528B">
              <w:rPr>
                <w:sz w:val="20"/>
                <w:szCs w:val="20"/>
              </w:rPr>
              <w:t xml:space="preserve">IDB. </w:t>
            </w:r>
            <w:r w:rsidR="00614513">
              <w:rPr>
                <w:sz w:val="20"/>
                <w:szCs w:val="20"/>
              </w:rPr>
              <w:t xml:space="preserve">This was not completed due to resource constraints and team changes within BEIS project and </w:t>
            </w:r>
            <w:r w:rsidR="00737E00">
              <w:rPr>
                <w:sz w:val="20"/>
                <w:szCs w:val="20"/>
              </w:rPr>
              <w:t>analyst teams</w:t>
            </w:r>
            <w:r w:rsidR="00AC2EE1">
              <w:rPr>
                <w:sz w:val="20"/>
                <w:szCs w:val="20"/>
              </w:rPr>
              <w:t xml:space="preserve">. </w:t>
            </w:r>
            <w:r w:rsidR="000715AA" w:rsidRPr="00D5006C">
              <w:rPr>
                <w:sz w:val="20"/>
                <w:szCs w:val="20"/>
              </w:rPr>
              <w:t xml:space="preserve">BEIS and IDB should hold a workshop by </w:t>
            </w:r>
            <w:r w:rsidR="00AD5F5C">
              <w:rPr>
                <w:sz w:val="20"/>
                <w:szCs w:val="20"/>
              </w:rPr>
              <w:t>28</w:t>
            </w:r>
            <w:r w:rsidR="000715AA" w:rsidRPr="00D5006C">
              <w:rPr>
                <w:sz w:val="20"/>
                <w:szCs w:val="20"/>
              </w:rPr>
              <w:t xml:space="preserve"> February</w:t>
            </w:r>
            <w:r w:rsidR="000715AA">
              <w:rPr>
                <w:sz w:val="20"/>
                <w:szCs w:val="20"/>
              </w:rPr>
              <w:t xml:space="preserve"> </w:t>
            </w:r>
            <w:r w:rsidR="000715AA" w:rsidRPr="00D5006C">
              <w:rPr>
                <w:sz w:val="20"/>
                <w:szCs w:val="20"/>
              </w:rPr>
              <w:t>202</w:t>
            </w:r>
            <w:r w:rsidR="000715AA">
              <w:rPr>
                <w:sz w:val="20"/>
                <w:szCs w:val="20"/>
              </w:rPr>
              <w:t>1</w:t>
            </w:r>
            <w:r w:rsidR="000715AA" w:rsidRPr="00D5006C">
              <w:rPr>
                <w:sz w:val="20"/>
                <w:szCs w:val="20"/>
              </w:rPr>
              <w:t xml:space="preserve"> to develop an agreed methodology for KPI15 evaluation.</w:t>
            </w:r>
          </w:p>
        </w:tc>
      </w:tr>
    </w:tbl>
    <w:p w14:paraId="333409ED" w14:textId="77777777" w:rsidR="008779F2" w:rsidRDefault="008779F2" w:rsidP="00F40CDB">
      <w:pPr>
        <w:tabs>
          <w:tab w:val="left" w:pos="6915"/>
          <w:tab w:val="left" w:pos="9495"/>
        </w:tabs>
        <w:spacing w:before="120" w:after="120" w:line="276" w:lineRule="auto"/>
        <w:jc w:val="both"/>
        <w:rPr>
          <w:b/>
          <w:sz w:val="22"/>
          <w:szCs w:val="22"/>
          <w:u w:val="single"/>
        </w:rPr>
      </w:pPr>
    </w:p>
    <w:p w14:paraId="1AB20F31" w14:textId="2A26F28E" w:rsidR="00F40CDB" w:rsidRPr="00074912" w:rsidRDefault="00F40CDB" w:rsidP="00F40CDB">
      <w:pPr>
        <w:tabs>
          <w:tab w:val="left" w:pos="6915"/>
          <w:tab w:val="left" w:pos="9495"/>
        </w:tabs>
        <w:spacing w:before="120" w:after="120" w:line="276" w:lineRule="auto"/>
        <w:jc w:val="both"/>
        <w:rPr>
          <w:b/>
          <w:sz w:val="22"/>
          <w:szCs w:val="22"/>
          <w:u w:val="single"/>
        </w:rPr>
      </w:pPr>
      <w:r w:rsidRPr="00074912">
        <w:rPr>
          <w:b/>
          <w:sz w:val="22"/>
          <w:szCs w:val="22"/>
          <w:u w:val="single"/>
        </w:rPr>
        <w:t>Major lessons and recommendations for the year ahead</w:t>
      </w:r>
    </w:p>
    <w:p w14:paraId="2896E24D" w14:textId="77777777" w:rsidR="00F30144" w:rsidRDefault="00F30144" w:rsidP="00F30144">
      <w:pPr>
        <w:tabs>
          <w:tab w:val="left" w:pos="6915"/>
          <w:tab w:val="left" w:pos="9495"/>
        </w:tabs>
        <w:spacing w:before="120" w:after="120" w:line="276" w:lineRule="auto"/>
        <w:jc w:val="both"/>
        <w:rPr>
          <w:sz w:val="22"/>
          <w:szCs w:val="22"/>
        </w:rPr>
      </w:pPr>
      <w:r w:rsidRPr="00A41258">
        <w:rPr>
          <w:sz w:val="22"/>
          <w:szCs w:val="22"/>
        </w:rPr>
        <w:t>The key lessons learn</w:t>
      </w:r>
      <w:r>
        <w:rPr>
          <w:sz w:val="22"/>
          <w:szCs w:val="22"/>
        </w:rPr>
        <w:t>ed</w:t>
      </w:r>
      <w:r w:rsidRPr="00A41258">
        <w:rPr>
          <w:sz w:val="22"/>
          <w:szCs w:val="22"/>
        </w:rPr>
        <w:t xml:space="preserve"> from 2019 </w:t>
      </w:r>
      <w:r>
        <w:rPr>
          <w:sz w:val="22"/>
          <w:szCs w:val="22"/>
        </w:rPr>
        <w:t>relate to an improved understanding by BEIS of the time needed to develop an investment pipeline capable of delivering SIP-LA’s objectives and a better sense of political and market risk to programme delivery.</w:t>
      </w:r>
    </w:p>
    <w:p w14:paraId="3742FB28" w14:textId="0144C277" w:rsidR="00724CB6" w:rsidRPr="00724CB6" w:rsidRDefault="00F40CDB" w:rsidP="00724CB6">
      <w:pPr>
        <w:tabs>
          <w:tab w:val="left" w:pos="6915"/>
          <w:tab w:val="left" w:pos="9495"/>
        </w:tabs>
        <w:spacing w:before="120" w:after="120" w:line="276" w:lineRule="auto"/>
        <w:jc w:val="both"/>
        <w:rPr>
          <w:sz w:val="22"/>
          <w:szCs w:val="22"/>
        </w:rPr>
      </w:pPr>
      <w:r>
        <w:rPr>
          <w:b/>
          <w:bCs/>
          <w:sz w:val="22"/>
          <w:szCs w:val="22"/>
        </w:rPr>
        <w:t>P</w:t>
      </w:r>
      <w:r w:rsidRPr="00C2188D">
        <w:rPr>
          <w:b/>
          <w:bCs/>
          <w:sz w:val="22"/>
          <w:szCs w:val="22"/>
        </w:rPr>
        <w:t xml:space="preserve">ipeline development </w:t>
      </w:r>
      <w:r w:rsidR="00CF10D5">
        <w:rPr>
          <w:b/>
          <w:bCs/>
          <w:sz w:val="22"/>
          <w:szCs w:val="22"/>
        </w:rPr>
        <w:t xml:space="preserve">and project origination </w:t>
      </w:r>
      <w:r w:rsidR="00953139" w:rsidRPr="00724CB6">
        <w:rPr>
          <w:b/>
          <w:bCs/>
          <w:sz w:val="22"/>
          <w:szCs w:val="22"/>
        </w:rPr>
        <w:t>–</w:t>
      </w:r>
      <w:r w:rsidRPr="00724CB6">
        <w:rPr>
          <w:sz w:val="22"/>
          <w:szCs w:val="22"/>
        </w:rPr>
        <w:t xml:space="preserve"> </w:t>
      </w:r>
      <w:r w:rsidR="005C4011" w:rsidRPr="00724CB6">
        <w:rPr>
          <w:sz w:val="22"/>
          <w:szCs w:val="22"/>
        </w:rPr>
        <w:t xml:space="preserve">the lack of progress in achieving SIP-LA’s </w:t>
      </w:r>
      <w:r w:rsidR="005C4011">
        <w:rPr>
          <w:sz w:val="22"/>
          <w:szCs w:val="22"/>
        </w:rPr>
        <w:t>blended finance</w:t>
      </w:r>
      <w:r w:rsidR="005C4011" w:rsidRPr="00724CB6">
        <w:rPr>
          <w:sz w:val="22"/>
          <w:szCs w:val="22"/>
        </w:rPr>
        <w:t xml:space="preserve"> </w:t>
      </w:r>
      <w:r w:rsidR="005C4011">
        <w:rPr>
          <w:sz w:val="22"/>
          <w:szCs w:val="22"/>
        </w:rPr>
        <w:t>Output</w:t>
      </w:r>
      <w:r w:rsidR="005C4011" w:rsidRPr="00724CB6">
        <w:rPr>
          <w:sz w:val="22"/>
          <w:szCs w:val="22"/>
        </w:rPr>
        <w:t>s over the review period is partly attributable to the time needed to develop a suitable investment pipeline capable of delivering investments in SIP-LA’s markets.</w:t>
      </w:r>
      <w:r w:rsidR="005C4011">
        <w:rPr>
          <w:sz w:val="22"/>
          <w:szCs w:val="22"/>
        </w:rPr>
        <w:t xml:space="preserve"> The Business Case anticipated it would take around six months to build a pipeline, but in reality, it has taken closer to eighteen months on average.</w:t>
      </w:r>
      <w:r w:rsidR="005C4011" w:rsidRPr="00724CB6">
        <w:rPr>
          <w:sz w:val="22"/>
          <w:szCs w:val="22"/>
        </w:rPr>
        <w:t xml:space="preserve"> </w:t>
      </w:r>
      <w:r w:rsidR="00724CB6" w:rsidRPr="00724CB6">
        <w:rPr>
          <w:sz w:val="22"/>
          <w:szCs w:val="22"/>
        </w:rPr>
        <w:t xml:space="preserve">SIP-LA’s </w:t>
      </w:r>
      <w:r w:rsidR="00844C3D">
        <w:rPr>
          <w:sz w:val="22"/>
          <w:szCs w:val="22"/>
        </w:rPr>
        <w:t>blended finance</w:t>
      </w:r>
      <w:r w:rsidR="00724CB6" w:rsidRPr="00724CB6">
        <w:rPr>
          <w:sz w:val="22"/>
          <w:szCs w:val="22"/>
        </w:rPr>
        <w:t xml:space="preserve"> project proposals must meet several eligibility criteria relating to mitigation impact, </w:t>
      </w:r>
      <w:r w:rsidR="00D162C4" w:rsidRPr="00724CB6">
        <w:rPr>
          <w:sz w:val="22"/>
          <w:szCs w:val="22"/>
        </w:rPr>
        <w:t>additionality,</w:t>
      </w:r>
      <w:r w:rsidR="00724CB6" w:rsidRPr="00724CB6">
        <w:rPr>
          <w:sz w:val="22"/>
          <w:szCs w:val="22"/>
        </w:rPr>
        <w:t xml:space="preserve"> and transformational change. </w:t>
      </w:r>
      <w:r w:rsidR="00724CB6" w:rsidRPr="00724CB6">
        <w:rPr>
          <w:rFonts w:cs="Arial"/>
          <w:color w:val="000000"/>
          <w:sz w:val="22"/>
          <w:szCs w:val="22"/>
        </w:rPr>
        <w:t xml:space="preserve">SIP-LA is an innovative programme working in unestablished market environments. </w:t>
      </w:r>
      <w:r w:rsidR="00724CB6" w:rsidRPr="00724CB6">
        <w:rPr>
          <w:sz w:val="22"/>
          <w:szCs w:val="22"/>
        </w:rPr>
        <w:t>Subsequently, a key learning over the review period was the time needed to develop a pipeline of projects capable of meeting SIP-LA’s objectives. A further learning was the added value of systematically building in views from UK embassy teams during project origination. UK embassy teams can add substantial value to SIP-LA project origination by providing insight on HMG priorities and links to other UK programmes. BEIS has subsequently worked with IDB to develop processes that ensure that UK embassy teams</w:t>
      </w:r>
      <w:r w:rsidR="0031473C">
        <w:rPr>
          <w:sz w:val="22"/>
          <w:szCs w:val="22"/>
        </w:rPr>
        <w:t>, including BEIS staff in post,</w:t>
      </w:r>
      <w:r w:rsidR="00724CB6" w:rsidRPr="00724CB6">
        <w:rPr>
          <w:sz w:val="22"/>
          <w:szCs w:val="22"/>
        </w:rPr>
        <w:t xml:space="preserve"> are involved in SIP-LA project origination with IDB country teams at an early stage. A third key learning from the review period is the need for sufficient governance arrangements to ensure </w:t>
      </w:r>
      <w:r w:rsidR="00AD5F5C">
        <w:rPr>
          <w:sz w:val="22"/>
          <w:szCs w:val="22"/>
        </w:rPr>
        <w:t xml:space="preserve">that </w:t>
      </w:r>
      <w:r w:rsidR="00724CB6" w:rsidRPr="00724CB6">
        <w:rPr>
          <w:sz w:val="22"/>
          <w:szCs w:val="22"/>
        </w:rPr>
        <w:t xml:space="preserve">project origination in country is led by a strategic approach </w:t>
      </w:r>
      <w:r w:rsidR="00AD5F5C">
        <w:rPr>
          <w:sz w:val="22"/>
          <w:szCs w:val="22"/>
        </w:rPr>
        <w:t>to</w:t>
      </w:r>
      <w:r w:rsidR="00AD5F5C" w:rsidRPr="00724CB6">
        <w:rPr>
          <w:sz w:val="22"/>
          <w:szCs w:val="22"/>
        </w:rPr>
        <w:t xml:space="preserve"> </w:t>
      </w:r>
      <w:r w:rsidR="00724CB6" w:rsidRPr="00724CB6">
        <w:rPr>
          <w:sz w:val="22"/>
          <w:szCs w:val="22"/>
        </w:rPr>
        <w:t>the whole portfolio. The inclusion of views from UK embassy teams at project origination can add further value in this respect.</w:t>
      </w:r>
    </w:p>
    <w:p w14:paraId="1FAA04AD" w14:textId="34714F6B" w:rsidR="00724CB6" w:rsidRPr="00724CB6" w:rsidRDefault="00724CB6" w:rsidP="00724CB6">
      <w:pPr>
        <w:tabs>
          <w:tab w:val="left" w:pos="6915"/>
          <w:tab w:val="left" w:pos="9495"/>
        </w:tabs>
        <w:spacing w:before="120" w:after="120" w:line="276" w:lineRule="auto"/>
        <w:jc w:val="both"/>
        <w:rPr>
          <w:sz w:val="22"/>
          <w:szCs w:val="22"/>
        </w:rPr>
      </w:pPr>
      <w:r w:rsidRPr="00724CB6">
        <w:rPr>
          <w:sz w:val="22"/>
          <w:szCs w:val="22"/>
        </w:rPr>
        <w:t xml:space="preserve">As a result of these measures SIP-LA now has an improved pipeline that is delivering investment proposals that better align </w:t>
      </w:r>
      <w:r w:rsidR="00AD5F5C">
        <w:rPr>
          <w:sz w:val="22"/>
          <w:szCs w:val="22"/>
        </w:rPr>
        <w:t>with</w:t>
      </w:r>
      <w:r w:rsidR="00AD5F5C" w:rsidRPr="00724CB6">
        <w:rPr>
          <w:sz w:val="22"/>
          <w:szCs w:val="22"/>
        </w:rPr>
        <w:t xml:space="preserve"> </w:t>
      </w:r>
      <w:r w:rsidRPr="00724CB6">
        <w:rPr>
          <w:sz w:val="22"/>
          <w:szCs w:val="22"/>
        </w:rPr>
        <w:t xml:space="preserve">HMG priorities in the region and fit with a more coherent vision for SIP-LA. Further work is needed to formalise some of the governance arrangements and to fully incorporate the views from UK </w:t>
      </w:r>
      <w:r w:rsidRPr="00724CB6">
        <w:rPr>
          <w:sz w:val="22"/>
          <w:szCs w:val="22"/>
        </w:rPr>
        <w:lastRenderedPageBreak/>
        <w:t xml:space="preserve">embassy teams in project origination. This includes work to outline and agree strategic objectives for each of </w:t>
      </w:r>
      <w:r w:rsidR="00645A6D">
        <w:rPr>
          <w:sz w:val="22"/>
          <w:szCs w:val="22"/>
        </w:rPr>
        <w:t>SIP-LA</w:t>
      </w:r>
      <w:r w:rsidRPr="00724CB6">
        <w:rPr>
          <w:sz w:val="22"/>
          <w:szCs w:val="22"/>
        </w:rPr>
        <w:t xml:space="preserve"> countries that can be used to align project proposals </w:t>
      </w:r>
      <w:r w:rsidR="00AD5F5C">
        <w:rPr>
          <w:sz w:val="22"/>
          <w:szCs w:val="22"/>
        </w:rPr>
        <w:t>with</w:t>
      </w:r>
      <w:r w:rsidR="00AD5F5C" w:rsidRPr="00724CB6">
        <w:rPr>
          <w:sz w:val="22"/>
          <w:szCs w:val="22"/>
        </w:rPr>
        <w:t xml:space="preserve"> </w:t>
      </w:r>
      <w:r w:rsidRPr="00724CB6">
        <w:rPr>
          <w:sz w:val="22"/>
          <w:szCs w:val="22"/>
        </w:rPr>
        <w:t xml:space="preserve">SIP-LA’s transformational objectives. </w:t>
      </w:r>
    </w:p>
    <w:p w14:paraId="58821DD7" w14:textId="3642EF20" w:rsidR="00724CB6" w:rsidRPr="00724CB6" w:rsidRDefault="00724CB6" w:rsidP="00724CB6">
      <w:pPr>
        <w:tabs>
          <w:tab w:val="left" w:pos="6915"/>
          <w:tab w:val="left" w:pos="9495"/>
        </w:tabs>
        <w:spacing w:before="120" w:after="120" w:line="276" w:lineRule="auto"/>
        <w:jc w:val="both"/>
        <w:rPr>
          <w:sz w:val="22"/>
          <w:szCs w:val="22"/>
        </w:rPr>
      </w:pPr>
      <w:r w:rsidRPr="00724CB6">
        <w:rPr>
          <w:sz w:val="22"/>
          <w:szCs w:val="22"/>
        </w:rPr>
        <w:t xml:space="preserve">In addition, IDB and BEIS have learnt that </w:t>
      </w:r>
      <w:r w:rsidR="00D12787">
        <w:rPr>
          <w:sz w:val="22"/>
          <w:szCs w:val="22"/>
        </w:rPr>
        <w:t xml:space="preserve">linking </w:t>
      </w:r>
      <w:r w:rsidRPr="00724CB6">
        <w:rPr>
          <w:sz w:val="22"/>
          <w:szCs w:val="22"/>
        </w:rPr>
        <w:t xml:space="preserve">investments </w:t>
      </w:r>
      <w:r w:rsidR="00D12787">
        <w:rPr>
          <w:sz w:val="22"/>
          <w:szCs w:val="22"/>
        </w:rPr>
        <w:t>with</w:t>
      </w:r>
      <w:r w:rsidRPr="00724CB6">
        <w:rPr>
          <w:sz w:val="22"/>
          <w:szCs w:val="22"/>
        </w:rPr>
        <w:t xml:space="preserve"> successful </w:t>
      </w:r>
      <w:r w:rsidR="008C77B2">
        <w:rPr>
          <w:sz w:val="22"/>
          <w:szCs w:val="22"/>
        </w:rPr>
        <w:t>technical assistance</w:t>
      </w:r>
      <w:r w:rsidRPr="00724CB6">
        <w:rPr>
          <w:sz w:val="22"/>
          <w:szCs w:val="22"/>
        </w:rPr>
        <w:t xml:space="preserve"> is a crucial factor in facilitating strong</w:t>
      </w:r>
      <w:r w:rsidR="00D162C4">
        <w:rPr>
          <w:sz w:val="22"/>
          <w:szCs w:val="22"/>
        </w:rPr>
        <w:t xml:space="preserve"> and resilient</w:t>
      </w:r>
      <w:r w:rsidRPr="00724CB6">
        <w:rPr>
          <w:sz w:val="22"/>
          <w:szCs w:val="22"/>
        </w:rPr>
        <w:t xml:space="preserve"> investment pipelines. For example, in 2019 SIP-LA delivered </w:t>
      </w:r>
      <w:r w:rsidR="008C77B2">
        <w:rPr>
          <w:sz w:val="22"/>
          <w:szCs w:val="22"/>
        </w:rPr>
        <w:t>technical assistance</w:t>
      </w:r>
      <w:r w:rsidRPr="00724CB6">
        <w:rPr>
          <w:sz w:val="22"/>
          <w:szCs w:val="22"/>
        </w:rPr>
        <w:t xml:space="preserve"> to support the Government of Colombia in strengthening its institutional, technical, and regulatory capabilities in promoting the adoption of non-conventional renewable energy within their electricity generation matrix. The outcomes </w:t>
      </w:r>
      <w:r w:rsidR="00E06D90">
        <w:rPr>
          <w:sz w:val="22"/>
          <w:szCs w:val="22"/>
        </w:rPr>
        <w:t xml:space="preserve">from </w:t>
      </w:r>
      <w:r w:rsidRPr="00724CB6">
        <w:rPr>
          <w:sz w:val="22"/>
          <w:szCs w:val="22"/>
        </w:rPr>
        <w:t xml:space="preserve">this project directly led to the development of a </w:t>
      </w:r>
      <w:r w:rsidR="00844C3D">
        <w:rPr>
          <w:sz w:val="22"/>
          <w:szCs w:val="22"/>
        </w:rPr>
        <w:t>blended finance</w:t>
      </w:r>
      <w:r w:rsidRPr="00724CB6">
        <w:rPr>
          <w:sz w:val="22"/>
          <w:szCs w:val="22"/>
        </w:rPr>
        <w:t xml:space="preserve"> project proposal for renewable energy in Colombia. </w:t>
      </w:r>
    </w:p>
    <w:p w14:paraId="12BF9567" w14:textId="65063EE6" w:rsidR="00724CB6" w:rsidRPr="00891C30" w:rsidRDefault="00D12787" w:rsidP="00724CB6">
      <w:pPr>
        <w:tabs>
          <w:tab w:val="left" w:pos="6915"/>
          <w:tab w:val="left" w:pos="9495"/>
        </w:tabs>
        <w:spacing w:before="120" w:after="120" w:line="276" w:lineRule="auto"/>
        <w:jc w:val="both"/>
        <w:rPr>
          <w:sz w:val="22"/>
          <w:szCs w:val="22"/>
        </w:rPr>
      </w:pPr>
      <w:r w:rsidRPr="00891C30">
        <w:rPr>
          <w:sz w:val="22"/>
          <w:szCs w:val="22"/>
        </w:rPr>
        <w:t>IDB</w:t>
      </w:r>
      <w:r w:rsidR="00724CB6" w:rsidRPr="00891C30">
        <w:rPr>
          <w:sz w:val="22"/>
          <w:szCs w:val="22"/>
        </w:rPr>
        <w:t xml:space="preserve"> and BEIS should continue to coordinate with other programmes delivering </w:t>
      </w:r>
      <w:r w:rsidR="008C77B2">
        <w:rPr>
          <w:sz w:val="22"/>
          <w:szCs w:val="22"/>
        </w:rPr>
        <w:t>technical assistance</w:t>
      </w:r>
      <w:r w:rsidR="00724CB6" w:rsidRPr="00891C30">
        <w:rPr>
          <w:sz w:val="22"/>
          <w:szCs w:val="22"/>
        </w:rPr>
        <w:t xml:space="preserve"> across Latin America when considering the </w:t>
      </w:r>
      <w:r w:rsidR="00844C3D" w:rsidRPr="00891C30">
        <w:rPr>
          <w:sz w:val="22"/>
          <w:szCs w:val="22"/>
        </w:rPr>
        <w:t>blended finance</w:t>
      </w:r>
      <w:r w:rsidR="00724CB6" w:rsidRPr="00891C30">
        <w:rPr>
          <w:sz w:val="22"/>
          <w:szCs w:val="22"/>
        </w:rPr>
        <w:t xml:space="preserve"> pipeline.</w:t>
      </w:r>
    </w:p>
    <w:p w14:paraId="5AD35128" w14:textId="77777777" w:rsidR="00724CB6" w:rsidRPr="00891C30" w:rsidRDefault="00724CB6" w:rsidP="00724CB6">
      <w:pPr>
        <w:tabs>
          <w:tab w:val="left" w:pos="6915"/>
          <w:tab w:val="left" w:pos="9495"/>
        </w:tabs>
        <w:spacing w:before="120" w:after="120" w:line="276" w:lineRule="auto"/>
        <w:jc w:val="both"/>
        <w:rPr>
          <w:b/>
          <w:bCs/>
          <w:sz w:val="22"/>
          <w:szCs w:val="22"/>
        </w:rPr>
      </w:pPr>
      <w:r w:rsidRPr="00891C30">
        <w:rPr>
          <w:rFonts w:cs="Arial"/>
          <w:bCs/>
          <w:sz w:val="22"/>
          <w:szCs w:val="22"/>
        </w:rPr>
        <w:t>The BEIS and IDB teams should continue to draw upon UK embassy teams which hold strong relationships with government stakeholders in the partner countries.</w:t>
      </w:r>
    </w:p>
    <w:p w14:paraId="08498B4E" w14:textId="6963FD09" w:rsidR="00F40CDB" w:rsidRDefault="00953139" w:rsidP="00F40CDB">
      <w:pPr>
        <w:tabs>
          <w:tab w:val="left" w:pos="6915"/>
          <w:tab w:val="left" w:pos="9495"/>
        </w:tabs>
        <w:spacing w:before="120" w:after="120" w:line="276" w:lineRule="auto"/>
        <w:jc w:val="both"/>
        <w:rPr>
          <w:sz w:val="22"/>
          <w:szCs w:val="22"/>
        </w:rPr>
      </w:pPr>
      <w:r>
        <w:rPr>
          <w:sz w:val="22"/>
          <w:szCs w:val="22"/>
        </w:rPr>
        <w:t>There has been a</w:t>
      </w:r>
      <w:r w:rsidR="00F40CDB">
        <w:rPr>
          <w:sz w:val="22"/>
          <w:szCs w:val="22"/>
        </w:rPr>
        <w:t xml:space="preserve"> lack of </w:t>
      </w:r>
      <w:r w:rsidR="00844C3D">
        <w:rPr>
          <w:sz w:val="22"/>
          <w:szCs w:val="22"/>
        </w:rPr>
        <w:t>blended finance</w:t>
      </w:r>
      <w:r w:rsidR="00F40CDB">
        <w:rPr>
          <w:sz w:val="22"/>
          <w:szCs w:val="22"/>
        </w:rPr>
        <w:t xml:space="preserve"> investments in 2019</w:t>
      </w:r>
      <w:r>
        <w:rPr>
          <w:sz w:val="22"/>
          <w:szCs w:val="22"/>
        </w:rPr>
        <w:t xml:space="preserve"> because </w:t>
      </w:r>
      <w:r w:rsidR="00BC27D9">
        <w:rPr>
          <w:sz w:val="22"/>
          <w:szCs w:val="22"/>
        </w:rPr>
        <w:t>the programme did not have a full and robust pipeline</w:t>
      </w:r>
      <w:r w:rsidR="00E06D90">
        <w:rPr>
          <w:sz w:val="22"/>
          <w:szCs w:val="22"/>
        </w:rPr>
        <w:t>.</w:t>
      </w:r>
      <w:r w:rsidR="00BC27D9">
        <w:rPr>
          <w:sz w:val="22"/>
          <w:szCs w:val="22"/>
        </w:rPr>
        <w:t xml:space="preserve"> </w:t>
      </w:r>
      <w:r w:rsidR="00E06D90">
        <w:rPr>
          <w:sz w:val="22"/>
          <w:szCs w:val="22"/>
        </w:rPr>
        <w:t>I</w:t>
      </w:r>
      <w:r w:rsidR="000252B1">
        <w:rPr>
          <w:sz w:val="22"/>
          <w:szCs w:val="22"/>
        </w:rPr>
        <w:t xml:space="preserve">t </w:t>
      </w:r>
      <w:r w:rsidR="003E4213">
        <w:rPr>
          <w:sz w:val="22"/>
          <w:szCs w:val="22"/>
        </w:rPr>
        <w:t>took</w:t>
      </w:r>
      <w:r w:rsidR="000252B1">
        <w:rPr>
          <w:sz w:val="22"/>
          <w:szCs w:val="22"/>
        </w:rPr>
        <w:t xml:space="preserve"> longer than expected </w:t>
      </w:r>
      <w:r w:rsidR="00F40CDB">
        <w:rPr>
          <w:sz w:val="22"/>
          <w:szCs w:val="22"/>
        </w:rPr>
        <w:t xml:space="preserve">to build an accurate </w:t>
      </w:r>
      <w:r w:rsidR="00FD70E2">
        <w:rPr>
          <w:sz w:val="22"/>
          <w:szCs w:val="22"/>
        </w:rPr>
        <w:t xml:space="preserve">investment </w:t>
      </w:r>
      <w:r w:rsidR="00F40CDB">
        <w:rPr>
          <w:sz w:val="22"/>
          <w:szCs w:val="22"/>
        </w:rPr>
        <w:t>pipeline and for projects to proceed from eligibility to operation.</w:t>
      </w:r>
      <w:r w:rsidR="00890AA5">
        <w:rPr>
          <w:sz w:val="22"/>
          <w:szCs w:val="22"/>
        </w:rPr>
        <w:t xml:space="preserve"> At the point of Business Case writing, steps and timeframes required to build a pipeline were not accurately </w:t>
      </w:r>
      <w:r w:rsidR="0016425D">
        <w:rPr>
          <w:sz w:val="22"/>
          <w:szCs w:val="22"/>
        </w:rPr>
        <w:t>anticipated</w:t>
      </w:r>
      <w:r w:rsidR="00E06D90">
        <w:rPr>
          <w:sz w:val="22"/>
          <w:szCs w:val="22"/>
        </w:rPr>
        <w:t xml:space="preserve"> -</w:t>
      </w:r>
      <w:r w:rsidR="006130E6">
        <w:rPr>
          <w:sz w:val="22"/>
          <w:szCs w:val="22"/>
        </w:rPr>
        <w:t xml:space="preserve"> the original </w:t>
      </w:r>
      <w:r w:rsidR="00891C30">
        <w:rPr>
          <w:sz w:val="22"/>
          <w:szCs w:val="22"/>
        </w:rPr>
        <w:t>log frame</w:t>
      </w:r>
      <w:r w:rsidR="006130E6">
        <w:rPr>
          <w:sz w:val="22"/>
          <w:szCs w:val="22"/>
        </w:rPr>
        <w:t xml:space="preserve"> expected </w:t>
      </w:r>
      <w:r w:rsidR="00527D3F">
        <w:rPr>
          <w:sz w:val="22"/>
          <w:szCs w:val="22"/>
        </w:rPr>
        <w:t xml:space="preserve">investments to be made </w:t>
      </w:r>
      <w:r w:rsidR="007A396F">
        <w:rPr>
          <w:sz w:val="22"/>
          <w:szCs w:val="22"/>
        </w:rPr>
        <w:t>in years one and two of operation</w:t>
      </w:r>
      <w:r w:rsidR="00527D3F">
        <w:rPr>
          <w:sz w:val="22"/>
          <w:szCs w:val="22"/>
        </w:rPr>
        <w:t>.</w:t>
      </w:r>
      <w:r w:rsidR="00F40CDB">
        <w:rPr>
          <w:sz w:val="22"/>
          <w:szCs w:val="22"/>
        </w:rPr>
        <w:t xml:space="preserve"> Constructively, in 2019</w:t>
      </w:r>
      <w:r w:rsidR="00E06D90">
        <w:rPr>
          <w:sz w:val="22"/>
          <w:szCs w:val="22"/>
        </w:rPr>
        <w:t>,</w:t>
      </w:r>
      <w:r w:rsidR="00F40CDB">
        <w:rPr>
          <w:sz w:val="22"/>
          <w:szCs w:val="22"/>
        </w:rPr>
        <w:t xml:space="preserve"> detailed market scoping and frequent country dialogues contributed to the development of programme pipelines for 2020. </w:t>
      </w:r>
    </w:p>
    <w:p w14:paraId="11905456" w14:textId="36AD8DED" w:rsidR="00F40CDB" w:rsidRDefault="00F40CDB" w:rsidP="00F40CDB">
      <w:pPr>
        <w:tabs>
          <w:tab w:val="left" w:pos="6915"/>
          <w:tab w:val="left" w:pos="9495"/>
        </w:tabs>
        <w:spacing w:before="120" w:after="120" w:line="276" w:lineRule="auto"/>
        <w:jc w:val="both"/>
        <w:rPr>
          <w:sz w:val="22"/>
          <w:szCs w:val="22"/>
        </w:rPr>
      </w:pPr>
      <w:r>
        <w:rPr>
          <w:rFonts w:cs="Arial"/>
          <w:b/>
          <w:bCs/>
          <w:color w:val="000000"/>
          <w:sz w:val="22"/>
          <w:szCs w:val="22"/>
        </w:rPr>
        <w:t>Political context -</w:t>
      </w:r>
      <w:r>
        <w:rPr>
          <w:rFonts w:cs="Arial"/>
          <w:color w:val="000000"/>
          <w:sz w:val="22"/>
          <w:szCs w:val="22"/>
        </w:rPr>
        <w:t xml:space="preserve"> There have been key lessons learn</w:t>
      </w:r>
      <w:r w:rsidR="007C4070">
        <w:rPr>
          <w:rFonts w:cs="Arial"/>
          <w:color w:val="000000"/>
          <w:sz w:val="22"/>
          <w:szCs w:val="22"/>
        </w:rPr>
        <w:t>ed</w:t>
      </w:r>
      <w:r>
        <w:rPr>
          <w:rFonts w:cs="Arial"/>
          <w:color w:val="000000"/>
          <w:sz w:val="22"/>
          <w:szCs w:val="22"/>
        </w:rPr>
        <w:t xml:space="preserve"> regarding the </w:t>
      </w:r>
      <w:r w:rsidR="0007306A">
        <w:rPr>
          <w:rFonts w:cs="Arial"/>
          <w:color w:val="000000"/>
          <w:sz w:val="22"/>
          <w:szCs w:val="22"/>
        </w:rPr>
        <w:t xml:space="preserve">risk </w:t>
      </w:r>
      <w:r>
        <w:rPr>
          <w:rFonts w:cs="Arial"/>
          <w:color w:val="000000"/>
          <w:sz w:val="22"/>
          <w:szCs w:val="22"/>
        </w:rPr>
        <w:t xml:space="preserve">of changing policy contexts on SIP-LA deliverability and programming. Difficulties making </w:t>
      </w:r>
      <w:r w:rsidR="00844C3D">
        <w:rPr>
          <w:rFonts w:cs="Arial"/>
          <w:color w:val="000000"/>
          <w:sz w:val="22"/>
          <w:szCs w:val="22"/>
        </w:rPr>
        <w:t>blended finance</w:t>
      </w:r>
      <w:r>
        <w:rPr>
          <w:rFonts w:cs="Arial"/>
          <w:color w:val="000000"/>
          <w:sz w:val="22"/>
          <w:szCs w:val="22"/>
        </w:rPr>
        <w:t xml:space="preserve"> investments in Mexico, </w:t>
      </w:r>
      <w:r w:rsidDel="00FD5805">
        <w:rPr>
          <w:rFonts w:cs="Arial"/>
          <w:color w:val="000000"/>
          <w:sz w:val="22"/>
          <w:szCs w:val="22"/>
        </w:rPr>
        <w:t>Peru</w:t>
      </w:r>
      <w:r>
        <w:rPr>
          <w:rFonts w:cs="Arial"/>
          <w:color w:val="000000"/>
          <w:sz w:val="22"/>
          <w:szCs w:val="22"/>
        </w:rPr>
        <w:t>, and Brazil in 2019 have facilitated programmatic learning</w:t>
      </w:r>
      <w:r w:rsidR="00E06D90">
        <w:rPr>
          <w:rFonts w:cs="Arial"/>
          <w:color w:val="000000"/>
          <w:sz w:val="22"/>
          <w:szCs w:val="22"/>
        </w:rPr>
        <w:t>.</w:t>
      </w:r>
      <w:r>
        <w:rPr>
          <w:rFonts w:cs="Arial"/>
          <w:color w:val="000000"/>
          <w:sz w:val="22"/>
          <w:szCs w:val="22"/>
        </w:rPr>
        <w:t xml:space="preserve"> </w:t>
      </w:r>
      <w:r w:rsidR="00E06D90">
        <w:rPr>
          <w:rFonts w:cs="Arial"/>
          <w:color w:val="000000"/>
          <w:sz w:val="22"/>
          <w:szCs w:val="22"/>
        </w:rPr>
        <w:t>D</w:t>
      </w:r>
      <w:r>
        <w:rPr>
          <w:rFonts w:cs="Arial"/>
          <w:color w:val="000000"/>
          <w:sz w:val="22"/>
          <w:szCs w:val="22"/>
        </w:rPr>
        <w:t xml:space="preserve">etail is provided within Section C. </w:t>
      </w:r>
      <w:r w:rsidR="002F66B9">
        <w:rPr>
          <w:rFonts w:cs="Arial"/>
          <w:color w:val="000000"/>
          <w:sz w:val="22"/>
          <w:szCs w:val="22"/>
        </w:rPr>
        <w:t>The</w:t>
      </w:r>
      <w:r w:rsidR="00C070D0">
        <w:rPr>
          <w:rFonts w:cs="Arial"/>
          <w:color w:val="000000"/>
          <w:sz w:val="22"/>
          <w:szCs w:val="22"/>
        </w:rPr>
        <w:t xml:space="preserve">re was a </w:t>
      </w:r>
      <w:r w:rsidR="002F66B9">
        <w:rPr>
          <w:rFonts w:cs="Arial"/>
          <w:color w:val="000000"/>
          <w:sz w:val="22"/>
          <w:szCs w:val="22"/>
        </w:rPr>
        <w:t>risk identified that r</w:t>
      </w:r>
      <w:r>
        <w:rPr>
          <w:rFonts w:cs="Arial"/>
          <w:color w:val="000000"/>
          <w:sz w:val="22"/>
          <w:szCs w:val="22"/>
        </w:rPr>
        <w:t xml:space="preserve">egulatory and policy change in the region </w:t>
      </w:r>
      <w:r w:rsidR="002F66B9">
        <w:rPr>
          <w:rFonts w:cs="Arial"/>
          <w:color w:val="000000"/>
          <w:sz w:val="22"/>
          <w:szCs w:val="22"/>
        </w:rPr>
        <w:t>could affect programme delivery</w:t>
      </w:r>
      <w:r w:rsidR="00C070D0">
        <w:rPr>
          <w:rFonts w:cs="Arial"/>
          <w:color w:val="000000"/>
          <w:sz w:val="22"/>
          <w:szCs w:val="22"/>
        </w:rPr>
        <w:t>, this risk materialised in 2019 as changing administrations</w:t>
      </w:r>
      <w:r w:rsidR="002F66B9">
        <w:rPr>
          <w:rFonts w:cs="Arial"/>
          <w:color w:val="000000"/>
          <w:sz w:val="22"/>
          <w:szCs w:val="22"/>
        </w:rPr>
        <w:t xml:space="preserve"> </w:t>
      </w:r>
      <w:r>
        <w:rPr>
          <w:rFonts w:cs="Arial"/>
          <w:color w:val="000000"/>
          <w:sz w:val="22"/>
          <w:szCs w:val="22"/>
        </w:rPr>
        <w:t>contribute</w:t>
      </w:r>
      <w:r w:rsidR="00C070D0">
        <w:rPr>
          <w:rFonts w:cs="Arial"/>
          <w:color w:val="000000"/>
          <w:sz w:val="22"/>
          <w:szCs w:val="22"/>
        </w:rPr>
        <w:t>d</w:t>
      </w:r>
      <w:r>
        <w:rPr>
          <w:rFonts w:cs="Arial"/>
          <w:color w:val="000000"/>
          <w:sz w:val="22"/>
          <w:szCs w:val="22"/>
        </w:rPr>
        <w:t xml:space="preserve"> to the lack of investments</w:t>
      </w:r>
      <w:r w:rsidR="002F66B9">
        <w:rPr>
          <w:rFonts w:cs="Arial"/>
          <w:color w:val="000000"/>
          <w:sz w:val="22"/>
          <w:szCs w:val="22"/>
        </w:rPr>
        <w:t>. H</w:t>
      </w:r>
      <w:r>
        <w:rPr>
          <w:rFonts w:cs="Arial"/>
          <w:color w:val="000000"/>
          <w:sz w:val="22"/>
          <w:szCs w:val="22"/>
        </w:rPr>
        <w:t>owever</w:t>
      </w:r>
      <w:r w:rsidR="00850D29">
        <w:rPr>
          <w:rFonts w:cs="Arial"/>
          <w:color w:val="000000"/>
          <w:sz w:val="22"/>
          <w:szCs w:val="22"/>
        </w:rPr>
        <w:t>,</w:t>
      </w:r>
      <w:r>
        <w:rPr>
          <w:rFonts w:cs="Arial"/>
          <w:color w:val="000000"/>
          <w:sz w:val="22"/>
          <w:szCs w:val="22"/>
        </w:rPr>
        <w:t xml:space="preserve"> </w:t>
      </w:r>
      <w:r>
        <w:rPr>
          <w:sz w:val="22"/>
          <w:szCs w:val="22"/>
        </w:rPr>
        <w:t xml:space="preserve">strong political engagement during transitionary periods was identified as a key success factor by </w:t>
      </w:r>
      <w:r w:rsidR="00D12787">
        <w:rPr>
          <w:sz w:val="22"/>
          <w:szCs w:val="22"/>
        </w:rPr>
        <w:t>IDB</w:t>
      </w:r>
      <w:r>
        <w:rPr>
          <w:sz w:val="22"/>
          <w:szCs w:val="22"/>
        </w:rPr>
        <w:t xml:space="preserve"> in continuing to deliver </w:t>
      </w:r>
      <w:r w:rsidR="008C77B2">
        <w:rPr>
          <w:sz w:val="22"/>
          <w:szCs w:val="22"/>
        </w:rPr>
        <w:t>technical assistance</w:t>
      </w:r>
      <w:r>
        <w:rPr>
          <w:sz w:val="22"/>
          <w:szCs w:val="22"/>
        </w:rPr>
        <w:t xml:space="preserve"> regionally. </w:t>
      </w:r>
    </w:p>
    <w:p w14:paraId="690020C9" w14:textId="69D0DF2C" w:rsidR="00F40CDB" w:rsidRPr="00891C30" w:rsidRDefault="00F40CDB" w:rsidP="00F40CDB">
      <w:pPr>
        <w:tabs>
          <w:tab w:val="left" w:pos="6915"/>
          <w:tab w:val="left" w:pos="9495"/>
        </w:tabs>
        <w:spacing w:before="120" w:after="120" w:line="276" w:lineRule="auto"/>
        <w:jc w:val="both"/>
        <w:rPr>
          <w:sz w:val="22"/>
          <w:szCs w:val="22"/>
        </w:rPr>
      </w:pPr>
      <w:r w:rsidRPr="00891C30">
        <w:rPr>
          <w:rFonts w:cs="Arial"/>
          <w:color w:val="000000"/>
          <w:sz w:val="22"/>
          <w:szCs w:val="22"/>
        </w:rPr>
        <w:t>The effects of policy changes should be closely observed</w:t>
      </w:r>
      <w:r w:rsidR="00850D29" w:rsidRPr="00891C30">
        <w:rPr>
          <w:rFonts w:cs="Arial"/>
          <w:color w:val="000000"/>
          <w:sz w:val="22"/>
          <w:szCs w:val="22"/>
        </w:rPr>
        <w:t>.</w:t>
      </w:r>
      <w:r w:rsidRPr="00891C30">
        <w:rPr>
          <w:rFonts w:cs="Arial"/>
          <w:color w:val="000000"/>
          <w:sz w:val="22"/>
          <w:szCs w:val="22"/>
        </w:rPr>
        <w:t xml:space="preserve"> IDB’s response should continue to be delivered through dialogues at </w:t>
      </w:r>
      <w:r w:rsidR="00850D29" w:rsidRPr="00891C30">
        <w:rPr>
          <w:rFonts w:cs="Arial"/>
          <w:color w:val="000000"/>
          <w:sz w:val="22"/>
          <w:szCs w:val="22"/>
        </w:rPr>
        <w:t xml:space="preserve">both the </w:t>
      </w:r>
      <w:r w:rsidRPr="00891C30">
        <w:rPr>
          <w:rFonts w:cs="Arial"/>
          <w:color w:val="000000"/>
          <w:sz w:val="22"/>
          <w:szCs w:val="22"/>
        </w:rPr>
        <w:t xml:space="preserve">senior public sector level and the technical level to ensure changes in policy environments are understood </w:t>
      </w:r>
      <w:r w:rsidR="00850D29" w:rsidRPr="00891C30">
        <w:rPr>
          <w:rFonts w:cs="Arial"/>
          <w:color w:val="000000"/>
          <w:sz w:val="22"/>
          <w:szCs w:val="22"/>
        </w:rPr>
        <w:t>properly</w:t>
      </w:r>
      <w:r w:rsidRPr="00891C30">
        <w:rPr>
          <w:rFonts w:cs="Arial"/>
          <w:color w:val="000000"/>
          <w:sz w:val="22"/>
          <w:szCs w:val="22"/>
        </w:rPr>
        <w:t xml:space="preserve">. The diplomatic channels and strong relationships that the UK has with key stakeholders in partner governments should be drawn upon to mitigate political decisions impacting the programme negatively. </w:t>
      </w:r>
      <w:r w:rsidR="00F730BB" w:rsidRPr="00891C30">
        <w:rPr>
          <w:rFonts w:cs="Arial"/>
          <w:color w:val="000000"/>
          <w:sz w:val="22"/>
          <w:szCs w:val="22"/>
        </w:rPr>
        <w:t xml:space="preserve">This will be facilitated through </w:t>
      </w:r>
      <w:r w:rsidR="005F220E" w:rsidRPr="00891C30">
        <w:rPr>
          <w:rFonts w:cs="Arial"/>
          <w:color w:val="000000"/>
          <w:sz w:val="22"/>
          <w:szCs w:val="22"/>
        </w:rPr>
        <w:t>f</w:t>
      </w:r>
      <w:r w:rsidR="00340088" w:rsidRPr="00891C30">
        <w:rPr>
          <w:rFonts w:cs="Arial"/>
          <w:color w:val="000000"/>
          <w:sz w:val="22"/>
          <w:szCs w:val="22"/>
        </w:rPr>
        <w:t xml:space="preserve">urther engagement by </w:t>
      </w:r>
      <w:r w:rsidR="00D12787" w:rsidRPr="00891C30">
        <w:rPr>
          <w:rFonts w:cs="Arial"/>
          <w:color w:val="000000"/>
          <w:sz w:val="22"/>
          <w:szCs w:val="22"/>
        </w:rPr>
        <w:t>IDB</w:t>
      </w:r>
      <w:r w:rsidR="00340088" w:rsidRPr="00891C30">
        <w:rPr>
          <w:rFonts w:cs="Arial"/>
          <w:color w:val="000000"/>
          <w:sz w:val="22"/>
          <w:szCs w:val="22"/>
        </w:rPr>
        <w:t xml:space="preserve"> with colleagues in post regarding both </w:t>
      </w:r>
      <w:r w:rsidR="008C77B2">
        <w:rPr>
          <w:rFonts w:cs="Arial"/>
          <w:color w:val="000000"/>
          <w:sz w:val="22"/>
          <w:szCs w:val="22"/>
        </w:rPr>
        <w:t>technical assistance</w:t>
      </w:r>
      <w:r w:rsidR="00340088" w:rsidRPr="00891C30">
        <w:rPr>
          <w:rFonts w:cs="Arial"/>
          <w:color w:val="000000"/>
          <w:sz w:val="22"/>
          <w:szCs w:val="22"/>
        </w:rPr>
        <w:t xml:space="preserve"> and </w:t>
      </w:r>
      <w:r w:rsidR="00844C3D" w:rsidRPr="00891C30">
        <w:rPr>
          <w:rFonts w:cs="Arial"/>
          <w:color w:val="000000"/>
          <w:sz w:val="22"/>
          <w:szCs w:val="22"/>
        </w:rPr>
        <w:t>blended finance</w:t>
      </w:r>
      <w:r w:rsidR="00F730BB" w:rsidRPr="00891C30">
        <w:rPr>
          <w:rFonts w:cs="Arial"/>
          <w:color w:val="000000"/>
          <w:sz w:val="22"/>
          <w:szCs w:val="22"/>
        </w:rPr>
        <w:t>.</w:t>
      </w:r>
    </w:p>
    <w:p w14:paraId="44F6AC0A" w14:textId="1E567EF2" w:rsidR="00F40CDB" w:rsidRDefault="00B1549A" w:rsidP="00F40CDB">
      <w:pPr>
        <w:tabs>
          <w:tab w:val="left" w:pos="6915"/>
          <w:tab w:val="left" w:pos="9495"/>
        </w:tabs>
        <w:spacing w:before="120" w:after="120" w:line="276" w:lineRule="auto"/>
        <w:jc w:val="both"/>
        <w:rPr>
          <w:sz w:val="22"/>
          <w:szCs w:val="22"/>
        </w:rPr>
      </w:pPr>
      <w:r>
        <w:rPr>
          <w:b/>
          <w:bCs/>
          <w:sz w:val="22"/>
          <w:szCs w:val="22"/>
        </w:rPr>
        <w:t xml:space="preserve">Market conditions </w:t>
      </w:r>
      <w:r w:rsidR="003505C9">
        <w:rPr>
          <w:b/>
          <w:bCs/>
          <w:sz w:val="22"/>
          <w:szCs w:val="22"/>
        </w:rPr>
        <w:t>–</w:t>
      </w:r>
      <w:r w:rsidR="003505C9">
        <w:t xml:space="preserve"> </w:t>
      </w:r>
      <w:r w:rsidR="003505C9" w:rsidRPr="008E03B7">
        <w:rPr>
          <w:sz w:val="22"/>
          <w:szCs w:val="22"/>
        </w:rPr>
        <w:t xml:space="preserve">IDB have identified over the reporting period a risk </w:t>
      </w:r>
      <w:r w:rsidR="0073082A" w:rsidRPr="008E03B7">
        <w:rPr>
          <w:sz w:val="22"/>
          <w:szCs w:val="22"/>
        </w:rPr>
        <w:t xml:space="preserve">that </w:t>
      </w:r>
      <w:r w:rsidR="00844C3D">
        <w:rPr>
          <w:sz w:val="22"/>
          <w:szCs w:val="22"/>
        </w:rPr>
        <w:t>blended finance</w:t>
      </w:r>
      <w:r w:rsidR="0073082A" w:rsidRPr="008E03B7">
        <w:rPr>
          <w:sz w:val="22"/>
          <w:szCs w:val="22"/>
        </w:rPr>
        <w:t xml:space="preserve"> investments may not be made in all four partner countries</w:t>
      </w:r>
      <w:r w:rsidR="00850D29">
        <w:rPr>
          <w:sz w:val="22"/>
          <w:szCs w:val="22"/>
        </w:rPr>
        <w:t xml:space="preserve"> -</w:t>
      </w:r>
      <w:r w:rsidR="0073082A" w:rsidRPr="008E03B7">
        <w:rPr>
          <w:sz w:val="22"/>
          <w:szCs w:val="22"/>
        </w:rPr>
        <w:t xml:space="preserve"> </w:t>
      </w:r>
      <w:r w:rsidR="00D12787">
        <w:rPr>
          <w:sz w:val="22"/>
          <w:szCs w:val="22"/>
        </w:rPr>
        <w:t>IDB</w:t>
      </w:r>
      <w:r w:rsidR="0073082A" w:rsidRPr="008E03B7">
        <w:rPr>
          <w:sz w:val="22"/>
          <w:szCs w:val="22"/>
        </w:rPr>
        <w:t xml:space="preserve"> </w:t>
      </w:r>
      <w:r w:rsidR="008E03B7" w:rsidRPr="008E03B7">
        <w:rPr>
          <w:sz w:val="22"/>
          <w:szCs w:val="22"/>
        </w:rPr>
        <w:t>highlighted the difficulties experienced in Peru</w:t>
      </w:r>
      <w:r w:rsidR="00850D29">
        <w:rPr>
          <w:sz w:val="22"/>
          <w:szCs w:val="22"/>
        </w:rPr>
        <w:t xml:space="preserve"> in particular</w:t>
      </w:r>
      <w:r w:rsidR="008E03B7" w:rsidRPr="008E03B7">
        <w:rPr>
          <w:sz w:val="22"/>
          <w:szCs w:val="22"/>
        </w:rPr>
        <w:t xml:space="preserve">. </w:t>
      </w:r>
      <w:r w:rsidR="00D12787">
        <w:rPr>
          <w:sz w:val="22"/>
          <w:szCs w:val="22"/>
        </w:rPr>
        <w:t>IDB</w:t>
      </w:r>
      <w:r w:rsidR="002838AF">
        <w:rPr>
          <w:sz w:val="22"/>
          <w:szCs w:val="22"/>
        </w:rPr>
        <w:t xml:space="preserve"> have noted that</w:t>
      </w:r>
      <w:r w:rsidR="00850D29">
        <w:rPr>
          <w:sz w:val="22"/>
          <w:szCs w:val="22"/>
        </w:rPr>
        <w:t>,</w:t>
      </w:r>
      <w:r w:rsidR="002838AF">
        <w:rPr>
          <w:sz w:val="22"/>
          <w:szCs w:val="22"/>
        </w:rPr>
        <w:t xml:space="preserve"> </w:t>
      </w:r>
      <w:r w:rsidR="006C2E35">
        <w:rPr>
          <w:sz w:val="22"/>
          <w:szCs w:val="22"/>
        </w:rPr>
        <w:t>despite a challenging</w:t>
      </w:r>
      <w:r w:rsidR="00FA4303">
        <w:rPr>
          <w:sz w:val="22"/>
          <w:szCs w:val="22"/>
        </w:rPr>
        <w:t xml:space="preserve"> short term context dominated by</w:t>
      </w:r>
      <w:r w:rsidR="006C2E35">
        <w:rPr>
          <w:sz w:val="22"/>
          <w:szCs w:val="22"/>
        </w:rPr>
        <w:t xml:space="preserve"> strong liquidity</w:t>
      </w:r>
      <w:r w:rsidR="00FA4303">
        <w:rPr>
          <w:sz w:val="22"/>
          <w:szCs w:val="22"/>
        </w:rPr>
        <w:t xml:space="preserve"> in the market</w:t>
      </w:r>
      <w:r w:rsidR="006C2E35">
        <w:rPr>
          <w:sz w:val="22"/>
          <w:szCs w:val="22"/>
        </w:rPr>
        <w:t xml:space="preserve">, integrity challenges and </w:t>
      </w:r>
      <w:r w:rsidR="00FA4303">
        <w:rPr>
          <w:sz w:val="22"/>
          <w:szCs w:val="22"/>
        </w:rPr>
        <w:t xml:space="preserve">a lack of local currency financing by </w:t>
      </w:r>
      <w:r w:rsidR="00D12787">
        <w:rPr>
          <w:sz w:val="22"/>
          <w:szCs w:val="22"/>
        </w:rPr>
        <w:t>IDB</w:t>
      </w:r>
      <w:r w:rsidR="007858C5">
        <w:rPr>
          <w:sz w:val="22"/>
          <w:szCs w:val="22"/>
        </w:rPr>
        <w:t>,</w:t>
      </w:r>
      <w:r w:rsidR="00FA4303">
        <w:rPr>
          <w:sz w:val="22"/>
          <w:szCs w:val="22"/>
        </w:rPr>
        <w:t xml:space="preserve"> th</w:t>
      </w:r>
      <w:r w:rsidR="00DD5580">
        <w:rPr>
          <w:sz w:val="22"/>
          <w:szCs w:val="22"/>
        </w:rPr>
        <w:t xml:space="preserve">e fundamentals of the economy should support a vibrant infrastructure and energy sector in the years to come. </w:t>
      </w:r>
    </w:p>
    <w:p w14:paraId="4632E07C" w14:textId="444CCC0A" w:rsidR="00F40CDB" w:rsidRDefault="00AA4F92" w:rsidP="00F40CDB">
      <w:pPr>
        <w:tabs>
          <w:tab w:val="left" w:pos="6915"/>
          <w:tab w:val="left" w:pos="9495"/>
        </w:tabs>
        <w:spacing w:before="120" w:after="120" w:line="276" w:lineRule="auto"/>
        <w:jc w:val="both"/>
        <w:rPr>
          <w:b/>
          <w:bCs/>
          <w:sz w:val="22"/>
          <w:szCs w:val="22"/>
        </w:rPr>
      </w:pPr>
      <w:r w:rsidRPr="00AA4F92">
        <w:rPr>
          <w:rFonts w:cs="Arial"/>
          <w:bCs/>
          <w:i/>
          <w:iCs/>
          <w:sz w:val="22"/>
          <w:szCs w:val="22"/>
        </w:rPr>
        <w:t xml:space="preserve"> </w:t>
      </w:r>
      <w:r w:rsidR="00F40CDB">
        <w:rPr>
          <w:b/>
          <w:bCs/>
          <w:sz w:val="22"/>
          <w:szCs w:val="22"/>
        </w:rPr>
        <w:t>Key Recommendations</w:t>
      </w:r>
      <w:r w:rsidR="00C72B3B">
        <w:rPr>
          <w:b/>
          <w:bCs/>
          <w:sz w:val="22"/>
          <w:szCs w:val="22"/>
        </w:rPr>
        <w:t xml:space="preserve"> for the year ahead</w:t>
      </w:r>
    </w:p>
    <w:tbl>
      <w:tblPr>
        <w:tblStyle w:val="TableGrid"/>
        <w:tblW w:w="10485" w:type="dxa"/>
        <w:tblLook w:val="04A0" w:firstRow="1" w:lastRow="0" w:firstColumn="1" w:lastColumn="0" w:noHBand="0" w:noVBand="1"/>
      </w:tblPr>
      <w:tblGrid>
        <w:gridCol w:w="10485"/>
      </w:tblGrid>
      <w:tr w:rsidR="00F40CDB" w:rsidRPr="00D5006C" w14:paraId="700E4BCD" w14:textId="77777777" w:rsidTr="00536FE2">
        <w:tc>
          <w:tcPr>
            <w:tcW w:w="10485" w:type="dxa"/>
          </w:tcPr>
          <w:p w14:paraId="28DAE19F" w14:textId="7A489FE6" w:rsidR="00F40CDB" w:rsidRPr="00D5006C" w:rsidRDefault="00F40CDB" w:rsidP="00191418">
            <w:pPr>
              <w:tabs>
                <w:tab w:val="left" w:pos="6915"/>
                <w:tab w:val="left" w:pos="9495"/>
              </w:tabs>
              <w:spacing w:before="120" w:after="120" w:line="276" w:lineRule="auto"/>
              <w:jc w:val="both"/>
              <w:rPr>
                <w:sz w:val="20"/>
                <w:szCs w:val="20"/>
              </w:rPr>
            </w:pPr>
            <w:r w:rsidRPr="00D5006C">
              <w:rPr>
                <w:b/>
                <w:bCs/>
                <w:sz w:val="20"/>
                <w:szCs w:val="20"/>
              </w:rPr>
              <w:t xml:space="preserve">R1 – Monitoring and Delivery: </w:t>
            </w:r>
            <w:r w:rsidRPr="00D5006C">
              <w:rPr>
                <w:sz w:val="20"/>
                <w:szCs w:val="20"/>
              </w:rPr>
              <w:t>IDB should reprofile milestones</w:t>
            </w:r>
            <w:r w:rsidR="00337797">
              <w:rPr>
                <w:sz w:val="20"/>
                <w:szCs w:val="20"/>
              </w:rPr>
              <w:t xml:space="preserve"> for </w:t>
            </w:r>
            <w:r w:rsidR="00844C3D">
              <w:rPr>
                <w:sz w:val="20"/>
                <w:szCs w:val="20"/>
              </w:rPr>
              <w:t>Output</w:t>
            </w:r>
            <w:r w:rsidR="00337797">
              <w:rPr>
                <w:sz w:val="20"/>
                <w:szCs w:val="20"/>
              </w:rPr>
              <w:t xml:space="preserve"> 2</w:t>
            </w:r>
            <w:r w:rsidRPr="00D5006C">
              <w:rPr>
                <w:sz w:val="20"/>
                <w:szCs w:val="20"/>
              </w:rPr>
              <w:t xml:space="preserve"> and consider</w:t>
            </w:r>
            <w:r w:rsidR="00CF2508">
              <w:rPr>
                <w:sz w:val="20"/>
                <w:szCs w:val="20"/>
              </w:rPr>
              <w:t xml:space="preserve"> in collaboration with BEIS</w:t>
            </w:r>
            <w:r w:rsidRPr="00D5006C">
              <w:rPr>
                <w:sz w:val="20"/>
                <w:szCs w:val="20"/>
              </w:rPr>
              <w:t xml:space="preserve"> whether achievement should be extended beyond the original programme completion date of 2022. To be completed by 31 January 202</w:t>
            </w:r>
            <w:r w:rsidR="00752136">
              <w:rPr>
                <w:sz w:val="20"/>
                <w:szCs w:val="20"/>
              </w:rPr>
              <w:t>1</w:t>
            </w:r>
            <w:r w:rsidRPr="00D5006C">
              <w:rPr>
                <w:sz w:val="20"/>
                <w:szCs w:val="20"/>
              </w:rPr>
              <w:t xml:space="preserve">. </w:t>
            </w:r>
          </w:p>
        </w:tc>
      </w:tr>
      <w:tr w:rsidR="009B0D05" w:rsidRPr="00D5006C" w14:paraId="696180A5" w14:textId="77777777" w:rsidTr="00536FE2">
        <w:tc>
          <w:tcPr>
            <w:tcW w:w="10485" w:type="dxa"/>
          </w:tcPr>
          <w:p w14:paraId="4154B2F0" w14:textId="724B31EA" w:rsidR="009B0D05" w:rsidRPr="00D5006C" w:rsidRDefault="009B0D05" w:rsidP="00191418">
            <w:pPr>
              <w:tabs>
                <w:tab w:val="left" w:pos="6915"/>
                <w:tab w:val="left" w:pos="9495"/>
              </w:tabs>
              <w:spacing w:before="120" w:after="120" w:line="276" w:lineRule="auto"/>
              <w:jc w:val="both"/>
              <w:rPr>
                <w:b/>
                <w:bCs/>
                <w:sz w:val="20"/>
                <w:szCs w:val="20"/>
              </w:rPr>
            </w:pPr>
            <w:r w:rsidRPr="00D5006C">
              <w:rPr>
                <w:b/>
                <w:bCs/>
                <w:sz w:val="20"/>
                <w:szCs w:val="20"/>
              </w:rPr>
              <w:t>R</w:t>
            </w:r>
            <w:r>
              <w:rPr>
                <w:b/>
                <w:bCs/>
                <w:sz w:val="20"/>
                <w:szCs w:val="20"/>
              </w:rPr>
              <w:t>2</w:t>
            </w:r>
            <w:r w:rsidRPr="00D5006C">
              <w:rPr>
                <w:b/>
                <w:bCs/>
                <w:sz w:val="20"/>
                <w:szCs w:val="20"/>
              </w:rPr>
              <w:t xml:space="preserve"> – Monitoring: </w:t>
            </w:r>
            <w:r w:rsidRPr="00D5006C">
              <w:rPr>
                <w:rFonts w:cs="Arial"/>
                <w:sz w:val="20"/>
                <w:szCs w:val="20"/>
              </w:rPr>
              <w:t xml:space="preserve">BEIS and IDB </w:t>
            </w:r>
            <w:r>
              <w:rPr>
                <w:rFonts w:cs="Arial"/>
                <w:sz w:val="20"/>
                <w:szCs w:val="20"/>
              </w:rPr>
              <w:t xml:space="preserve">should finalise the </w:t>
            </w:r>
            <w:r w:rsidRPr="00D5006C">
              <w:rPr>
                <w:rFonts w:cs="Arial"/>
                <w:sz w:val="20"/>
                <w:szCs w:val="20"/>
              </w:rPr>
              <w:t xml:space="preserve">update </w:t>
            </w:r>
            <w:r>
              <w:rPr>
                <w:rFonts w:cs="Arial"/>
                <w:sz w:val="20"/>
                <w:szCs w:val="20"/>
              </w:rPr>
              <w:t xml:space="preserve">of </w:t>
            </w:r>
            <w:r w:rsidRPr="00D5006C">
              <w:rPr>
                <w:rFonts w:cs="Arial"/>
                <w:sz w:val="20"/>
                <w:szCs w:val="20"/>
              </w:rPr>
              <w:t xml:space="preserve">the </w:t>
            </w:r>
            <w:r w:rsidR="00891C30">
              <w:rPr>
                <w:rFonts w:cs="Arial"/>
                <w:sz w:val="20"/>
                <w:szCs w:val="20"/>
              </w:rPr>
              <w:t>log frame</w:t>
            </w:r>
            <w:r w:rsidRPr="00D5006C">
              <w:rPr>
                <w:rFonts w:cs="Arial"/>
                <w:sz w:val="20"/>
                <w:szCs w:val="20"/>
              </w:rPr>
              <w:t xml:space="preserve"> to ensure there is a valid results chain and coherent expression of the changes expected. Expected result targets should also be updated for future years. BEIS and IDB </w:t>
            </w:r>
            <w:r>
              <w:rPr>
                <w:rFonts w:cs="Arial"/>
                <w:sz w:val="20"/>
                <w:szCs w:val="20"/>
              </w:rPr>
              <w:t>should</w:t>
            </w:r>
            <w:r w:rsidRPr="00D5006C">
              <w:rPr>
                <w:rFonts w:cs="Arial"/>
                <w:sz w:val="20"/>
                <w:szCs w:val="20"/>
              </w:rPr>
              <w:t xml:space="preserve"> agree </w:t>
            </w:r>
            <w:r>
              <w:rPr>
                <w:rFonts w:cs="Arial"/>
                <w:sz w:val="20"/>
                <w:szCs w:val="20"/>
              </w:rPr>
              <w:t xml:space="preserve">the </w:t>
            </w:r>
            <w:r w:rsidRPr="00D5006C">
              <w:rPr>
                <w:rFonts w:cs="Arial"/>
                <w:sz w:val="20"/>
                <w:szCs w:val="20"/>
              </w:rPr>
              <w:t xml:space="preserve">revised </w:t>
            </w:r>
            <w:r w:rsidR="00891C30">
              <w:rPr>
                <w:rFonts w:cs="Arial"/>
                <w:sz w:val="20"/>
                <w:szCs w:val="20"/>
              </w:rPr>
              <w:t>log frame</w:t>
            </w:r>
            <w:r w:rsidRPr="00D5006C">
              <w:rPr>
                <w:rFonts w:cs="Arial"/>
                <w:sz w:val="20"/>
                <w:szCs w:val="20"/>
              </w:rPr>
              <w:t xml:space="preserve"> by October </w:t>
            </w:r>
            <w:r w:rsidR="009D61B3" w:rsidRPr="00D5006C">
              <w:rPr>
                <w:rFonts w:cs="Arial"/>
                <w:sz w:val="20"/>
                <w:szCs w:val="20"/>
              </w:rPr>
              <w:t>31,</w:t>
            </w:r>
            <w:r w:rsidRPr="00D5006C">
              <w:rPr>
                <w:rFonts w:cs="Arial"/>
                <w:sz w:val="20"/>
                <w:szCs w:val="20"/>
              </w:rPr>
              <w:t xml:space="preserve"> 2020.</w:t>
            </w:r>
          </w:p>
        </w:tc>
      </w:tr>
      <w:tr w:rsidR="00F40CDB" w:rsidRPr="00D5006C" w14:paraId="75B3F0CC" w14:textId="77777777" w:rsidTr="00536FE2">
        <w:tc>
          <w:tcPr>
            <w:tcW w:w="10485" w:type="dxa"/>
          </w:tcPr>
          <w:p w14:paraId="6F7EFCC4" w14:textId="38AE1800" w:rsidR="00F40CDB" w:rsidRPr="00D5006C" w:rsidRDefault="00F40CDB" w:rsidP="00191418">
            <w:pPr>
              <w:tabs>
                <w:tab w:val="left" w:pos="6915"/>
                <w:tab w:val="left" w:pos="9495"/>
              </w:tabs>
              <w:spacing w:before="120" w:after="120" w:line="276" w:lineRule="auto"/>
              <w:jc w:val="both"/>
              <w:rPr>
                <w:sz w:val="20"/>
                <w:szCs w:val="20"/>
              </w:rPr>
            </w:pPr>
            <w:r w:rsidRPr="00D5006C">
              <w:rPr>
                <w:b/>
                <w:bCs/>
                <w:sz w:val="20"/>
                <w:szCs w:val="20"/>
              </w:rPr>
              <w:lastRenderedPageBreak/>
              <w:t>R</w:t>
            </w:r>
            <w:r w:rsidR="009B0D05">
              <w:rPr>
                <w:b/>
                <w:bCs/>
                <w:sz w:val="20"/>
                <w:szCs w:val="20"/>
              </w:rPr>
              <w:t>3</w:t>
            </w:r>
            <w:r w:rsidRPr="00D5006C">
              <w:rPr>
                <w:b/>
                <w:bCs/>
                <w:sz w:val="20"/>
                <w:szCs w:val="20"/>
              </w:rPr>
              <w:t xml:space="preserve"> – Monitoring: </w:t>
            </w:r>
            <w:r w:rsidRPr="00D5006C">
              <w:rPr>
                <w:sz w:val="20"/>
                <w:szCs w:val="20"/>
              </w:rPr>
              <w:t xml:space="preserve">BEIS and IDB </w:t>
            </w:r>
            <w:r w:rsidR="00FE2EB4">
              <w:rPr>
                <w:sz w:val="20"/>
                <w:szCs w:val="20"/>
              </w:rPr>
              <w:t>to develop an agre</w:t>
            </w:r>
            <w:r w:rsidR="009F2ACE">
              <w:rPr>
                <w:sz w:val="20"/>
                <w:szCs w:val="20"/>
              </w:rPr>
              <w:t>e</w:t>
            </w:r>
            <w:r w:rsidR="00FE2EB4">
              <w:rPr>
                <w:sz w:val="20"/>
                <w:szCs w:val="20"/>
              </w:rPr>
              <w:t>d</w:t>
            </w:r>
            <w:r w:rsidRPr="00D5006C">
              <w:rPr>
                <w:sz w:val="20"/>
                <w:szCs w:val="20"/>
              </w:rPr>
              <w:t xml:space="preserve"> methodology for KPI15 </w:t>
            </w:r>
            <w:r w:rsidR="009F2ACE">
              <w:rPr>
                <w:sz w:val="20"/>
                <w:szCs w:val="20"/>
              </w:rPr>
              <w:t xml:space="preserve">by </w:t>
            </w:r>
            <w:r w:rsidR="00850D29">
              <w:rPr>
                <w:sz w:val="20"/>
                <w:szCs w:val="20"/>
              </w:rPr>
              <w:t>28</w:t>
            </w:r>
            <w:r w:rsidR="009F2ACE">
              <w:rPr>
                <w:sz w:val="20"/>
                <w:szCs w:val="20"/>
              </w:rPr>
              <w:t xml:space="preserve"> February 2021. </w:t>
            </w:r>
            <w:r w:rsidRPr="00D5006C">
              <w:rPr>
                <w:sz w:val="20"/>
                <w:szCs w:val="20"/>
              </w:rPr>
              <w:t>This will ensure clarity in SIP’s transformational aims and enable it to receive a KPI 15 (Transformation) rating in Year 3 of operation.</w:t>
            </w:r>
          </w:p>
        </w:tc>
      </w:tr>
      <w:tr w:rsidR="00F40CDB" w:rsidRPr="00D5006C" w14:paraId="434CD19B" w14:textId="77777777" w:rsidTr="00536FE2">
        <w:tc>
          <w:tcPr>
            <w:tcW w:w="10485" w:type="dxa"/>
          </w:tcPr>
          <w:p w14:paraId="1329BD38" w14:textId="33FE1737" w:rsidR="00F40CDB" w:rsidRPr="00D5006C" w:rsidRDefault="00F40CDB" w:rsidP="00191418">
            <w:pPr>
              <w:tabs>
                <w:tab w:val="left" w:pos="6915"/>
                <w:tab w:val="left" w:pos="9495"/>
              </w:tabs>
              <w:spacing w:before="120" w:after="120" w:line="276" w:lineRule="auto"/>
              <w:jc w:val="both"/>
              <w:rPr>
                <w:sz w:val="20"/>
                <w:szCs w:val="20"/>
              </w:rPr>
            </w:pPr>
            <w:r w:rsidRPr="00D5006C">
              <w:rPr>
                <w:b/>
                <w:bCs/>
                <w:sz w:val="20"/>
                <w:szCs w:val="20"/>
              </w:rPr>
              <w:t>R</w:t>
            </w:r>
            <w:r w:rsidR="009B0D05">
              <w:rPr>
                <w:b/>
                <w:bCs/>
                <w:sz w:val="20"/>
                <w:szCs w:val="20"/>
              </w:rPr>
              <w:t>4</w:t>
            </w:r>
            <w:r w:rsidRPr="00D5006C">
              <w:rPr>
                <w:b/>
                <w:bCs/>
                <w:sz w:val="20"/>
                <w:szCs w:val="20"/>
              </w:rPr>
              <w:t xml:space="preserve"> - Delivery: </w:t>
            </w:r>
            <w:r w:rsidR="00D93635" w:rsidRPr="00D93635">
              <w:rPr>
                <w:sz w:val="20"/>
                <w:szCs w:val="20"/>
              </w:rPr>
              <w:t xml:space="preserve">IDB </w:t>
            </w:r>
            <w:r w:rsidR="00BF56A0">
              <w:rPr>
                <w:sz w:val="20"/>
                <w:szCs w:val="20"/>
              </w:rPr>
              <w:t>to</w:t>
            </w:r>
            <w:r w:rsidR="00D93635" w:rsidRPr="00D93635">
              <w:rPr>
                <w:sz w:val="20"/>
                <w:szCs w:val="20"/>
              </w:rPr>
              <w:t xml:space="preserve"> </w:t>
            </w:r>
            <w:r w:rsidR="00AB44B3">
              <w:rPr>
                <w:sz w:val="20"/>
                <w:szCs w:val="20"/>
              </w:rPr>
              <w:t xml:space="preserve">draft and </w:t>
            </w:r>
            <w:r w:rsidR="00D93635" w:rsidRPr="00D93635">
              <w:rPr>
                <w:sz w:val="20"/>
                <w:szCs w:val="20"/>
              </w:rPr>
              <w:t>agree</w:t>
            </w:r>
            <w:r w:rsidR="00AB44B3">
              <w:rPr>
                <w:sz w:val="20"/>
                <w:szCs w:val="20"/>
              </w:rPr>
              <w:t xml:space="preserve"> with BEIS</w:t>
            </w:r>
            <w:r w:rsidR="00D93635" w:rsidRPr="00D93635">
              <w:rPr>
                <w:sz w:val="20"/>
                <w:szCs w:val="20"/>
              </w:rPr>
              <w:t xml:space="preserve"> a </w:t>
            </w:r>
            <w:r w:rsidR="00BF56A0">
              <w:rPr>
                <w:sz w:val="20"/>
                <w:szCs w:val="20"/>
              </w:rPr>
              <w:t xml:space="preserve">strategic outline for what SIP-LA will achieve in </w:t>
            </w:r>
            <w:r w:rsidR="00D93635" w:rsidRPr="00D93635">
              <w:rPr>
                <w:sz w:val="20"/>
                <w:szCs w:val="20"/>
              </w:rPr>
              <w:t xml:space="preserve">each </w:t>
            </w:r>
            <w:r w:rsidR="00BF56A0">
              <w:rPr>
                <w:sz w:val="20"/>
                <w:szCs w:val="20"/>
              </w:rPr>
              <w:t xml:space="preserve">of its partner </w:t>
            </w:r>
            <w:r w:rsidR="00D93635" w:rsidRPr="00D93635">
              <w:rPr>
                <w:sz w:val="20"/>
                <w:szCs w:val="20"/>
              </w:rPr>
              <w:t>countr</w:t>
            </w:r>
            <w:r w:rsidR="00BF56A0">
              <w:rPr>
                <w:sz w:val="20"/>
                <w:szCs w:val="20"/>
              </w:rPr>
              <w:t>ies</w:t>
            </w:r>
            <w:r w:rsidR="00D93635" w:rsidRPr="00D93635">
              <w:rPr>
                <w:sz w:val="20"/>
                <w:szCs w:val="20"/>
              </w:rPr>
              <w:t xml:space="preserve"> by 31 October 2020</w:t>
            </w:r>
            <w:r w:rsidR="00AC18BB">
              <w:rPr>
                <w:sz w:val="20"/>
                <w:szCs w:val="20"/>
              </w:rPr>
              <w:t>.</w:t>
            </w:r>
          </w:p>
        </w:tc>
      </w:tr>
      <w:tr w:rsidR="00122713" w:rsidRPr="00D5006C" w14:paraId="1F840A31" w14:textId="77777777" w:rsidTr="00536FE2">
        <w:tc>
          <w:tcPr>
            <w:tcW w:w="10485" w:type="dxa"/>
          </w:tcPr>
          <w:p w14:paraId="4B413466" w14:textId="6D8A4AAC" w:rsidR="00122713" w:rsidRPr="00D5006C" w:rsidRDefault="00122713" w:rsidP="00191418">
            <w:pPr>
              <w:tabs>
                <w:tab w:val="left" w:pos="6915"/>
                <w:tab w:val="left" w:pos="9495"/>
              </w:tabs>
              <w:spacing w:before="120" w:after="120" w:line="276" w:lineRule="auto"/>
              <w:jc w:val="both"/>
              <w:rPr>
                <w:b/>
                <w:bCs/>
                <w:sz w:val="20"/>
                <w:szCs w:val="20"/>
              </w:rPr>
            </w:pPr>
            <w:r w:rsidRPr="00122713">
              <w:rPr>
                <w:b/>
                <w:bCs/>
                <w:sz w:val="20"/>
                <w:szCs w:val="20"/>
              </w:rPr>
              <w:t>R</w:t>
            </w:r>
            <w:r w:rsidR="009B0D05">
              <w:rPr>
                <w:b/>
                <w:bCs/>
                <w:sz w:val="20"/>
                <w:szCs w:val="20"/>
              </w:rPr>
              <w:t>5</w:t>
            </w:r>
            <w:r>
              <w:rPr>
                <w:b/>
                <w:bCs/>
                <w:sz w:val="20"/>
                <w:szCs w:val="20"/>
              </w:rPr>
              <w:t xml:space="preserve"> – Delivery:</w:t>
            </w:r>
            <w:r w:rsidRPr="00122713">
              <w:rPr>
                <w:b/>
                <w:bCs/>
                <w:sz w:val="20"/>
                <w:szCs w:val="20"/>
              </w:rPr>
              <w:t xml:space="preserve"> </w:t>
            </w:r>
            <w:r w:rsidR="002E4A1A" w:rsidRPr="005F5508">
              <w:rPr>
                <w:sz w:val="20"/>
                <w:szCs w:val="20"/>
              </w:rPr>
              <w:t>Technical Advisors from both IDB and</w:t>
            </w:r>
            <w:r w:rsidR="002E4A1A">
              <w:rPr>
                <w:b/>
                <w:bCs/>
                <w:sz w:val="20"/>
                <w:szCs w:val="20"/>
              </w:rPr>
              <w:t xml:space="preserve"> </w:t>
            </w:r>
            <w:r w:rsidRPr="00122713">
              <w:rPr>
                <w:sz w:val="20"/>
                <w:szCs w:val="20"/>
              </w:rPr>
              <w:t xml:space="preserve">IDB </w:t>
            </w:r>
            <w:r w:rsidR="002E4A1A">
              <w:rPr>
                <w:sz w:val="20"/>
                <w:szCs w:val="20"/>
              </w:rPr>
              <w:t>Invest</w:t>
            </w:r>
            <w:r w:rsidRPr="00122713">
              <w:rPr>
                <w:sz w:val="20"/>
                <w:szCs w:val="20"/>
              </w:rPr>
              <w:t xml:space="preserve"> and </w:t>
            </w:r>
            <w:r w:rsidR="009D61B3">
              <w:rPr>
                <w:sz w:val="20"/>
                <w:szCs w:val="20"/>
              </w:rPr>
              <w:t>Country Climate Change</w:t>
            </w:r>
            <w:r w:rsidRPr="00122713">
              <w:rPr>
                <w:sz w:val="20"/>
                <w:szCs w:val="20"/>
              </w:rPr>
              <w:t xml:space="preserve"> </w:t>
            </w:r>
            <w:r w:rsidR="00F556B1">
              <w:rPr>
                <w:sz w:val="20"/>
                <w:szCs w:val="20"/>
              </w:rPr>
              <w:t>S</w:t>
            </w:r>
            <w:r w:rsidRPr="00122713">
              <w:rPr>
                <w:sz w:val="20"/>
                <w:szCs w:val="20"/>
              </w:rPr>
              <w:t>pecialists should attend monthly meetings with the four embassies effective immediately.</w:t>
            </w:r>
          </w:p>
        </w:tc>
      </w:tr>
      <w:tr w:rsidR="00F40CDB" w:rsidRPr="00D5006C" w14:paraId="4BBDA344" w14:textId="77777777" w:rsidTr="00536FE2">
        <w:tc>
          <w:tcPr>
            <w:tcW w:w="10485" w:type="dxa"/>
          </w:tcPr>
          <w:p w14:paraId="7511ECFD" w14:textId="506633F8" w:rsidR="00F40CDB" w:rsidRPr="00D5006C" w:rsidRDefault="00F40CDB" w:rsidP="00191418">
            <w:pPr>
              <w:tabs>
                <w:tab w:val="left" w:pos="6915"/>
                <w:tab w:val="left" w:pos="9495"/>
              </w:tabs>
              <w:spacing w:before="120" w:after="120" w:line="276" w:lineRule="auto"/>
              <w:jc w:val="both"/>
              <w:rPr>
                <w:b/>
                <w:bCs/>
                <w:sz w:val="20"/>
                <w:szCs w:val="20"/>
              </w:rPr>
            </w:pPr>
            <w:r w:rsidRPr="00D5006C">
              <w:rPr>
                <w:b/>
                <w:bCs/>
                <w:sz w:val="20"/>
                <w:szCs w:val="20"/>
              </w:rPr>
              <w:t>R</w:t>
            </w:r>
            <w:r w:rsidR="009B0D05">
              <w:rPr>
                <w:b/>
                <w:bCs/>
                <w:sz w:val="20"/>
                <w:szCs w:val="20"/>
              </w:rPr>
              <w:t>6</w:t>
            </w:r>
            <w:r w:rsidRPr="00D5006C">
              <w:rPr>
                <w:b/>
                <w:bCs/>
                <w:sz w:val="20"/>
                <w:szCs w:val="20"/>
              </w:rPr>
              <w:t xml:space="preserve"> – Evaluation: </w:t>
            </w:r>
            <w:r w:rsidR="004E399C">
              <w:t xml:space="preserve"> </w:t>
            </w:r>
            <w:r w:rsidR="004E399C" w:rsidRPr="004E399C">
              <w:rPr>
                <w:sz w:val="20"/>
                <w:szCs w:val="20"/>
              </w:rPr>
              <w:t xml:space="preserve">IDB should reference relevant evidence from key SIP-LA governance tools in proposals presented to BEIS, effective immediately </w:t>
            </w:r>
            <w:r w:rsidRPr="00D5006C">
              <w:rPr>
                <w:sz w:val="20"/>
                <w:szCs w:val="20"/>
              </w:rPr>
              <w:t xml:space="preserve"> </w:t>
            </w:r>
          </w:p>
        </w:tc>
      </w:tr>
      <w:tr w:rsidR="00F40CDB" w:rsidRPr="00D5006C" w14:paraId="73918AAA" w14:textId="77777777" w:rsidTr="00536FE2">
        <w:tc>
          <w:tcPr>
            <w:tcW w:w="10485" w:type="dxa"/>
          </w:tcPr>
          <w:p w14:paraId="452D3D32" w14:textId="102C3955" w:rsidR="00F40CDB" w:rsidRPr="00D5006C" w:rsidRDefault="00F40CDB" w:rsidP="00191418">
            <w:pPr>
              <w:spacing w:before="120" w:after="120" w:line="276" w:lineRule="auto"/>
              <w:jc w:val="both"/>
              <w:rPr>
                <w:rFonts w:cs="Arial"/>
                <w:sz w:val="20"/>
                <w:szCs w:val="20"/>
              </w:rPr>
            </w:pPr>
            <w:r w:rsidRPr="00D5006C">
              <w:rPr>
                <w:b/>
                <w:bCs/>
                <w:sz w:val="20"/>
                <w:szCs w:val="20"/>
              </w:rPr>
              <w:t>R</w:t>
            </w:r>
            <w:r w:rsidR="009B0D05">
              <w:rPr>
                <w:b/>
                <w:bCs/>
                <w:sz w:val="20"/>
                <w:szCs w:val="20"/>
              </w:rPr>
              <w:t>7</w:t>
            </w:r>
            <w:r w:rsidRPr="00D5006C">
              <w:rPr>
                <w:b/>
                <w:bCs/>
                <w:sz w:val="20"/>
                <w:szCs w:val="20"/>
              </w:rPr>
              <w:t xml:space="preserve"> – Visibility: </w:t>
            </w:r>
            <w:r w:rsidRPr="00D5006C">
              <w:rPr>
                <w:rFonts w:cs="Arial"/>
                <w:sz w:val="20"/>
                <w:szCs w:val="20"/>
              </w:rPr>
              <w:t xml:space="preserve">IDB should </w:t>
            </w:r>
            <w:r w:rsidR="00F556B1">
              <w:rPr>
                <w:rFonts w:cs="Arial"/>
                <w:sz w:val="20"/>
                <w:szCs w:val="20"/>
              </w:rPr>
              <w:t>com</w:t>
            </w:r>
            <w:r w:rsidR="00942BC8">
              <w:rPr>
                <w:rFonts w:cs="Arial"/>
                <w:sz w:val="20"/>
                <w:szCs w:val="20"/>
              </w:rPr>
              <w:t>m</w:t>
            </w:r>
            <w:r w:rsidR="00F556B1">
              <w:rPr>
                <w:rFonts w:cs="Arial"/>
                <w:sz w:val="20"/>
                <w:szCs w:val="20"/>
              </w:rPr>
              <w:t>ission</w:t>
            </w:r>
            <w:r w:rsidRPr="00D5006C">
              <w:rPr>
                <w:rFonts w:cs="Arial"/>
                <w:sz w:val="20"/>
                <w:szCs w:val="20"/>
              </w:rPr>
              <w:t xml:space="preserve"> a communication strategy for UK branding, </w:t>
            </w:r>
            <w:r w:rsidRPr="00D5006C" w:rsidDel="00A22648">
              <w:rPr>
                <w:rFonts w:cs="Arial"/>
                <w:sz w:val="20"/>
                <w:szCs w:val="20"/>
              </w:rPr>
              <w:t>visibility</w:t>
            </w:r>
            <w:r w:rsidRPr="00D5006C">
              <w:rPr>
                <w:rFonts w:cs="Arial"/>
                <w:sz w:val="20"/>
                <w:szCs w:val="20"/>
              </w:rPr>
              <w:t>, and positioning by 31 December 2020</w:t>
            </w:r>
            <w:r w:rsidR="00C05757">
              <w:rPr>
                <w:rFonts w:cs="Arial"/>
                <w:sz w:val="20"/>
                <w:szCs w:val="20"/>
              </w:rPr>
              <w:t xml:space="preserve"> and deliver this strategy by 31 January 2021.</w:t>
            </w:r>
          </w:p>
        </w:tc>
      </w:tr>
      <w:tr w:rsidR="00F40CDB" w:rsidRPr="00D5006C" w14:paraId="558AEFA1" w14:textId="77777777" w:rsidTr="00536FE2">
        <w:tc>
          <w:tcPr>
            <w:tcW w:w="10485" w:type="dxa"/>
          </w:tcPr>
          <w:p w14:paraId="3181A45A" w14:textId="1BB72F5C" w:rsidR="00F40CDB" w:rsidRPr="00D5006C" w:rsidRDefault="00F40CDB" w:rsidP="00191418">
            <w:pPr>
              <w:tabs>
                <w:tab w:val="left" w:pos="6915"/>
                <w:tab w:val="left" w:pos="9495"/>
              </w:tabs>
              <w:spacing w:before="120" w:after="120" w:line="276" w:lineRule="auto"/>
              <w:jc w:val="both"/>
              <w:rPr>
                <w:sz w:val="20"/>
                <w:szCs w:val="20"/>
              </w:rPr>
            </w:pPr>
            <w:r w:rsidRPr="00D5006C">
              <w:rPr>
                <w:b/>
                <w:bCs/>
                <w:sz w:val="20"/>
                <w:szCs w:val="20"/>
              </w:rPr>
              <w:t>R</w:t>
            </w:r>
            <w:r w:rsidR="009B0D05">
              <w:rPr>
                <w:b/>
                <w:bCs/>
                <w:sz w:val="20"/>
                <w:szCs w:val="20"/>
              </w:rPr>
              <w:t>8</w:t>
            </w:r>
            <w:r w:rsidRPr="00D5006C">
              <w:rPr>
                <w:b/>
                <w:bCs/>
                <w:sz w:val="20"/>
                <w:szCs w:val="20"/>
              </w:rPr>
              <w:t xml:space="preserve"> – Evaluation: </w:t>
            </w:r>
            <w:r w:rsidRPr="00D5006C">
              <w:rPr>
                <w:sz w:val="20"/>
                <w:szCs w:val="20"/>
              </w:rPr>
              <w:t xml:space="preserve">BEIS </w:t>
            </w:r>
            <w:r w:rsidR="00942BC8">
              <w:rPr>
                <w:sz w:val="20"/>
                <w:szCs w:val="20"/>
              </w:rPr>
              <w:t>to</w:t>
            </w:r>
            <w:r w:rsidRPr="00D5006C">
              <w:rPr>
                <w:sz w:val="20"/>
                <w:szCs w:val="20"/>
              </w:rPr>
              <w:t xml:space="preserve"> draft a timeframe and plan for the programme’s evaluation activities </w:t>
            </w:r>
            <w:r w:rsidR="00AA2BBA">
              <w:rPr>
                <w:sz w:val="20"/>
                <w:szCs w:val="20"/>
              </w:rPr>
              <w:t xml:space="preserve">for approval with </w:t>
            </w:r>
            <w:r w:rsidRPr="00D5006C">
              <w:rPr>
                <w:sz w:val="20"/>
                <w:szCs w:val="20"/>
              </w:rPr>
              <w:t>IDB by 31 December 2020.</w:t>
            </w:r>
            <w:r w:rsidRPr="00D5006C">
              <w:rPr>
                <w:b/>
                <w:sz w:val="20"/>
                <w:szCs w:val="20"/>
              </w:rPr>
              <w:t xml:space="preserve"> </w:t>
            </w:r>
          </w:p>
        </w:tc>
      </w:tr>
      <w:tr w:rsidR="00F40CDB" w:rsidRPr="00D5006C" w14:paraId="1F15C26D" w14:textId="77777777" w:rsidTr="00536FE2">
        <w:tc>
          <w:tcPr>
            <w:tcW w:w="10485" w:type="dxa"/>
          </w:tcPr>
          <w:p w14:paraId="007B8E7B" w14:textId="69A72942" w:rsidR="00F40CDB" w:rsidRPr="00D5006C" w:rsidRDefault="00EB5C1E" w:rsidP="00191418">
            <w:pPr>
              <w:tabs>
                <w:tab w:val="left" w:pos="6915"/>
                <w:tab w:val="left" w:pos="9495"/>
              </w:tabs>
              <w:spacing w:before="120" w:after="120" w:line="276" w:lineRule="auto"/>
              <w:jc w:val="both"/>
              <w:rPr>
                <w:sz w:val="20"/>
                <w:szCs w:val="20"/>
              </w:rPr>
            </w:pPr>
            <w:r>
              <w:rPr>
                <w:b/>
                <w:bCs/>
                <w:sz w:val="20"/>
                <w:szCs w:val="20"/>
              </w:rPr>
              <w:t>R</w:t>
            </w:r>
            <w:r w:rsidR="00122713">
              <w:rPr>
                <w:b/>
                <w:bCs/>
                <w:sz w:val="20"/>
                <w:szCs w:val="20"/>
              </w:rPr>
              <w:t>9</w:t>
            </w:r>
            <w:r>
              <w:rPr>
                <w:b/>
                <w:bCs/>
                <w:sz w:val="20"/>
                <w:szCs w:val="20"/>
              </w:rPr>
              <w:t xml:space="preserve">- </w:t>
            </w:r>
            <w:r w:rsidR="00F40CDB" w:rsidRPr="00D5006C">
              <w:rPr>
                <w:b/>
                <w:bCs/>
                <w:sz w:val="20"/>
                <w:szCs w:val="20"/>
              </w:rPr>
              <w:t>Risk</w:t>
            </w:r>
            <w:r>
              <w:rPr>
                <w:b/>
                <w:bCs/>
                <w:sz w:val="20"/>
                <w:szCs w:val="20"/>
              </w:rPr>
              <w:t xml:space="preserve">: </w:t>
            </w:r>
            <w:r w:rsidR="00565D87" w:rsidRPr="00565D87">
              <w:rPr>
                <w:sz w:val="20"/>
                <w:szCs w:val="20"/>
              </w:rPr>
              <w:t>IDB to monitor the impact of covid-19 on programme delivery and add a standing item to update to monthly programming meetings, effective immediately</w:t>
            </w:r>
          </w:p>
        </w:tc>
      </w:tr>
    </w:tbl>
    <w:p w14:paraId="259C6AA1" w14:textId="77777777" w:rsidR="00F40CDB" w:rsidRDefault="00F40CDB" w:rsidP="00F40CDB">
      <w:pPr>
        <w:tabs>
          <w:tab w:val="left" w:pos="6915"/>
          <w:tab w:val="left" w:pos="9495"/>
        </w:tabs>
        <w:spacing w:before="120" w:after="120" w:line="276" w:lineRule="auto"/>
        <w:jc w:val="both"/>
        <w:rPr>
          <w:sz w:val="22"/>
          <w:szCs w:val="22"/>
        </w:rPr>
      </w:pPr>
    </w:p>
    <w:p w14:paraId="318694A2" w14:textId="7CB37295" w:rsidR="00F40CDB" w:rsidRPr="00373026" w:rsidRDefault="00F40CDB" w:rsidP="00F40CDB">
      <w:pPr>
        <w:pStyle w:val="Heading2"/>
        <w:pBdr>
          <w:top w:val="single" w:sz="4" w:space="1" w:color="auto"/>
          <w:left w:val="single" w:sz="4" w:space="4" w:color="auto"/>
          <w:bottom w:val="single" w:sz="4" w:space="1" w:color="auto"/>
          <w:right w:val="single" w:sz="4" w:space="4" w:color="auto"/>
        </w:pBdr>
        <w:shd w:val="clear" w:color="auto" w:fill="D9E2F3" w:themeFill="accent1" w:themeFillTint="33"/>
        <w:spacing w:before="120" w:after="120" w:line="276" w:lineRule="auto"/>
        <w:jc w:val="both"/>
        <w:rPr>
          <w:b w:val="0"/>
          <w:i w:val="0"/>
          <w:sz w:val="22"/>
          <w:szCs w:val="22"/>
        </w:rPr>
      </w:pPr>
      <w:r w:rsidRPr="00373026">
        <w:rPr>
          <w:i w:val="0"/>
          <w:sz w:val="22"/>
          <w:szCs w:val="22"/>
        </w:rPr>
        <w:t xml:space="preserve">B: THEORY OF CHANGE AND PROGRESS TOWARDS OUTCOMES </w:t>
      </w:r>
    </w:p>
    <w:p w14:paraId="64D50454" w14:textId="77777777" w:rsidR="00F40CDB" w:rsidRDefault="00F40CDB" w:rsidP="00F40CDB">
      <w:pPr>
        <w:spacing w:before="120" w:after="120" w:line="276" w:lineRule="auto"/>
        <w:jc w:val="both"/>
        <w:rPr>
          <w:rFonts w:cs="Arial"/>
          <w:b/>
          <w:sz w:val="22"/>
          <w:szCs w:val="22"/>
        </w:rPr>
      </w:pPr>
      <w:r w:rsidRPr="00373026">
        <w:rPr>
          <w:rFonts w:cs="Arial"/>
          <w:b/>
          <w:sz w:val="22"/>
          <w:szCs w:val="22"/>
        </w:rPr>
        <w:t xml:space="preserve">Summarise the programme’s theory of change </w:t>
      </w:r>
    </w:p>
    <w:p w14:paraId="057B5A69" w14:textId="0FC60B72" w:rsidR="00F40CDB" w:rsidRPr="00F85C2F" w:rsidRDefault="00F40CDB" w:rsidP="00F40CDB">
      <w:pPr>
        <w:spacing w:before="120" w:after="120" w:line="276" w:lineRule="auto"/>
        <w:contextualSpacing/>
        <w:jc w:val="both"/>
        <w:textAlignment w:val="baseline"/>
        <w:rPr>
          <w:rFonts w:cs="Arial"/>
          <w:sz w:val="22"/>
          <w:szCs w:val="22"/>
          <w:lang w:eastAsia="en-GB"/>
        </w:rPr>
      </w:pPr>
      <w:r>
        <w:rPr>
          <w:rFonts w:eastAsia="Arial" w:cs="Arial"/>
          <w:sz w:val="22"/>
          <w:szCs w:val="22"/>
          <w:lang w:eastAsia="en-GB"/>
        </w:rPr>
        <w:t xml:space="preserve">SIP-LA </w:t>
      </w:r>
      <w:r w:rsidRPr="00F85C2F">
        <w:rPr>
          <w:rFonts w:eastAsia="Arial" w:cs="Arial"/>
          <w:sz w:val="22"/>
          <w:szCs w:val="22"/>
          <w:lang w:eastAsia="en-GB"/>
        </w:rPr>
        <w:t xml:space="preserve">delivers sustainable infrastructure projects where the perceived financial risk is high. The programme deploys </w:t>
      </w:r>
      <w:r w:rsidR="008C77B2">
        <w:rPr>
          <w:rFonts w:eastAsia="Arial,Times New Roman" w:cs="Arial"/>
          <w:sz w:val="22"/>
          <w:szCs w:val="22"/>
          <w:lang w:eastAsia="en-GB"/>
        </w:rPr>
        <w:t>technical assistance</w:t>
      </w:r>
      <w:r w:rsidRPr="00F85C2F">
        <w:rPr>
          <w:rFonts w:eastAsia="Arial,Times New Roman" w:cs="Arial"/>
          <w:sz w:val="22"/>
          <w:szCs w:val="22"/>
          <w:lang w:eastAsia="en-GB"/>
        </w:rPr>
        <w:t xml:space="preserve"> to overcome market barriers to investment alongside </w:t>
      </w:r>
      <w:r w:rsidR="00844C3D">
        <w:rPr>
          <w:rFonts w:eastAsia="Arial,Times New Roman" w:cs="Arial"/>
          <w:sz w:val="22"/>
          <w:szCs w:val="22"/>
          <w:lang w:eastAsia="en-GB"/>
        </w:rPr>
        <w:t>blended finance</w:t>
      </w:r>
      <w:r w:rsidRPr="00F85C2F">
        <w:rPr>
          <w:rFonts w:eastAsia="Arial,Times New Roman" w:cs="Arial"/>
          <w:sz w:val="22"/>
          <w:szCs w:val="22"/>
          <w:lang w:eastAsia="en-GB"/>
        </w:rPr>
        <w:t xml:space="preserve"> to leverage larger volumes of </w:t>
      </w:r>
      <w:r w:rsidRPr="00F85C2F">
        <w:rPr>
          <w:rFonts w:eastAsia="Arial" w:cs="Arial"/>
          <w:sz w:val="22"/>
          <w:szCs w:val="22"/>
          <w:lang w:eastAsia="en-GB"/>
        </w:rPr>
        <w:t>private capital into low-carbon projects.</w:t>
      </w:r>
      <w:r w:rsidR="00917B74">
        <w:rPr>
          <w:rFonts w:eastAsia="Arial" w:cs="Arial"/>
          <w:sz w:val="22"/>
          <w:szCs w:val="22"/>
          <w:lang w:eastAsia="en-GB"/>
        </w:rPr>
        <w:t xml:space="preserve"> These three components seek to achieve transformational change in the markets of </w:t>
      </w:r>
      <w:r w:rsidR="0036452E">
        <w:rPr>
          <w:rFonts w:eastAsia="Arial" w:cs="Arial"/>
          <w:sz w:val="22"/>
          <w:szCs w:val="22"/>
          <w:lang w:eastAsia="en-GB"/>
        </w:rPr>
        <w:t xml:space="preserve">Peru, Mexico, </w:t>
      </w:r>
      <w:r w:rsidR="008108C7">
        <w:rPr>
          <w:rFonts w:eastAsia="Arial" w:cs="Arial"/>
          <w:sz w:val="22"/>
          <w:szCs w:val="22"/>
          <w:lang w:eastAsia="en-GB"/>
        </w:rPr>
        <w:t>Brazil,</w:t>
      </w:r>
      <w:r w:rsidR="0036452E">
        <w:rPr>
          <w:rFonts w:eastAsia="Arial" w:cs="Arial"/>
          <w:sz w:val="22"/>
          <w:szCs w:val="22"/>
          <w:lang w:eastAsia="en-GB"/>
        </w:rPr>
        <w:t xml:space="preserve"> and Colombia across the duration of the pro</w:t>
      </w:r>
      <w:r w:rsidR="008108C7">
        <w:rPr>
          <w:rFonts w:eastAsia="Arial" w:cs="Arial"/>
          <w:sz w:val="22"/>
          <w:szCs w:val="22"/>
          <w:lang w:eastAsia="en-GB"/>
        </w:rPr>
        <w:t>g</w:t>
      </w:r>
      <w:r w:rsidR="0036452E">
        <w:rPr>
          <w:rFonts w:eastAsia="Arial" w:cs="Arial"/>
          <w:sz w:val="22"/>
          <w:szCs w:val="22"/>
          <w:lang w:eastAsia="en-GB"/>
        </w:rPr>
        <w:t>ramme.</w:t>
      </w:r>
      <w:r w:rsidRPr="00F85C2F">
        <w:rPr>
          <w:rFonts w:eastAsia="Arial" w:cs="Arial"/>
          <w:sz w:val="22"/>
          <w:szCs w:val="22"/>
          <w:lang w:eastAsia="en-GB"/>
        </w:rPr>
        <w:t xml:space="preserve"> </w:t>
      </w:r>
      <w:r w:rsidRPr="00F85C2F">
        <w:rPr>
          <w:rFonts w:eastAsia="Arial,Times New Roman" w:cs="Arial"/>
          <w:sz w:val="22"/>
          <w:szCs w:val="22"/>
          <w:lang w:eastAsia="en-GB"/>
        </w:rPr>
        <w:t>Getting projects off the ground by linking investment finance with </w:t>
      </w:r>
      <w:r w:rsidR="008C77B2">
        <w:rPr>
          <w:rFonts w:eastAsia="Arial,Times New Roman" w:cs="Arial"/>
          <w:sz w:val="22"/>
          <w:szCs w:val="22"/>
          <w:lang w:eastAsia="en-GB"/>
        </w:rPr>
        <w:t>technical assistance</w:t>
      </w:r>
      <w:r w:rsidRPr="00F85C2F">
        <w:rPr>
          <w:rFonts w:eastAsia="Arial,Times New Roman" w:cs="Arial"/>
          <w:sz w:val="22"/>
          <w:szCs w:val="22"/>
          <w:lang w:eastAsia="en-GB"/>
        </w:rPr>
        <w:t> is a key feature of the programme.</w:t>
      </w:r>
      <w:r w:rsidRPr="00F85C2F">
        <w:rPr>
          <w:rFonts w:cs="Arial"/>
          <w:sz w:val="22"/>
          <w:szCs w:val="22"/>
          <w:lang w:eastAsia="en-GB"/>
        </w:rPr>
        <w:t xml:space="preserve"> </w:t>
      </w:r>
    </w:p>
    <w:p w14:paraId="6848328D" w14:textId="77777777" w:rsidR="00F40CDB" w:rsidRPr="00F85C2F" w:rsidRDefault="00F40CDB" w:rsidP="00F40CDB">
      <w:pPr>
        <w:spacing w:before="120" w:after="120" w:line="276" w:lineRule="auto"/>
        <w:contextualSpacing/>
        <w:textAlignment w:val="baseline"/>
        <w:rPr>
          <w:rFonts w:cs="Arial"/>
          <w:sz w:val="22"/>
          <w:szCs w:val="22"/>
          <w:lang w:eastAsia="en-GB"/>
        </w:rPr>
      </w:pPr>
    </w:p>
    <w:p w14:paraId="34C84535" w14:textId="04C4B75A" w:rsidR="00F40CDB" w:rsidRPr="00574DC8" w:rsidRDefault="00F40CDB" w:rsidP="00F40CDB">
      <w:pPr>
        <w:spacing w:before="120" w:after="120" w:line="276" w:lineRule="auto"/>
        <w:contextualSpacing/>
        <w:jc w:val="both"/>
        <w:textAlignment w:val="baseline"/>
        <w:rPr>
          <w:rFonts w:cs="Arial"/>
          <w:sz w:val="22"/>
          <w:szCs w:val="22"/>
          <w:lang w:eastAsia="en-GB"/>
        </w:rPr>
      </w:pPr>
      <w:r>
        <w:rPr>
          <w:rFonts w:cs="Arial"/>
          <w:sz w:val="22"/>
          <w:szCs w:val="22"/>
          <w:lang w:eastAsia="en-GB"/>
        </w:rPr>
        <w:t xml:space="preserve">The programme works with countries experiencing </w:t>
      </w:r>
      <w:r w:rsidRPr="00F85C2F">
        <w:rPr>
          <w:rFonts w:cs="Arial"/>
          <w:sz w:val="22"/>
          <w:szCs w:val="22"/>
        </w:rPr>
        <w:t>rapid urbanis</w:t>
      </w:r>
      <w:r>
        <w:rPr>
          <w:rFonts w:cs="Arial"/>
          <w:sz w:val="22"/>
          <w:szCs w:val="22"/>
        </w:rPr>
        <w:t xml:space="preserve">ation and </w:t>
      </w:r>
      <w:r w:rsidRPr="00F85C2F">
        <w:rPr>
          <w:rFonts w:cs="Arial"/>
          <w:sz w:val="22"/>
          <w:szCs w:val="22"/>
        </w:rPr>
        <w:t>growing industrial activity</w:t>
      </w:r>
      <w:r>
        <w:rPr>
          <w:rFonts w:cs="Arial"/>
          <w:sz w:val="22"/>
          <w:szCs w:val="22"/>
        </w:rPr>
        <w:t xml:space="preserve"> </w:t>
      </w:r>
      <w:r w:rsidRPr="00F85C2F">
        <w:rPr>
          <w:rFonts w:cs="Arial"/>
          <w:sz w:val="22"/>
          <w:szCs w:val="22"/>
        </w:rPr>
        <w:t>to demonstrate that growth can be effectively decoupled from emissions.</w:t>
      </w:r>
      <w:r w:rsidRPr="00F85C2F">
        <w:rPr>
          <w:rFonts w:cs="Arial"/>
          <w:sz w:val="22"/>
          <w:szCs w:val="22"/>
          <w:lang w:eastAsia="en-GB"/>
        </w:rPr>
        <w:t xml:space="preserve"> </w:t>
      </w:r>
      <w:r w:rsidRPr="00C81357">
        <w:rPr>
          <w:rFonts w:cs="Arial"/>
          <w:sz w:val="22"/>
          <w:szCs w:val="22"/>
        </w:rPr>
        <w:t xml:space="preserve">Partnering with middle-income countries can </w:t>
      </w:r>
      <w:r>
        <w:rPr>
          <w:rFonts w:cs="Arial"/>
          <w:sz w:val="22"/>
          <w:szCs w:val="22"/>
        </w:rPr>
        <w:t>also provide</w:t>
      </w:r>
      <w:r w:rsidRPr="00C81357">
        <w:rPr>
          <w:rFonts w:cs="Arial"/>
          <w:sz w:val="22"/>
          <w:szCs w:val="22"/>
        </w:rPr>
        <w:t xml:space="preserve"> the necessary conditions for more difficult, complex, and innovative interventions. </w:t>
      </w:r>
      <w:r w:rsidRPr="00574DC8">
        <w:rPr>
          <w:rFonts w:cs="Arial"/>
          <w:sz w:val="22"/>
          <w:szCs w:val="22"/>
        </w:rPr>
        <w:t xml:space="preserve">The region </w:t>
      </w:r>
      <w:r>
        <w:rPr>
          <w:rFonts w:cs="Arial"/>
          <w:sz w:val="22"/>
          <w:szCs w:val="22"/>
        </w:rPr>
        <w:t xml:space="preserve">also </w:t>
      </w:r>
      <w:r w:rsidRPr="00574DC8">
        <w:rPr>
          <w:rFonts w:cs="Arial"/>
          <w:sz w:val="22"/>
          <w:szCs w:val="22"/>
        </w:rPr>
        <w:t xml:space="preserve">presents opportunities for the UK to </w:t>
      </w:r>
      <w:r>
        <w:rPr>
          <w:rFonts w:cs="Arial"/>
          <w:sz w:val="22"/>
          <w:szCs w:val="22"/>
        </w:rPr>
        <w:t xml:space="preserve">strengthen the coherence of UK programming and amplify </w:t>
      </w:r>
      <w:r w:rsidRPr="00574DC8">
        <w:rPr>
          <w:rFonts w:cs="Arial"/>
          <w:sz w:val="22"/>
          <w:szCs w:val="22"/>
        </w:rPr>
        <w:t xml:space="preserve">existing climate diplomacy efforts. </w:t>
      </w:r>
    </w:p>
    <w:p w14:paraId="0213D102" w14:textId="77777777" w:rsidR="00F40CDB" w:rsidRPr="008E2991" w:rsidRDefault="00F40CDB" w:rsidP="00F40CDB">
      <w:pPr>
        <w:spacing w:before="120" w:after="120" w:line="276" w:lineRule="auto"/>
        <w:contextualSpacing/>
        <w:textAlignment w:val="baseline"/>
        <w:rPr>
          <w:rFonts w:cs="Arial"/>
          <w:iCs/>
          <w:sz w:val="22"/>
          <w:szCs w:val="22"/>
          <w:lang w:eastAsia="en-GB"/>
        </w:rPr>
      </w:pPr>
    </w:p>
    <w:p w14:paraId="2BF0A347" w14:textId="67A57C8B" w:rsidR="00F40CDB" w:rsidRDefault="00F40CDB" w:rsidP="00F40CDB">
      <w:pPr>
        <w:snapToGrid w:val="0"/>
        <w:spacing w:before="120" w:after="120" w:line="276" w:lineRule="auto"/>
        <w:jc w:val="both"/>
        <w:rPr>
          <w:rFonts w:cs="Arial"/>
          <w:color w:val="000000"/>
          <w:sz w:val="22"/>
          <w:szCs w:val="22"/>
        </w:rPr>
      </w:pPr>
      <w:r>
        <w:rPr>
          <w:rFonts w:cs="Arial"/>
          <w:bCs/>
          <w:color w:val="000000"/>
          <w:sz w:val="22"/>
          <w:szCs w:val="22"/>
        </w:rPr>
        <w:t xml:space="preserve">Public sector </w:t>
      </w:r>
      <w:r w:rsidR="008C77B2">
        <w:rPr>
          <w:rFonts w:cs="Arial"/>
          <w:bCs/>
          <w:color w:val="000000"/>
          <w:sz w:val="22"/>
          <w:szCs w:val="22"/>
        </w:rPr>
        <w:t>technical assistance</w:t>
      </w:r>
      <w:r>
        <w:rPr>
          <w:rFonts w:cs="Arial"/>
          <w:bCs/>
          <w:color w:val="000000"/>
          <w:sz w:val="22"/>
          <w:szCs w:val="22"/>
        </w:rPr>
        <w:t xml:space="preserve"> activities are designed to s</w:t>
      </w:r>
      <w:r w:rsidRPr="0083164F">
        <w:rPr>
          <w:rFonts w:cs="Arial"/>
          <w:color w:val="000000"/>
          <w:sz w:val="22"/>
          <w:szCs w:val="22"/>
        </w:rPr>
        <w:t xml:space="preserve">upport partner governments build the right regulatory frameworks e.g. legal advice to standardise Power Purchase Agreements, assistance to design feed-in tariffs or </w:t>
      </w:r>
      <w:r>
        <w:rPr>
          <w:rFonts w:cs="Arial"/>
          <w:color w:val="000000"/>
          <w:sz w:val="22"/>
          <w:szCs w:val="22"/>
        </w:rPr>
        <w:t xml:space="preserve">expertise in conducting </w:t>
      </w:r>
      <w:r w:rsidRPr="0083164F">
        <w:rPr>
          <w:rFonts w:cs="Arial"/>
          <w:color w:val="000000"/>
          <w:sz w:val="22"/>
          <w:szCs w:val="22"/>
        </w:rPr>
        <w:t>renewable energy auctions.</w:t>
      </w:r>
      <w:r>
        <w:rPr>
          <w:rFonts w:cs="Arial"/>
          <w:color w:val="000000"/>
          <w:sz w:val="22"/>
          <w:szCs w:val="22"/>
        </w:rPr>
        <w:t xml:space="preserve"> </w:t>
      </w:r>
      <w:r>
        <w:rPr>
          <w:rFonts w:cs="Arial"/>
          <w:bCs/>
          <w:color w:val="000000"/>
          <w:sz w:val="22"/>
          <w:szCs w:val="22"/>
        </w:rPr>
        <w:t xml:space="preserve">Private sector </w:t>
      </w:r>
      <w:r w:rsidR="008C77B2">
        <w:rPr>
          <w:rFonts w:cs="Arial"/>
          <w:bCs/>
          <w:color w:val="000000"/>
          <w:sz w:val="22"/>
          <w:szCs w:val="22"/>
        </w:rPr>
        <w:t>technical assistance</w:t>
      </w:r>
      <w:r w:rsidRPr="0083164F">
        <w:rPr>
          <w:rFonts w:cs="Arial"/>
          <w:bCs/>
          <w:color w:val="000000"/>
          <w:sz w:val="22"/>
          <w:szCs w:val="22"/>
        </w:rPr>
        <w:t xml:space="preserve"> </w:t>
      </w:r>
      <w:r>
        <w:rPr>
          <w:rFonts w:cs="Arial"/>
          <w:bCs/>
          <w:color w:val="000000"/>
          <w:sz w:val="22"/>
          <w:szCs w:val="22"/>
        </w:rPr>
        <w:t xml:space="preserve">activities are designed to </w:t>
      </w:r>
      <w:r w:rsidRPr="0083164F">
        <w:rPr>
          <w:rFonts w:cs="Arial"/>
          <w:color w:val="000000"/>
          <w:sz w:val="22"/>
          <w:szCs w:val="22"/>
        </w:rPr>
        <w:t xml:space="preserve">tackle barriers to </w:t>
      </w:r>
      <w:r>
        <w:rPr>
          <w:rFonts w:cs="Arial"/>
          <w:color w:val="000000"/>
          <w:sz w:val="22"/>
          <w:szCs w:val="22"/>
        </w:rPr>
        <w:t xml:space="preserve">private </w:t>
      </w:r>
      <w:r w:rsidRPr="0083164F">
        <w:rPr>
          <w:rFonts w:cs="Arial"/>
          <w:color w:val="000000"/>
          <w:sz w:val="22"/>
          <w:szCs w:val="22"/>
        </w:rPr>
        <w:t xml:space="preserve">investment in </w:t>
      </w:r>
      <w:r>
        <w:rPr>
          <w:rFonts w:cs="Arial"/>
          <w:color w:val="000000"/>
          <w:sz w:val="22"/>
          <w:szCs w:val="22"/>
        </w:rPr>
        <w:t xml:space="preserve">sustainable infrastructure </w:t>
      </w:r>
      <w:r w:rsidRPr="0083164F">
        <w:rPr>
          <w:rFonts w:cs="Arial"/>
          <w:color w:val="000000"/>
          <w:sz w:val="22"/>
          <w:szCs w:val="22"/>
        </w:rPr>
        <w:t xml:space="preserve">e.g. </w:t>
      </w:r>
      <w:r w:rsidRPr="0083164F">
        <w:rPr>
          <w:rFonts w:cs="Arial"/>
          <w:color w:val="000000"/>
          <w:sz w:val="22"/>
          <w:szCs w:val="22"/>
          <w:lang w:val="en-US"/>
        </w:rPr>
        <w:t xml:space="preserve">legal and financial advisory services for project structuring. This could also include training for commercial banks and stock exchanges on green bond standards and issuances. These activities are </w:t>
      </w:r>
      <w:r>
        <w:rPr>
          <w:rFonts w:cs="Arial"/>
          <w:color w:val="000000"/>
          <w:sz w:val="22"/>
          <w:szCs w:val="22"/>
          <w:lang w:val="en-US"/>
        </w:rPr>
        <w:t xml:space="preserve">also </w:t>
      </w:r>
      <w:r w:rsidRPr="0083164F">
        <w:rPr>
          <w:rFonts w:cs="Arial"/>
          <w:color w:val="000000"/>
          <w:sz w:val="22"/>
          <w:szCs w:val="22"/>
          <w:lang w:val="en-US"/>
        </w:rPr>
        <w:t xml:space="preserve">informed by a series of private sector engagement events such as </w:t>
      </w:r>
      <w:r>
        <w:rPr>
          <w:rFonts w:cs="Arial"/>
          <w:color w:val="000000"/>
          <w:sz w:val="22"/>
          <w:szCs w:val="22"/>
          <w:lang w:val="en-US"/>
        </w:rPr>
        <w:t>i</w:t>
      </w:r>
      <w:r w:rsidRPr="0083164F">
        <w:rPr>
          <w:rFonts w:cs="Arial"/>
          <w:color w:val="000000"/>
          <w:sz w:val="22"/>
          <w:szCs w:val="22"/>
          <w:lang w:val="en-US"/>
        </w:rPr>
        <w:t xml:space="preserve">nvestor </w:t>
      </w:r>
      <w:r>
        <w:rPr>
          <w:rFonts w:cs="Arial"/>
          <w:color w:val="000000"/>
          <w:sz w:val="22"/>
          <w:szCs w:val="22"/>
          <w:lang w:val="en-US"/>
        </w:rPr>
        <w:t>r</w:t>
      </w:r>
      <w:r w:rsidRPr="0083164F">
        <w:rPr>
          <w:rFonts w:cs="Arial"/>
          <w:color w:val="000000"/>
          <w:sz w:val="22"/>
          <w:szCs w:val="22"/>
          <w:lang w:val="en-US"/>
        </w:rPr>
        <w:t xml:space="preserve">oundtables. </w:t>
      </w:r>
    </w:p>
    <w:p w14:paraId="49B499E2" w14:textId="77777777" w:rsidR="00F40CDB" w:rsidRPr="00BB0DF5" w:rsidRDefault="00F40CDB" w:rsidP="00F40CDB">
      <w:pPr>
        <w:spacing w:before="120" w:after="120" w:line="276" w:lineRule="auto"/>
        <w:jc w:val="both"/>
        <w:rPr>
          <w:rFonts w:cs="Arial"/>
          <w:sz w:val="22"/>
          <w:szCs w:val="22"/>
        </w:rPr>
      </w:pPr>
      <w:r>
        <w:rPr>
          <w:rFonts w:cs="Arial"/>
          <w:color w:val="000000"/>
          <w:sz w:val="22"/>
          <w:szCs w:val="22"/>
        </w:rPr>
        <w:t xml:space="preserve">The programme </w:t>
      </w:r>
      <w:r w:rsidRPr="0071245C">
        <w:rPr>
          <w:rFonts w:cs="Arial"/>
          <w:color w:val="000000"/>
          <w:sz w:val="22"/>
          <w:szCs w:val="22"/>
        </w:rPr>
        <w:t xml:space="preserve">strategically deploys concessional finance to de-risk and attract private investment into novel </w:t>
      </w:r>
      <w:r>
        <w:rPr>
          <w:rFonts w:cs="Arial"/>
          <w:color w:val="000000"/>
          <w:sz w:val="22"/>
          <w:szCs w:val="22"/>
        </w:rPr>
        <w:t xml:space="preserve">and innovative </w:t>
      </w:r>
      <w:r w:rsidRPr="0071245C">
        <w:rPr>
          <w:rFonts w:cs="Arial"/>
          <w:color w:val="000000"/>
          <w:sz w:val="22"/>
          <w:szCs w:val="22"/>
        </w:rPr>
        <w:t xml:space="preserve">projects. </w:t>
      </w:r>
      <w:r w:rsidRPr="0071245C">
        <w:rPr>
          <w:rFonts w:cs="Arial"/>
          <w:color w:val="000000"/>
          <w:sz w:val="22"/>
          <w:szCs w:val="22"/>
          <w:lang w:val="en-US"/>
        </w:rPr>
        <w:t xml:space="preserve">Relatively small injections of funding are deployed on concessional terms to leverage larger volumes of private capital into sustainable infrastructure. </w:t>
      </w:r>
      <w:r w:rsidRPr="0071245C">
        <w:rPr>
          <w:rFonts w:cs="Arial"/>
          <w:color w:val="000000"/>
          <w:sz w:val="22"/>
          <w:szCs w:val="22"/>
        </w:rPr>
        <w:t>These projects are not</w:t>
      </w:r>
      <w:r>
        <w:rPr>
          <w:rFonts w:cs="Arial"/>
          <w:color w:val="000000"/>
          <w:sz w:val="22"/>
          <w:szCs w:val="22"/>
        </w:rPr>
        <w:t xml:space="preserve"> currently </w:t>
      </w:r>
      <w:r w:rsidRPr="0071245C">
        <w:rPr>
          <w:rFonts w:cs="Arial"/>
          <w:color w:val="000000"/>
          <w:sz w:val="22"/>
          <w:szCs w:val="22"/>
        </w:rPr>
        <w:t>being financed by the market as commercial investors consider the financial risks too high.</w:t>
      </w:r>
    </w:p>
    <w:p w14:paraId="064CB2C1" w14:textId="409DCB1A" w:rsidR="00F40CDB" w:rsidRPr="00373026" w:rsidRDefault="00F40CDB" w:rsidP="00F40CDB">
      <w:pPr>
        <w:spacing w:before="120" w:after="120" w:line="276" w:lineRule="auto"/>
        <w:jc w:val="both"/>
        <w:rPr>
          <w:rFonts w:eastAsiaTheme="minorHAnsi" w:cs="Arial"/>
          <w:b/>
          <w:sz w:val="22"/>
          <w:szCs w:val="22"/>
        </w:rPr>
      </w:pPr>
      <w:r w:rsidRPr="00373026">
        <w:rPr>
          <w:rFonts w:eastAsiaTheme="minorHAnsi" w:cs="Arial"/>
          <w:b/>
          <w:sz w:val="22"/>
          <w:szCs w:val="22"/>
        </w:rPr>
        <w:t>Rating</w:t>
      </w:r>
      <w:r>
        <w:rPr>
          <w:rFonts w:eastAsiaTheme="minorHAnsi" w:cs="Arial"/>
          <w:b/>
          <w:sz w:val="22"/>
          <w:szCs w:val="22"/>
        </w:rPr>
        <w:t xml:space="preserve"> of transformational impact (KPI 15)</w:t>
      </w:r>
      <w:r w:rsidRPr="00373026">
        <w:rPr>
          <w:rFonts w:eastAsiaTheme="minorHAnsi" w:cs="Arial"/>
          <w:b/>
          <w:sz w:val="22"/>
          <w:szCs w:val="22"/>
        </w:rPr>
        <w:t xml:space="preserve"> </w:t>
      </w:r>
    </w:p>
    <w:p w14:paraId="07051174" w14:textId="23680BF5" w:rsidR="00F40CDB" w:rsidRDefault="00F40CDB" w:rsidP="00F40CDB">
      <w:pPr>
        <w:spacing w:before="120" w:after="120" w:line="276" w:lineRule="auto"/>
        <w:jc w:val="both"/>
        <w:rPr>
          <w:rFonts w:eastAsiaTheme="minorHAnsi" w:cs="Arial"/>
          <w:sz w:val="22"/>
          <w:szCs w:val="22"/>
        </w:rPr>
      </w:pPr>
      <w:r w:rsidRPr="00373026">
        <w:rPr>
          <w:rFonts w:eastAsiaTheme="minorHAnsi" w:cs="Arial"/>
          <w:sz w:val="22"/>
          <w:szCs w:val="22"/>
        </w:rPr>
        <w:lastRenderedPageBreak/>
        <w:t xml:space="preserve">There is currently insufficient evidence to assess the likelihood of transformational impact due to the programme’s early stage in operation and delays to programming. The programme is therefore rated 1 – no evidence yet available. </w:t>
      </w:r>
    </w:p>
    <w:p w14:paraId="53ED7A60" w14:textId="77777777" w:rsidR="00F40CDB" w:rsidRPr="00373026" w:rsidRDefault="00F40CDB" w:rsidP="00F40CDB">
      <w:pPr>
        <w:spacing w:before="120" w:after="120" w:line="276" w:lineRule="auto"/>
        <w:jc w:val="both"/>
        <w:rPr>
          <w:rFonts w:cs="Arial"/>
          <w:bCs/>
          <w:sz w:val="22"/>
          <w:szCs w:val="22"/>
        </w:rPr>
      </w:pPr>
      <w:r w:rsidRPr="00373026">
        <w:rPr>
          <w:rFonts w:cs="Arial"/>
          <w:b/>
          <w:bCs/>
          <w:sz w:val="22"/>
          <w:szCs w:val="22"/>
        </w:rPr>
        <w:t xml:space="preserve">Describe where the programme is on/off track to contribute to the expected outcomes and impact. What action is planned in </w:t>
      </w:r>
      <w:r w:rsidRPr="00373026">
        <w:rPr>
          <w:rFonts w:cs="Arial"/>
          <w:b/>
          <w:sz w:val="22"/>
          <w:szCs w:val="22"/>
        </w:rPr>
        <w:t>the year ahead?</w:t>
      </w:r>
      <w:r w:rsidRPr="00373026">
        <w:rPr>
          <w:rFonts w:cs="Arial"/>
          <w:bCs/>
          <w:sz w:val="22"/>
          <w:szCs w:val="22"/>
        </w:rPr>
        <w:t xml:space="preserve"> </w:t>
      </w:r>
    </w:p>
    <w:p w14:paraId="587C9E39" w14:textId="0668F4A6" w:rsidR="00F40CDB" w:rsidRDefault="006B3EF7" w:rsidP="00F40CDB">
      <w:pPr>
        <w:spacing w:before="120" w:after="120" w:line="276" w:lineRule="auto"/>
        <w:jc w:val="both"/>
        <w:rPr>
          <w:rFonts w:cs="Arial"/>
          <w:bCs/>
          <w:sz w:val="22"/>
          <w:szCs w:val="22"/>
        </w:rPr>
      </w:pPr>
      <w:r>
        <w:rPr>
          <w:rFonts w:cs="Arial"/>
          <w:bCs/>
          <w:sz w:val="22"/>
          <w:szCs w:val="22"/>
        </w:rPr>
        <w:t xml:space="preserve">There are </w:t>
      </w:r>
      <w:r w:rsidR="006E5BF0">
        <w:rPr>
          <w:rFonts w:cs="Arial"/>
          <w:bCs/>
          <w:sz w:val="22"/>
          <w:szCs w:val="22"/>
        </w:rPr>
        <w:t xml:space="preserve">not </w:t>
      </w:r>
      <w:r>
        <w:rPr>
          <w:rFonts w:cs="Arial"/>
          <w:bCs/>
          <w:sz w:val="22"/>
          <w:szCs w:val="22"/>
        </w:rPr>
        <w:t>currently any</w:t>
      </w:r>
      <w:r w:rsidR="00576E65">
        <w:rPr>
          <w:rFonts w:cs="Arial"/>
          <w:bCs/>
          <w:sz w:val="22"/>
          <w:szCs w:val="22"/>
        </w:rPr>
        <w:t xml:space="preserve"> milestones for </w:t>
      </w:r>
      <w:r w:rsidR="00844C3D">
        <w:rPr>
          <w:rFonts w:cs="Arial"/>
          <w:bCs/>
          <w:sz w:val="22"/>
          <w:szCs w:val="22"/>
        </w:rPr>
        <w:t>Output</w:t>
      </w:r>
      <w:r w:rsidR="00576E65">
        <w:rPr>
          <w:rFonts w:cs="Arial"/>
          <w:bCs/>
          <w:sz w:val="22"/>
          <w:szCs w:val="22"/>
        </w:rPr>
        <w:t xml:space="preserve"> 2 which measures </w:t>
      </w:r>
      <w:r w:rsidR="00844C3D">
        <w:rPr>
          <w:rFonts w:cs="Arial"/>
          <w:bCs/>
          <w:sz w:val="22"/>
          <w:szCs w:val="22"/>
        </w:rPr>
        <w:t>blended finance</w:t>
      </w:r>
      <w:r w:rsidR="006E5BF0">
        <w:rPr>
          <w:rFonts w:cs="Arial"/>
          <w:bCs/>
          <w:sz w:val="22"/>
          <w:szCs w:val="22"/>
        </w:rPr>
        <w:t>.</w:t>
      </w:r>
      <w:r w:rsidR="00AC379D">
        <w:rPr>
          <w:rFonts w:cs="Arial"/>
          <w:bCs/>
          <w:sz w:val="22"/>
          <w:szCs w:val="22"/>
        </w:rPr>
        <w:t xml:space="preserve"> </w:t>
      </w:r>
      <w:r w:rsidR="006E5BF0">
        <w:rPr>
          <w:rFonts w:cs="Arial"/>
          <w:bCs/>
          <w:sz w:val="22"/>
          <w:szCs w:val="22"/>
        </w:rPr>
        <w:t>H</w:t>
      </w:r>
      <w:r w:rsidR="00AC379D">
        <w:rPr>
          <w:rFonts w:cs="Arial"/>
          <w:bCs/>
          <w:sz w:val="22"/>
          <w:szCs w:val="22"/>
        </w:rPr>
        <w:t>owever</w:t>
      </w:r>
      <w:r w:rsidR="006E5BF0">
        <w:rPr>
          <w:rFonts w:cs="Arial"/>
          <w:bCs/>
          <w:sz w:val="22"/>
          <w:szCs w:val="22"/>
        </w:rPr>
        <w:t>,</w:t>
      </w:r>
      <w:r w:rsidR="00AC379D">
        <w:rPr>
          <w:rFonts w:cs="Arial"/>
          <w:bCs/>
          <w:sz w:val="22"/>
          <w:szCs w:val="22"/>
        </w:rPr>
        <w:t xml:space="preserve"> a lack of investments in 2018/19 indicates </w:t>
      </w:r>
      <w:r w:rsidR="006E5BF0">
        <w:rPr>
          <w:rFonts w:cs="Arial"/>
          <w:bCs/>
          <w:sz w:val="22"/>
          <w:szCs w:val="22"/>
        </w:rPr>
        <w:t xml:space="preserve">that </w:t>
      </w:r>
      <w:r w:rsidR="00AC379D">
        <w:rPr>
          <w:rFonts w:cs="Arial"/>
          <w:bCs/>
          <w:sz w:val="22"/>
          <w:szCs w:val="22"/>
        </w:rPr>
        <w:t xml:space="preserve">there is a risk that the programme will not achieve </w:t>
      </w:r>
      <w:r w:rsidR="006E5BF0">
        <w:rPr>
          <w:rFonts w:cs="Arial"/>
          <w:bCs/>
          <w:sz w:val="22"/>
          <w:szCs w:val="22"/>
        </w:rPr>
        <w:t xml:space="preserve">its </w:t>
      </w:r>
      <w:r w:rsidR="00AC379D">
        <w:rPr>
          <w:rFonts w:cs="Arial"/>
          <w:bCs/>
          <w:sz w:val="22"/>
          <w:szCs w:val="22"/>
        </w:rPr>
        <w:t xml:space="preserve">expected results by the end of the programme (November 2022). </w:t>
      </w:r>
      <w:r w:rsidR="007B6D69">
        <w:rPr>
          <w:rFonts w:cs="Arial"/>
          <w:bCs/>
          <w:sz w:val="22"/>
          <w:szCs w:val="22"/>
        </w:rPr>
        <w:t xml:space="preserve">The programme is on track in relation to </w:t>
      </w:r>
      <w:r w:rsidR="008C77B2">
        <w:rPr>
          <w:rFonts w:cs="Arial"/>
          <w:bCs/>
          <w:sz w:val="22"/>
          <w:szCs w:val="22"/>
        </w:rPr>
        <w:t>technical assistance</w:t>
      </w:r>
      <w:r w:rsidR="00A27184">
        <w:rPr>
          <w:rFonts w:cs="Arial"/>
          <w:bCs/>
          <w:sz w:val="22"/>
          <w:szCs w:val="22"/>
        </w:rPr>
        <w:t xml:space="preserve"> (</w:t>
      </w:r>
      <w:r w:rsidR="00844C3D">
        <w:rPr>
          <w:rFonts w:cs="Arial"/>
          <w:bCs/>
          <w:sz w:val="22"/>
          <w:szCs w:val="22"/>
        </w:rPr>
        <w:t>Output</w:t>
      </w:r>
      <w:r w:rsidR="00A27184">
        <w:rPr>
          <w:rFonts w:cs="Arial"/>
          <w:bCs/>
          <w:sz w:val="22"/>
          <w:szCs w:val="22"/>
        </w:rPr>
        <w:t xml:space="preserve"> 1)</w:t>
      </w:r>
      <w:r w:rsidR="007B6D69">
        <w:rPr>
          <w:rFonts w:cs="Arial"/>
          <w:bCs/>
          <w:sz w:val="22"/>
          <w:szCs w:val="22"/>
        </w:rPr>
        <w:t xml:space="preserve"> at both the </w:t>
      </w:r>
      <w:r w:rsidR="00844C3D">
        <w:rPr>
          <w:rFonts w:cs="Arial"/>
          <w:bCs/>
          <w:sz w:val="22"/>
          <w:szCs w:val="22"/>
        </w:rPr>
        <w:t>output</w:t>
      </w:r>
      <w:r w:rsidR="007B6D69">
        <w:rPr>
          <w:rFonts w:cs="Arial"/>
          <w:bCs/>
          <w:sz w:val="22"/>
          <w:szCs w:val="22"/>
        </w:rPr>
        <w:t xml:space="preserve"> and outcome level. Three out of four of the </w:t>
      </w:r>
      <w:r w:rsidR="008C77B2">
        <w:rPr>
          <w:rFonts w:cs="Arial"/>
          <w:bCs/>
          <w:sz w:val="22"/>
          <w:szCs w:val="22"/>
        </w:rPr>
        <w:t>technical assistance</w:t>
      </w:r>
      <w:r w:rsidR="007B6D69">
        <w:rPr>
          <w:rFonts w:cs="Arial"/>
          <w:bCs/>
          <w:sz w:val="22"/>
          <w:szCs w:val="22"/>
        </w:rPr>
        <w:t xml:space="preserve"> </w:t>
      </w:r>
      <w:r w:rsidR="00844C3D">
        <w:rPr>
          <w:rFonts w:cs="Arial"/>
          <w:bCs/>
          <w:sz w:val="22"/>
          <w:szCs w:val="22"/>
        </w:rPr>
        <w:t>Output</w:t>
      </w:r>
      <w:r w:rsidR="007B6D69">
        <w:rPr>
          <w:rFonts w:cs="Arial"/>
          <w:bCs/>
          <w:sz w:val="22"/>
          <w:szCs w:val="22"/>
        </w:rPr>
        <w:t xml:space="preserve"> indicators surpassed expected targets in 2019. </w:t>
      </w:r>
      <w:r w:rsidR="00F40CDB">
        <w:rPr>
          <w:rFonts w:cs="Arial"/>
          <w:bCs/>
          <w:sz w:val="22"/>
          <w:szCs w:val="22"/>
        </w:rPr>
        <w:t xml:space="preserve">The reprofiling of the </w:t>
      </w:r>
      <w:r w:rsidR="00844C3D">
        <w:rPr>
          <w:rFonts w:cs="Arial"/>
          <w:bCs/>
          <w:sz w:val="22"/>
          <w:szCs w:val="22"/>
        </w:rPr>
        <w:t>blended finance</w:t>
      </w:r>
      <w:r w:rsidR="00F40CDB">
        <w:rPr>
          <w:rFonts w:cs="Arial"/>
          <w:bCs/>
          <w:sz w:val="22"/>
          <w:szCs w:val="22"/>
        </w:rPr>
        <w:t xml:space="preserve"> milestones will improve the accuracy of future programme monitoring. </w:t>
      </w:r>
      <w:r w:rsidR="0071601B">
        <w:rPr>
          <w:rFonts w:cs="Arial"/>
          <w:bCs/>
          <w:sz w:val="22"/>
          <w:szCs w:val="22"/>
        </w:rPr>
        <w:t xml:space="preserve">Slow progress </w:t>
      </w:r>
      <w:r w:rsidR="00F40CDB">
        <w:rPr>
          <w:rFonts w:cs="Arial"/>
          <w:bCs/>
          <w:sz w:val="22"/>
          <w:szCs w:val="22"/>
        </w:rPr>
        <w:t xml:space="preserve">is attributed to delays in pipeline development and inaccurately forecasted impacts of political transitions on </w:t>
      </w:r>
      <w:r w:rsidR="00844C3D">
        <w:rPr>
          <w:rFonts w:cs="Arial"/>
          <w:bCs/>
          <w:sz w:val="22"/>
          <w:szCs w:val="22"/>
        </w:rPr>
        <w:t>blended finance</w:t>
      </w:r>
      <w:r w:rsidR="00F40CDB">
        <w:rPr>
          <w:rFonts w:cs="Arial"/>
          <w:bCs/>
          <w:sz w:val="22"/>
          <w:szCs w:val="22"/>
        </w:rPr>
        <w:t xml:space="preserve"> investments.</w:t>
      </w:r>
      <w:r w:rsidR="00C34758">
        <w:rPr>
          <w:rFonts w:cs="Arial"/>
          <w:bCs/>
          <w:sz w:val="22"/>
          <w:szCs w:val="22"/>
        </w:rPr>
        <w:t xml:space="preserve"> </w:t>
      </w:r>
    </w:p>
    <w:p w14:paraId="3FCED962" w14:textId="1C1AA63C" w:rsidR="00F40CDB" w:rsidRDefault="00F40CDB" w:rsidP="00F40CDB">
      <w:pPr>
        <w:spacing w:before="120" w:after="120" w:line="276" w:lineRule="auto"/>
        <w:jc w:val="both"/>
        <w:rPr>
          <w:rFonts w:cs="Arial"/>
          <w:bCs/>
          <w:sz w:val="22"/>
          <w:szCs w:val="22"/>
        </w:rPr>
      </w:pPr>
      <w:r>
        <w:rPr>
          <w:rFonts w:cs="Arial"/>
          <w:bCs/>
          <w:sz w:val="22"/>
          <w:szCs w:val="22"/>
        </w:rPr>
        <w:t>The year ahead is crucial for the programme</w:t>
      </w:r>
      <w:r w:rsidR="005D2B06">
        <w:rPr>
          <w:rFonts w:cs="Arial"/>
          <w:bCs/>
          <w:sz w:val="22"/>
          <w:szCs w:val="22"/>
        </w:rPr>
        <w:t>. I</w:t>
      </w:r>
      <w:r>
        <w:rPr>
          <w:rFonts w:cs="Arial"/>
          <w:bCs/>
          <w:sz w:val="22"/>
          <w:szCs w:val="22"/>
        </w:rPr>
        <w:t xml:space="preserve">t is vital that </w:t>
      </w:r>
      <w:r w:rsidR="00844C3D">
        <w:rPr>
          <w:rFonts w:cs="Arial"/>
          <w:bCs/>
          <w:sz w:val="22"/>
          <w:szCs w:val="22"/>
        </w:rPr>
        <w:t>blended finance</w:t>
      </w:r>
      <w:r>
        <w:rPr>
          <w:rFonts w:cs="Arial"/>
          <w:bCs/>
          <w:sz w:val="22"/>
          <w:szCs w:val="22"/>
        </w:rPr>
        <w:t xml:space="preserve"> investments are made and a strategic vision for </w:t>
      </w:r>
      <w:r w:rsidR="00B26D7E">
        <w:rPr>
          <w:rFonts w:cs="Arial"/>
          <w:bCs/>
          <w:sz w:val="22"/>
          <w:szCs w:val="22"/>
        </w:rPr>
        <w:t xml:space="preserve">each partner country </w:t>
      </w:r>
      <w:r>
        <w:rPr>
          <w:rFonts w:cs="Arial"/>
          <w:bCs/>
          <w:sz w:val="22"/>
          <w:szCs w:val="22"/>
        </w:rPr>
        <w:t>is agreed upon in order to satisfy continued investment. Key improvements in governance and strategy are expected to improve the strategic approach to the portfolio. Consultations with partner governments are planned for 2020</w:t>
      </w:r>
      <w:r w:rsidR="00E6172F">
        <w:rPr>
          <w:rFonts w:cs="Arial"/>
          <w:bCs/>
          <w:sz w:val="22"/>
          <w:szCs w:val="22"/>
        </w:rPr>
        <w:t>. Ensuring UK embassy teams are engaged in this process</w:t>
      </w:r>
      <w:r>
        <w:rPr>
          <w:rFonts w:cs="Arial"/>
          <w:bCs/>
          <w:sz w:val="22"/>
          <w:szCs w:val="22"/>
        </w:rPr>
        <w:t xml:space="preserve"> should assist in identifying a comprehensive and targeted strategy for delivering </w:t>
      </w:r>
      <w:r w:rsidR="00844C3D">
        <w:rPr>
          <w:rFonts w:cs="Arial"/>
          <w:bCs/>
          <w:sz w:val="22"/>
          <w:szCs w:val="22"/>
        </w:rPr>
        <w:t>blended finance</w:t>
      </w:r>
      <w:r>
        <w:rPr>
          <w:rFonts w:cs="Arial"/>
          <w:bCs/>
          <w:sz w:val="22"/>
          <w:szCs w:val="22"/>
        </w:rPr>
        <w:t xml:space="preserve"> and </w:t>
      </w:r>
      <w:r w:rsidR="008C77B2">
        <w:rPr>
          <w:rFonts w:cs="Arial"/>
          <w:bCs/>
          <w:sz w:val="22"/>
          <w:szCs w:val="22"/>
        </w:rPr>
        <w:t>technical assistance</w:t>
      </w:r>
      <w:r>
        <w:rPr>
          <w:rFonts w:cs="Arial"/>
          <w:bCs/>
          <w:sz w:val="22"/>
          <w:szCs w:val="22"/>
        </w:rPr>
        <w:t xml:space="preserve"> in response to national requirements and targets.</w:t>
      </w:r>
      <w:r w:rsidR="00E6172F">
        <w:rPr>
          <w:rFonts w:cs="Arial"/>
          <w:bCs/>
          <w:sz w:val="22"/>
          <w:szCs w:val="22"/>
        </w:rPr>
        <w:t xml:space="preserve"> </w:t>
      </w:r>
    </w:p>
    <w:p w14:paraId="1BEEC79B" w14:textId="6BAF61BA" w:rsidR="00F40CDB" w:rsidRDefault="00F40CDB" w:rsidP="00F40CDB">
      <w:pPr>
        <w:spacing w:before="120" w:after="120" w:line="276" w:lineRule="auto"/>
        <w:jc w:val="both"/>
        <w:rPr>
          <w:rFonts w:cs="Arial"/>
          <w:bCs/>
          <w:sz w:val="22"/>
          <w:szCs w:val="22"/>
        </w:rPr>
      </w:pPr>
      <w:r w:rsidRPr="00373026">
        <w:rPr>
          <w:rFonts w:cs="Arial"/>
          <w:b/>
          <w:sz w:val="22"/>
          <w:szCs w:val="22"/>
        </w:rPr>
        <w:t xml:space="preserve">Has the </w:t>
      </w:r>
      <w:r w:rsidR="00891C30">
        <w:rPr>
          <w:rFonts w:cs="Arial"/>
          <w:b/>
          <w:sz w:val="22"/>
          <w:szCs w:val="22"/>
        </w:rPr>
        <w:t>log frame</w:t>
      </w:r>
      <w:r w:rsidRPr="00373026">
        <w:rPr>
          <w:rFonts w:cs="Arial"/>
          <w:b/>
          <w:sz w:val="22"/>
          <w:szCs w:val="22"/>
        </w:rPr>
        <w:t xml:space="preserve"> been updated since the last review?</w:t>
      </w:r>
      <w:r w:rsidRPr="00EA6C1C">
        <w:rPr>
          <w:rFonts w:cs="Arial"/>
          <w:bCs/>
          <w:sz w:val="22"/>
          <w:szCs w:val="22"/>
        </w:rPr>
        <w:t xml:space="preserve"> </w:t>
      </w:r>
    </w:p>
    <w:p w14:paraId="2AA09B36" w14:textId="4C7287FF" w:rsidR="00F40CDB" w:rsidRDefault="00F40CDB" w:rsidP="00F40CDB">
      <w:pPr>
        <w:spacing w:before="120" w:after="120" w:line="276" w:lineRule="auto"/>
        <w:jc w:val="both"/>
        <w:rPr>
          <w:rFonts w:cs="Arial"/>
          <w:sz w:val="22"/>
          <w:szCs w:val="22"/>
        </w:rPr>
      </w:pPr>
      <w:r>
        <w:rPr>
          <w:rFonts w:cs="Arial"/>
          <w:sz w:val="22"/>
          <w:szCs w:val="22"/>
        </w:rPr>
        <w:t xml:space="preserve">BEIS and IDB are in the process of reviewing the </w:t>
      </w:r>
      <w:r w:rsidR="00844C3D">
        <w:rPr>
          <w:rFonts w:cs="Arial"/>
          <w:sz w:val="22"/>
          <w:szCs w:val="22"/>
        </w:rPr>
        <w:t>log frame</w:t>
      </w:r>
      <w:r>
        <w:rPr>
          <w:rFonts w:cs="Arial"/>
          <w:sz w:val="22"/>
          <w:szCs w:val="22"/>
        </w:rPr>
        <w:t xml:space="preserve"> in line with the recommendations from the 2018 Annual Review. Progress in finalising the </w:t>
      </w:r>
      <w:r w:rsidR="00844C3D">
        <w:rPr>
          <w:rFonts w:cs="Arial"/>
          <w:sz w:val="22"/>
          <w:szCs w:val="22"/>
        </w:rPr>
        <w:t>log frame</w:t>
      </w:r>
      <w:r>
        <w:rPr>
          <w:rFonts w:cs="Arial"/>
          <w:sz w:val="22"/>
          <w:szCs w:val="22"/>
        </w:rPr>
        <w:t xml:space="preserve"> has been impacted by changes in the BEIS delivery team and unanticipated resourcing constraints caused by the </w:t>
      </w:r>
      <w:r w:rsidR="00844C3D">
        <w:rPr>
          <w:rFonts w:cs="Arial"/>
          <w:sz w:val="22"/>
          <w:szCs w:val="22"/>
        </w:rPr>
        <w:t>COVID</w:t>
      </w:r>
      <w:r>
        <w:rPr>
          <w:rFonts w:cs="Arial"/>
          <w:sz w:val="22"/>
          <w:szCs w:val="22"/>
        </w:rPr>
        <w:t xml:space="preserve">-19 lockdown. It is anticipated that BEIS and IDB will finalise and agree a revised </w:t>
      </w:r>
      <w:r w:rsidR="00844C3D">
        <w:rPr>
          <w:rFonts w:cs="Arial"/>
          <w:sz w:val="22"/>
          <w:szCs w:val="22"/>
        </w:rPr>
        <w:t>log frame</w:t>
      </w:r>
      <w:r>
        <w:rPr>
          <w:rFonts w:cs="Arial"/>
          <w:sz w:val="22"/>
          <w:szCs w:val="22"/>
        </w:rPr>
        <w:t xml:space="preserve"> by</w:t>
      </w:r>
      <w:r w:rsidR="00313E50">
        <w:rPr>
          <w:rFonts w:cs="Arial"/>
          <w:sz w:val="22"/>
          <w:szCs w:val="22"/>
        </w:rPr>
        <w:t xml:space="preserve"> 31 October 2020.</w:t>
      </w:r>
    </w:p>
    <w:p w14:paraId="31DE988F" w14:textId="77777777" w:rsidR="00F40CDB" w:rsidRPr="00373026" w:rsidRDefault="00F40CDB" w:rsidP="00F40CDB">
      <w:pPr>
        <w:spacing w:before="120" w:after="120" w:line="276" w:lineRule="auto"/>
        <w:jc w:val="both"/>
        <w:rPr>
          <w:rFonts w:cs="Arial"/>
          <w:sz w:val="22"/>
          <w:szCs w:val="22"/>
        </w:rPr>
      </w:pPr>
      <w:r w:rsidRPr="00373026">
        <w:rPr>
          <w:rFonts w:cs="Arial"/>
          <w:b/>
          <w:sz w:val="22"/>
          <w:szCs w:val="22"/>
          <w:lang w:val="en" w:eastAsia="en-GB"/>
        </w:rPr>
        <w:t xml:space="preserve">Justify whether the programme should continue, based on its own merits and in the context of the wider portfolio </w:t>
      </w:r>
    </w:p>
    <w:p w14:paraId="438F71ED" w14:textId="45FA6116" w:rsidR="00F40CDB" w:rsidRDefault="00F40CDB" w:rsidP="00F40CDB">
      <w:pPr>
        <w:spacing w:before="120" w:after="120" w:line="276" w:lineRule="auto"/>
        <w:jc w:val="both"/>
        <w:rPr>
          <w:rFonts w:eastAsiaTheme="minorEastAsia" w:cs="Arial"/>
          <w:sz w:val="22"/>
          <w:szCs w:val="22"/>
        </w:rPr>
      </w:pPr>
      <w:r w:rsidRPr="00373026">
        <w:rPr>
          <w:rFonts w:eastAsiaTheme="minorEastAsia" w:cs="Arial"/>
          <w:sz w:val="22"/>
          <w:szCs w:val="22"/>
        </w:rPr>
        <w:t xml:space="preserve">In 2019 the receipt of successful </w:t>
      </w:r>
      <w:r w:rsidR="008C77B2">
        <w:rPr>
          <w:rFonts w:eastAsiaTheme="minorEastAsia" w:cs="Arial"/>
          <w:sz w:val="22"/>
          <w:szCs w:val="22"/>
        </w:rPr>
        <w:t>technical assistance</w:t>
      </w:r>
      <w:r w:rsidRPr="00373026">
        <w:rPr>
          <w:rFonts w:eastAsiaTheme="minorEastAsia" w:cs="Arial"/>
          <w:sz w:val="22"/>
          <w:szCs w:val="22"/>
        </w:rPr>
        <w:t xml:space="preserve"> projects</w:t>
      </w:r>
      <w:r w:rsidR="006E5BF0">
        <w:rPr>
          <w:rFonts w:eastAsiaTheme="minorEastAsia" w:cs="Arial"/>
          <w:sz w:val="22"/>
          <w:szCs w:val="22"/>
        </w:rPr>
        <w:t>,</w:t>
      </w:r>
      <w:r w:rsidRPr="00373026">
        <w:rPr>
          <w:rFonts w:eastAsiaTheme="minorEastAsia" w:cs="Arial"/>
          <w:sz w:val="22"/>
          <w:szCs w:val="22"/>
        </w:rPr>
        <w:t xml:space="preserve"> paired with the findings of the baseline evaluation</w:t>
      </w:r>
      <w:r w:rsidR="006E5BF0">
        <w:rPr>
          <w:rFonts w:eastAsiaTheme="minorEastAsia" w:cs="Arial"/>
          <w:sz w:val="22"/>
          <w:szCs w:val="22"/>
        </w:rPr>
        <w:t>,</w:t>
      </w:r>
      <w:r w:rsidRPr="00373026">
        <w:rPr>
          <w:rFonts w:eastAsiaTheme="minorEastAsia" w:cs="Arial"/>
          <w:sz w:val="22"/>
          <w:szCs w:val="22"/>
        </w:rPr>
        <w:t xml:space="preserve"> show there is considerable appetite across </w:t>
      </w:r>
      <w:r>
        <w:rPr>
          <w:rFonts w:eastAsiaTheme="minorEastAsia" w:cs="Arial"/>
          <w:sz w:val="22"/>
          <w:szCs w:val="22"/>
        </w:rPr>
        <w:t xml:space="preserve">the </w:t>
      </w:r>
      <w:r w:rsidRPr="00373026">
        <w:rPr>
          <w:rFonts w:eastAsiaTheme="minorEastAsia" w:cs="Arial"/>
          <w:sz w:val="22"/>
          <w:szCs w:val="22"/>
        </w:rPr>
        <w:t>private sector and partner governments to use</w:t>
      </w:r>
      <w:r w:rsidR="00313E50">
        <w:rPr>
          <w:rFonts w:eastAsiaTheme="minorEastAsia" w:cs="Arial"/>
          <w:sz w:val="22"/>
          <w:szCs w:val="22"/>
        </w:rPr>
        <w:t xml:space="preserve"> </w:t>
      </w:r>
      <w:r>
        <w:rPr>
          <w:rFonts w:eastAsiaTheme="minorEastAsia" w:cs="Arial"/>
          <w:sz w:val="22"/>
          <w:szCs w:val="22"/>
        </w:rPr>
        <w:t xml:space="preserve">SIP-LA </w:t>
      </w:r>
      <w:r w:rsidRPr="00373026">
        <w:rPr>
          <w:rFonts w:eastAsiaTheme="minorEastAsia" w:cs="Arial"/>
          <w:sz w:val="22"/>
          <w:szCs w:val="22"/>
        </w:rPr>
        <w:t>to catalyse low-carbon transitions in sustainable infrastructure sectors.</w:t>
      </w:r>
      <w:r>
        <w:rPr>
          <w:rFonts w:eastAsiaTheme="minorEastAsia" w:cs="Arial"/>
          <w:sz w:val="22"/>
          <w:szCs w:val="22"/>
        </w:rPr>
        <w:t xml:space="preserve"> </w:t>
      </w:r>
      <w:r w:rsidR="00EC755E">
        <w:rPr>
          <w:rFonts w:eastAsiaTheme="minorEastAsia" w:cs="Arial"/>
          <w:sz w:val="22"/>
          <w:szCs w:val="22"/>
        </w:rPr>
        <w:t>UK d</w:t>
      </w:r>
      <w:r>
        <w:rPr>
          <w:rFonts w:eastAsiaTheme="minorEastAsia" w:cs="Arial"/>
          <w:sz w:val="22"/>
          <w:szCs w:val="22"/>
        </w:rPr>
        <w:t xml:space="preserve">iplomatic networks have noted that there is considerable support and interest in the programme from key stakeholders in Latin America. Despite delays </w:t>
      </w:r>
      <w:r w:rsidRPr="00E14293">
        <w:rPr>
          <w:rFonts w:eastAsiaTheme="minorEastAsia" w:cs="Arial"/>
          <w:sz w:val="22"/>
          <w:szCs w:val="22"/>
        </w:rPr>
        <w:t xml:space="preserve">in making </w:t>
      </w:r>
      <w:r w:rsidR="00844C3D">
        <w:rPr>
          <w:rFonts w:eastAsiaTheme="minorEastAsia" w:cs="Arial"/>
          <w:sz w:val="22"/>
          <w:szCs w:val="22"/>
        </w:rPr>
        <w:t>blended finance</w:t>
      </w:r>
      <w:r w:rsidRPr="00E14293">
        <w:rPr>
          <w:rFonts w:eastAsiaTheme="minorEastAsia" w:cs="Arial"/>
          <w:sz w:val="22"/>
          <w:szCs w:val="22"/>
        </w:rPr>
        <w:t xml:space="preserve"> investments, the programme has improved its performance since the last review period and </w:t>
      </w:r>
      <w:r w:rsidR="00EC755E">
        <w:rPr>
          <w:rFonts w:eastAsiaTheme="minorEastAsia" w:cs="Arial"/>
          <w:sz w:val="22"/>
          <w:szCs w:val="22"/>
        </w:rPr>
        <w:t xml:space="preserve">BEIS and IDB have </w:t>
      </w:r>
      <w:r w:rsidRPr="00E14293">
        <w:rPr>
          <w:rFonts w:eastAsiaTheme="minorEastAsia" w:cs="Arial"/>
          <w:sz w:val="22"/>
          <w:szCs w:val="22"/>
        </w:rPr>
        <w:t xml:space="preserve">devoted considerable time and resource to improving monitoring tools and programming governance. </w:t>
      </w:r>
    </w:p>
    <w:p w14:paraId="711271FA" w14:textId="77777777" w:rsidR="00F40CDB" w:rsidRPr="00FD7E69" w:rsidRDefault="00F40CDB" w:rsidP="00F40CDB">
      <w:pPr>
        <w:spacing w:before="120" w:after="120" w:line="276" w:lineRule="auto"/>
        <w:jc w:val="both"/>
        <w:rPr>
          <w:rFonts w:eastAsiaTheme="minorEastAsia" w:cs="Arial"/>
          <w:b/>
          <w:bCs/>
          <w:sz w:val="22"/>
          <w:szCs w:val="22"/>
        </w:rPr>
      </w:pPr>
      <w:r w:rsidRPr="00FD7E69">
        <w:rPr>
          <w:rFonts w:eastAsiaTheme="minorEastAsia" w:cs="Arial"/>
          <w:b/>
          <w:bCs/>
          <w:sz w:val="22"/>
          <w:szCs w:val="22"/>
        </w:rPr>
        <w:t>The programme should continue for the following reasons:</w:t>
      </w:r>
    </w:p>
    <w:p w14:paraId="63682401" w14:textId="14CF28A2" w:rsidR="00F40CDB" w:rsidRPr="00E14293" w:rsidRDefault="00F40CDB" w:rsidP="00F40CDB">
      <w:pPr>
        <w:pStyle w:val="ListParagraph"/>
        <w:numPr>
          <w:ilvl w:val="0"/>
          <w:numId w:val="28"/>
        </w:numPr>
        <w:spacing w:before="120" w:after="120" w:line="276" w:lineRule="auto"/>
        <w:contextualSpacing w:val="0"/>
        <w:jc w:val="both"/>
        <w:rPr>
          <w:rFonts w:cs="Arial"/>
          <w:sz w:val="22"/>
          <w:szCs w:val="22"/>
          <w:lang w:val="en"/>
        </w:rPr>
      </w:pPr>
      <w:r w:rsidRPr="006A2DAD">
        <w:rPr>
          <w:rFonts w:eastAsiaTheme="minorEastAsia" w:cs="Arial"/>
          <w:sz w:val="22"/>
          <w:szCs w:val="22"/>
          <w:u w:val="single"/>
        </w:rPr>
        <w:t>Improved understanding of political influence:</w:t>
      </w:r>
      <w:r w:rsidRPr="00E14293">
        <w:rPr>
          <w:rFonts w:eastAsiaTheme="minorEastAsia" w:cs="Arial"/>
          <w:sz w:val="22"/>
          <w:szCs w:val="22"/>
        </w:rPr>
        <w:t xml:space="preserve"> SIP-LA is a large and ambitious programme with a high-risk appetite operating across four unique and challenging sectoral contexts by design. </w:t>
      </w:r>
      <w:r w:rsidRPr="00E14293">
        <w:rPr>
          <w:rFonts w:cs="Arial"/>
          <w:sz w:val="22"/>
          <w:szCs w:val="22"/>
          <w:lang w:val="en"/>
        </w:rPr>
        <w:t>The impacts of political factors on the availability of concessional investments are now more clearly understood</w:t>
      </w:r>
      <w:r w:rsidR="00A27184">
        <w:rPr>
          <w:rFonts w:cs="Arial"/>
          <w:sz w:val="22"/>
          <w:szCs w:val="22"/>
          <w:lang w:val="en"/>
        </w:rPr>
        <w:t>,</w:t>
      </w:r>
      <w:r w:rsidRPr="00E14293">
        <w:rPr>
          <w:rFonts w:cs="Arial"/>
          <w:sz w:val="22"/>
          <w:szCs w:val="22"/>
          <w:lang w:val="en"/>
        </w:rPr>
        <w:t xml:space="preserve"> which will assist in the accuracy of pipeline development going forward. </w:t>
      </w:r>
    </w:p>
    <w:p w14:paraId="2D289509" w14:textId="5B839518" w:rsidR="00F40CDB" w:rsidRPr="001426D5" w:rsidRDefault="00D1387C" w:rsidP="00F40CDB">
      <w:pPr>
        <w:pStyle w:val="ListParagraph"/>
        <w:numPr>
          <w:ilvl w:val="0"/>
          <w:numId w:val="28"/>
        </w:numPr>
        <w:spacing w:before="120" w:after="120" w:line="276" w:lineRule="auto"/>
        <w:contextualSpacing w:val="0"/>
        <w:jc w:val="both"/>
        <w:rPr>
          <w:rFonts w:eastAsiaTheme="minorEastAsia" w:cs="Arial"/>
          <w:sz w:val="22"/>
          <w:szCs w:val="22"/>
        </w:rPr>
      </w:pPr>
      <w:r>
        <w:rPr>
          <w:rFonts w:cs="Arial"/>
          <w:sz w:val="22"/>
          <w:szCs w:val="22"/>
          <w:u w:val="single"/>
          <w:lang w:val="en"/>
        </w:rPr>
        <w:t xml:space="preserve">IDB have developed a pipeline for SIP-LA’s </w:t>
      </w:r>
      <w:r w:rsidR="00844C3D">
        <w:rPr>
          <w:rFonts w:cs="Arial"/>
          <w:sz w:val="22"/>
          <w:szCs w:val="22"/>
          <w:u w:val="single"/>
          <w:lang w:val="en"/>
        </w:rPr>
        <w:t>blended finance</w:t>
      </w:r>
      <w:r>
        <w:rPr>
          <w:rFonts w:cs="Arial"/>
          <w:sz w:val="22"/>
          <w:szCs w:val="22"/>
          <w:u w:val="single"/>
          <w:lang w:val="en"/>
        </w:rPr>
        <w:t xml:space="preserve"> investments:</w:t>
      </w:r>
      <w:r>
        <w:rPr>
          <w:rFonts w:cs="Arial"/>
          <w:sz w:val="22"/>
          <w:szCs w:val="22"/>
          <w:lang w:val="en"/>
        </w:rPr>
        <w:t xml:space="preserve"> </w:t>
      </w:r>
      <w:r w:rsidR="00F40CDB" w:rsidRPr="00E14293">
        <w:rPr>
          <w:rFonts w:cs="Arial"/>
          <w:sz w:val="22"/>
          <w:szCs w:val="22"/>
          <w:lang w:val="en"/>
        </w:rPr>
        <w:t>P</w:t>
      </w:r>
      <w:r>
        <w:rPr>
          <w:rFonts w:cs="Arial"/>
          <w:sz w:val="22"/>
          <w:szCs w:val="22"/>
          <w:lang w:val="en"/>
        </w:rPr>
        <w:t>roject p</w:t>
      </w:r>
      <w:r w:rsidR="00F40CDB" w:rsidRPr="00E14293">
        <w:rPr>
          <w:rFonts w:cs="Arial"/>
          <w:sz w:val="22"/>
          <w:szCs w:val="22"/>
          <w:lang w:val="en"/>
        </w:rPr>
        <w:t>roposals are more regularly submitted to BEIS</w:t>
      </w:r>
      <w:r w:rsidR="000C6E64">
        <w:rPr>
          <w:rFonts w:cs="Arial"/>
          <w:sz w:val="22"/>
          <w:szCs w:val="22"/>
          <w:lang w:val="en"/>
        </w:rPr>
        <w:t xml:space="preserve"> and </w:t>
      </w:r>
      <w:r w:rsidR="003F0A1B">
        <w:rPr>
          <w:rFonts w:cs="Arial"/>
          <w:sz w:val="22"/>
          <w:szCs w:val="22"/>
          <w:lang w:val="en"/>
        </w:rPr>
        <w:t xml:space="preserve">giving greater confidence there will </w:t>
      </w:r>
      <w:r w:rsidR="000C6E64">
        <w:rPr>
          <w:rFonts w:cs="Arial"/>
          <w:sz w:val="22"/>
          <w:szCs w:val="22"/>
          <w:lang w:val="en"/>
        </w:rPr>
        <w:t>be a regular flow of investments made in the year ahead</w:t>
      </w:r>
      <w:r w:rsidR="00FC5FAB">
        <w:rPr>
          <w:rFonts w:cs="Arial"/>
          <w:sz w:val="22"/>
          <w:szCs w:val="22"/>
          <w:lang w:val="en"/>
        </w:rPr>
        <w:t xml:space="preserve"> and that the programme will deliver its expected outcomes.</w:t>
      </w:r>
    </w:p>
    <w:p w14:paraId="08EA456D" w14:textId="5BC68E1B" w:rsidR="00F40CDB" w:rsidRPr="00E14293" w:rsidRDefault="00645A6D" w:rsidP="00F40CDB">
      <w:pPr>
        <w:pStyle w:val="ListParagraph"/>
        <w:numPr>
          <w:ilvl w:val="0"/>
          <w:numId w:val="28"/>
        </w:numPr>
        <w:spacing w:before="120" w:after="120" w:line="276" w:lineRule="auto"/>
        <w:contextualSpacing w:val="0"/>
        <w:jc w:val="both"/>
        <w:rPr>
          <w:rFonts w:cs="Arial"/>
          <w:sz w:val="22"/>
          <w:szCs w:val="22"/>
          <w:lang w:val="en"/>
        </w:rPr>
      </w:pPr>
      <w:r>
        <w:rPr>
          <w:rFonts w:eastAsiaTheme="minorEastAsia" w:cs="Arial"/>
          <w:sz w:val="22"/>
          <w:szCs w:val="22"/>
          <w:u w:val="single"/>
        </w:rPr>
        <w:t>SIP-LA</w:t>
      </w:r>
      <w:r w:rsidR="00F40CDB" w:rsidRPr="006A2DAD">
        <w:rPr>
          <w:rFonts w:eastAsiaTheme="minorEastAsia" w:cs="Arial"/>
          <w:sz w:val="22"/>
          <w:szCs w:val="22"/>
          <w:u w:val="single"/>
        </w:rPr>
        <w:t xml:space="preserve"> is </w:t>
      </w:r>
      <w:r w:rsidR="00F84586">
        <w:rPr>
          <w:rFonts w:eastAsiaTheme="minorEastAsia" w:cs="Arial"/>
          <w:sz w:val="22"/>
          <w:szCs w:val="22"/>
          <w:u w:val="single"/>
        </w:rPr>
        <w:t xml:space="preserve">delivering benefits to </w:t>
      </w:r>
      <w:r w:rsidR="00F40CDB" w:rsidRPr="006A2DAD">
        <w:rPr>
          <w:rFonts w:eastAsiaTheme="minorEastAsia" w:cs="Arial"/>
          <w:sz w:val="22"/>
          <w:szCs w:val="22"/>
          <w:u w:val="single"/>
        </w:rPr>
        <w:t>other programmes:</w:t>
      </w:r>
      <w:r w:rsidR="00F40CDB" w:rsidRPr="00E14293">
        <w:rPr>
          <w:rFonts w:eastAsiaTheme="minorEastAsia" w:cs="Arial"/>
          <w:sz w:val="22"/>
          <w:szCs w:val="22"/>
        </w:rPr>
        <w:t xml:space="preserve"> </w:t>
      </w:r>
      <w:r w:rsidR="00F40CDB" w:rsidRPr="00E14293">
        <w:rPr>
          <w:rFonts w:cs="Arial"/>
          <w:sz w:val="22"/>
          <w:szCs w:val="22"/>
          <w:lang w:val="en"/>
        </w:rPr>
        <w:t>There has been significant improvement in the links between SIP-LA and other</w:t>
      </w:r>
      <w:r w:rsidR="00F84586">
        <w:rPr>
          <w:rFonts w:cs="Arial"/>
          <w:sz w:val="22"/>
          <w:szCs w:val="22"/>
          <w:lang w:val="en"/>
        </w:rPr>
        <w:t xml:space="preserve"> UK</w:t>
      </w:r>
      <w:r w:rsidR="00F40CDB" w:rsidRPr="00E14293">
        <w:rPr>
          <w:rFonts w:cs="Arial"/>
          <w:sz w:val="22"/>
          <w:szCs w:val="22"/>
          <w:lang w:val="en"/>
        </w:rPr>
        <w:t xml:space="preserve"> </w:t>
      </w:r>
      <w:r w:rsidR="008C77B2">
        <w:rPr>
          <w:rFonts w:cs="Arial"/>
          <w:sz w:val="22"/>
          <w:szCs w:val="22"/>
          <w:lang w:val="en"/>
        </w:rPr>
        <w:t>technical assistance</w:t>
      </w:r>
      <w:r w:rsidR="00F40CDB" w:rsidRPr="00E14293">
        <w:rPr>
          <w:rFonts w:cs="Arial"/>
          <w:sz w:val="22"/>
          <w:szCs w:val="22"/>
          <w:lang w:val="en"/>
        </w:rPr>
        <w:t xml:space="preserve"> programmes in the region. Notably, the link between successful </w:t>
      </w:r>
      <w:r w:rsidR="008C77B2">
        <w:rPr>
          <w:rFonts w:cs="Arial"/>
          <w:sz w:val="22"/>
          <w:szCs w:val="22"/>
          <w:lang w:val="en"/>
        </w:rPr>
        <w:t>technical assistance</w:t>
      </w:r>
      <w:r w:rsidR="00F40CDB" w:rsidRPr="00E14293">
        <w:rPr>
          <w:rFonts w:cs="Arial"/>
          <w:sz w:val="22"/>
          <w:szCs w:val="22"/>
          <w:lang w:val="en"/>
        </w:rPr>
        <w:t xml:space="preserve"> and the development of bankable sustainable infrastructure projects is a principle that has extended beyond </w:t>
      </w:r>
      <w:r>
        <w:rPr>
          <w:rFonts w:cs="Arial"/>
          <w:sz w:val="22"/>
          <w:szCs w:val="22"/>
          <w:lang w:val="en"/>
        </w:rPr>
        <w:t>SIP-LA</w:t>
      </w:r>
      <w:r w:rsidR="00F40CDB" w:rsidRPr="00E14293">
        <w:rPr>
          <w:rFonts w:cs="Arial"/>
          <w:sz w:val="22"/>
          <w:szCs w:val="22"/>
          <w:lang w:val="en"/>
        </w:rPr>
        <w:t xml:space="preserve"> portfolio. Key </w:t>
      </w:r>
      <w:r w:rsidR="008C77B2">
        <w:rPr>
          <w:rFonts w:cs="Arial"/>
          <w:sz w:val="22"/>
          <w:szCs w:val="22"/>
          <w:lang w:val="en"/>
        </w:rPr>
        <w:t>technical assistance</w:t>
      </w:r>
      <w:r w:rsidR="00F40CDB" w:rsidRPr="00E14293">
        <w:rPr>
          <w:rFonts w:cs="Arial"/>
          <w:sz w:val="22"/>
          <w:szCs w:val="22"/>
          <w:lang w:val="en"/>
        </w:rPr>
        <w:t xml:space="preserve"> programmes in the region such as </w:t>
      </w:r>
      <w:r w:rsidR="00F40CDB">
        <w:rPr>
          <w:rFonts w:cs="Arial"/>
          <w:sz w:val="22"/>
          <w:szCs w:val="22"/>
          <w:lang w:val="en"/>
        </w:rPr>
        <w:t xml:space="preserve">the </w:t>
      </w:r>
      <w:r w:rsidR="00F40CDB" w:rsidRPr="00E14293">
        <w:rPr>
          <w:rFonts w:cs="Arial"/>
          <w:sz w:val="22"/>
          <w:szCs w:val="22"/>
          <w:lang w:val="en"/>
        </w:rPr>
        <w:t>UK P</w:t>
      </w:r>
      <w:r w:rsidR="00F40CDB">
        <w:rPr>
          <w:rFonts w:cs="Arial"/>
          <w:sz w:val="22"/>
          <w:szCs w:val="22"/>
          <w:lang w:val="en"/>
        </w:rPr>
        <w:t xml:space="preserve">artnerships for </w:t>
      </w:r>
      <w:r w:rsidR="00F40CDB" w:rsidRPr="00E14293">
        <w:rPr>
          <w:rFonts w:cs="Arial"/>
          <w:sz w:val="22"/>
          <w:szCs w:val="22"/>
          <w:lang w:val="en"/>
        </w:rPr>
        <w:t>A</w:t>
      </w:r>
      <w:r w:rsidR="00F40CDB">
        <w:rPr>
          <w:rFonts w:cs="Arial"/>
          <w:sz w:val="22"/>
          <w:szCs w:val="22"/>
          <w:lang w:val="en"/>
        </w:rPr>
        <w:t xml:space="preserve">ccelerating </w:t>
      </w:r>
      <w:r w:rsidR="00F40CDB" w:rsidRPr="00E14293">
        <w:rPr>
          <w:rFonts w:cs="Arial"/>
          <w:sz w:val="22"/>
          <w:szCs w:val="22"/>
          <w:lang w:val="en"/>
        </w:rPr>
        <w:t>C</w:t>
      </w:r>
      <w:r w:rsidR="00F40CDB">
        <w:rPr>
          <w:rFonts w:cs="Arial"/>
          <w:sz w:val="22"/>
          <w:szCs w:val="22"/>
          <w:lang w:val="en"/>
        </w:rPr>
        <w:t xml:space="preserve">limate </w:t>
      </w:r>
      <w:r w:rsidR="00F40CDB" w:rsidRPr="00E14293">
        <w:rPr>
          <w:rFonts w:cs="Arial"/>
          <w:sz w:val="22"/>
          <w:szCs w:val="22"/>
          <w:lang w:val="en"/>
        </w:rPr>
        <w:t>T</w:t>
      </w:r>
      <w:r w:rsidR="00F40CDB">
        <w:rPr>
          <w:rFonts w:cs="Arial"/>
          <w:sz w:val="22"/>
          <w:szCs w:val="22"/>
          <w:lang w:val="en"/>
        </w:rPr>
        <w:t>ransitions (PACT)</w:t>
      </w:r>
      <w:r w:rsidR="00F40CDB" w:rsidRPr="00E14293">
        <w:rPr>
          <w:rFonts w:cs="Arial"/>
          <w:sz w:val="22"/>
          <w:szCs w:val="22"/>
          <w:lang w:val="en"/>
        </w:rPr>
        <w:t xml:space="preserve"> </w:t>
      </w:r>
      <w:r w:rsidR="00F40CDB" w:rsidRPr="00E14293">
        <w:rPr>
          <w:rFonts w:cs="Arial"/>
          <w:sz w:val="22"/>
          <w:szCs w:val="22"/>
          <w:lang w:val="en"/>
        </w:rPr>
        <w:lastRenderedPageBreak/>
        <w:t xml:space="preserve">and the Prosperity Fund Green Finance programme are beginning to make the link between their </w:t>
      </w:r>
      <w:r w:rsidR="008C77B2">
        <w:rPr>
          <w:rFonts w:cs="Arial"/>
          <w:sz w:val="22"/>
          <w:szCs w:val="22"/>
          <w:lang w:val="en"/>
        </w:rPr>
        <w:t>technical assistance</w:t>
      </w:r>
      <w:r w:rsidR="00F40CDB" w:rsidRPr="00E14293">
        <w:rPr>
          <w:rFonts w:cs="Arial"/>
          <w:sz w:val="22"/>
          <w:szCs w:val="22"/>
          <w:lang w:val="en"/>
        </w:rPr>
        <w:t xml:space="preserve"> prioritisation and the </w:t>
      </w:r>
      <w:r w:rsidR="00844C3D">
        <w:rPr>
          <w:rFonts w:cs="Arial"/>
          <w:sz w:val="22"/>
          <w:szCs w:val="22"/>
          <w:lang w:val="en"/>
        </w:rPr>
        <w:t>blended finance</w:t>
      </w:r>
      <w:r w:rsidR="00F40CDB" w:rsidRPr="00E14293">
        <w:rPr>
          <w:rFonts w:cs="Arial"/>
          <w:sz w:val="22"/>
          <w:szCs w:val="22"/>
          <w:lang w:val="en"/>
        </w:rPr>
        <w:t xml:space="preserve"> opportunities SIP-LA presents. Programme leads have initiated plans to formalise communication between delivery partners which will </w:t>
      </w:r>
      <w:r w:rsidR="00F84586">
        <w:rPr>
          <w:rFonts w:cs="Arial"/>
          <w:sz w:val="22"/>
          <w:szCs w:val="22"/>
          <w:lang w:val="en"/>
        </w:rPr>
        <w:t>further</w:t>
      </w:r>
      <w:r w:rsidR="00F40CDB" w:rsidRPr="00E14293">
        <w:rPr>
          <w:rFonts w:cs="Arial"/>
          <w:sz w:val="22"/>
          <w:szCs w:val="22"/>
          <w:lang w:val="en"/>
        </w:rPr>
        <w:t xml:space="preserve"> links in country. </w:t>
      </w:r>
    </w:p>
    <w:p w14:paraId="1E762132" w14:textId="0081EC26" w:rsidR="00F40CDB" w:rsidRPr="001426D5" w:rsidRDefault="00F40CDB" w:rsidP="00F40CDB">
      <w:pPr>
        <w:pStyle w:val="ListParagraph"/>
        <w:numPr>
          <w:ilvl w:val="0"/>
          <w:numId w:val="28"/>
        </w:numPr>
        <w:spacing w:before="120" w:after="120" w:line="276" w:lineRule="auto"/>
        <w:contextualSpacing w:val="0"/>
        <w:jc w:val="both"/>
        <w:rPr>
          <w:rFonts w:eastAsiaTheme="minorEastAsia"/>
          <w:sz w:val="22"/>
          <w:szCs w:val="22"/>
        </w:rPr>
      </w:pPr>
      <w:r w:rsidRPr="006A2DAD">
        <w:rPr>
          <w:rFonts w:eastAsiaTheme="minorEastAsia"/>
          <w:sz w:val="22"/>
          <w:szCs w:val="22"/>
          <w:u w:val="single"/>
        </w:rPr>
        <w:t>SIP-LA is contributing to the UK</w:t>
      </w:r>
      <w:r w:rsidR="001D4DB8">
        <w:rPr>
          <w:rFonts w:eastAsiaTheme="minorEastAsia"/>
          <w:sz w:val="22"/>
          <w:szCs w:val="22"/>
          <w:u w:val="single"/>
        </w:rPr>
        <w:t>’</w:t>
      </w:r>
      <w:r w:rsidRPr="006A2DAD">
        <w:rPr>
          <w:rFonts w:eastAsiaTheme="minorEastAsia"/>
          <w:sz w:val="22"/>
          <w:szCs w:val="22"/>
          <w:u w:val="single"/>
        </w:rPr>
        <w:t>s wider objectives:</w:t>
      </w:r>
      <w:r w:rsidRPr="001426D5">
        <w:rPr>
          <w:rFonts w:eastAsiaTheme="minorEastAsia"/>
          <w:sz w:val="22"/>
          <w:szCs w:val="22"/>
        </w:rPr>
        <w:t xml:space="preserve"> </w:t>
      </w:r>
      <w:r w:rsidRPr="001426D5">
        <w:rPr>
          <w:sz w:val="22"/>
          <w:szCs w:val="22"/>
          <w:lang w:val="en"/>
        </w:rPr>
        <w:t xml:space="preserve">SIP-LA is a high-profile programme among partner governments </w:t>
      </w:r>
      <w:r w:rsidR="001E400E">
        <w:rPr>
          <w:sz w:val="22"/>
          <w:szCs w:val="22"/>
          <w:lang w:val="en"/>
        </w:rPr>
        <w:t>that has already contributed to diplomatic</w:t>
      </w:r>
      <w:r w:rsidR="00ED7EAE">
        <w:rPr>
          <w:sz w:val="22"/>
          <w:szCs w:val="22"/>
          <w:lang w:val="en"/>
        </w:rPr>
        <w:t xml:space="preserve"> engagement and raised UK visibility in the region. </w:t>
      </w:r>
      <w:r w:rsidR="00645A6D">
        <w:rPr>
          <w:sz w:val="22"/>
          <w:szCs w:val="22"/>
          <w:lang w:val="en"/>
        </w:rPr>
        <w:t>SIP-LA</w:t>
      </w:r>
      <w:r w:rsidRPr="001426D5">
        <w:rPr>
          <w:sz w:val="22"/>
          <w:szCs w:val="22"/>
          <w:lang w:val="en"/>
        </w:rPr>
        <w:t xml:space="preserve"> has been used as important leverage to formalise strategic energy transition objectives within the UK-Colombia Partnership and will continue to support this relationship. Similarly, the opportunities the programme presents will play an important role in lobbying partner governments to develop strong and ambitious low-carbon infrastructure targets in the run up to COP26. </w:t>
      </w:r>
    </w:p>
    <w:p w14:paraId="34E4304A" w14:textId="6DE0143A" w:rsidR="00F40CDB" w:rsidRPr="00E14293" w:rsidRDefault="00F40CDB" w:rsidP="00F40CDB">
      <w:pPr>
        <w:pStyle w:val="ListParagraph"/>
        <w:numPr>
          <w:ilvl w:val="0"/>
          <w:numId w:val="28"/>
        </w:numPr>
        <w:spacing w:before="120" w:after="120" w:line="276" w:lineRule="auto"/>
        <w:contextualSpacing w:val="0"/>
        <w:jc w:val="both"/>
        <w:rPr>
          <w:rFonts w:eastAsiaTheme="minorEastAsia" w:cs="Arial"/>
          <w:sz w:val="22"/>
          <w:szCs w:val="22"/>
        </w:rPr>
      </w:pPr>
      <w:r w:rsidRPr="006A2DAD">
        <w:rPr>
          <w:rFonts w:eastAsiaTheme="minorEastAsia" w:cs="Arial"/>
          <w:sz w:val="22"/>
          <w:szCs w:val="22"/>
          <w:u w:val="single"/>
        </w:rPr>
        <w:t>Improvements have been made to strategic delivery</w:t>
      </w:r>
      <w:r w:rsidRPr="00FE78E4">
        <w:rPr>
          <w:rFonts w:eastAsiaTheme="minorEastAsia" w:cs="Arial"/>
          <w:sz w:val="22"/>
          <w:szCs w:val="22"/>
        </w:rPr>
        <w:t xml:space="preserve">: </w:t>
      </w:r>
      <w:r w:rsidR="00645A6D">
        <w:rPr>
          <w:rFonts w:eastAsiaTheme="minorEastAsia" w:cs="Arial"/>
          <w:sz w:val="22"/>
          <w:szCs w:val="22"/>
        </w:rPr>
        <w:t>SIP-LA</w:t>
      </w:r>
      <w:r w:rsidR="00022A38">
        <w:rPr>
          <w:rFonts w:cs="Arial"/>
          <w:sz w:val="22"/>
          <w:szCs w:val="22"/>
          <w:lang w:val="en"/>
        </w:rPr>
        <w:t xml:space="preserve"> S</w:t>
      </w:r>
      <w:r w:rsidR="00022A38" w:rsidRPr="00E14293">
        <w:rPr>
          <w:rFonts w:cs="Arial"/>
          <w:sz w:val="22"/>
          <w:szCs w:val="22"/>
          <w:lang w:val="en"/>
        </w:rPr>
        <w:t xml:space="preserve">trategic </w:t>
      </w:r>
      <w:r w:rsidR="00022A38">
        <w:rPr>
          <w:rFonts w:cs="Arial"/>
          <w:sz w:val="22"/>
          <w:szCs w:val="22"/>
          <w:lang w:val="en"/>
        </w:rPr>
        <w:t>R</w:t>
      </w:r>
      <w:r w:rsidR="00022A38" w:rsidRPr="00E14293">
        <w:rPr>
          <w:rFonts w:cs="Arial"/>
          <w:sz w:val="22"/>
          <w:szCs w:val="22"/>
          <w:lang w:val="en"/>
        </w:rPr>
        <w:t xml:space="preserve">eview incorporated lessons learnt into a revised </w:t>
      </w:r>
      <w:r w:rsidR="00844C3D">
        <w:rPr>
          <w:rFonts w:cs="Arial"/>
          <w:sz w:val="22"/>
          <w:szCs w:val="22"/>
          <w:lang w:val="en"/>
        </w:rPr>
        <w:t>log frame</w:t>
      </w:r>
      <w:r w:rsidR="00022A38" w:rsidRPr="00E14293">
        <w:rPr>
          <w:rFonts w:cs="Arial"/>
          <w:sz w:val="22"/>
          <w:szCs w:val="22"/>
          <w:lang w:val="en"/>
        </w:rPr>
        <w:t xml:space="preserve"> and development of a holistic vision for SIP</w:t>
      </w:r>
      <w:r w:rsidR="00022A38">
        <w:rPr>
          <w:rFonts w:cs="Arial"/>
          <w:sz w:val="22"/>
          <w:szCs w:val="22"/>
          <w:lang w:val="en"/>
        </w:rPr>
        <w:t>-LA’</w:t>
      </w:r>
      <w:r w:rsidR="00022A38" w:rsidRPr="00E14293">
        <w:rPr>
          <w:rFonts w:cs="Arial"/>
          <w:sz w:val="22"/>
          <w:szCs w:val="22"/>
          <w:lang w:val="en"/>
        </w:rPr>
        <w:t xml:space="preserve">s delivery across </w:t>
      </w:r>
      <w:r w:rsidR="00022A38">
        <w:rPr>
          <w:rFonts w:cs="Arial"/>
          <w:sz w:val="22"/>
          <w:szCs w:val="22"/>
          <w:lang w:val="en"/>
        </w:rPr>
        <w:t>its</w:t>
      </w:r>
      <w:r w:rsidR="00022A38" w:rsidRPr="00E14293">
        <w:rPr>
          <w:rFonts w:cs="Arial"/>
          <w:sz w:val="22"/>
          <w:szCs w:val="22"/>
          <w:lang w:val="en"/>
        </w:rPr>
        <w:t xml:space="preserve"> four </w:t>
      </w:r>
      <w:r w:rsidR="00022A38">
        <w:rPr>
          <w:rFonts w:cs="Arial"/>
          <w:sz w:val="22"/>
          <w:szCs w:val="22"/>
          <w:lang w:val="en"/>
        </w:rPr>
        <w:t>partner countries</w:t>
      </w:r>
      <w:r w:rsidR="00022A38" w:rsidRPr="00E14293">
        <w:rPr>
          <w:rFonts w:cs="Arial"/>
          <w:sz w:val="22"/>
          <w:szCs w:val="22"/>
          <w:lang w:val="en"/>
        </w:rPr>
        <w:t xml:space="preserve">. IDB </w:t>
      </w:r>
      <w:r w:rsidR="00022A38">
        <w:rPr>
          <w:rFonts w:cs="Arial"/>
          <w:sz w:val="22"/>
          <w:szCs w:val="22"/>
          <w:lang w:val="en"/>
        </w:rPr>
        <w:t xml:space="preserve">will continue to </w:t>
      </w:r>
      <w:r w:rsidR="00022A38" w:rsidRPr="00E14293">
        <w:rPr>
          <w:rFonts w:cs="Arial"/>
          <w:sz w:val="22"/>
          <w:szCs w:val="22"/>
          <w:lang w:val="en"/>
        </w:rPr>
        <w:t>undertake scoping exercises</w:t>
      </w:r>
      <w:r w:rsidR="00022A38">
        <w:rPr>
          <w:rFonts w:cs="Arial"/>
          <w:sz w:val="22"/>
          <w:szCs w:val="22"/>
          <w:lang w:val="en"/>
        </w:rPr>
        <w:t xml:space="preserve"> that </w:t>
      </w:r>
      <w:r w:rsidR="00022A38" w:rsidRPr="00E14293">
        <w:rPr>
          <w:rFonts w:cs="Arial"/>
          <w:sz w:val="22"/>
          <w:szCs w:val="22"/>
          <w:lang w:val="en"/>
        </w:rPr>
        <w:t>will be summarised and translate</w:t>
      </w:r>
      <w:r w:rsidR="00022A38">
        <w:rPr>
          <w:rFonts w:cs="Arial"/>
          <w:sz w:val="22"/>
          <w:szCs w:val="22"/>
          <w:lang w:val="en"/>
        </w:rPr>
        <w:t>d into</w:t>
      </w:r>
      <w:r w:rsidR="00022A38" w:rsidRPr="00E14293">
        <w:rPr>
          <w:rFonts w:cs="Arial"/>
          <w:sz w:val="22"/>
          <w:szCs w:val="22"/>
          <w:lang w:val="en"/>
        </w:rPr>
        <w:t xml:space="preserve"> SIP-LA objectives </w:t>
      </w:r>
      <w:r w:rsidR="00C070D0">
        <w:rPr>
          <w:rFonts w:cs="Arial"/>
          <w:sz w:val="22"/>
          <w:szCs w:val="22"/>
          <w:lang w:val="en"/>
        </w:rPr>
        <w:t>and</w:t>
      </w:r>
      <w:r w:rsidR="00C070D0" w:rsidRPr="00E14293">
        <w:rPr>
          <w:rFonts w:cs="Arial"/>
          <w:sz w:val="22"/>
          <w:szCs w:val="22"/>
          <w:lang w:val="en"/>
        </w:rPr>
        <w:t xml:space="preserve"> </w:t>
      </w:r>
      <w:r w:rsidR="00022A38">
        <w:rPr>
          <w:rFonts w:cs="Arial"/>
          <w:sz w:val="22"/>
          <w:szCs w:val="22"/>
          <w:lang w:val="en"/>
        </w:rPr>
        <w:t xml:space="preserve">tailored </w:t>
      </w:r>
      <w:r w:rsidR="00022A38" w:rsidRPr="00E14293">
        <w:rPr>
          <w:rFonts w:cs="Arial"/>
          <w:sz w:val="22"/>
          <w:szCs w:val="22"/>
          <w:lang w:val="en"/>
        </w:rPr>
        <w:t>roadmaps for delivery</w:t>
      </w:r>
      <w:r w:rsidR="00022A38">
        <w:rPr>
          <w:rFonts w:cs="Arial"/>
          <w:sz w:val="22"/>
          <w:szCs w:val="22"/>
          <w:lang w:val="en"/>
        </w:rPr>
        <w:t xml:space="preserve"> in </w:t>
      </w:r>
      <w:r w:rsidR="00022A38" w:rsidRPr="00E14293">
        <w:rPr>
          <w:rFonts w:cs="Arial"/>
          <w:sz w:val="22"/>
          <w:szCs w:val="22"/>
          <w:lang w:val="en"/>
        </w:rPr>
        <w:t xml:space="preserve">each partner country. </w:t>
      </w:r>
    </w:p>
    <w:p w14:paraId="13C42AF7" w14:textId="0AD4378A" w:rsidR="003D0600" w:rsidRDefault="00F40CDB" w:rsidP="00F40CDB">
      <w:pPr>
        <w:tabs>
          <w:tab w:val="left" w:pos="6915"/>
          <w:tab w:val="left" w:pos="9495"/>
        </w:tabs>
        <w:spacing w:before="120" w:after="120" w:line="276" w:lineRule="auto"/>
        <w:jc w:val="both"/>
        <w:rPr>
          <w:sz w:val="22"/>
          <w:szCs w:val="22"/>
        </w:rPr>
      </w:pPr>
      <w:r w:rsidRPr="00901664">
        <w:rPr>
          <w:rFonts w:cs="Arial"/>
          <w:b/>
          <w:bCs/>
          <w:sz w:val="22"/>
          <w:szCs w:val="22"/>
          <w:lang w:val="en" w:eastAsia="en-GB"/>
        </w:rPr>
        <w:t>Recommendation:</w:t>
      </w:r>
      <w:r w:rsidRPr="00585849">
        <w:rPr>
          <w:rFonts w:cs="Arial"/>
          <w:sz w:val="22"/>
          <w:szCs w:val="22"/>
          <w:lang w:val="en" w:eastAsia="en-GB"/>
        </w:rPr>
        <w:t xml:space="preserve"> </w:t>
      </w:r>
      <w:r w:rsidR="007E09E6">
        <w:rPr>
          <w:rFonts w:cs="Arial"/>
          <w:sz w:val="22"/>
          <w:szCs w:val="22"/>
          <w:lang w:val="en" w:eastAsia="en-GB"/>
        </w:rPr>
        <w:t>By 31 October 2020</w:t>
      </w:r>
      <w:r w:rsidR="00A27184">
        <w:rPr>
          <w:rFonts w:cs="Arial"/>
          <w:sz w:val="22"/>
          <w:szCs w:val="22"/>
          <w:lang w:val="en" w:eastAsia="en-GB"/>
        </w:rPr>
        <w:t>,</w:t>
      </w:r>
      <w:r w:rsidR="007E09E6">
        <w:rPr>
          <w:rFonts w:cs="Arial"/>
          <w:sz w:val="22"/>
          <w:szCs w:val="22"/>
          <w:lang w:val="en" w:eastAsia="en-GB"/>
        </w:rPr>
        <w:t xml:space="preserve"> </w:t>
      </w:r>
      <w:r w:rsidR="00585849" w:rsidRPr="00585849">
        <w:rPr>
          <w:rFonts w:cs="Arial"/>
          <w:sz w:val="22"/>
          <w:szCs w:val="22"/>
          <w:lang w:val="en" w:eastAsia="en-GB"/>
        </w:rPr>
        <w:t xml:space="preserve">IDB to draft and agree with BEIS a strategic outline for what SIP-LA will achieve in each of its partner countries </w:t>
      </w:r>
      <w:r w:rsidR="007F62CD">
        <w:rPr>
          <w:sz w:val="22"/>
          <w:szCs w:val="22"/>
        </w:rPr>
        <w:t xml:space="preserve">using </w:t>
      </w:r>
      <w:r w:rsidR="00844C3D">
        <w:rPr>
          <w:sz w:val="22"/>
          <w:szCs w:val="22"/>
        </w:rPr>
        <w:t>blended finance</w:t>
      </w:r>
      <w:r w:rsidR="007F62CD">
        <w:rPr>
          <w:sz w:val="22"/>
          <w:szCs w:val="22"/>
        </w:rPr>
        <w:t xml:space="preserve"> and </w:t>
      </w:r>
      <w:r w:rsidR="008C77B2">
        <w:rPr>
          <w:sz w:val="22"/>
          <w:szCs w:val="22"/>
        </w:rPr>
        <w:t>technical assistance</w:t>
      </w:r>
      <w:r w:rsidR="007E09E6">
        <w:rPr>
          <w:sz w:val="22"/>
          <w:szCs w:val="22"/>
        </w:rPr>
        <w:t xml:space="preserve">. </w:t>
      </w:r>
      <w:r w:rsidR="007E09E6" w:rsidRPr="000E2DEF">
        <w:rPr>
          <w:sz w:val="22"/>
          <w:szCs w:val="22"/>
        </w:rPr>
        <w:t xml:space="preserve">IDB </w:t>
      </w:r>
      <w:r w:rsidR="007E09E6">
        <w:rPr>
          <w:sz w:val="22"/>
          <w:szCs w:val="22"/>
        </w:rPr>
        <w:t xml:space="preserve">country offices and SIP-LA teams </w:t>
      </w:r>
      <w:r w:rsidR="007E09E6" w:rsidRPr="000E2DEF">
        <w:rPr>
          <w:sz w:val="22"/>
          <w:szCs w:val="22"/>
        </w:rPr>
        <w:t xml:space="preserve">should consult HMG embassy </w:t>
      </w:r>
      <w:r w:rsidR="007E09E6" w:rsidRPr="00853A15">
        <w:rPr>
          <w:sz w:val="22"/>
          <w:szCs w:val="22"/>
        </w:rPr>
        <w:t xml:space="preserve">teams in </w:t>
      </w:r>
      <w:r w:rsidR="007E09E6">
        <w:rPr>
          <w:sz w:val="22"/>
          <w:szCs w:val="22"/>
        </w:rPr>
        <w:t xml:space="preserve">the preparation and execution of the </w:t>
      </w:r>
      <w:r w:rsidR="007E09E6" w:rsidRPr="00853A15">
        <w:rPr>
          <w:sz w:val="22"/>
          <w:szCs w:val="22"/>
        </w:rPr>
        <w:t>consultation processes to ensure coordination continues and visibility is improved.</w:t>
      </w:r>
    </w:p>
    <w:p w14:paraId="797776AC" w14:textId="3F0036C9" w:rsidR="00F40CDB" w:rsidRPr="00373026" w:rsidRDefault="00F40CDB" w:rsidP="00F40CDB">
      <w:pPr>
        <w:pStyle w:val="Heading2"/>
        <w:pBdr>
          <w:top w:val="single" w:sz="4" w:space="1" w:color="auto"/>
          <w:left w:val="single" w:sz="4" w:space="6" w:color="auto"/>
          <w:bottom w:val="single" w:sz="4" w:space="1" w:color="auto"/>
          <w:right w:val="single" w:sz="4" w:space="0" w:color="auto"/>
        </w:pBdr>
        <w:shd w:val="clear" w:color="auto" w:fill="D9E2F3" w:themeFill="accent1" w:themeFillTint="33"/>
        <w:spacing w:before="120" w:after="120" w:line="276" w:lineRule="auto"/>
        <w:jc w:val="both"/>
        <w:rPr>
          <w:sz w:val="22"/>
          <w:szCs w:val="22"/>
        </w:rPr>
      </w:pPr>
      <w:r w:rsidRPr="00373026">
        <w:rPr>
          <w:i w:val="0"/>
          <w:sz w:val="22"/>
          <w:szCs w:val="22"/>
        </w:rPr>
        <w:t xml:space="preserve">C. DETAILED </w:t>
      </w:r>
      <w:r w:rsidR="00844C3D">
        <w:rPr>
          <w:i w:val="0"/>
          <w:sz w:val="22"/>
          <w:szCs w:val="22"/>
        </w:rPr>
        <w:t>OUTPUT</w:t>
      </w:r>
      <w:r w:rsidRPr="00373026">
        <w:rPr>
          <w:i w:val="0"/>
          <w:sz w:val="22"/>
          <w:szCs w:val="22"/>
        </w:rPr>
        <w:t xml:space="preserve"> SCORING</w:t>
      </w:r>
    </w:p>
    <w:tbl>
      <w:tblPr>
        <w:tblStyle w:val="TableGrid"/>
        <w:tblW w:w="10477" w:type="dxa"/>
        <w:tblInd w:w="-5" w:type="dxa"/>
        <w:tblLook w:val="04A0" w:firstRow="1" w:lastRow="0" w:firstColumn="1" w:lastColumn="0" w:noHBand="0" w:noVBand="1"/>
      </w:tblPr>
      <w:tblGrid>
        <w:gridCol w:w="2645"/>
        <w:gridCol w:w="1559"/>
        <w:gridCol w:w="3910"/>
        <w:gridCol w:w="2363"/>
      </w:tblGrid>
      <w:tr w:rsidR="00E91BF1" w:rsidRPr="00B01C1F" w14:paraId="771D52C5" w14:textId="77777777" w:rsidTr="009108DA">
        <w:trPr>
          <w:trHeight w:val="462"/>
        </w:trPr>
        <w:tc>
          <w:tcPr>
            <w:tcW w:w="264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CCD2944" w14:textId="4396C81C" w:rsidR="00F40CDB" w:rsidRPr="00E14293" w:rsidRDefault="00844C3D" w:rsidP="00191418">
            <w:pPr>
              <w:spacing w:before="60" w:after="60" w:line="276" w:lineRule="auto"/>
              <w:jc w:val="both"/>
              <w:rPr>
                <w:b/>
                <w:bCs/>
                <w:sz w:val="20"/>
                <w:szCs w:val="20"/>
              </w:rPr>
            </w:pPr>
            <w:r>
              <w:rPr>
                <w:b/>
                <w:bCs/>
                <w:sz w:val="20"/>
                <w:szCs w:val="20"/>
              </w:rPr>
              <w:t>Output</w:t>
            </w:r>
            <w:r w:rsidR="00F40CDB" w:rsidRPr="00E14293">
              <w:rPr>
                <w:b/>
                <w:bCs/>
                <w:sz w:val="20"/>
                <w:szCs w:val="20"/>
              </w:rPr>
              <w:t xml:space="preserve"> Title </w:t>
            </w:r>
          </w:p>
        </w:tc>
        <w:tc>
          <w:tcPr>
            <w:tcW w:w="783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5B4E0B5" w14:textId="77777777" w:rsidR="00F40CDB" w:rsidRPr="00E14293" w:rsidRDefault="00F40CDB" w:rsidP="00191418">
            <w:pPr>
              <w:spacing w:before="60" w:after="60" w:line="276" w:lineRule="auto"/>
              <w:jc w:val="both"/>
              <w:rPr>
                <w:bCs/>
                <w:iCs/>
                <w:sz w:val="20"/>
                <w:szCs w:val="20"/>
              </w:rPr>
            </w:pPr>
            <w:r w:rsidRPr="00E14293">
              <w:rPr>
                <w:bCs/>
                <w:iCs/>
                <w:sz w:val="20"/>
                <w:szCs w:val="20"/>
              </w:rPr>
              <w:t>Context specific (country level/project level) TA is delivered</w:t>
            </w:r>
          </w:p>
        </w:tc>
      </w:tr>
      <w:tr w:rsidR="00A4048C" w:rsidRPr="00B01C1F" w14:paraId="75960E70" w14:textId="77777777" w:rsidTr="009108DA">
        <w:trPr>
          <w:trHeight w:val="434"/>
        </w:trPr>
        <w:tc>
          <w:tcPr>
            <w:tcW w:w="264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AFD59A9" w14:textId="1578CD17" w:rsidR="00F40CDB" w:rsidRPr="0038315A" w:rsidRDefault="00844C3D" w:rsidP="00191418">
            <w:pPr>
              <w:spacing w:before="60" w:after="60" w:line="276" w:lineRule="auto"/>
              <w:jc w:val="both"/>
              <w:rPr>
                <w:b/>
                <w:sz w:val="20"/>
                <w:szCs w:val="20"/>
              </w:rPr>
            </w:pPr>
            <w:r>
              <w:rPr>
                <w:b/>
                <w:sz w:val="20"/>
                <w:szCs w:val="20"/>
              </w:rPr>
              <w:t>Output</w:t>
            </w:r>
            <w:r w:rsidR="00F40CDB" w:rsidRPr="0038315A">
              <w:rPr>
                <w:b/>
                <w:sz w:val="20"/>
                <w:szCs w:val="20"/>
              </w:rPr>
              <w:t xml:space="preserve"> number: </w:t>
            </w:r>
          </w:p>
        </w:tc>
        <w:tc>
          <w:tcPr>
            <w:tcW w:w="1559" w:type="dxa"/>
            <w:tcBorders>
              <w:top w:val="single" w:sz="4" w:space="0" w:color="auto"/>
              <w:left w:val="single" w:sz="4" w:space="0" w:color="auto"/>
              <w:bottom w:val="single" w:sz="4" w:space="0" w:color="auto"/>
              <w:right w:val="single" w:sz="4" w:space="0" w:color="auto"/>
            </w:tcBorders>
          </w:tcPr>
          <w:p w14:paraId="2465793F" w14:textId="77777777" w:rsidR="00F40CDB" w:rsidRPr="00E14293" w:rsidRDefault="00F40CDB" w:rsidP="00191418">
            <w:pPr>
              <w:spacing w:before="60" w:after="60" w:line="276" w:lineRule="auto"/>
              <w:jc w:val="both"/>
              <w:rPr>
                <w:sz w:val="20"/>
                <w:szCs w:val="20"/>
              </w:rPr>
            </w:pPr>
            <w:r w:rsidRPr="00E14293">
              <w:rPr>
                <w:sz w:val="20"/>
                <w:szCs w:val="20"/>
              </w:rPr>
              <w:t>1</w:t>
            </w:r>
          </w:p>
        </w:tc>
        <w:tc>
          <w:tcPr>
            <w:tcW w:w="391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3E918FC" w14:textId="53BA230D" w:rsidR="00F40CDB" w:rsidRPr="0038315A" w:rsidRDefault="00844C3D" w:rsidP="00191418">
            <w:pPr>
              <w:spacing w:before="60" w:after="60" w:line="276" w:lineRule="auto"/>
              <w:jc w:val="both"/>
              <w:rPr>
                <w:b/>
                <w:sz w:val="20"/>
                <w:szCs w:val="20"/>
              </w:rPr>
            </w:pPr>
            <w:r>
              <w:rPr>
                <w:b/>
                <w:sz w:val="20"/>
                <w:szCs w:val="20"/>
              </w:rPr>
              <w:t>Output</w:t>
            </w:r>
            <w:r w:rsidR="00F40CDB" w:rsidRPr="0038315A">
              <w:rPr>
                <w:b/>
                <w:sz w:val="20"/>
                <w:szCs w:val="20"/>
              </w:rPr>
              <w:t xml:space="preserve"> Score: </w:t>
            </w:r>
          </w:p>
        </w:tc>
        <w:tc>
          <w:tcPr>
            <w:tcW w:w="2362" w:type="dxa"/>
            <w:tcBorders>
              <w:top w:val="single" w:sz="4" w:space="0" w:color="auto"/>
              <w:left w:val="single" w:sz="4" w:space="0" w:color="auto"/>
              <w:bottom w:val="single" w:sz="4" w:space="0" w:color="auto"/>
              <w:right w:val="single" w:sz="4" w:space="0" w:color="auto"/>
            </w:tcBorders>
          </w:tcPr>
          <w:p w14:paraId="0070771C" w14:textId="77777777" w:rsidR="00F40CDB" w:rsidRPr="00E14293" w:rsidRDefault="00F40CDB" w:rsidP="00191418">
            <w:pPr>
              <w:spacing w:before="60" w:after="60" w:line="276" w:lineRule="auto"/>
              <w:jc w:val="both"/>
              <w:rPr>
                <w:b/>
                <w:bCs/>
                <w:iCs/>
                <w:color w:val="FF0000"/>
                <w:sz w:val="20"/>
                <w:szCs w:val="20"/>
              </w:rPr>
            </w:pPr>
            <w:r w:rsidRPr="00E14293">
              <w:rPr>
                <w:b/>
                <w:bCs/>
                <w:iCs/>
                <w:sz w:val="20"/>
                <w:szCs w:val="20"/>
              </w:rPr>
              <w:t>A</w:t>
            </w:r>
          </w:p>
        </w:tc>
      </w:tr>
      <w:tr w:rsidR="00A4048C" w:rsidRPr="00B01C1F" w14:paraId="164923ED" w14:textId="77777777" w:rsidTr="009108DA">
        <w:trPr>
          <w:trHeight w:val="431"/>
        </w:trPr>
        <w:tc>
          <w:tcPr>
            <w:tcW w:w="264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8B4D168" w14:textId="77777777" w:rsidR="00F40CDB" w:rsidRPr="005D3741" w:rsidRDefault="00F40CDB" w:rsidP="00191418">
            <w:pPr>
              <w:spacing w:before="60" w:after="60" w:line="276" w:lineRule="auto"/>
              <w:jc w:val="both"/>
              <w:rPr>
                <w:b/>
                <w:sz w:val="20"/>
                <w:szCs w:val="20"/>
              </w:rPr>
            </w:pPr>
            <w:r w:rsidRPr="005D3741">
              <w:rPr>
                <w:b/>
                <w:sz w:val="20"/>
                <w:szCs w:val="20"/>
              </w:rPr>
              <w:t xml:space="preserve">Impact weighting (%):  </w:t>
            </w:r>
          </w:p>
        </w:tc>
        <w:tc>
          <w:tcPr>
            <w:tcW w:w="1559" w:type="dxa"/>
            <w:tcBorders>
              <w:top w:val="single" w:sz="4" w:space="0" w:color="auto"/>
              <w:left w:val="single" w:sz="4" w:space="0" w:color="auto"/>
              <w:bottom w:val="single" w:sz="4" w:space="0" w:color="auto"/>
              <w:right w:val="single" w:sz="4" w:space="0" w:color="auto"/>
            </w:tcBorders>
            <w:hideMark/>
          </w:tcPr>
          <w:p w14:paraId="6BD24564" w14:textId="77777777" w:rsidR="00F40CDB" w:rsidRPr="00E14293" w:rsidRDefault="00F40CDB" w:rsidP="00191418">
            <w:pPr>
              <w:spacing w:before="60" w:after="60" w:line="276" w:lineRule="auto"/>
              <w:jc w:val="both"/>
              <w:rPr>
                <w:bCs/>
                <w:sz w:val="20"/>
                <w:szCs w:val="20"/>
              </w:rPr>
            </w:pPr>
            <w:r>
              <w:rPr>
                <w:bCs/>
                <w:sz w:val="20"/>
                <w:szCs w:val="20"/>
              </w:rPr>
              <w:t>2</w:t>
            </w:r>
            <w:r w:rsidRPr="00E14293">
              <w:rPr>
                <w:bCs/>
                <w:sz w:val="20"/>
                <w:szCs w:val="20"/>
              </w:rPr>
              <w:t>5%</w:t>
            </w:r>
          </w:p>
        </w:tc>
        <w:tc>
          <w:tcPr>
            <w:tcW w:w="391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CBCF985" w14:textId="77777777" w:rsidR="00F40CDB" w:rsidRPr="005D3741" w:rsidRDefault="00F40CDB" w:rsidP="00191418">
            <w:pPr>
              <w:spacing w:before="60" w:after="60" w:line="276" w:lineRule="auto"/>
              <w:jc w:val="both"/>
              <w:rPr>
                <w:b/>
                <w:sz w:val="20"/>
                <w:szCs w:val="20"/>
              </w:rPr>
            </w:pPr>
            <w:r w:rsidRPr="005D3741">
              <w:rPr>
                <w:b/>
                <w:sz w:val="20"/>
                <w:szCs w:val="20"/>
              </w:rPr>
              <w:t xml:space="preserve">Weighting revised since last AR </w:t>
            </w:r>
          </w:p>
        </w:tc>
        <w:tc>
          <w:tcPr>
            <w:tcW w:w="2362" w:type="dxa"/>
            <w:tcBorders>
              <w:top w:val="single" w:sz="4" w:space="0" w:color="auto"/>
              <w:left w:val="single" w:sz="4" w:space="0" w:color="auto"/>
              <w:bottom w:val="single" w:sz="4" w:space="0" w:color="auto"/>
              <w:right w:val="single" w:sz="4" w:space="0" w:color="auto"/>
            </w:tcBorders>
          </w:tcPr>
          <w:p w14:paraId="78BD6E9B" w14:textId="77777777" w:rsidR="00F40CDB" w:rsidRPr="00E14293" w:rsidRDefault="00F40CDB" w:rsidP="00191418">
            <w:pPr>
              <w:spacing w:before="60" w:after="60" w:line="276" w:lineRule="auto"/>
              <w:jc w:val="both"/>
              <w:rPr>
                <w:bCs/>
                <w:sz w:val="20"/>
                <w:szCs w:val="20"/>
              </w:rPr>
            </w:pPr>
            <w:r>
              <w:rPr>
                <w:bCs/>
                <w:sz w:val="20"/>
                <w:szCs w:val="20"/>
              </w:rPr>
              <w:t>Yes</w:t>
            </w:r>
          </w:p>
        </w:tc>
      </w:tr>
      <w:tr w:rsidR="00A4048C" w:rsidRPr="00B01C1F" w14:paraId="7E4D015E" w14:textId="77777777" w:rsidTr="009108DA">
        <w:trPr>
          <w:trHeight w:val="523"/>
        </w:trPr>
        <w:tc>
          <w:tcPr>
            <w:tcW w:w="26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EF3F911" w14:textId="77777777" w:rsidR="00F40CDB" w:rsidRPr="005D3741" w:rsidRDefault="00F40CDB" w:rsidP="00191418">
            <w:pPr>
              <w:spacing w:before="60" w:after="60" w:line="276" w:lineRule="auto"/>
              <w:jc w:val="both"/>
              <w:rPr>
                <w:b/>
                <w:sz w:val="20"/>
                <w:szCs w:val="20"/>
              </w:rPr>
            </w:pPr>
            <w:r w:rsidRPr="005D3741">
              <w:rPr>
                <w:b/>
                <w:sz w:val="20"/>
                <w:szCs w:val="20"/>
              </w:rPr>
              <w:t>Risk rating</w:t>
            </w:r>
          </w:p>
        </w:tc>
        <w:tc>
          <w:tcPr>
            <w:tcW w:w="1559" w:type="dxa"/>
            <w:tcBorders>
              <w:top w:val="single" w:sz="4" w:space="0" w:color="auto"/>
              <w:left w:val="single" w:sz="4" w:space="0" w:color="auto"/>
              <w:bottom w:val="single" w:sz="4" w:space="0" w:color="auto"/>
              <w:right w:val="single" w:sz="4" w:space="0" w:color="auto"/>
            </w:tcBorders>
          </w:tcPr>
          <w:p w14:paraId="40A6BCF8" w14:textId="77777777" w:rsidR="00F40CDB" w:rsidRPr="00E14293" w:rsidRDefault="00F40CDB" w:rsidP="00191418">
            <w:pPr>
              <w:spacing w:before="60" w:after="60" w:line="276" w:lineRule="auto"/>
              <w:jc w:val="both"/>
              <w:rPr>
                <w:bCs/>
                <w:sz w:val="20"/>
                <w:szCs w:val="20"/>
              </w:rPr>
            </w:pPr>
            <w:r>
              <w:rPr>
                <w:bCs/>
                <w:sz w:val="20"/>
                <w:szCs w:val="20"/>
              </w:rPr>
              <w:t>Moderate</w:t>
            </w:r>
          </w:p>
        </w:tc>
        <w:tc>
          <w:tcPr>
            <w:tcW w:w="391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7AC4DFC" w14:textId="77777777" w:rsidR="00F40CDB" w:rsidRPr="005D3741" w:rsidRDefault="00F40CDB" w:rsidP="00191418">
            <w:pPr>
              <w:spacing w:before="60" w:after="60" w:line="276" w:lineRule="auto"/>
              <w:jc w:val="both"/>
              <w:rPr>
                <w:b/>
                <w:sz w:val="20"/>
                <w:szCs w:val="20"/>
              </w:rPr>
            </w:pPr>
            <w:r w:rsidRPr="005D3741">
              <w:rPr>
                <w:b/>
                <w:sz w:val="20"/>
                <w:szCs w:val="20"/>
              </w:rPr>
              <w:t>Risk revised since last AR?</w:t>
            </w:r>
          </w:p>
        </w:tc>
        <w:tc>
          <w:tcPr>
            <w:tcW w:w="2362" w:type="dxa"/>
            <w:tcBorders>
              <w:top w:val="single" w:sz="4" w:space="0" w:color="auto"/>
              <w:left w:val="single" w:sz="4" w:space="0" w:color="auto"/>
              <w:bottom w:val="single" w:sz="4" w:space="0" w:color="auto"/>
              <w:right w:val="single" w:sz="4" w:space="0" w:color="auto"/>
            </w:tcBorders>
          </w:tcPr>
          <w:p w14:paraId="083898DD" w14:textId="77777777" w:rsidR="00F40CDB" w:rsidRPr="00E14293" w:rsidRDefault="00F40CDB" w:rsidP="00191418">
            <w:pPr>
              <w:spacing w:before="60" w:after="60" w:line="276" w:lineRule="auto"/>
              <w:jc w:val="both"/>
              <w:rPr>
                <w:bCs/>
                <w:sz w:val="20"/>
                <w:szCs w:val="20"/>
              </w:rPr>
            </w:pPr>
            <w:r>
              <w:rPr>
                <w:bCs/>
                <w:sz w:val="20"/>
                <w:szCs w:val="20"/>
              </w:rPr>
              <w:t>No</w:t>
            </w:r>
          </w:p>
        </w:tc>
      </w:tr>
    </w:tbl>
    <w:tbl>
      <w:tblPr>
        <w:tblStyle w:val="TableGrid"/>
        <w:tblpPr w:leftFromText="180" w:rightFromText="180" w:vertAnchor="text" w:horzAnchor="margin" w:tblpX="-10" w:tblpY="150"/>
        <w:tblOverlap w:val="never"/>
        <w:tblW w:w="10507" w:type="dxa"/>
        <w:tblLook w:val="04A0" w:firstRow="1" w:lastRow="0" w:firstColumn="1" w:lastColumn="0" w:noHBand="0" w:noVBand="1"/>
      </w:tblPr>
      <w:tblGrid>
        <w:gridCol w:w="5007"/>
        <w:gridCol w:w="1537"/>
        <w:gridCol w:w="1411"/>
        <w:gridCol w:w="1140"/>
        <w:gridCol w:w="1412"/>
      </w:tblGrid>
      <w:tr w:rsidR="00F40CDB" w:rsidRPr="00B01C1F" w14:paraId="14383639" w14:textId="77777777" w:rsidTr="009108DA">
        <w:trPr>
          <w:trHeight w:val="465"/>
        </w:trPr>
        <w:tc>
          <w:tcPr>
            <w:tcW w:w="5007" w:type="dxa"/>
            <w:vMerge w:val="restart"/>
            <w:tcBorders>
              <w:top w:val="single" w:sz="4" w:space="0" w:color="auto"/>
              <w:left w:val="single" w:sz="4" w:space="0" w:color="auto"/>
              <w:right w:val="single" w:sz="4" w:space="0" w:color="auto"/>
            </w:tcBorders>
            <w:shd w:val="clear" w:color="auto" w:fill="D9E2F3" w:themeFill="accent1" w:themeFillTint="33"/>
            <w:hideMark/>
          </w:tcPr>
          <w:p w14:paraId="6B3A5DFE" w14:textId="7CD737D3" w:rsidR="00F40CDB" w:rsidRPr="00B01C1F" w:rsidRDefault="00F40CDB" w:rsidP="00191418">
            <w:pPr>
              <w:spacing w:before="60" w:after="60" w:line="276" w:lineRule="auto"/>
              <w:jc w:val="both"/>
              <w:rPr>
                <w:b/>
                <w:bCs/>
                <w:sz w:val="20"/>
                <w:szCs w:val="20"/>
              </w:rPr>
            </w:pPr>
            <w:r w:rsidRPr="00B01C1F">
              <w:rPr>
                <w:b/>
                <w:bCs/>
                <w:sz w:val="20"/>
                <w:szCs w:val="20"/>
              </w:rPr>
              <w:t>Indicators</w:t>
            </w:r>
          </w:p>
        </w:tc>
        <w:tc>
          <w:tcPr>
            <w:tcW w:w="2948"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934DA60" w14:textId="77777777" w:rsidR="00F40CDB" w:rsidRPr="00B01C1F" w:rsidRDefault="00F40CDB" w:rsidP="00191418">
            <w:pPr>
              <w:spacing w:before="60" w:after="60" w:line="276" w:lineRule="auto"/>
              <w:jc w:val="both"/>
              <w:rPr>
                <w:b/>
                <w:bCs/>
                <w:sz w:val="20"/>
                <w:szCs w:val="20"/>
              </w:rPr>
            </w:pPr>
            <w:r w:rsidRPr="00B01C1F">
              <w:rPr>
                <w:b/>
                <w:bCs/>
                <w:sz w:val="20"/>
                <w:szCs w:val="20"/>
              </w:rPr>
              <w:t>Milestone</w:t>
            </w:r>
            <w:r>
              <w:rPr>
                <w:b/>
                <w:bCs/>
                <w:sz w:val="20"/>
                <w:szCs w:val="20"/>
              </w:rPr>
              <w:t>s</w:t>
            </w:r>
          </w:p>
        </w:tc>
        <w:tc>
          <w:tcPr>
            <w:tcW w:w="2552"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BAA6D84" w14:textId="77777777" w:rsidR="00F40CDB" w:rsidRPr="00B01C1F" w:rsidRDefault="00F40CDB" w:rsidP="00191418">
            <w:pPr>
              <w:spacing w:before="60" w:after="60" w:line="276" w:lineRule="auto"/>
              <w:jc w:val="both"/>
              <w:rPr>
                <w:b/>
                <w:bCs/>
                <w:sz w:val="20"/>
                <w:szCs w:val="20"/>
              </w:rPr>
            </w:pPr>
            <w:r w:rsidRPr="00B01C1F">
              <w:rPr>
                <w:b/>
                <w:bCs/>
                <w:sz w:val="20"/>
                <w:szCs w:val="20"/>
              </w:rPr>
              <w:t xml:space="preserve">Progress </w:t>
            </w:r>
          </w:p>
        </w:tc>
      </w:tr>
      <w:tr w:rsidR="00F40CDB" w:rsidRPr="00B01C1F" w14:paraId="509AECB9" w14:textId="77777777" w:rsidTr="009108DA">
        <w:trPr>
          <w:trHeight w:val="460"/>
        </w:trPr>
        <w:tc>
          <w:tcPr>
            <w:tcW w:w="5007" w:type="dxa"/>
            <w:vMerge/>
            <w:tcBorders>
              <w:left w:val="single" w:sz="4" w:space="0" w:color="auto"/>
              <w:bottom w:val="single" w:sz="4" w:space="0" w:color="auto"/>
              <w:right w:val="single" w:sz="4" w:space="0" w:color="auto"/>
            </w:tcBorders>
          </w:tcPr>
          <w:p w14:paraId="4B84F74E" w14:textId="77777777" w:rsidR="00F40CDB" w:rsidRPr="00B01C1F" w:rsidRDefault="00F40CDB" w:rsidP="00191418">
            <w:pPr>
              <w:spacing w:before="60" w:after="60" w:line="276" w:lineRule="auto"/>
              <w:jc w:val="both"/>
              <w:rPr>
                <w:rFonts w:cs="Arial"/>
                <w:bCs/>
                <w:iCs/>
                <w:sz w:val="20"/>
                <w:szCs w:val="20"/>
              </w:rPr>
            </w:pPr>
          </w:p>
        </w:tc>
        <w:tc>
          <w:tcPr>
            <w:tcW w:w="153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71059EE" w14:textId="77777777" w:rsidR="00F40CDB" w:rsidRPr="00B01C1F" w:rsidRDefault="00F40CDB" w:rsidP="00191418">
            <w:pPr>
              <w:spacing w:before="60" w:after="60" w:line="276" w:lineRule="auto"/>
              <w:jc w:val="both"/>
              <w:rPr>
                <w:b/>
                <w:iCs/>
                <w:sz w:val="20"/>
                <w:szCs w:val="20"/>
              </w:rPr>
            </w:pPr>
            <w:r w:rsidRPr="00B01C1F">
              <w:rPr>
                <w:b/>
                <w:iCs/>
                <w:sz w:val="20"/>
                <w:szCs w:val="20"/>
              </w:rPr>
              <w:t>2019</w:t>
            </w:r>
          </w:p>
        </w:tc>
        <w:tc>
          <w:tcPr>
            <w:tcW w:w="141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956DD32" w14:textId="77777777" w:rsidR="00F40CDB" w:rsidRPr="00B01C1F" w:rsidRDefault="00F40CDB" w:rsidP="00191418">
            <w:pPr>
              <w:spacing w:before="60" w:after="60" w:line="276" w:lineRule="auto"/>
              <w:jc w:val="both"/>
              <w:rPr>
                <w:b/>
                <w:iCs/>
                <w:sz w:val="20"/>
                <w:szCs w:val="20"/>
              </w:rPr>
            </w:pPr>
            <w:r w:rsidRPr="00B01C1F">
              <w:rPr>
                <w:b/>
                <w:iCs/>
                <w:sz w:val="20"/>
                <w:szCs w:val="20"/>
              </w:rPr>
              <w:t>Cumulative</w:t>
            </w:r>
          </w:p>
        </w:tc>
        <w:tc>
          <w:tcPr>
            <w:tcW w:w="11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470A9EB" w14:textId="77777777" w:rsidR="00F40CDB" w:rsidRPr="00B01C1F" w:rsidRDefault="00F40CDB" w:rsidP="00191418">
            <w:pPr>
              <w:spacing w:before="60" w:after="60" w:line="276" w:lineRule="auto"/>
              <w:contextualSpacing/>
              <w:jc w:val="both"/>
              <w:rPr>
                <w:rFonts w:cs="Arial"/>
                <w:b/>
                <w:iCs/>
                <w:sz w:val="20"/>
                <w:szCs w:val="20"/>
              </w:rPr>
            </w:pPr>
            <w:r w:rsidRPr="00B01C1F">
              <w:rPr>
                <w:rFonts w:cs="Arial"/>
                <w:b/>
                <w:iCs/>
                <w:sz w:val="20"/>
                <w:szCs w:val="20"/>
              </w:rPr>
              <w:t>2019</w:t>
            </w:r>
          </w:p>
        </w:tc>
        <w:tc>
          <w:tcPr>
            <w:tcW w:w="141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13385A6" w14:textId="77777777" w:rsidR="00F40CDB" w:rsidRPr="00B01C1F" w:rsidRDefault="00F40CDB" w:rsidP="00191418">
            <w:pPr>
              <w:spacing w:before="60" w:after="60" w:line="276" w:lineRule="auto"/>
              <w:contextualSpacing/>
              <w:jc w:val="both"/>
              <w:rPr>
                <w:rFonts w:cs="Arial"/>
                <w:b/>
                <w:iCs/>
                <w:sz w:val="20"/>
                <w:szCs w:val="20"/>
              </w:rPr>
            </w:pPr>
            <w:r w:rsidRPr="00B01C1F">
              <w:rPr>
                <w:rFonts w:cs="Arial"/>
                <w:b/>
                <w:iCs/>
                <w:sz w:val="20"/>
                <w:szCs w:val="20"/>
              </w:rPr>
              <w:t>Cumulative</w:t>
            </w:r>
          </w:p>
        </w:tc>
      </w:tr>
      <w:tr w:rsidR="00F40CDB" w:rsidRPr="00B01C1F" w14:paraId="17557027" w14:textId="77777777" w:rsidTr="009108DA">
        <w:trPr>
          <w:trHeight w:val="709"/>
        </w:trPr>
        <w:tc>
          <w:tcPr>
            <w:tcW w:w="5007" w:type="dxa"/>
            <w:tcBorders>
              <w:top w:val="single" w:sz="4" w:space="0" w:color="auto"/>
              <w:left w:val="single" w:sz="4" w:space="0" w:color="auto"/>
              <w:bottom w:val="single" w:sz="4" w:space="0" w:color="auto"/>
              <w:right w:val="single" w:sz="4" w:space="0" w:color="auto"/>
            </w:tcBorders>
          </w:tcPr>
          <w:p w14:paraId="6278509E" w14:textId="77777777" w:rsidR="00F40CDB" w:rsidRPr="00B01C1F" w:rsidRDefault="00F40CDB" w:rsidP="00191418">
            <w:pPr>
              <w:spacing w:before="60" w:after="60" w:line="276" w:lineRule="auto"/>
              <w:rPr>
                <w:bCs/>
                <w:iCs/>
                <w:sz w:val="20"/>
                <w:szCs w:val="20"/>
              </w:rPr>
            </w:pPr>
            <w:r w:rsidRPr="00B01C1F">
              <w:rPr>
                <w:rFonts w:cs="Arial"/>
                <w:bCs/>
                <w:iCs/>
                <w:sz w:val="20"/>
                <w:szCs w:val="20"/>
              </w:rPr>
              <w:t xml:space="preserve">1.1 Number of high-level dialogues conducted in </w:t>
            </w:r>
            <w:r>
              <w:rPr>
                <w:rFonts w:cs="Arial"/>
                <w:bCs/>
                <w:iCs/>
                <w:sz w:val="20"/>
                <w:szCs w:val="20"/>
              </w:rPr>
              <w:t xml:space="preserve">Latin America </w:t>
            </w:r>
            <w:r w:rsidRPr="00B01C1F">
              <w:rPr>
                <w:rFonts w:cs="Arial"/>
                <w:bCs/>
                <w:iCs/>
                <w:sz w:val="20"/>
                <w:szCs w:val="20"/>
              </w:rPr>
              <w:t>LAC involving IDB</w:t>
            </w:r>
          </w:p>
        </w:tc>
        <w:tc>
          <w:tcPr>
            <w:tcW w:w="1537" w:type="dxa"/>
            <w:tcBorders>
              <w:top w:val="single" w:sz="4" w:space="0" w:color="auto"/>
              <w:left w:val="single" w:sz="4" w:space="0" w:color="auto"/>
              <w:bottom w:val="single" w:sz="4" w:space="0" w:color="auto"/>
              <w:right w:val="single" w:sz="4" w:space="0" w:color="auto"/>
            </w:tcBorders>
          </w:tcPr>
          <w:p w14:paraId="3CB9AE51" w14:textId="77777777" w:rsidR="00F40CDB" w:rsidRPr="00B01C1F" w:rsidRDefault="00F40CDB" w:rsidP="00191418">
            <w:pPr>
              <w:spacing w:before="60" w:after="60" w:line="276" w:lineRule="auto"/>
              <w:jc w:val="both"/>
              <w:rPr>
                <w:bCs/>
                <w:iCs/>
                <w:sz w:val="20"/>
                <w:szCs w:val="20"/>
              </w:rPr>
            </w:pPr>
            <w:r w:rsidRPr="00B01C1F">
              <w:rPr>
                <w:bCs/>
                <w:iCs/>
                <w:sz w:val="20"/>
                <w:szCs w:val="20"/>
              </w:rPr>
              <w:t>4</w:t>
            </w:r>
          </w:p>
        </w:tc>
        <w:tc>
          <w:tcPr>
            <w:tcW w:w="1411" w:type="dxa"/>
            <w:tcBorders>
              <w:top w:val="single" w:sz="4" w:space="0" w:color="auto"/>
              <w:left w:val="single" w:sz="4" w:space="0" w:color="auto"/>
              <w:bottom w:val="single" w:sz="4" w:space="0" w:color="auto"/>
              <w:right w:val="single" w:sz="4" w:space="0" w:color="auto"/>
            </w:tcBorders>
          </w:tcPr>
          <w:p w14:paraId="3A612900" w14:textId="77777777" w:rsidR="00F40CDB" w:rsidRPr="00B01C1F" w:rsidRDefault="00F40CDB" w:rsidP="00191418">
            <w:pPr>
              <w:spacing w:before="60" w:after="60" w:line="276" w:lineRule="auto"/>
              <w:jc w:val="both"/>
              <w:rPr>
                <w:bCs/>
                <w:iCs/>
                <w:sz w:val="20"/>
                <w:szCs w:val="20"/>
              </w:rPr>
            </w:pPr>
            <w:r w:rsidRPr="00B01C1F">
              <w:rPr>
                <w:bCs/>
                <w:iCs/>
                <w:sz w:val="20"/>
                <w:szCs w:val="20"/>
              </w:rPr>
              <w:t>8</w:t>
            </w:r>
          </w:p>
        </w:tc>
        <w:tc>
          <w:tcPr>
            <w:tcW w:w="1140" w:type="dxa"/>
            <w:tcBorders>
              <w:top w:val="single" w:sz="4" w:space="0" w:color="auto"/>
              <w:left w:val="single" w:sz="4" w:space="0" w:color="auto"/>
              <w:bottom w:val="single" w:sz="4" w:space="0" w:color="auto"/>
              <w:right w:val="single" w:sz="4" w:space="0" w:color="auto"/>
            </w:tcBorders>
          </w:tcPr>
          <w:p w14:paraId="3C6EBB18" w14:textId="77777777" w:rsidR="00F40CDB" w:rsidRPr="00E14293" w:rsidRDefault="00F40CDB" w:rsidP="00191418">
            <w:pPr>
              <w:spacing w:before="60" w:after="60" w:line="276" w:lineRule="auto"/>
              <w:contextualSpacing/>
              <w:jc w:val="both"/>
              <w:rPr>
                <w:rFonts w:cs="Arial"/>
                <w:bCs/>
                <w:iCs/>
                <w:sz w:val="20"/>
                <w:szCs w:val="20"/>
              </w:rPr>
            </w:pPr>
            <w:r>
              <w:rPr>
                <w:rFonts w:cs="Arial"/>
                <w:bCs/>
                <w:iCs/>
                <w:sz w:val="20"/>
                <w:szCs w:val="20"/>
              </w:rPr>
              <w:t>4</w:t>
            </w:r>
          </w:p>
        </w:tc>
        <w:tc>
          <w:tcPr>
            <w:tcW w:w="1411" w:type="dxa"/>
            <w:tcBorders>
              <w:top w:val="single" w:sz="4" w:space="0" w:color="auto"/>
              <w:left w:val="single" w:sz="4" w:space="0" w:color="auto"/>
              <w:bottom w:val="single" w:sz="4" w:space="0" w:color="auto"/>
              <w:right w:val="single" w:sz="4" w:space="0" w:color="auto"/>
            </w:tcBorders>
          </w:tcPr>
          <w:p w14:paraId="7F0C563D" w14:textId="77777777" w:rsidR="00F40CDB" w:rsidRPr="00B01C1F" w:rsidRDefault="00F40CDB" w:rsidP="00191418">
            <w:pPr>
              <w:spacing w:before="60" w:after="60" w:line="276" w:lineRule="auto"/>
              <w:jc w:val="both"/>
              <w:rPr>
                <w:bCs/>
                <w:iCs/>
                <w:sz w:val="20"/>
                <w:szCs w:val="20"/>
              </w:rPr>
            </w:pPr>
            <w:r w:rsidRPr="00B01C1F">
              <w:rPr>
                <w:bCs/>
                <w:iCs/>
                <w:sz w:val="20"/>
                <w:szCs w:val="20"/>
              </w:rPr>
              <w:t>8</w:t>
            </w:r>
          </w:p>
        </w:tc>
      </w:tr>
      <w:tr w:rsidR="00F40CDB" w:rsidRPr="00B01C1F" w14:paraId="1F25078B" w14:textId="77777777" w:rsidTr="009108DA">
        <w:trPr>
          <w:trHeight w:val="732"/>
        </w:trPr>
        <w:tc>
          <w:tcPr>
            <w:tcW w:w="5007" w:type="dxa"/>
            <w:tcBorders>
              <w:top w:val="single" w:sz="4" w:space="0" w:color="auto"/>
              <w:left w:val="single" w:sz="4" w:space="0" w:color="auto"/>
              <w:bottom w:val="single" w:sz="4" w:space="0" w:color="auto"/>
              <w:right w:val="single" w:sz="4" w:space="0" w:color="auto"/>
            </w:tcBorders>
          </w:tcPr>
          <w:p w14:paraId="43BC43BC" w14:textId="77777777" w:rsidR="00F40CDB" w:rsidRPr="00B01C1F" w:rsidRDefault="00F40CDB" w:rsidP="00191418">
            <w:pPr>
              <w:spacing w:before="60" w:after="60" w:line="276" w:lineRule="auto"/>
              <w:jc w:val="both"/>
              <w:rPr>
                <w:bCs/>
                <w:sz w:val="20"/>
                <w:szCs w:val="20"/>
              </w:rPr>
            </w:pPr>
            <w:r w:rsidRPr="00B01C1F">
              <w:rPr>
                <w:bCs/>
                <w:sz w:val="20"/>
                <w:szCs w:val="20"/>
              </w:rPr>
              <w:t>1.2 Number of capacity building activities undertaken in</w:t>
            </w:r>
            <w:r>
              <w:rPr>
                <w:rFonts w:cs="Arial"/>
                <w:sz w:val="20"/>
                <w:szCs w:val="20"/>
              </w:rPr>
              <w:t xml:space="preserve"> </w:t>
            </w:r>
            <w:r>
              <w:rPr>
                <w:rFonts w:cs="Arial"/>
                <w:bCs/>
                <w:iCs/>
                <w:sz w:val="20"/>
                <w:szCs w:val="20"/>
              </w:rPr>
              <w:t xml:space="preserve">Latin America </w:t>
            </w:r>
            <w:r w:rsidRPr="00B01C1F">
              <w:rPr>
                <w:bCs/>
                <w:sz w:val="20"/>
                <w:szCs w:val="20"/>
              </w:rPr>
              <w:t>by IDB and its contractors</w:t>
            </w:r>
          </w:p>
        </w:tc>
        <w:tc>
          <w:tcPr>
            <w:tcW w:w="1537" w:type="dxa"/>
            <w:tcBorders>
              <w:top w:val="single" w:sz="4" w:space="0" w:color="auto"/>
              <w:left w:val="single" w:sz="4" w:space="0" w:color="auto"/>
              <w:bottom w:val="single" w:sz="4" w:space="0" w:color="auto"/>
              <w:right w:val="single" w:sz="4" w:space="0" w:color="auto"/>
            </w:tcBorders>
          </w:tcPr>
          <w:p w14:paraId="287F6CA6" w14:textId="77777777" w:rsidR="00F40CDB" w:rsidRPr="00B01C1F" w:rsidRDefault="00F40CDB" w:rsidP="00191418">
            <w:pPr>
              <w:spacing w:before="60" w:after="60" w:line="276" w:lineRule="auto"/>
              <w:jc w:val="both"/>
              <w:rPr>
                <w:bCs/>
                <w:sz w:val="20"/>
                <w:szCs w:val="20"/>
              </w:rPr>
            </w:pPr>
            <w:r w:rsidRPr="00B01C1F">
              <w:rPr>
                <w:bCs/>
                <w:sz w:val="20"/>
                <w:szCs w:val="20"/>
              </w:rPr>
              <w:t>3</w:t>
            </w:r>
          </w:p>
        </w:tc>
        <w:tc>
          <w:tcPr>
            <w:tcW w:w="1411" w:type="dxa"/>
            <w:tcBorders>
              <w:top w:val="single" w:sz="4" w:space="0" w:color="auto"/>
              <w:left w:val="single" w:sz="4" w:space="0" w:color="auto"/>
              <w:bottom w:val="single" w:sz="4" w:space="0" w:color="auto"/>
              <w:right w:val="single" w:sz="4" w:space="0" w:color="auto"/>
            </w:tcBorders>
          </w:tcPr>
          <w:p w14:paraId="3B77DE9E" w14:textId="77777777" w:rsidR="00F40CDB" w:rsidRPr="00B01C1F" w:rsidRDefault="00F40CDB" w:rsidP="00191418">
            <w:pPr>
              <w:spacing w:before="60" w:after="60" w:line="276" w:lineRule="auto"/>
              <w:jc w:val="both"/>
              <w:rPr>
                <w:bCs/>
                <w:sz w:val="20"/>
                <w:szCs w:val="20"/>
              </w:rPr>
            </w:pPr>
            <w:r w:rsidRPr="00B01C1F">
              <w:rPr>
                <w:bCs/>
                <w:sz w:val="20"/>
                <w:szCs w:val="20"/>
              </w:rPr>
              <w:t>6</w:t>
            </w:r>
          </w:p>
        </w:tc>
        <w:tc>
          <w:tcPr>
            <w:tcW w:w="1140" w:type="dxa"/>
            <w:tcBorders>
              <w:top w:val="single" w:sz="4" w:space="0" w:color="auto"/>
              <w:left w:val="single" w:sz="4" w:space="0" w:color="auto"/>
              <w:right w:val="single" w:sz="4" w:space="0" w:color="auto"/>
            </w:tcBorders>
          </w:tcPr>
          <w:p w14:paraId="00A423BA" w14:textId="77777777" w:rsidR="00F40CDB" w:rsidRPr="00B01C1F" w:rsidRDefault="00F40CDB" w:rsidP="00191418">
            <w:pPr>
              <w:spacing w:before="60" w:after="60" w:line="276" w:lineRule="auto"/>
              <w:jc w:val="both"/>
              <w:rPr>
                <w:rFonts w:cs="Arial"/>
                <w:bCs/>
                <w:iCs/>
                <w:sz w:val="20"/>
                <w:szCs w:val="20"/>
              </w:rPr>
            </w:pPr>
            <w:r w:rsidRPr="00B01C1F">
              <w:rPr>
                <w:rFonts w:cs="Arial"/>
                <w:bCs/>
                <w:iCs/>
                <w:sz w:val="20"/>
                <w:szCs w:val="20"/>
              </w:rPr>
              <w:t>7</w:t>
            </w:r>
          </w:p>
        </w:tc>
        <w:tc>
          <w:tcPr>
            <w:tcW w:w="1411" w:type="dxa"/>
            <w:tcBorders>
              <w:top w:val="single" w:sz="4" w:space="0" w:color="auto"/>
              <w:left w:val="single" w:sz="4" w:space="0" w:color="auto"/>
              <w:right w:val="single" w:sz="4" w:space="0" w:color="auto"/>
            </w:tcBorders>
          </w:tcPr>
          <w:p w14:paraId="33FB3F42" w14:textId="77777777" w:rsidR="00F40CDB" w:rsidRPr="00B01C1F" w:rsidRDefault="00F40CDB" w:rsidP="00191418">
            <w:pPr>
              <w:spacing w:before="60" w:after="60" w:line="276" w:lineRule="auto"/>
              <w:jc w:val="both"/>
              <w:rPr>
                <w:rFonts w:cs="Arial"/>
                <w:bCs/>
                <w:iCs/>
                <w:sz w:val="20"/>
                <w:szCs w:val="20"/>
              </w:rPr>
            </w:pPr>
            <w:r w:rsidRPr="00B01C1F">
              <w:rPr>
                <w:rFonts w:cs="Arial"/>
                <w:bCs/>
                <w:iCs/>
                <w:sz w:val="20"/>
                <w:szCs w:val="20"/>
              </w:rPr>
              <w:t>11</w:t>
            </w:r>
          </w:p>
          <w:p w14:paraId="48B692A8" w14:textId="77777777" w:rsidR="00F40CDB" w:rsidRPr="00B01C1F" w:rsidRDefault="00F40CDB" w:rsidP="00191418">
            <w:pPr>
              <w:spacing w:before="60" w:after="60" w:line="276" w:lineRule="auto"/>
              <w:jc w:val="both"/>
              <w:rPr>
                <w:bCs/>
                <w:sz w:val="20"/>
                <w:szCs w:val="20"/>
              </w:rPr>
            </w:pPr>
          </w:p>
        </w:tc>
      </w:tr>
      <w:tr w:rsidR="00F40CDB" w:rsidRPr="00B01C1F" w14:paraId="712A602D" w14:textId="77777777" w:rsidTr="009108DA">
        <w:trPr>
          <w:trHeight w:val="640"/>
        </w:trPr>
        <w:tc>
          <w:tcPr>
            <w:tcW w:w="5007" w:type="dxa"/>
            <w:tcBorders>
              <w:top w:val="single" w:sz="4" w:space="0" w:color="auto"/>
              <w:left w:val="single" w:sz="4" w:space="0" w:color="auto"/>
              <w:bottom w:val="single" w:sz="4" w:space="0" w:color="auto"/>
              <w:right w:val="single" w:sz="4" w:space="0" w:color="auto"/>
            </w:tcBorders>
          </w:tcPr>
          <w:p w14:paraId="6A9F2CD2" w14:textId="21BF1484" w:rsidR="00F40CDB" w:rsidRPr="00B01C1F" w:rsidRDefault="00F40CDB" w:rsidP="00191418">
            <w:pPr>
              <w:spacing w:before="60" w:after="60" w:line="276" w:lineRule="auto"/>
              <w:rPr>
                <w:bCs/>
                <w:sz w:val="20"/>
                <w:szCs w:val="20"/>
              </w:rPr>
            </w:pPr>
            <w:r w:rsidRPr="00B01C1F">
              <w:rPr>
                <w:bCs/>
                <w:sz w:val="20"/>
                <w:szCs w:val="20"/>
              </w:rPr>
              <w:t xml:space="preserve">1.3 Number of </w:t>
            </w:r>
            <w:r w:rsidR="008C77B2">
              <w:rPr>
                <w:bCs/>
                <w:sz w:val="20"/>
                <w:szCs w:val="20"/>
              </w:rPr>
              <w:t>technical assistance</w:t>
            </w:r>
            <w:r>
              <w:rPr>
                <w:bCs/>
                <w:sz w:val="20"/>
                <w:szCs w:val="20"/>
              </w:rPr>
              <w:t xml:space="preserve"> </w:t>
            </w:r>
            <w:r w:rsidRPr="00B01C1F">
              <w:rPr>
                <w:bCs/>
                <w:sz w:val="20"/>
                <w:szCs w:val="20"/>
              </w:rPr>
              <w:t>activities implemented in</w:t>
            </w:r>
            <w:r>
              <w:rPr>
                <w:rFonts w:cs="Arial"/>
                <w:sz w:val="20"/>
                <w:szCs w:val="20"/>
              </w:rPr>
              <w:t xml:space="preserve"> </w:t>
            </w:r>
            <w:r>
              <w:rPr>
                <w:rFonts w:cs="Arial"/>
                <w:bCs/>
                <w:iCs/>
                <w:sz w:val="20"/>
                <w:szCs w:val="20"/>
              </w:rPr>
              <w:t xml:space="preserve">Latin America </w:t>
            </w:r>
            <w:r w:rsidRPr="00B01C1F">
              <w:rPr>
                <w:bCs/>
                <w:sz w:val="20"/>
                <w:szCs w:val="20"/>
              </w:rPr>
              <w:t>in relation to policy and regulatory assessment and reform</w:t>
            </w:r>
          </w:p>
        </w:tc>
        <w:tc>
          <w:tcPr>
            <w:tcW w:w="1537" w:type="dxa"/>
            <w:tcBorders>
              <w:top w:val="single" w:sz="4" w:space="0" w:color="auto"/>
              <w:left w:val="single" w:sz="4" w:space="0" w:color="auto"/>
              <w:right w:val="single" w:sz="4" w:space="0" w:color="auto"/>
            </w:tcBorders>
          </w:tcPr>
          <w:p w14:paraId="77875F82" w14:textId="77777777" w:rsidR="00F40CDB" w:rsidRPr="00B01C1F" w:rsidRDefault="00F40CDB" w:rsidP="00191418">
            <w:pPr>
              <w:spacing w:before="60" w:after="60" w:line="276" w:lineRule="auto"/>
              <w:jc w:val="both"/>
              <w:rPr>
                <w:bCs/>
                <w:sz w:val="20"/>
                <w:szCs w:val="20"/>
              </w:rPr>
            </w:pPr>
            <w:r w:rsidRPr="00B01C1F">
              <w:rPr>
                <w:bCs/>
                <w:sz w:val="20"/>
                <w:szCs w:val="20"/>
              </w:rPr>
              <w:t>0</w:t>
            </w:r>
          </w:p>
        </w:tc>
        <w:tc>
          <w:tcPr>
            <w:tcW w:w="1411" w:type="dxa"/>
            <w:tcBorders>
              <w:top w:val="single" w:sz="4" w:space="0" w:color="auto"/>
              <w:left w:val="single" w:sz="4" w:space="0" w:color="auto"/>
              <w:right w:val="single" w:sz="4" w:space="0" w:color="auto"/>
            </w:tcBorders>
          </w:tcPr>
          <w:p w14:paraId="1F67FBA9" w14:textId="77777777" w:rsidR="00F40CDB" w:rsidRPr="00B01C1F" w:rsidRDefault="00F40CDB" w:rsidP="00191418">
            <w:pPr>
              <w:spacing w:before="60" w:after="60" w:line="276" w:lineRule="auto"/>
              <w:jc w:val="both"/>
              <w:rPr>
                <w:bCs/>
                <w:sz w:val="20"/>
                <w:szCs w:val="20"/>
              </w:rPr>
            </w:pPr>
            <w:r w:rsidRPr="00B01C1F">
              <w:rPr>
                <w:bCs/>
                <w:sz w:val="20"/>
                <w:szCs w:val="20"/>
              </w:rPr>
              <w:t>0</w:t>
            </w:r>
          </w:p>
        </w:tc>
        <w:tc>
          <w:tcPr>
            <w:tcW w:w="1140" w:type="dxa"/>
            <w:tcBorders>
              <w:left w:val="single" w:sz="4" w:space="0" w:color="auto"/>
              <w:right w:val="single" w:sz="4" w:space="0" w:color="auto"/>
            </w:tcBorders>
          </w:tcPr>
          <w:p w14:paraId="732E3891" w14:textId="77777777" w:rsidR="00F40CDB" w:rsidRPr="00B01C1F" w:rsidRDefault="00F40CDB" w:rsidP="00191418">
            <w:pPr>
              <w:spacing w:before="60" w:after="60" w:line="276" w:lineRule="auto"/>
              <w:jc w:val="both"/>
              <w:rPr>
                <w:rFonts w:cs="Arial"/>
                <w:bCs/>
                <w:iCs/>
                <w:sz w:val="20"/>
                <w:szCs w:val="20"/>
              </w:rPr>
            </w:pPr>
            <w:r w:rsidRPr="00B01C1F">
              <w:rPr>
                <w:rFonts w:cs="Arial"/>
                <w:bCs/>
                <w:iCs/>
                <w:sz w:val="20"/>
                <w:szCs w:val="20"/>
              </w:rPr>
              <w:t>1</w:t>
            </w:r>
          </w:p>
        </w:tc>
        <w:tc>
          <w:tcPr>
            <w:tcW w:w="1411" w:type="dxa"/>
            <w:tcBorders>
              <w:left w:val="single" w:sz="4" w:space="0" w:color="auto"/>
              <w:right w:val="single" w:sz="4" w:space="0" w:color="auto"/>
            </w:tcBorders>
          </w:tcPr>
          <w:p w14:paraId="4F3CF907" w14:textId="77777777" w:rsidR="00F40CDB" w:rsidRPr="00B01C1F" w:rsidRDefault="00F40CDB" w:rsidP="00191418">
            <w:pPr>
              <w:spacing w:before="60" w:after="60" w:line="276" w:lineRule="auto"/>
              <w:jc w:val="both"/>
              <w:rPr>
                <w:rFonts w:cs="Arial"/>
                <w:bCs/>
                <w:iCs/>
                <w:sz w:val="20"/>
                <w:szCs w:val="20"/>
              </w:rPr>
            </w:pPr>
            <w:r w:rsidRPr="00B01C1F">
              <w:rPr>
                <w:rFonts w:cs="Arial"/>
                <w:bCs/>
                <w:iCs/>
                <w:sz w:val="20"/>
                <w:szCs w:val="20"/>
              </w:rPr>
              <w:t>1</w:t>
            </w:r>
          </w:p>
        </w:tc>
      </w:tr>
      <w:tr w:rsidR="00F40CDB" w:rsidRPr="00B01C1F" w14:paraId="60D8D996" w14:textId="77777777" w:rsidTr="009108DA">
        <w:trPr>
          <w:trHeight w:val="1041"/>
        </w:trPr>
        <w:tc>
          <w:tcPr>
            <w:tcW w:w="5007" w:type="dxa"/>
            <w:tcBorders>
              <w:top w:val="single" w:sz="4" w:space="0" w:color="auto"/>
              <w:left w:val="single" w:sz="4" w:space="0" w:color="auto"/>
              <w:bottom w:val="single" w:sz="4" w:space="0" w:color="auto"/>
              <w:right w:val="single" w:sz="4" w:space="0" w:color="auto"/>
            </w:tcBorders>
          </w:tcPr>
          <w:p w14:paraId="01B88800" w14:textId="77777777" w:rsidR="00F40CDB" w:rsidRPr="00B01C1F" w:rsidRDefault="00F40CDB" w:rsidP="00191418">
            <w:pPr>
              <w:spacing w:before="60" w:after="60" w:line="276" w:lineRule="auto"/>
              <w:jc w:val="both"/>
              <w:rPr>
                <w:bCs/>
                <w:sz w:val="20"/>
                <w:szCs w:val="20"/>
              </w:rPr>
            </w:pPr>
            <w:r w:rsidRPr="00B01C1F">
              <w:rPr>
                <w:bCs/>
                <w:sz w:val="20"/>
                <w:szCs w:val="20"/>
              </w:rPr>
              <w:t xml:space="preserve">1.4 Number of studies or activities implanted in </w:t>
            </w:r>
            <w:r>
              <w:rPr>
                <w:rFonts w:cs="Arial"/>
                <w:bCs/>
                <w:iCs/>
                <w:sz w:val="20"/>
                <w:szCs w:val="20"/>
              </w:rPr>
              <w:t>Latin America</w:t>
            </w:r>
            <w:r w:rsidRPr="00B01C1F">
              <w:rPr>
                <w:sz w:val="20"/>
                <w:szCs w:val="20"/>
              </w:rPr>
              <w:t xml:space="preserve"> </w:t>
            </w:r>
            <w:r w:rsidRPr="00B01C1F">
              <w:rPr>
                <w:bCs/>
                <w:sz w:val="20"/>
                <w:szCs w:val="20"/>
              </w:rPr>
              <w:t xml:space="preserve">supporting private sector investments such as pre-feasibility, design of financial instruments, project structuring. </w:t>
            </w:r>
          </w:p>
        </w:tc>
        <w:tc>
          <w:tcPr>
            <w:tcW w:w="1537" w:type="dxa"/>
            <w:tcBorders>
              <w:left w:val="single" w:sz="4" w:space="0" w:color="auto"/>
              <w:bottom w:val="single" w:sz="4" w:space="0" w:color="auto"/>
              <w:right w:val="single" w:sz="4" w:space="0" w:color="auto"/>
            </w:tcBorders>
          </w:tcPr>
          <w:p w14:paraId="1F461FF9" w14:textId="77777777" w:rsidR="00F40CDB" w:rsidRPr="00B01C1F" w:rsidRDefault="00F40CDB" w:rsidP="00191418">
            <w:pPr>
              <w:spacing w:before="60" w:after="60" w:line="276" w:lineRule="auto"/>
              <w:jc w:val="both"/>
              <w:rPr>
                <w:bCs/>
                <w:sz w:val="20"/>
                <w:szCs w:val="20"/>
              </w:rPr>
            </w:pPr>
            <w:r w:rsidRPr="00B01C1F">
              <w:rPr>
                <w:bCs/>
                <w:sz w:val="20"/>
                <w:szCs w:val="20"/>
              </w:rPr>
              <w:t>8</w:t>
            </w:r>
          </w:p>
        </w:tc>
        <w:tc>
          <w:tcPr>
            <w:tcW w:w="1411" w:type="dxa"/>
            <w:tcBorders>
              <w:left w:val="single" w:sz="4" w:space="0" w:color="auto"/>
              <w:bottom w:val="single" w:sz="4" w:space="0" w:color="auto"/>
              <w:right w:val="single" w:sz="4" w:space="0" w:color="auto"/>
            </w:tcBorders>
          </w:tcPr>
          <w:p w14:paraId="6045613C" w14:textId="77777777" w:rsidR="00F40CDB" w:rsidRPr="00B01C1F" w:rsidRDefault="00F40CDB" w:rsidP="00191418">
            <w:pPr>
              <w:spacing w:before="60" w:after="60" w:line="276" w:lineRule="auto"/>
              <w:jc w:val="both"/>
              <w:rPr>
                <w:bCs/>
                <w:sz w:val="20"/>
                <w:szCs w:val="20"/>
              </w:rPr>
            </w:pPr>
            <w:r w:rsidRPr="00B01C1F">
              <w:rPr>
                <w:bCs/>
                <w:sz w:val="20"/>
                <w:szCs w:val="20"/>
              </w:rPr>
              <w:t>12</w:t>
            </w:r>
          </w:p>
        </w:tc>
        <w:tc>
          <w:tcPr>
            <w:tcW w:w="1140" w:type="dxa"/>
            <w:tcBorders>
              <w:left w:val="single" w:sz="4" w:space="0" w:color="auto"/>
              <w:bottom w:val="single" w:sz="4" w:space="0" w:color="auto"/>
              <w:right w:val="single" w:sz="4" w:space="0" w:color="auto"/>
            </w:tcBorders>
          </w:tcPr>
          <w:p w14:paraId="60B01A1B" w14:textId="77777777" w:rsidR="00F40CDB" w:rsidRPr="00B01C1F" w:rsidRDefault="00F40CDB" w:rsidP="00191418">
            <w:pPr>
              <w:spacing w:before="60" w:after="60" w:line="276" w:lineRule="auto"/>
              <w:jc w:val="both"/>
              <w:rPr>
                <w:rFonts w:cs="Arial"/>
                <w:bCs/>
                <w:iCs/>
                <w:sz w:val="20"/>
                <w:szCs w:val="20"/>
              </w:rPr>
            </w:pPr>
            <w:r w:rsidRPr="00B01C1F">
              <w:rPr>
                <w:rFonts w:cs="Arial"/>
                <w:bCs/>
                <w:iCs/>
                <w:sz w:val="20"/>
                <w:szCs w:val="20"/>
              </w:rPr>
              <w:t>13</w:t>
            </w:r>
          </w:p>
          <w:p w14:paraId="5EE65972" w14:textId="77777777" w:rsidR="00F40CDB" w:rsidRPr="00B01C1F" w:rsidRDefault="00F40CDB" w:rsidP="00191418">
            <w:pPr>
              <w:spacing w:before="60" w:after="60" w:line="276" w:lineRule="auto"/>
              <w:jc w:val="both"/>
              <w:rPr>
                <w:rFonts w:cs="Arial"/>
                <w:bCs/>
                <w:iCs/>
                <w:sz w:val="20"/>
                <w:szCs w:val="20"/>
              </w:rPr>
            </w:pPr>
          </w:p>
        </w:tc>
        <w:tc>
          <w:tcPr>
            <w:tcW w:w="1411" w:type="dxa"/>
            <w:tcBorders>
              <w:left w:val="single" w:sz="4" w:space="0" w:color="auto"/>
              <w:bottom w:val="single" w:sz="4" w:space="0" w:color="auto"/>
              <w:right w:val="single" w:sz="4" w:space="0" w:color="auto"/>
            </w:tcBorders>
          </w:tcPr>
          <w:p w14:paraId="460249DF" w14:textId="77777777" w:rsidR="00F40CDB" w:rsidRPr="00B01C1F" w:rsidRDefault="00F40CDB" w:rsidP="00191418">
            <w:pPr>
              <w:spacing w:before="60" w:after="60" w:line="276" w:lineRule="auto"/>
              <w:jc w:val="both"/>
              <w:rPr>
                <w:rFonts w:cs="Arial"/>
                <w:bCs/>
                <w:iCs/>
                <w:sz w:val="20"/>
                <w:szCs w:val="20"/>
              </w:rPr>
            </w:pPr>
            <w:r w:rsidRPr="00B01C1F">
              <w:rPr>
                <w:rFonts w:cs="Arial"/>
                <w:bCs/>
                <w:iCs/>
                <w:sz w:val="20"/>
                <w:szCs w:val="20"/>
              </w:rPr>
              <w:t>15</w:t>
            </w:r>
          </w:p>
        </w:tc>
      </w:tr>
    </w:tbl>
    <w:p w14:paraId="7ACF4BCD" w14:textId="67B5BDC2" w:rsidR="00F40CDB" w:rsidRPr="00373026" w:rsidRDefault="00F40CDB" w:rsidP="00F40CDB">
      <w:pPr>
        <w:spacing w:before="120" w:after="120" w:line="276" w:lineRule="auto"/>
        <w:jc w:val="both"/>
        <w:rPr>
          <w:rFonts w:cs="Arial"/>
          <w:sz w:val="22"/>
          <w:szCs w:val="22"/>
        </w:rPr>
      </w:pPr>
      <w:r w:rsidRPr="00373026">
        <w:rPr>
          <w:rFonts w:cs="Arial"/>
          <w:b/>
          <w:bCs/>
          <w:sz w:val="22"/>
          <w:szCs w:val="22"/>
        </w:rPr>
        <w:t xml:space="preserve">Briefly describe the </w:t>
      </w:r>
      <w:r w:rsidR="00844C3D">
        <w:rPr>
          <w:rFonts w:cs="Arial"/>
          <w:b/>
          <w:bCs/>
          <w:sz w:val="22"/>
          <w:szCs w:val="22"/>
        </w:rPr>
        <w:t>Output</w:t>
      </w:r>
      <w:r w:rsidRPr="00373026">
        <w:rPr>
          <w:rFonts w:cs="Arial"/>
          <w:b/>
          <w:bCs/>
          <w:sz w:val="22"/>
          <w:szCs w:val="22"/>
        </w:rPr>
        <w:t xml:space="preserve"> and provide supporting narrative for the score. </w:t>
      </w:r>
    </w:p>
    <w:p w14:paraId="3E79D814" w14:textId="7FBF1E50" w:rsidR="00F40CDB" w:rsidRPr="00373026" w:rsidRDefault="00F40CDB" w:rsidP="00F40CDB">
      <w:pPr>
        <w:autoSpaceDE w:val="0"/>
        <w:autoSpaceDN w:val="0"/>
        <w:adjustRightInd w:val="0"/>
        <w:spacing w:before="120" w:after="120" w:line="276" w:lineRule="auto"/>
        <w:jc w:val="both"/>
        <w:rPr>
          <w:rFonts w:cs="Arial"/>
          <w:bCs/>
          <w:sz w:val="22"/>
          <w:szCs w:val="22"/>
        </w:rPr>
      </w:pPr>
      <w:r>
        <w:rPr>
          <w:rFonts w:cs="Arial"/>
          <w:bCs/>
          <w:sz w:val="22"/>
          <w:szCs w:val="22"/>
          <w:lang w:eastAsia="en-GB"/>
        </w:rPr>
        <w:t>SIP-LA has</w:t>
      </w:r>
      <w:r w:rsidRPr="00373026">
        <w:rPr>
          <w:rFonts w:cs="Arial"/>
          <w:bCs/>
          <w:sz w:val="22"/>
          <w:szCs w:val="22"/>
          <w:lang w:eastAsia="en-GB"/>
        </w:rPr>
        <w:t xml:space="preserve"> surpassed </w:t>
      </w:r>
      <w:r>
        <w:rPr>
          <w:rFonts w:cs="Arial"/>
          <w:bCs/>
          <w:sz w:val="22"/>
          <w:szCs w:val="22"/>
          <w:lang w:eastAsia="en-GB"/>
        </w:rPr>
        <w:t xml:space="preserve">its </w:t>
      </w:r>
      <w:r w:rsidR="00844C3D">
        <w:rPr>
          <w:rFonts w:cs="Arial"/>
          <w:bCs/>
          <w:sz w:val="22"/>
          <w:szCs w:val="22"/>
          <w:lang w:eastAsia="en-GB"/>
        </w:rPr>
        <w:t>Output</w:t>
      </w:r>
      <w:r>
        <w:rPr>
          <w:rFonts w:cs="Arial"/>
          <w:bCs/>
          <w:sz w:val="22"/>
          <w:szCs w:val="22"/>
          <w:lang w:eastAsia="en-GB"/>
        </w:rPr>
        <w:t xml:space="preserve"> 1 milestones for </w:t>
      </w:r>
      <w:r w:rsidRPr="00373026">
        <w:rPr>
          <w:rFonts w:cs="Arial"/>
          <w:bCs/>
          <w:sz w:val="22"/>
          <w:szCs w:val="22"/>
          <w:lang w:eastAsia="en-GB"/>
        </w:rPr>
        <w:t xml:space="preserve">2019. </w:t>
      </w:r>
      <w:r>
        <w:rPr>
          <w:rFonts w:cs="Arial"/>
          <w:bCs/>
          <w:sz w:val="22"/>
          <w:szCs w:val="22"/>
          <w:lang w:eastAsia="en-GB"/>
        </w:rPr>
        <w:t xml:space="preserve">The programme has significantly improved the delivery of public and private sector </w:t>
      </w:r>
      <w:r w:rsidR="008C77B2">
        <w:rPr>
          <w:rFonts w:cs="Arial"/>
          <w:bCs/>
          <w:sz w:val="22"/>
          <w:szCs w:val="22"/>
          <w:lang w:eastAsia="en-GB"/>
        </w:rPr>
        <w:t>technical assistance</w:t>
      </w:r>
      <w:r>
        <w:rPr>
          <w:rFonts w:cs="Arial"/>
          <w:bCs/>
          <w:sz w:val="22"/>
          <w:szCs w:val="22"/>
          <w:lang w:eastAsia="en-GB"/>
        </w:rPr>
        <w:t xml:space="preserve">. </w:t>
      </w:r>
      <w:r>
        <w:rPr>
          <w:rFonts w:cs="Arial"/>
          <w:bCs/>
          <w:sz w:val="22"/>
          <w:szCs w:val="22"/>
        </w:rPr>
        <w:t>Throughout the review period</w:t>
      </w:r>
      <w:r w:rsidR="00A27184">
        <w:rPr>
          <w:rFonts w:cs="Arial"/>
          <w:bCs/>
          <w:sz w:val="22"/>
          <w:szCs w:val="22"/>
        </w:rPr>
        <w:t>,</w:t>
      </w:r>
      <w:r>
        <w:rPr>
          <w:rFonts w:cs="Arial"/>
          <w:bCs/>
          <w:sz w:val="22"/>
          <w:szCs w:val="22"/>
        </w:rPr>
        <w:t xml:space="preserve"> 26 </w:t>
      </w:r>
      <w:r w:rsidR="008C77B2">
        <w:rPr>
          <w:rFonts w:cs="Arial"/>
          <w:bCs/>
          <w:sz w:val="22"/>
          <w:szCs w:val="22"/>
        </w:rPr>
        <w:t>technical assistance</w:t>
      </w:r>
      <w:r>
        <w:rPr>
          <w:rFonts w:cs="Arial"/>
          <w:bCs/>
          <w:sz w:val="22"/>
          <w:szCs w:val="22"/>
        </w:rPr>
        <w:t xml:space="preserve"> projects were delivered across the region in both the public and private sector. The projects delivered included a wide range of new activities for the programme, including sustainable infrastructure </w:t>
      </w:r>
      <w:r>
        <w:rPr>
          <w:rFonts w:cs="Arial"/>
          <w:bCs/>
          <w:sz w:val="22"/>
          <w:szCs w:val="22"/>
        </w:rPr>
        <w:lastRenderedPageBreak/>
        <w:t xml:space="preserve">panels at COP25 and a regional Investor Leadership Network which offered a </w:t>
      </w:r>
      <w:r w:rsidRPr="00623A0C">
        <w:rPr>
          <w:rFonts w:cs="Arial"/>
          <w:bCs/>
          <w:sz w:val="22"/>
          <w:szCs w:val="22"/>
        </w:rPr>
        <w:t>F</w:t>
      </w:r>
      <w:r>
        <w:rPr>
          <w:rFonts w:cs="Arial"/>
          <w:bCs/>
          <w:sz w:val="22"/>
          <w:szCs w:val="22"/>
        </w:rPr>
        <w:t>ellowship</w:t>
      </w:r>
      <w:r w:rsidRPr="00623A0C">
        <w:rPr>
          <w:rFonts w:cs="Arial"/>
          <w:bCs/>
          <w:sz w:val="22"/>
          <w:szCs w:val="22"/>
        </w:rPr>
        <w:t xml:space="preserve"> P</w:t>
      </w:r>
      <w:r>
        <w:rPr>
          <w:rFonts w:cs="Arial"/>
          <w:bCs/>
          <w:sz w:val="22"/>
          <w:szCs w:val="22"/>
        </w:rPr>
        <w:t xml:space="preserve">rogramme </w:t>
      </w:r>
      <w:r w:rsidRPr="00623A0C">
        <w:rPr>
          <w:rFonts w:cs="Arial"/>
          <w:bCs/>
          <w:sz w:val="22"/>
          <w:szCs w:val="22"/>
        </w:rPr>
        <w:t xml:space="preserve">for senior-level public-sector officials </w:t>
      </w:r>
      <w:r>
        <w:rPr>
          <w:rFonts w:cs="Arial"/>
          <w:bCs/>
          <w:sz w:val="22"/>
          <w:szCs w:val="22"/>
        </w:rPr>
        <w:t xml:space="preserve">to enable them to </w:t>
      </w:r>
      <w:r w:rsidRPr="00623A0C">
        <w:rPr>
          <w:rFonts w:cs="Arial"/>
          <w:bCs/>
          <w:sz w:val="22"/>
          <w:szCs w:val="22"/>
        </w:rPr>
        <w:t>bridge the infrastructure gap through capacity building and shared experiences</w:t>
      </w:r>
      <w:r>
        <w:rPr>
          <w:rFonts w:cs="Arial"/>
          <w:bCs/>
          <w:sz w:val="22"/>
          <w:szCs w:val="22"/>
        </w:rPr>
        <w:t xml:space="preserve">. </w:t>
      </w:r>
    </w:p>
    <w:p w14:paraId="63634783" w14:textId="7052406E" w:rsidR="00F40CDB" w:rsidRPr="00B971AD" w:rsidRDefault="00F40CDB" w:rsidP="00F40CDB">
      <w:pPr>
        <w:autoSpaceDE w:val="0"/>
        <w:autoSpaceDN w:val="0"/>
        <w:adjustRightInd w:val="0"/>
        <w:spacing w:before="120" w:after="120" w:line="276" w:lineRule="auto"/>
        <w:jc w:val="both"/>
        <w:rPr>
          <w:rFonts w:cs="Arial"/>
          <w:bCs/>
          <w:sz w:val="22"/>
          <w:szCs w:val="22"/>
          <w:u w:val="single"/>
          <w:lang w:eastAsia="en-GB"/>
        </w:rPr>
      </w:pPr>
      <w:r w:rsidRPr="00B971AD">
        <w:rPr>
          <w:rFonts w:cs="Arial"/>
          <w:bCs/>
          <w:sz w:val="22"/>
          <w:szCs w:val="22"/>
          <w:lang w:eastAsia="en-GB"/>
        </w:rPr>
        <w:t xml:space="preserve">Please see detail of all </w:t>
      </w:r>
      <w:r w:rsidR="008C77B2">
        <w:rPr>
          <w:rFonts w:cs="Arial"/>
          <w:bCs/>
          <w:sz w:val="22"/>
          <w:szCs w:val="22"/>
          <w:lang w:eastAsia="en-GB"/>
        </w:rPr>
        <w:t>technical assistance</w:t>
      </w:r>
      <w:r w:rsidRPr="00B971AD">
        <w:rPr>
          <w:rFonts w:cs="Arial"/>
          <w:bCs/>
          <w:sz w:val="22"/>
          <w:szCs w:val="22"/>
          <w:lang w:eastAsia="en-GB"/>
        </w:rPr>
        <w:t xml:space="preserve"> projects delivered in 2019 in Annex A</w:t>
      </w:r>
      <w:r w:rsidR="00A27184">
        <w:rPr>
          <w:rFonts w:cs="Arial"/>
          <w:bCs/>
          <w:sz w:val="22"/>
          <w:szCs w:val="22"/>
          <w:lang w:eastAsia="en-GB"/>
        </w:rPr>
        <w:t>.</w:t>
      </w:r>
      <w:r w:rsidRPr="00B971AD">
        <w:rPr>
          <w:rFonts w:cs="Arial"/>
          <w:bCs/>
          <w:sz w:val="22"/>
          <w:szCs w:val="22"/>
          <w:lang w:eastAsia="en-GB"/>
        </w:rPr>
        <w:t xml:space="preserve"> </w:t>
      </w:r>
      <w:r w:rsidR="00A27184">
        <w:rPr>
          <w:rFonts w:cs="Arial"/>
          <w:bCs/>
          <w:sz w:val="22"/>
          <w:szCs w:val="22"/>
          <w:lang w:eastAsia="en-GB"/>
        </w:rPr>
        <w:t>T</w:t>
      </w:r>
      <w:r w:rsidRPr="00B971AD">
        <w:rPr>
          <w:rFonts w:cs="Arial"/>
          <w:bCs/>
          <w:sz w:val="22"/>
          <w:szCs w:val="22"/>
          <w:lang w:eastAsia="en-GB"/>
        </w:rPr>
        <w:t>he following sections discuss a selection of example case studies to support the quantitative results for each indicator.</w:t>
      </w:r>
    </w:p>
    <w:p w14:paraId="72BB5B08" w14:textId="4860EFE1" w:rsidR="00F40CDB" w:rsidRPr="00C8587D" w:rsidRDefault="00844C3D" w:rsidP="00F40CDB">
      <w:pPr>
        <w:autoSpaceDE w:val="0"/>
        <w:autoSpaceDN w:val="0"/>
        <w:adjustRightInd w:val="0"/>
        <w:spacing w:before="120" w:after="120" w:line="276" w:lineRule="auto"/>
        <w:jc w:val="both"/>
        <w:rPr>
          <w:rFonts w:cs="Arial"/>
          <w:bCs/>
          <w:sz w:val="22"/>
          <w:szCs w:val="22"/>
          <w:u w:val="single"/>
          <w:lang w:eastAsia="en-GB"/>
        </w:rPr>
      </w:pPr>
      <w:r>
        <w:rPr>
          <w:rFonts w:cs="Arial"/>
          <w:bCs/>
          <w:sz w:val="22"/>
          <w:szCs w:val="22"/>
          <w:u w:val="single"/>
          <w:lang w:eastAsia="en-GB"/>
        </w:rPr>
        <w:t>Output</w:t>
      </w:r>
      <w:r w:rsidR="00F40CDB" w:rsidRPr="00C8587D">
        <w:rPr>
          <w:rFonts w:cs="Arial"/>
          <w:bCs/>
          <w:sz w:val="22"/>
          <w:szCs w:val="22"/>
          <w:u w:val="single"/>
          <w:lang w:eastAsia="en-GB"/>
        </w:rPr>
        <w:t xml:space="preserve"> Indicator 1.1</w:t>
      </w:r>
      <w:r w:rsidR="00F40CDB">
        <w:rPr>
          <w:rFonts w:cs="Arial"/>
          <w:bCs/>
          <w:sz w:val="22"/>
          <w:szCs w:val="22"/>
          <w:u w:val="single"/>
          <w:lang w:eastAsia="en-GB"/>
        </w:rPr>
        <w:t xml:space="preserve"> – This indicator met targets for 2019</w:t>
      </w:r>
    </w:p>
    <w:p w14:paraId="5CAC983C" w14:textId="4CE6A570" w:rsidR="00F40CDB" w:rsidRDefault="00F40CDB" w:rsidP="00F40CDB">
      <w:pPr>
        <w:autoSpaceDE w:val="0"/>
        <w:autoSpaceDN w:val="0"/>
        <w:adjustRightInd w:val="0"/>
        <w:spacing w:before="120" w:after="120" w:line="276" w:lineRule="auto"/>
        <w:jc w:val="both"/>
        <w:rPr>
          <w:sz w:val="22"/>
          <w:szCs w:val="22"/>
        </w:rPr>
      </w:pPr>
      <w:r w:rsidRPr="00373026">
        <w:rPr>
          <w:rFonts w:cs="Arial"/>
          <w:bCs/>
          <w:sz w:val="22"/>
          <w:szCs w:val="22"/>
          <w:lang w:eastAsia="en-GB"/>
        </w:rPr>
        <w:t xml:space="preserve">High level dialogues involve structured discussions with key government counterparts to identify priority sectors which could be supported through </w:t>
      </w:r>
      <w:r w:rsidR="008C77B2">
        <w:rPr>
          <w:rFonts w:cs="Arial"/>
          <w:bCs/>
          <w:sz w:val="22"/>
          <w:szCs w:val="22"/>
          <w:lang w:eastAsia="en-GB"/>
        </w:rPr>
        <w:t>technical assistance</w:t>
      </w:r>
      <w:r w:rsidRPr="00373026">
        <w:rPr>
          <w:rFonts w:cs="Arial"/>
          <w:bCs/>
          <w:sz w:val="22"/>
          <w:szCs w:val="22"/>
          <w:lang w:eastAsia="en-GB"/>
        </w:rPr>
        <w:t>.</w:t>
      </w:r>
      <w:r w:rsidR="005E28DD">
        <w:rPr>
          <w:rFonts w:cs="Arial"/>
          <w:bCs/>
          <w:sz w:val="22"/>
          <w:szCs w:val="22"/>
          <w:lang w:eastAsia="en-GB"/>
        </w:rPr>
        <w:t xml:space="preserve"> The meetings conducted by IDB </w:t>
      </w:r>
      <w:r w:rsidR="00A50C8B">
        <w:rPr>
          <w:rFonts w:cs="Arial"/>
          <w:bCs/>
          <w:sz w:val="22"/>
          <w:szCs w:val="22"/>
          <w:lang w:eastAsia="en-GB"/>
        </w:rPr>
        <w:t>C</w:t>
      </w:r>
      <w:r w:rsidR="005E28DD">
        <w:rPr>
          <w:rFonts w:cs="Arial"/>
          <w:bCs/>
          <w:sz w:val="22"/>
          <w:szCs w:val="22"/>
          <w:lang w:eastAsia="en-GB"/>
        </w:rPr>
        <w:t xml:space="preserve">ountry </w:t>
      </w:r>
      <w:r w:rsidR="00A50C8B">
        <w:rPr>
          <w:rFonts w:cs="Arial"/>
          <w:bCs/>
          <w:sz w:val="22"/>
          <w:szCs w:val="22"/>
          <w:lang w:eastAsia="en-GB"/>
        </w:rPr>
        <w:t>O</w:t>
      </w:r>
      <w:r w:rsidR="005E28DD">
        <w:rPr>
          <w:rFonts w:cs="Arial"/>
          <w:bCs/>
          <w:sz w:val="22"/>
          <w:szCs w:val="22"/>
          <w:lang w:eastAsia="en-GB"/>
        </w:rPr>
        <w:t xml:space="preserve">ffices, sectoral experts and </w:t>
      </w:r>
      <w:r w:rsidR="00A50C8B">
        <w:rPr>
          <w:rFonts w:cs="Arial"/>
          <w:bCs/>
          <w:sz w:val="22"/>
          <w:szCs w:val="22"/>
          <w:lang w:eastAsia="en-GB"/>
        </w:rPr>
        <w:t xml:space="preserve">IDB </w:t>
      </w:r>
      <w:r w:rsidR="005E28DD">
        <w:rPr>
          <w:rFonts w:cs="Arial"/>
          <w:bCs/>
          <w:sz w:val="22"/>
          <w:szCs w:val="22"/>
          <w:lang w:eastAsia="en-GB"/>
        </w:rPr>
        <w:t xml:space="preserve">SIP-LA team </w:t>
      </w:r>
      <w:r w:rsidR="00A67174">
        <w:rPr>
          <w:rFonts w:cs="Arial"/>
          <w:bCs/>
          <w:sz w:val="22"/>
          <w:szCs w:val="22"/>
          <w:lang w:eastAsia="en-GB"/>
        </w:rPr>
        <w:t xml:space="preserve">were used to prepare the 2019 SIP-LA programming document for </w:t>
      </w:r>
      <w:r w:rsidR="00645A6D">
        <w:rPr>
          <w:rFonts w:cs="Arial"/>
          <w:bCs/>
          <w:sz w:val="22"/>
          <w:szCs w:val="22"/>
          <w:lang w:eastAsia="en-GB"/>
        </w:rPr>
        <w:t>SIP-LA</w:t>
      </w:r>
      <w:r w:rsidR="00A67174">
        <w:rPr>
          <w:rFonts w:cs="Arial"/>
          <w:bCs/>
          <w:sz w:val="22"/>
          <w:szCs w:val="22"/>
          <w:lang w:eastAsia="en-GB"/>
        </w:rPr>
        <w:t xml:space="preserve"> </w:t>
      </w:r>
      <w:r w:rsidR="00A50C8B">
        <w:rPr>
          <w:rFonts w:cs="Arial"/>
          <w:bCs/>
          <w:sz w:val="22"/>
          <w:szCs w:val="22"/>
          <w:lang w:eastAsia="en-GB"/>
        </w:rPr>
        <w:t>A</w:t>
      </w:r>
      <w:r w:rsidR="00A67174">
        <w:rPr>
          <w:rFonts w:cs="Arial"/>
          <w:bCs/>
          <w:sz w:val="22"/>
          <w:szCs w:val="22"/>
          <w:lang w:eastAsia="en-GB"/>
        </w:rPr>
        <w:t>nnual meeting.</w:t>
      </w:r>
      <w:r>
        <w:rPr>
          <w:rFonts w:cs="Arial"/>
          <w:bCs/>
          <w:sz w:val="22"/>
          <w:szCs w:val="22"/>
          <w:lang w:eastAsia="en-GB"/>
        </w:rPr>
        <w:t xml:space="preserve"> </w:t>
      </w:r>
      <w:r w:rsidRPr="00373026">
        <w:rPr>
          <w:bCs/>
          <w:iCs/>
          <w:sz w:val="22"/>
          <w:szCs w:val="22"/>
        </w:rPr>
        <w:t xml:space="preserve">Four </w:t>
      </w:r>
      <w:r w:rsidR="00A67174">
        <w:rPr>
          <w:bCs/>
          <w:iCs/>
          <w:sz w:val="22"/>
          <w:szCs w:val="22"/>
        </w:rPr>
        <w:t>final d</w:t>
      </w:r>
      <w:r w:rsidRPr="00373026">
        <w:rPr>
          <w:bCs/>
          <w:iCs/>
          <w:sz w:val="22"/>
          <w:szCs w:val="22"/>
        </w:rPr>
        <w:t xml:space="preserve">ialogues were developed with the Ministries of Finance in Peru, Colombia, </w:t>
      </w:r>
      <w:r w:rsidRPr="00373026" w:rsidDel="004520C2">
        <w:rPr>
          <w:bCs/>
          <w:iCs/>
          <w:sz w:val="22"/>
          <w:szCs w:val="22"/>
        </w:rPr>
        <w:t>Mexico</w:t>
      </w:r>
      <w:r w:rsidRPr="00373026">
        <w:rPr>
          <w:bCs/>
          <w:iCs/>
          <w:sz w:val="22"/>
          <w:szCs w:val="22"/>
        </w:rPr>
        <w:t xml:space="preserve">, and Brazil. </w:t>
      </w:r>
      <w:r>
        <w:rPr>
          <w:bCs/>
          <w:iCs/>
          <w:sz w:val="22"/>
          <w:szCs w:val="22"/>
        </w:rPr>
        <w:t>Sustainable Infrastructure p</w:t>
      </w:r>
      <w:r w:rsidRPr="00373026">
        <w:rPr>
          <w:bCs/>
          <w:iCs/>
          <w:sz w:val="22"/>
          <w:szCs w:val="22"/>
        </w:rPr>
        <w:t xml:space="preserve">riorities were </w:t>
      </w:r>
      <w:r w:rsidR="00A67174" w:rsidRPr="00373026">
        <w:rPr>
          <w:bCs/>
          <w:iCs/>
          <w:sz w:val="22"/>
          <w:szCs w:val="22"/>
        </w:rPr>
        <w:t>identified,</w:t>
      </w:r>
      <w:r w:rsidRPr="00373026">
        <w:rPr>
          <w:bCs/>
          <w:iCs/>
          <w:sz w:val="22"/>
          <w:szCs w:val="22"/>
        </w:rPr>
        <w:t xml:space="preserve"> and targeted interventions </w:t>
      </w:r>
      <w:r w:rsidR="001E6841">
        <w:rPr>
          <w:bCs/>
          <w:iCs/>
          <w:sz w:val="22"/>
          <w:szCs w:val="22"/>
        </w:rPr>
        <w:t xml:space="preserve">agreed </w:t>
      </w:r>
      <w:r>
        <w:rPr>
          <w:bCs/>
          <w:iCs/>
          <w:sz w:val="22"/>
          <w:szCs w:val="22"/>
        </w:rPr>
        <w:t>to assist in Nationally Determined Contributions (NDC) achievement</w:t>
      </w:r>
      <w:r w:rsidRPr="00373026">
        <w:rPr>
          <w:bCs/>
          <w:iCs/>
          <w:sz w:val="22"/>
          <w:szCs w:val="22"/>
        </w:rPr>
        <w:t>.</w:t>
      </w:r>
    </w:p>
    <w:p w14:paraId="5593CF3F" w14:textId="19815AAF" w:rsidR="00F40CDB" w:rsidRPr="00C8587D" w:rsidRDefault="00844C3D" w:rsidP="00F40CDB">
      <w:pPr>
        <w:autoSpaceDE w:val="0"/>
        <w:autoSpaceDN w:val="0"/>
        <w:adjustRightInd w:val="0"/>
        <w:spacing w:before="120" w:after="120" w:line="276" w:lineRule="auto"/>
        <w:jc w:val="both"/>
        <w:rPr>
          <w:rFonts w:cs="Arial"/>
          <w:bCs/>
          <w:sz w:val="22"/>
          <w:szCs w:val="22"/>
          <w:u w:val="single"/>
          <w:lang w:eastAsia="en-GB"/>
        </w:rPr>
      </w:pPr>
      <w:r>
        <w:rPr>
          <w:rFonts w:cs="Arial"/>
          <w:bCs/>
          <w:sz w:val="22"/>
          <w:szCs w:val="22"/>
          <w:u w:val="single"/>
          <w:lang w:eastAsia="en-GB"/>
        </w:rPr>
        <w:t>Output</w:t>
      </w:r>
      <w:r w:rsidR="00F40CDB" w:rsidRPr="00C8587D">
        <w:rPr>
          <w:rFonts w:cs="Arial"/>
          <w:bCs/>
          <w:sz w:val="22"/>
          <w:szCs w:val="22"/>
          <w:u w:val="single"/>
          <w:lang w:eastAsia="en-GB"/>
        </w:rPr>
        <w:t xml:space="preserve"> Indicator 1.</w:t>
      </w:r>
      <w:r w:rsidR="00F40CDB">
        <w:rPr>
          <w:rFonts w:cs="Arial"/>
          <w:bCs/>
          <w:sz w:val="22"/>
          <w:szCs w:val="22"/>
          <w:u w:val="single"/>
          <w:lang w:eastAsia="en-GB"/>
        </w:rPr>
        <w:t>2 – This indicator surpassed targets for 2019</w:t>
      </w:r>
    </w:p>
    <w:p w14:paraId="22829362" w14:textId="1219ECE4" w:rsidR="00F40CDB" w:rsidRDefault="00F40CDB" w:rsidP="00F40CDB">
      <w:pPr>
        <w:autoSpaceDE w:val="0"/>
        <w:autoSpaceDN w:val="0"/>
        <w:adjustRightInd w:val="0"/>
        <w:spacing w:before="120" w:after="120" w:line="276" w:lineRule="auto"/>
        <w:jc w:val="both"/>
        <w:rPr>
          <w:rFonts w:cs="Arial"/>
          <w:bCs/>
          <w:sz w:val="22"/>
          <w:szCs w:val="22"/>
          <w:lang w:eastAsia="en-GB"/>
        </w:rPr>
      </w:pPr>
      <w:r>
        <w:rPr>
          <w:rFonts w:cs="Arial"/>
          <w:bCs/>
          <w:sz w:val="22"/>
          <w:szCs w:val="22"/>
          <w:lang w:eastAsia="en-GB"/>
        </w:rPr>
        <w:t>In 2019 there were two</w:t>
      </w:r>
      <w:r w:rsidRPr="001F2F05">
        <w:rPr>
          <w:rFonts w:cs="Arial"/>
          <w:bCs/>
          <w:sz w:val="22"/>
          <w:szCs w:val="22"/>
          <w:lang w:eastAsia="en-GB"/>
        </w:rPr>
        <w:t xml:space="preserve"> IDB Invest </w:t>
      </w:r>
      <w:r w:rsidR="00AE212D">
        <w:rPr>
          <w:rFonts w:cs="Arial"/>
          <w:bCs/>
          <w:sz w:val="22"/>
          <w:szCs w:val="22"/>
          <w:lang w:eastAsia="en-GB"/>
        </w:rPr>
        <w:t>e</w:t>
      </w:r>
      <w:r w:rsidRPr="001F2F05">
        <w:rPr>
          <w:rFonts w:cs="Arial"/>
          <w:bCs/>
          <w:sz w:val="22"/>
          <w:szCs w:val="22"/>
          <w:lang w:eastAsia="en-GB"/>
        </w:rPr>
        <w:t>vents</w:t>
      </w:r>
      <w:r>
        <w:rPr>
          <w:rFonts w:cs="Arial"/>
          <w:bCs/>
          <w:sz w:val="22"/>
          <w:szCs w:val="22"/>
          <w:lang w:eastAsia="en-GB"/>
        </w:rPr>
        <w:t xml:space="preserve"> hosted at COP25 and Sustainability Week 2019. </w:t>
      </w:r>
      <w:r w:rsidR="00AE212D">
        <w:rPr>
          <w:rFonts w:cs="Arial"/>
          <w:bCs/>
          <w:sz w:val="22"/>
          <w:szCs w:val="22"/>
          <w:lang w:eastAsia="en-GB"/>
        </w:rPr>
        <w:t>At</w:t>
      </w:r>
      <w:r>
        <w:rPr>
          <w:rFonts w:cs="Arial"/>
          <w:bCs/>
          <w:sz w:val="22"/>
          <w:szCs w:val="22"/>
          <w:lang w:eastAsia="en-GB"/>
        </w:rPr>
        <w:t xml:space="preserve"> Sustainability Week</w:t>
      </w:r>
      <w:r w:rsidR="00AE212D">
        <w:rPr>
          <w:rFonts w:cs="Arial"/>
          <w:bCs/>
          <w:sz w:val="22"/>
          <w:szCs w:val="22"/>
          <w:lang w:eastAsia="en-GB"/>
        </w:rPr>
        <w:t xml:space="preserve"> 2019,</w:t>
      </w:r>
      <w:r>
        <w:rPr>
          <w:rFonts w:cs="Arial"/>
          <w:bCs/>
          <w:sz w:val="22"/>
          <w:szCs w:val="22"/>
          <w:lang w:eastAsia="en-GB"/>
        </w:rPr>
        <w:t xml:space="preserve"> SIP-LA supported the delivery of sustainable infrastructure workshops and had over 100 participants from 67 institutions holding senior roles. The success of the infrastructure focus at the regional Sustainability Week consequently facilitated the sustainable infrastructure theme at COP25 whereby IDB Invest hosted panels </w:t>
      </w:r>
      <w:r w:rsidRPr="006B7CCF">
        <w:rPr>
          <w:rFonts w:cs="Arial"/>
          <w:bCs/>
          <w:sz w:val="22"/>
          <w:szCs w:val="22"/>
          <w:lang w:eastAsia="en-GB"/>
        </w:rPr>
        <w:t xml:space="preserve">with infrastructure clients to discuss </w:t>
      </w:r>
      <w:r>
        <w:rPr>
          <w:rFonts w:cs="Arial"/>
          <w:bCs/>
          <w:sz w:val="22"/>
          <w:szCs w:val="22"/>
          <w:lang w:eastAsia="en-GB"/>
        </w:rPr>
        <w:t xml:space="preserve">the </w:t>
      </w:r>
      <w:r w:rsidRPr="006B7CCF">
        <w:rPr>
          <w:rFonts w:cs="Arial"/>
          <w:bCs/>
          <w:sz w:val="22"/>
          <w:szCs w:val="22"/>
          <w:lang w:eastAsia="en-GB"/>
        </w:rPr>
        <w:t>application of sustainable infrastructure for large projects</w:t>
      </w:r>
      <w:r>
        <w:rPr>
          <w:rFonts w:cs="Arial"/>
          <w:bCs/>
          <w:sz w:val="22"/>
          <w:szCs w:val="22"/>
          <w:lang w:eastAsia="en-GB"/>
        </w:rPr>
        <w:t>,</w:t>
      </w:r>
      <w:r w:rsidRPr="006B7CCF">
        <w:rPr>
          <w:rFonts w:cs="Arial"/>
          <w:bCs/>
          <w:sz w:val="22"/>
          <w:szCs w:val="22"/>
          <w:lang w:eastAsia="en-GB"/>
        </w:rPr>
        <w:t xml:space="preserve"> affordable housing, and solar energy.</w:t>
      </w:r>
      <w:r>
        <w:rPr>
          <w:rFonts w:cs="Arial"/>
          <w:bCs/>
          <w:sz w:val="22"/>
          <w:szCs w:val="22"/>
          <w:lang w:eastAsia="en-GB"/>
        </w:rPr>
        <w:t xml:space="preserve"> </w:t>
      </w:r>
      <w:r w:rsidR="00AE212D">
        <w:rPr>
          <w:rFonts w:cs="Arial"/>
          <w:bCs/>
          <w:sz w:val="22"/>
          <w:szCs w:val="22"/>
          <w:lang w:eastAsia="en-GB"/>
        </w:rPr>
        <w:t xml:space="preserve">IDB held </w:t>
      </w:r>
      <w:r>
        <w:rPr>
          <w:rFonts w:cs="Arial"/>
          <w:bCs/>
          <w:sz w:val="22"/>
          <w:szCs w:val="22"/>
          <w:lang w:eastAsia="en-GB"/>
        </w:rPr>
        <w:t xml:space="preserve">five </w:t>
      </w:r>
      <w:r w:rsidR="00AE212D">
        <w:rPr>
          <w:rFonts w:cs="Arial"/>
          <w:bCs/>
          <w:sz w:val="22"/>
          <w:szCs w:val="22"/>
          <w:lang w:eastAsia="en-GB"/>
        </w:rPr>
        <w:t xml:space="preserve">SIP-LA </w:t>
      </w:r>
      <w:r>
        <w:rPr>
          <w:rFonts w:cs="Arial"/>
          <w:bCs/>
          <w:sz w:val="22"/>
          <w:szCs w:val="22"/>
          <w:lang w:eastAsia="en-GB"/>
        </w:rPr>
        <w:t xml:space="preserve">technical workshops </w:t>
      </w:r>
      <w:r w:rsidR="00AE212D">
        <w:rPr>
          <w:rFonts w:cs="Arial"/>
          <w:bCs/>
          <w:sz w:val="22"/>
          <w:szCs w:val="22"/>
          <w:lang w:eastAsia="en-GB"/>
        </w:rPr>
        <w:t>i</w:t>
      </w:r>
      <w:r>
        <w:rPr>
          <w:rFonts w:cs="Arial"/>
          <w:bCs/>
          <w:sz w:val="22"/>
          <w:szCs w:val="22"/>
          <w:lang w:eastAsia="en-GB"/>
        </w:rPr>
        <w:t xml:space="preserve">n 2019, both regionally and nationally in partner countries to deliver training and strengthen institutions. </w:t>
      </w:r>
    </w:p>
    <w:p w14:paraId="065CD4DF" w14:textId="6B684722" w:rsidR="00F40CDB" w:rsidRPr="00C8587D" w:rsidRDefault="00844C3D" w:rsidP="00F40CDB">
      <w:pPr>
        <w:autoSpaceDE w:val="0"/>
        <w:autoSpaceDN w:val="0"/>
        <w:adjustRightInd w:val="0"/>
        <w:spacing w:before="120" w:after="120" w:line="276" w:lineRule="auto"/>
        <w:jc w:val="both"/>
        <w:rPr>
          <w:rFonts w:cs="Arial"/>
          <w:bCs/>
          <w:sz w:val="22"/>
          <w:szCs w:val="22"/>
          <w:u w:val="single"/>
          <w:lang w:eastAsia="en-GB"/>
        </w:rPr>
      </w:pPr>
      <w:r>
        <w:rPr>
          <w:rFonts w:cs="Arial"/>
          <w:bCs/>
          <w:sz w:val="22"/>
          <w:szCs w:val="22"/>
          <w:u w:val="single"/>
          <w:lang w:eastAsia="en-GB"/>
        </w:rPr>
        <w:t>Output</w:t>
      </w:r>
      <w:r w:rsidR="00F40CDB" w:rsidRPr="00C8587D">
        <w:rPr>
          <w:rFonts w:cs="Arial"/>
          <w:bCs/>
          <w:sz w:val="22"/>
          <w:szCs w:val="22"/>
          <w:u w:val="single"/>
          <w:lang w:eastAsia="en-GB"/>
        </w:rPr>
        <w:t xml:space="preserve"> Indicator 1.3 </w:t>
      </w:r>
      <w:r w:rsidR="00F40CDB">
        <w:rPr>
          <w:rFonts w:cs="Arial"/>
          <w:bCs/>
          <w:sz w:val="22"/>
          <w:szCs w:val="22"/>
          <w:u w:val="single"/>
          <w:lang w:eastAsia="en-GB"/>
        </w:rPr>
        <w:t>– This indicator surpassed targets for 2019</w:t>
      </w:r>
    </w:p>
    <w:p w14:paraId="325F2051" w14:textId="2A83252A" w:rsidR="00F40CDB" w:rsidRDefault="00F40CDB" w:rsidP="00F40CDB">
      <w:pPr>
        <w:autoSpaceDE w:val="0"/>
        <w:autoSpaceDN w:val="0"/>
        <w:adjustRightInd w:val="0"/>
        <w:spacing w:before="120" w:after="120" w:line="276" w:lineRule="auto"/>
        <w:jc w:val="both"/>
        <w:rPr>
          <w:rFonts w:cs="Arial"/>
          <w:bCs/>
          <w:iCs/>
          <w:sz w:val="22"/>
          <w:szCs w:val="22"/>
        </w:rPr>
      </w:pPr>
      <w:r>
        <w:rPr>
          <w:rFonts w:cs="Arial"/>
          <w:bCs/>
          <w:sz w:val="22"/>
          <w:szCs w:val="22"/>
          <w:lang w:eastAsia="en-GB"/>
        </w:rPr>
        <w:t xml:space="preserve">Activities in relation to policy and regulatory reform </w:t>
      </w:r>
      <w:r w:rsidRPr="00373026">
        <w:rPr>
          <w:rFonts w:cs="Arial"/>
          <w:bCs/>
          <w:sz w:val="22"/>
          <w:szCs w:val="22"/>
          <w:lang w:eastAsia="en-GB"/>
        </w:rPr>
        <w:t>include specific diagnostics, assessments, strategies, and plans which support policy or regulatory reform</w:t>
      </w:r>
      <w:r>
        <w:rPr>
          <w:rFonts w:cs="Arial"/>
          <w:bCs/>
          <w:sz w:val="22"/>
          <w:szCs w:val="22"/>
          <w:lang w:eastAsia="en-GB"/>
        </w:rPr>
        <w:t>. In 2019</w:t>
      </w:r>
      <w:r w:rsidR="00172434">
        <w:rPr>
          <w:rFonts w:cs="Arial"/>
          <w:bCs/>
          <w:sz w:val="22"/>
          <w:szCs w:val="22"/>
          <w:lang w:eastAsia="en-GB"/>
        </w:rPr>
        <w:t>,</w:t>
      </w:r>
      <w:r w:rsidR="00AE212D">
        <w:rPr>
          <w:rFonts w:cs="Arial"/>
          <w:bCs/>
          <w:sz w:val="22"/>
          <w:szCs w:val="22"/>
          <w:lang w:eastAsia="en-GB"/>
        </w:rPr>
        <w:t xml:space="preserve"> SIP-LA provided</w:t>
      </w:r>
      <w:r>
        <w:rPr>
          <w:rFonts w:cs="Arial"/>
          <w:bCs/>
          <w:sz w:val="22"/>
          <w:szCs w:val="22"/>
          <w:lang w:eastAsia="en-GB"/>
        </w:rPr>
        <w:t xml:space="preserve"> s</w:t>
      </w:r>
      <w:r w:rsidRPr="00373026">
        <w:rPr>
          <w:rFonts w:cs="Arial"/>
          <w:bCs/>
          <w:iCs/>
          <w:sz w:val="22"/>
          <w:szCs w:val="22"/>
        </w:rPr>
        <w:t xml:space="preserve">upport to the Government of Colombia to strengthen its institutional, technical, and regulatory capabilities to ensure a smooth adoption of large scale Non-Conventional Renewable Energy in their electricity generation matrix. </w:t>
      </w:r>
    </w:p>
    <w:p w14:paraId="06678AD6" w14:textId="69421F55" w:rsidR="00F40CDB" w:rsidRPr="00C8587D" w:rsidRDefault="00844C3D" w:rsidP="00F40CDB">
      <w:pPr>
        <w:autoSpaceDE w:val="0"/>
        <w:autoSpaceDN w:val="0"/>
        <w:adjustRightInd w:val="0"/>
        <w:spacing w:before="120" w:after="120" w:line="276" w:lineRule="auto"/>
        <w:jc w:val="both"/>
        <w:rPr>
          <w:rFonts w:cs="Arial"/>
          <w:bCs/>
          <w:sz w:val="22"/>
          <w:szCs w:val="22"/>
          <w:u w:val="single"/>
          <w:lang w:eastAsia="en-GB"/>
        </w:rPr>
      </w:pPr>
      <w:r>
        <w:rPr>
          <w:rFonts w:cs="Arial"/>
          <w:bCs/>
          <w:sz w:val="22"/>
          <w:szCs w:val="22"/>
          <w:u w:val="single"/>
          <w:lang w:eastAsia="en-GB"/>
        </w:rPr>
        <w:t>Output</w:t>
      </w:r>
      <w:r w:rsidR="00F40CDB">
        <w:rPr>
          <w:rFonts w:cs="Arial"/>
          <w:bCs/>
          <w:sz w:val="22"/>
          <w:szCs w:val="22"/>
          <w:u w:val="single"/>
          <w:lang w:eastAsia="en-GB"/>
        </w:rPr>
        <w:t xml:space="preserve"> Indicator 1.4 – This indicator surpassed targets for 2019</w:t>
      </w:r>
    </w:p>
    <w:p w14:paraId="4D45EB30" w14:textId="429321D2" w:rsidR="00F40CDB" w:rsidRDefault="00F40CDB" w:rsidP="00F40CDB">
      <w:pPr>
        <w:autoSpaceDE w:val="0"/>
        <w:autoSpaceDN w:val="0"/>
        <w:adjustRightInd w:val="0"/>
        <w:spacing w:before="120" w:after="120" w:line="276" w:lineRule="auto"/>
        <w:jc w:val="both"/>
        <w:rPr>
          <w:rFonts w:cs="Arial"/>
          <w:bCs/>
          <w:sz w:val="22"/>
          <w:szCs w:val="22"/>
          <w:lang w:eastAsia="en-GB"/>
        </w:rPr>
      </w:pPr>
      <w:r w:rsidRPr="00373026">
        <w:rPr>
          <w:rFonts w:cs="Arial"/>
          <w:bCs/>
          <w:sz w:val="22"/>
          <w:szCs w:val="22"/>
          <w:lang w:eastAsia="en-GB"/>
        </w:rPr>
        <w:t xml:space="preserve">There was significant progress made with regard to events and activities undertaken by </w:t>
      </w:r>
      <w:r w:rsidR="00D12787">
        <w:rPr>
          <w:rFonts w:cs="Arial"/>
          <w:bCs/>
          <w:sz w:val="22"/>
          <w:szCs w:val="22"/>
          <w:lang w:eastAsia="en-GB"/>
        </w:rPr>
        <w:t>IDB</w:t>
      </w:r>
      <w:r w:rsidRPr="00373026">
        <w:rPr>
          <w:rFonts w:cs="Arial"/>
          <w:bCs/>
          <w:sz w:val="22"/>
          <w:szCs w:val="22"/>
          <w:lang w:eastAsia="en-GB"/>
        </w:rPr>
        <w:t xml:space="preserve"> and its contractors to build capacity within the sustainable infrastructure sector</w:t>
      </w:r>
      <w:r>
        <w:rPr>
          <w:rFonts w:cs="Arial"/>
          <w:bCs/>
          <w:sz w:val="22"/>
          <w:szCs w:val="22"/>
          <w:lang w:eastAsia="en-GB"/>
        </w:rPr>
        <w:t>, there were three IDB Invest led operations. For example,</w:t>
      </w:r>
      <w:r w:rsidRPr="00714D5B">
        <w:rPr>
          <w:rFonts w:cs="Arial"/>
          <w:bCs/>
          <w:sz w:val="22"/>
          <w:szCs w:val="22"/>
          <w:lang w:eastAsia="en-GB"/>
        </w:rPr>
        <w:t xml:space="preserve"> </w:t>
      </w:r>
      <w:r>
        <w:rPr>
          <w:rFonts w:cs="Arial"/>
          <w:bCs/>
          <w:sz w:val="22"/>
          <w:szCs w:val="22"/>
          <w:lang w:eastAsia="en-GB"/>
        </w:rPr>
        <w:t>t</w:t>
      </w:r>
      <w:r w:rsidRPr="00714D5B">
        <w:rPr>
          <w:rFonts w:cs="Arial"/>
          <w:bCs/>
          <w:sz w:val="22"/>
          <w:szCs w:val="22"/>
          <w:lang w:eastAsia="en-GB"/>
        </w:rPr>
        <w:t>o verify the business case that the sustainable Public-Private Partnerships (PPP</w:t>
      </w:r>
      <w:r>
        <w:rPr>
          <w:rFonts w:cs="Arial"/>
          <w:bCs/>
          <w:sz w:val="22"/>
          <w:szCs w:val="22"/>
          <w:lang w:eastAsia="en-GB"/>
        </w:rPr>
        <w:t>)</w:t>
      </w:r>
      <w:r w:rsidRPr="00714D5B">
        <w:rPr>
          <w:rFonts w:cs="Arial"/>
          <w:bCs/>
          <w:sz w:val="22"/>
          <w:szCs w:val="22"/>
          <w:lang w:eastAsia="en-GB"/>
        </w:rPr>
        <w:t xml:space="preserve"> present to </w:t>
      </w:r>
      <w:r>
        <w:rPr>
          <w:rFonts w:cs="Arial"/>
          <w:bCs/>
          <w:sz w:val="22"/>
          <w:szCs w:val="22"/>
          <w:lang w:eastAsia="en-GB"/>
        </w:rPr>
        <w:t>the whole Latin America</w:t>
      </w:r>
      <w:r w:rsidRPr="00714D5B">
        <w:rPr>
          <w:rFonts w:cs="Arial"/>
          <w:bCs/>
          <w:sz w:val="22"/>
          <w:szCs w:val="22"/>
          <w:lang w:eastAsia="en-GB"/>
        </w:rPr>
        <w:t xml:space="preserve"> region, a Sustainable PPP Assessment was completed</w:t>
      </w:r>
      <w:r>
        <w:rPr>
          <w:rFonts w:cs="Arial"/>
          <w:bCs/>
          <w:sz w:val="22"/>
          <w:szCs w:val="22"/>
          <w:lang w:eastAsia="en-GB"/>
        </w:rPr>
        <w:t xml:space="preserve"> by SIP-LA</w:t>
      </w:r>
      <w:r w:rsidRPr="00714D5B">
        <w:rPr>
          <w:rFonts w:cs="Arial"/>
          <w:bCs/>
          <w:sz w:val="22"/>
          <w:szCs w:val="22"/>
          <w:lang w:eastAsia="en-GB"/>
        </w:rPr>
        <w:t>. The Assessment corroborated that embedding sustainability elements during the PPP structuring phase leads to cost efficiency and savings in the management of the PPP contract life</w:t>
      </w:r>
      <w:r>
        <w:rPr>
          <w:rFonts w:cs="Arial"/>
          <w:bCs/>
          <w:sz w:val="22"/>
          <w:szCs w:val="22"/>
          <w:lang w:eastAsia="en-GB"/>
        </w:rPr>
        <w:t xml:space="preserve"> </w:t>
      </w:r>
      <w:r w:rsidRPr="00714D5B">
        <w:rPr>
          <w:rFonts w:cs="Arial"/>
          <w:bCs/>
          <w:sz w:val="22"/>
          <w:szCs w:val="22"/>
          <w:lang w:eastAsia="en-GB"/>
        </w:rPr>
        <w:t>cycle.</w:t>
      </w:r>
    </w:p>
    <w:p w14:paraId="0E5C7A2A" w14:textId="10AB3720" w:rsidR="00F40CDB" w:rsidRPr="00373026" w:rsidRDefault="00CE7DCE" w:rsidP="00404F73">
      <w:pPr>
        <w:autoSpaceDE w:val="0"/>
        <w:autoSpaceDN w:val="0"/>
        <w:adjustRightInd w:val="0"/>
        <w:spacing w:before="120" w:after="120" w:line="276" w:lineRule="auto"/>
        <w:rPr>
          <w:rFonts w:cs="Arial"/>
          <w:bCs/>
          <w:sz w:val="22"/>
          <w:szCs w:val="22"/>
        </w:rPr>
      </w:pPr>
      <w:r>
        <w:rPr>
          <w:rFonts w:cs="Arial"/>
          <w:b/>
          <w:bCs/>
          <w:sz w:val="22"/>
          <w:szCs w:val="22"/>
        </w:rPr>
        <w:t>P</w:t>
      </w:r>
      <w:r w:rsidR="00F40CDB" w:rsidRPr="00373026">
        <w:rPr>
          <w:rFonts w:cs="Arial"/>
          <w:b/>
          <w:bCs/>
          <w:sz w:val="22"/>
          <w:szCs w:val="22"/>
        </w:rPr>
        <w:t>rogress on recommendations from the previous AR, lessons learned this year and recommendations for the year ahead</w:t>
      </w:r>
      <w:r w:rsidR="00F40CDB">
        <w:rPr>
          <w:rFonts w:cs="Arial"/>
          <w:b/>
          <w:bCs/>
          <w:sz w:val="22"/>
          <w:szCs w:val="22"/>
        </w:rPr>
        <w:t>.</w:t>
      </w:r>
    </w:p>
    <w:tbl>
      <w:tblPr>
        <w:tblStyle w:val="TableGrid"/>
        <w:tblW w:w="4932" w:type="pct"/>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652"/>
        <w:gridCol w:w="5672"/>
      </w:tblGrid>
      <w:tr w:rsidR="00F40CDB" w:rsidRPr="004A36E7" w14:paraId="78BA31F8" w14:textId="77777777" w:rsidTr="00191418">
        <w:trPr>
          <w:trHeight w:val="273"/>
        </w:trPr>
        <w:tc>
          <w:tcPr>
            <w:tcW w:w="2253" w:type="pct"/>
            <w:shd w:val="clear" w:color="auto" w:fill="D9E2F3" w:themeFill="accent1" w:themeFillTint="33"/>
          </w:tcPr>
          <w:p w14:paraId="0CC75C0D" w14:textId="77777777" w:rsidR="00F40CDB" w:rsidRPr="004A36E7" w:rsidRDefault="00F40CDB" w:rsidP="00191418">
            <w:pPr>
              <w:spacing w:before="60" w:after="60"/>
              <w:rPr>
                <w:rFonts w:cs="Arial"/>
                <w:b/>
                <w:bCs/>
                <w:sz w:val="22"/>
                <w:szCs w:val="22"/>
              </w:rPr>
            </w:pPr>
            <w:r w:rsidRPr="004A36E7">
              <w:rPr>
                <w:rFonts w:cs="Arial"/>
                <w:b/>
                <w:bCs/>
                <w:sz w:val="22"/>
                <w:szCs w:val="22"/>
              </w:rPr>
              <w:t xml:space="preserve">Recommendation </w:t>
            </w:r>
            <w:r>
              <w:rPr>
                <w:rFonts w:cs="Arial"/>
                <w:b/>
                <w:bCs/>
                <w:sz w:val="22"/>
                <w:szCs w:val="22"/>
              </w:rPr>
              <w:t>(2018 AR)</w:t>
            </w:r>
          </w:p>
        </w:tc>
        <w:tc>
          <w:tcPr>
            <w:tcW w:w="2747" w:type="pct"/>
            <w:shd w:val="clear" w:color="auto" w:fill="D9E2F3" w:themeFill="accent1" w:themeFillTint="33"/>
          </w:tcPr>
          <w:p w14:paraId="57231A70" w14:textId="77777777" w:rsidR="00F40CDB" w:rsidRPr="004A36E7" w:rsidRDefault="00F40CDB" w:rsidP="00191418">
            <w:pPr>
              <w:spacing w:before="60" w:after="60"/>
              <w:rPr>
                <w:rFonts w:cs="Arial"/>
                <w:b/>
                <w:bCs/>
                <w:sz w:val="22"/>
                <w:szCs w:val="22"/>
              </w:rPr>
            </w:pPr>
            <w:r w:rsidRPr="004A36E7">
              <w:rPr>
                <w:rFonts w:cs="Arial"/>
                <w:b/>
                <w:bCs/>
                <w:sz w:val="22"/>
                <w:szCs w:val="22"/>
              </w:rPr>
              <w:t>Status</w:t>
            </w:r>
            <w:r>
              <w:rPr>
                <w:rFonts w:cs="Arial"/>
                <w:b/>
                <w:bCs/>
                <w:sz w:val="22"/>
                <w:szCs w:val="22"/>
              </w:rPr>
              <w:t xml:space="preserve"> (End of Reporting Period)</w:t>
            </w:r>
          </w:p>
        </w:tc>
      </w:tr>
      <w:tr w:rsidR="00F40CDB" w:rsidRPr="004A36E7" w14:paraId="26126BD2" w14:textId="77777777" w:rsidTr="00191418">
        <w:tc>
          <w:tcPr>
            <w:tcW w:w="2253" w:type="pct"/>
          </w:tcPr>
          <w:p w14:paraId="1A1BFDE4" w14:textId="4ECD0587" w:rsidR="00F40CDB" w:rsidRPr="004A36E7" w:rsidRDefault="00F40CDB" w:rsidP="00191418">
            <w:pPr>
              <w:jc w:val="both"/>
              <w:rPr>
                <w:rFonts w:eastAsiaTheme="minorHAnsi" w:cs="Arial"/>
                <w:bCs/>
                <w:sz w:val="20"/>
                <w:szCs w:val="20"/>
              </w:rPr>
            </w:pPr>
            <w:r w:rsidRPr="004A36E7">
              <w:rPr>
                <w:rFonts w:eastAsiaTheme="minorHAnsi" w:cs="Arial"/>
                <w:bCs/>
                <w:sz w:val="20"/>
                <w:szCs w:val="20"/>
              </w:rPr>
              <w:t xml:space="preserve">BEIS to explore ways to </w:t>
            </w:r>
            <w:r w:rsidRPr="004A36E7">
              <w:rPr>
                <w:rFonts w:cs="Arial"/>
                <w:bCs/>
                <w:sz w:val="20"/>
                <w:szCs w:val="20"/>
              </w:rPr>
              <w:t xml:space="preserve">improve coordination with other UK climate programming delivering </w:t>
            </w:r>
            <w:r w:rsidR="008C77B2">
              <w:rPr>
                <w:rFonts w:cs="Arial"/>
                <w:bCs/>
                <w:sz w:val="20"/>
                <w:szCs w:val="20"/>
              </w:rPr>
              <w:t>technical assistance</w:t>
            </w:r>
            <w:r w:rsidRPr="004A36E7">
              <w:rPr>
                <w:rFonts w:cs="Arial"/>
                <w:bCs/>
                <w:sz w:val="20"/>
                <w:szCs w:val="20"/>
              </w:rPr>
              <w:t xml:space="preserve"> in the region. Plans in place by October 2019. </w:t>
            </w:r>
          </w:p>
          <w:p w14:paraId="3EE7E4FA" w14:textId="77777777" w:rsidR="00F40CDB" w:rsidRPr="004A36E7" w:rsidRDefault="00F40CDB" w:rsidP="00191418">
            <w:pPr>
              <w:spacing w:before="60" w:after="60"/>
              <w:rPr>
                <w:rFonts w:cs="Arial"/>
                <w:sz w:val="20"/>
                <w:szCs w:val="20"/>
              </w:rPr>
            </w:pPr>
          </w:p>
        </w:tc>
        <w:tc>
          <w:tcPr>
            <w:tcW w:w="2747" w:type="pct"/>
          </w:tcPr>
          <w:p w14:paraId="614819CB" w14:textId="0F651741" w:rsidR="00F40CDB" w:rsidRPr="004A36E7" w:rsidRDefault="00F40CDB" w:rsidP="00191418">
            <w:pPr>
              <w:spacing w:before="60" w:after="60"/>
              <w:jc w:val="both"/>
              <w:rPr>
                <w:rFonts w:cs="Arial"/>
                <w:sz w:val="20"/>
                <w:szCs w:val="20"/>
              </w:rPr>
            </w:pPr>
            <w:r w:rsidRPr="00CD6D3D">
              <w:rPr>
                <w:sz w:val="20"/>
                <w:szCs w:val="20"/>
              </w:rPr>
              <w:t xml:space="preserve">Following this recommendation, all BEIS ICF programmes delivering in the region are now key stakeholders in SIPs project approval process. In addition, further link up has been developed between the BEIS SIP-LA team and Defra ICF teams delivering in the region. Improvements to coordination also include </w:t>
            </w:r>
            <w:r w:rsidR="00645A6D">
              <w:rPr>
                <w:sz w:val="20"/>
                <w:szCs w:val="20"/>
              </w:rPr>
              <w:t>SIP-LA</w:t>
            </w:r>
            <w:r w:rsidRPr="00CD6D3D">
              <w:rPr>
                <w:sz w:val="20"/>
                <w:szCs w:val="20"/>
              </w:rPr>
              <w:t xml:space="preserve"> team reviewing proposals for future UK PACT interventions in September 2020 to ensure complementarity with </w:t>
            </w:r>
            <w:r w:rsidR="00645A6D">
              <w:rPr>
                <w:sz w:val="20"/>
                <w:szCs w:val="20"/>
              </w:rPr>
              <w:t>SIP-LA</w:t>
            </w:r>
            <w:r w:rsidRPr="00CD6D3D">
              <w:rPr>
                <w:sz w:val="20"/>
                <w:szCs w:val="20"/>
              </w:rPr>
              <w:t xml:space="preserve"> pipeline.</w:t>
            </w:r>
            <w:r>
              <w:rPr>
                <w:sz w:val="20"/>
                <w:szCs w:val="20"/>
              </w:rPr>
              <w:t xml:space="preserve"> </w:t>
            </w:r>
          </w:p>
        </w:tc>
      </w:tr>
      <w:tr w:rsidR="00F40CDB" w:rsidRPr="004A36E7" w14:paraId="13803F2B" w14:textId="77777777" w:rsidTr="00191418">
        <w:tc>
          <w:tcPr>
            <w:tcW w:w="2253" w:type="pct"/>
          </w:tcPr>
          <w:p w14:paraId="2BBF206C" w14:textId="77777777" w:rsidR="00F40CDB" w:rsidRPr="004A36E7" w:rsidRDefault="00F40CDB" w:rsidP="00191418">
            <w:pPr>
              <w:spacing w:before="60" w:after="60"/>
              <w:jc w:val="both"/>
              <w:rPr>
                <w:rFonts w:cs="Arial"/>
                <w:bCs/>
                <w:sz w:val="20"/>
                <w:szCs w:val="20"/>
              </w:rPr>
            </w:pPr>
            <w:r w:rsidRPr="008266E8">
              <w:rPr>
                <w:rFonts w:cs="Arial"/>
                <w:bCs/>
                <w:sz w:val="20"/>
                <w:szCs w:val="20"/>
              </w:rPr>
              <w:t xml:space="preserve">BEIS and IDB to develop a standard protocol for engagement with the British Embassy network in order to improve coordination between other UK climate programmes, identify opportunities to </w:t>
            </w:r>
            <w:r w:rsidRPr="008266E8">
              <w:rPr>
                <w:rFonts w:cs="Arial"/>
                <w:bCs/>
                <w:sz w:val="20"/>
                <w:szCs w:val="20"/>
              </w:rPr>
              <w:lastRenderedPageBreak/>
              <w:t>maximise climate policy impact and deliver strong UK visibility. Protocol agreed by October 2019.</w:t>
            </w:r>
          </w:p>
        </w:tc>
        <w:tc>
          <w:tcPr>
            <w:tcW w:w="2747" w:type="pct"/>
          </w:tcPr>
          <w:p w14:paraId="5E4B8D80" w14:textId="57F9E812" w:rsidR="00F40CDB" w:rsidRPr="006B3443" w:rsidRDefault="00F40CDB" w:rsidP="00191418">
            <w:pPr>
              <w:spacing w:before="60" w:after="60"/>
              <w:jc w:val="both"/>
              <w:rPr>
                <w:rFonts w:cs="Arial"/>
                <w:sz w:val="20"/>
                <w:szCs w:val="20"/>
              </w:rPr>
            </w:pPr>
            <w:r w:rsidRPr="006B3443">
              <w:rPr>
                <w:rFonts w:cs="Arial"/>
                <w:sz w:val="20"/>
                <w:szCs w:val="20"/>
              </w:rPr>
              <w:lastRenderedPageBreak/>
              <w:t xml:space="preserve">The BEIS SIP-LA team </w:t>
            </w:r>
            <w:r>
              <w:rPr>
                <w:rFonts w:cs="Arial"/>
                <w:sz w:val="20"/>
                <w:szCs w:val="20"/>
              </w:rPr>
              <w:t xml:space="preserve">now </w:t>
            </w:r>
            <w:r w:rsidRPr="006B3443">
              <w:rPr>
                <w:rFonts w:cs="Arial"/>
                <w:sz w:val="20"/>
                <w:szCs w:val="20"/>
              </w:rPr>
              <w:t xml:space="preserve">hold monthly meetings with relevant colleagues in each of the four embassies. In addition to improving strategic coordination, engagement has </w:t>
            </w:r>
            <w:r w:rsidRPr="006B3443">
              <w:rPr>
                <w:rFonts w:cs="Arial"/>
                <w:sz w:val="20"/>
                <w:szCs w:val="20"/>
              </w:rPr>
              <w:lastRenderedPageBreak/>
              <w:t xml:space="preserve">contributed to improving the coordination of UK climate </w:t>
            </w:r>
            <w:r w:rsidR="008C77B2">
              <w:rPr>
                <w:rFonts w:cs="Arial"/>
                <w:sz w:val="20"/>
                <w:szCs w:val="20"/>
              </w:rPr>
              <w:t>technical assistance</w:t>
            </w:r>
            <w:r w:rsidRPr="006B3443">
              <w:rPr>
                <w:rFonts w:cs="Arial"/>
                <w:sz w:val="20"/>
                <w:szCs w:val="20"/>
              </w:rPr>
              <w:t xml:space="preserve"> operations in all four countries. </w:t>
            </w:r>
          </w:p>
        </w:tc>
      </w:tr>
    </w:tbl>
    <w:p w14:paraId="1518A2C5" w14:textId="77777777" w:rsidR="00A66322" w:rsidRDefault="00A66322" w:rsidP="00A66322"/>
    <w:p w14:paraId="06F8E607" w14:textId="3D4FAA83" w:rsidR="00A66322" w:rsidRPr="00853A15" w:rsidRDefault="00A66322" w:rsidP="0051544E">
      <w:pPr>
        <w:spacing w:line="276" w:lineRule="auto"/>
        <w:jc w:val="both"/>
        <w:rPr>
          <w:rFonts w:ascii="Calibri" w:hAnsi="Calibri"/>
          <w:sz w:val="20"/>
          <w:szCs w:val="20"/>
        </w:rPr>
      </w:pPr>
      <w:r w:rsidRPr="00853A15">
        <w:rPr>
          <w:sz w:val="22"/>
          <w:szCs w:val="22"/>
        </w:rPr>
        <w:t>There has been good progress on improving coordination</w:t>
      </w:r>
      <w:r w:rsidR="00404F73">
        <w:rPr>
          <w:sz w:val="22"/>
          <w:szCs w:val="22"/>
        </w:rPr>
        <w:t xml:space="preserve"> of SIP-LA and the wider ICF portfolio</w:t>
      </w:r>
      <w:r w:rsidRPr="00853A15">
        <w:rPr>
          <w:sz w:val="22"/>
          <w:szCs w:val="22"/>
        </w:rPr>
        <w:t xml:space="preserve"> within BEIS. </w:t>
      </w:r>
      <w:r w:rsidR="005722F2" w:rsidRPr="00853A15">
        <w:rPr>
          <w:sz w:val="22"/>
          <w:szCs w:val="22"/>
        </w:rPr>
        <w:t xml:space="preserve">There are regular meetings between project leads and </w:t>
      </w:r>
      <w:r w:rsidR="00976855" w:rsidRPr="00853A15">
        <w:rPr>
          <w:sz w:val="22"/>
          <w:szCs w:val="22"/>
        </w:rPr>
        <w:t xml:space="preserve">teams have the opportunity to </w:t>
      </w:r>
      <w:r w:rsidR="000B7515">
        <w:rPr>
          <w:sz w:val="22"/>
          <w:szCs w:val="22"/>
        </w:rPr>
        <w:t xml:space="preserve">comment on </w:t>
      </w:r>
      <w:r w:rsidR="008C77B2">
        <w:rPr>
          <w:sz w:val="22"/>
          <w:szCs w:val="22"/>
        </w:rPr>
        <w:t>technical assistance</w:t>
      </w:r>
      <w:r w:rsidR="000B7515">
        <w:rPr>
          <w:sz w:val="22"/>
          <w:szCs w:val="22"/>
        </w:rPr>
        <w:t xml:space="preserve"> proposals</w:t>
      </w:r>
      <w:r w:rsidR="009949B1">
        <w:rPr>
          <w:sz w:val="22"/>
          <w:szCs w:val="22"/>
        </w:rPr>
        <w:t xml:space="preserve">. </w:t>
      </w:r>
      <w:r w:rsidR="000A515F" w:rsidRPr="000A515F">
        <w:rPr>
          <w:sz w:val="22"/>
          <w:szCs w:val="22"/>
        </w:rPr>
        <w:t>There are also good governance arrangements within SIP-</w:t>
      </w:r>
      <w:r w:rsidR="00AE21DF" w:rsidRPr="000A515F">
        <w:rPr>
          <w:sz w:val="22"/>
          <w:szCs w:val="22"/>
        </w:rPr>
        <w:t>LA</w:t>
      </w:r>
      <w:r w:rsidR="00172434">
        <w:rPr>
          <w:sz w:val="22"/>
          <w:szCs w:val="22"/>
        </w:rPr>
        <w:t>,</w:t>
      </w:r>
      <w:r w:rsidR="00AE21DF">
        <w:rPr>
          <w:sz w:val="22"/>
          <w:szCs w:val="22"/>
        </w:rPr>
        <w:t xml:space="preserve"> </w:t>
      </w:r>
      <w:r w:rsidR="00AE21DF" w:rsidRPr="00853A15">
        <w:rPr>
          <w:sz w:val="22"/>
          <w:szCs w:val="22"/>
        </w:rPr>
        <w:t>such</w:t>
      </w:r>
      <w:r w:rsidR="00777D94">
        <w:rPr>
          <w:sz w:val="22"/>
          <w:szCs w:val="22"/>
        </w:rPr>
        <w:t xml:space="preserve"> as the </w:t>
      </w:r>
      <w:r w:rsidR="00913867">
        <w:rPr>
          <w:sz w:val="22"/>
          <w:szCs w:val="22"/>
        </w:rPr>
        <w:t>overriding</w:t>
      </w:r>
      <w:r w:rsidR="00D816BC">
        <w:rPr>
          <w:sz w:val="22"/>
          <w:szCs w:val="22"/>
        </w:rPr>
        <w:t xml:space="preserve"> </w:t>
      </w:r>
      <w:r w:rsidR="00ED0861">
        <w:rPr>
          <w:sz w:val="22"/>
          <w:szCs w:val="22"/>
        </w:rPr>
        <w:t xml:space="preserve">management </w:t>
      </w:r>
      <w:r w:rsidR="00D816BC">
        <w:rPr>
          <w:sz w:val="22"/>
          <w:szCs w:val="22"/>
        </w:rPr>
        <w:t>agreement</w:t>
      </w:r>
      <w:r w:rsidRPr="00853A15">
        <w:rPr>
          <w:sz w:val="22"/>
          <w:szCs w:val="22"/>
        </w:rPr>
        <w:t xml:space="preserve"> that </w:t>
      </w:r>
      <w:r w:rsidR="00D463CB">
        <w:rPr>
          <w:sz w:val="22"/>
          <w:szCs w:val="22"/>
        </w:rPr>
        <w:t>governs</w:t>
      </w:r>
      <w:r w:rsidRPr="00853A15">
        <w:rPr>
          <w:color w:val="FF0000"/>
          <w:sz w:val="22"/>
          <w:szCs w:val="22"/>
        </w:rPr>
        <w:t xml:space="preserve"> </w:t>
      </w:r>
      <w:r w:rsidRPr="00853A15">
        <w:rPr>
          <w:sz w:val="22"/>
          <w:szCs w:val="22"/>
        </w:rPr>
        <w:t xml:space="preserve">the development </w:t>
      </w:r>
      <w:r w:rsidRPr="002D626D">
        <w:rPr>
          <w:sz w:val="22"/>
          <w:szCs w:val="22"/>
        </w:rPr>
        <w:t xml:space="preserve">of project pipelines </w:t>
      </w:r>
      <w:r w:rsidR="00B87FD0">
        <w:rPr>
          <w:sz w:val="22"/>
          <w:szCs w:val="22"/>
        </w:rPr>
        <w:t xml:space="preserve">and ensures they </w:t>
      </w:r>
      <w:r w:rsidRPr="00853A15">
        <w:rPr>
          <w:sz w:val="22"/>
          <w:szCs w:val="22"/>
        </w:rPr>
        <w:t xml:space="preserve">aligned with </w:t>
      </w:r>
      <w:r w:rsidRPr="002D626D">
        <w:rPr>
          <w:sz w:val="22"/>
          <w:szCs w:val="22"/>
        </w:rPr>
        <w:t xml:space="preserve">the </w:t>
      </w:r>
      <w:r w:rsidR="00B87FD0">
        <w:rPr>
          <w:sz w:val="22"/>
          <w:szCs w:val="22"/>
        </w:rPr>
        <w:t>programme</w:t>
      </w:r>
      <w:r w:rsidR="00172434">
        <w:rPr>
          <w:sz w:val="22"/>
          <w:szCs w:val="22"/>
        </w:rPr>
        <w:t>’</w:t>
      </w:r>
      <w:r w:rsidR="00B87FD0">
        <w:rPr>
          <w:sz w:val="22"/>
          <w:szCs w:val="22"/>
        </w:rPr>
        <w:t>s mandate</w:t>
      </w:r>
      <w:r w:rsidRPr="00853A15">
        <w:rPr>
          <w:sz w:val="22"/>
          <w:szCs w:val="22"/>
        </w:rPr>
        <w:t xml:space="preserve">. However, there is still an opportunity and a requirement within </w:t>
      </w:r>
      <w:r w:rsidR="00645A6D">
        <w:rPr>
          <w:sz w:val="22"/>
          <w:szCs w:val="22"/>
        </w:rPr>
        <w:t>SIP-LA</w:t>
      </w:r>
      <w:r w:rsidRPr="00853A15">
        <w:rPr>
          <w:sz w:val="22"/>
          <w:szCs w:val="22"/>
        </w:rPr>
        <w:t xml:space="preserve"> portfolio to produce a coherent country driven approach, which ensures that there is a comprehensive understanding for how </w:t>
      </w:r>
      <w:r w:rsidR="008C77B2">
        <w:rPr>
          <w:sz w:val="22"/>
          <w:szCs w:val="22"/>
        </w:rPr>
        <w:t>technical assistance</w:t>
      </w:r>
      <w:r w:rsidRPr="00853A15">
        <w:rPr>
          <w:sz w:val="22"/>
          <w:szCs w:val="22"/>
        </w:rPr>
        <w:t xml:space="preserve"> and </w:t>
      </w:r>
      <w:r w:rsidR="00844C3D">
        <w:rPr>
          <w:sz w:val="22"/>
          <w:szCs w:val="22"/>
        </w:rPr>
        <w:t>blended finance</w:t>
      </w:r>
      <w:r w:rsidRPr="00853A15">
        <w:rPr>
          <w:sz w:val="22"/>
          <w:szCs w:val="22"/>
        </w:rPr>
        <w:t xml:space="preserve"> will deliver transformational objectives in each partner country. Throughout the review period</w:t>
      </w:r>
      <w:r w:rsidR="00172434">
        <w:rPr>
          <w:sz w:val="22"/>
          <w:szCs w:val="22"/>
        </w:rPr>
        <w:t>,</w:t>
      </w:r>
      <w:r w:rsidRPr="00853A15">
        <w:rPr>
          <w:sz w:val="22"/>
          <w:szCs w:val="22"/>
        </w:rPr>
        <w:t xml:space="preserve"> discussion between </w:t>
      </w:r>
      <w:r w:rsidR="00D12787">
        <w:rPr>
          <w:sz w:val="22"/>
          <w:szCs w:val="22"/>
        </w:rPr>
        <w:t>IDB</w:t>
      </w:r>
      <w:r w:rsidRPr="00853A15">
        <w:rPr>
          <w:sz w:val="22"/>
          <w:szCs w:val="22"/>
        </w:rPr>
        <w:t xml:space="preserve"> and BEIS </w:t>
      </w:r>
      <w:r w:rsidRPr="002D626D">
        <w:rPr>
          <w:sz w:val="22"/>
          <w:szCs w:val="22"/>
        </w:rPr>
        <w:t xml:space="preserve">agreed that </w:t>
      </w:r>
      <w:r w:rsidRPr="00853A15">
        <w:rPr>
          <w:sz w:val="22"/>
          <w:szCs w:val="22"/>
        </w:rPr>
        <w:t xml:space="preserve">strategic outlines for </w:t>
      </w:r>
      <w:r w:rsidRPr="002D626D">
        <w:rPr>
          <w:sz w:val="22"/>
          <w:szCs w:val="22"/>
        </w:rPr>
        <w:t xml:space="preserve">each SIP country should be </w:t>
      </w:r>
      <w:r w:rsidRPr="00853A15">
        <w:rPr>
          <w:sz w:val="22"/>
          <w:szCs w:val="22"/>
        </w:rPr>
        <w:t xml:space="preserve">developed as tangible </w:t>
      </w:r>
      <w:r w:rsidR="00844C3D">
        <w:rPr>
          <w:sz w:val="22"/>
          <w:szCs w:val="22"/>
        </w:rPr>
        <w:t>Output</w:t>
      </w:r>
      <w:r w:rsidRPr="00853A15">
        <w:rPr>
          <w:sz w:val="22"/>
          <w:szCs w:val="22"/>
        </w:rPr>
        <w:t xml:space="preserve">s of the 2020 consultations with governments (high level dialogues). </w:t>
      </w:r>
    </w:p>
    <w:p w14:paraId="159D47F4" w14:textId="77777777" w:rsidR="00A66322" w:rsidRPr="00853A15" w:rsidRDefault="00A66322" w:rsidP="0051544E">
      <w:pPr>
        <w:spacing w:line="276" w:lineRule="auto"/>
        <w:jc w:val="both"/>
        <w:rPr>
          <w:sz w:val="22"/>
          <w:szCs w:val="22"/>
        </w:rPr>
      </w:pPr>
    </w:p>
    <w:p w14:paraId="4DDE11F7" w14:textId="26F70192" w:rsidR="00A66322" w:rsidRPr="00853A15" w:rsidRDefault="00A66322" w:rsidP="0051544E">
      <w:pPr>
        <w:spacing w:line="276" w:lineRule="auto"/>
        <w:jc w:val="both"/>
        <w:rPr>
          <w:sz w:val="22"/>
          <w:szCs w:val="22"/>
        </w:rPr>
      </w:pPr>
      <w:r w:rsidRPr="00853A15">
        <w:rPr>
          <w:sz w:val="22"/>
          <w:szCs w:val="22"/>
        </w:rPr>
        <w:t xml:space="preserve">Coordination between embassy teams and </w:t>
      </w:r>
      <w:r w:rsidR="00D12787">
        <w:rPr>
          <w:sz w:val="22"/>
          <w:szCs w:val="22"/>
        </w:rPr>
        <w:t>IDB</w:t>
      </w:r>
      <w:r w:rsidRPr="00853A15">
        <w:rPr>
          <w:sz w:val="22"/>
          <w:szCs w:val="22"/>
        </w:rPr>
        <w:t xml:space="preserve"> is vital to ensure scoping for </w:t>
      </w:r>
      <w:r w:rsidR="00645A6D">
        <w:rPr>
          <w:sz w:val="22"/>
          <w:szCs w:val="22"/>
        </w:rPr>
        <w:t>SIP-LA</w:t>
      </w:r>
      <w:r w:rsidRPr="00853A15">
        <w:rPr>
          <w:sz w:val="22"/>
          <w:szCs w:val="22"/>
        </w:rPr>
        <w:t xml:space="preserve"> </w:t>
      </w:r>
      <w:r w:rsidR="008C77B2">
        <w:rPr>
          <w:sz w:val="22"/>
          <w:szCs w:val="22"/>
        </w:rPr>
        <w:t>technical assistance</w:t>
      </w:r>
      <w:r w:rsidRPr="00853A15">
        <w:rPr>
          <w:sz w:val="22"/>
          <w:szCs w:val="22"/>
        </w:rPr>
        <w:t xml:space="preserve"> and investments is targeted to partner government priorities and emerging markets in sustainable infrastructure. IDB engages with colleagues in post through monthly update meetings regarding </w:t>
      </w:r>
      <w:r w:rsidR="008C77B2">
        <w:rPr>
          <w:sz w:val="22"/>
          <w:szCs w:val="22"/>
        </w:rPr>
        <w:t>technical assistance</w:t>
      </w:r>
      <w:r w:rsidRPr="00853A15">
        <w:rPr>
          <w:sz w:val="22"/>
          <w:szCs w:val="22"/>
        </w:rPr>
        <w:t xml:space="preserve"> activities in country. IDB have </w:t>
      </w:r>
      <w:r w:rsidRPr="0008620B">
        <w:rPr>
          <w:sz w:val="22"/>
          <w:szCs w:val="22"/>
        </w:rPr>
        <w:t xml:space="preserve">worked </w:t>
      </w:r>
      <w:r w:rsidRPr="00853A15">
        <w:rPr>
          <w:sz w:val="22"/>
          <w:szCs w:val="22"/>
        </w:rPr>
        <w:t>to bring sectoral experts into monthly update meetings, providing embassy teams with a high-level understanding about work on the ground. IDB have also worked well with the Colombia</w:t>
      </w:r>
      <w:r w:rsidR="00820253">
        <w:rPr>
          <w:sz w:val="22"/>
          <w:szCs w:val="22"/>
        </w:rPr>
        <w:t>n</w:t>
      </w:r>
      <w:r w:rsidRPr="00853A15">
        <w:rPr>
          <w:sz w:val="22"/>
          <w:szCs w:val="22"/>
        </w:rPr>
        <w:t xml:space="preserve"> embassy team across the year on dissemination of interventions. There is currently no protocol for UK embassy teams to receive information about scoping or delivery of </w:t>
      </w:r>
      <w:r w:rsidR="00844C3D">
        <w:rPr>
          <w:sz w:val="22"/>
          <w:szCs w:val="22"/>
        </w:rPr>
        <w:t>blended finance</w:t>
      </w:r>
      <w:r w:rsidRPr="00853A15">
        <w:rPr>
          <w:sz w:val="22"/>
          <w:szCs w:val="22"/>
        </w:rPr>
        <w:t xml:space="preserve"> investments in country. There is a risk that </w:t>
      </w:r>
      <w:r w:rsidR="00D12787">
        <w:rPr>
          <w:sz w:val="22"/>
          <w:szCs w:val="22"/>
        </w:rPr>
        <w:t>IDB</w:t>
      </w:r>
      <w:r w:rsidRPr="00853A15">
        <w:rPr>
          <w:sz w:val="22"/>
          <w:szCs w:val="22"/>
        </w:rPr>
        <w:t xml:space="preserve"> engage embassy teams once an intervention has been approved and opportunities for feedback and coordination are lost. Further consultation at the scoping </w:t>
      </w:r>
      <w:r w:rsidRPr="0008620B">
        <w:rPr>
          <w:sz w:val="22"/>
          <w:szCs w:val="22"/>
        </w:rPr>
        <w:t xml:space="preserve">stage would </w:t>
      </w:r>
      <w:r w:rsidRPr="00853A15">
        <w:rPr>
          <w:sz w:val="22"/>
          <w:szCs w:val="22"/>
        </w:rPr>
        <w:t>allow embassies to develop stronger ICF synergies</w:t>
      </w:r>
      <w:r w:rsidR="00153BA0">
        <w:rPr>
          <w:sz w:val="22"/>
          <w:szCs w:val="22"/>
        </w:rPr>
        <w:t xml:space="preserve"> and gain valuable political insight</w:t>
      </w:r>
      <w:r w:rsidRPr="00853A15">
        <w:rPr>
          <w:sz w:val="22"/>
          <w:szCs w:val="22"/>
        </w:rPr>
        <w:t xml:space="preserve">. In addition, feedback from post across all four partner countries is that there is significant opportunity to increase the programme’s visibility, showcasing UK interventions and results. </w:t>
      </w:r>
    </w:p>
    <w:p w14:paraId="5B63FEA8" w14:textId="77777777" w:rsidR="00A66322" w:rsidRPr="00853A15" w:rsidRDefault="00A66322" w:rsidP="0051544E">
      <w:pPr>
        <w:spacing w:line="276" w:lineRule="auto"/>
        <w:jc w:val="both"/>
        <w:rPr>
          <w:sz w:val="22"/>
          <w:szCs w:val="22"/>
        </w:rPr>
      </w:pPr>
    </w:p>
    <w:p w14:paraId="4953B036" w14:textId="4396890E" w:rsidR="00A66322" w:rsidRPr="00853A15" w:rsidRDefault="00A66322" w:rsidP="0051544E">
      <w:pPr>
        <w:spacing w:line="276" w:lineRule="auto"/>
        <w:jc w:val="both"/>
        <w:rPr>
          <w:sz w:val="22"/>
          <w:szCs w:val="22"/>
        </w:rPr>
      </w:pPr>
      <w:r w:rsidRPr="00853A15">
        <w:rPr>
          <w:b/>
          <w:bCs/>
          <w:sz w:val="22"/>
          <w:szCs w:val="22"/>
        </w:rPr>
        <w:t xml:space="preserve">Recommendation: </w:t>
      </w:r>
      <w:r w:rsidR="008B3FD6">
        <w:rPr>
          <w:sz w:val="22"/>
          <w:szCs w:val="22"/>
        </w:rPr>
        <w:t xml:space="preserve">IDB Investment </w:t>
      </w:r>
      <w:r w:rsidR="00A0227E">
        <w:rPr>
          <w:sz w:val="22"/>
          <w:szCs w:val="22"/>
        </w:rPr>
        <w:t>O</w:t>
      </w:r>
      <w:r w:rsidR="008B3FD6">
        <w:rPr>
          <w:sz w:val="22"/>
          <w:szCs w:val="22"/>
        </w:rPr>
        <w:t xml:space="preserve">fficers </w:t>
      </w:r>
      <w:r w:rsidR="003E3BE8">
        <w:rPr>
          <w:sz w:val="22"/>
          <w:szCs w:val="22"/>
        </w:rPr>
        <w:t xml:space="preserve">and </w:t>
      </w:r>
      <w:r w:rsidR="0012639C">
        <w:rPr>
          <w:sz w:val="22"/>
          <w:szCs w:val="22"/>
        </w:rPr>
        <w:t>S</w:t>
      </w:r>
      <w:r w:rsidR="003E3BE8">
        <w:rPr>
          <w:sz w:val="22"/>
          <w:szCs w:val="22"/>
        </w:rPr>
        <w:t>ector specialists should attend monthly programming meetings with the four embassies</w:t>
      </w:r>
      <w:r w:rsidR="00172434">
        <w:rPr>
          <w:sz w:val="22"/>
          <w:szCs w:val="22"/>
        </w:rPr>
        <w:t>,</w:t>
      </w:r>
      <w:r w:rsidR="003E3BE8">
        <w:rPr>
          <w:sz w:val="22"/>
          <w:szCs w:val="22"/>
        </w:rPr>
        <w:t xml:space="preserve"> effective immediately.</w:t>
      </w:r>
      <w:r w:rsidRPr="00853A15">
        <w:rPr>
          <w:sz w:val="22"/>
          <w:szCs w:val="22"/>
        </w:rPr>
        <w:t xml:space="preserve"> </w:t>
      </w:r>
    </w:p>
    <w:p w14:paraId="1D4F1502" w14:textId="47D26DB0" w:rsidR="00F40CDB" w:rsidRDefault="00F40CDB" w:rsidP="00F40CDB">
      <w:pPr>
        <w:spacing w:before="120" w:after="120" w:line="276" w:lineRule="auto"/>
        <w:jc w:val="both"/>
        <w:rPr>
          <w:b/>
          <w:sz w:val="22"/>
          <w:szCs w:val="22"/>
        </w:rPr>
      </w:pPr>
      <w:r w:rsidRPr="00373026">
        <w:rPr>
          <w:b/>
          <w:sz w:val="22"/>
          <w:szCs w:val="22"/>
        </w:rPr>
        <w:t xml:space="preserve">Describe any changes this </w:t>
      </w:r>
      <w:r w:rsidR="00844C3D">
        <w:rPr>
          <w:b/>
          <w:sz w:val="22"/>
          <w:szCs w:val="22"/>
        </w:rPr>
        <w:t>Output</w:t>
      </w:r>
      <w:r w:rsidRPr="00373026">
        <w:rPr>
          <w:b/>
          <w:sz w:val="22"/>
          <w:szCs w:val="22"/>
        </w:rPr>
        <w:t xml:space="preserve">, and any planned changes because of this review. </w:t>
      </w:r>
    </w:p>
    <w:p w14:paraId="327A62B2" w14:textId="4EC79EEC" w:rsidR="00F95874" w:rsidRDefault="00645A6D" w:rsidP="00F95874">
      <w:pPr>
        <w:spacing w:before="120" w:after="120" w:line="276" w:lineRule="auto"/>
        <w:jc w:val="both"/>
        <w:rPr>
          <w:rFonts w:cs="Arial"/>
          <w:sz w:val="22"/>
          <w:szCs w:val="22"/>
        </w:rPr>
      </w:pPr>
      <w:r>
        <w:rPr>
          <w:rFonts w:cs="Arial"/>
          <w:sz w:val="22"/>
          <w:szCs w:val="22"/>
        </w:rPr>
        <w:t>SIP-LA</w:t>
      </w:r>
      <w:r w:rsidR="00F95874">
        <w:rPr>
          <w:rFonts w:cs="Arial"/>
          <w:sz w:val="22"/>
          <w:szCs w:val="22"/>
        </w:rPr>
        <w:t xml:space="preserve"> 2018 Annual Review weighted </w:t>
      </w:r>
      <w:r w:rsidR="00844C3D">
        <w:rPr>
          <w:rFonts w:cs="Arial"/>
          <w:sz w:val="22"/>
          <w:szCs w:val="22"/>
        </w:rPr>
        <w:t>Output</w:t>
      </w:r>
      <w:r w:rsidR="00F95874">
        <w:rPr>
          <w:rFonts w:cs="Arial"/>
          <w:sz w:val="22"/>
          <w:szCs w:val="22"/>
        </w:rPr>
        <w:t xml:space="preserve"> 1 at 75% and </w:t>
      </w:r>
      <w:r w:rsidR="00844C3D">
        <w:rPr>
          <w:rFonts w:cs="Arial"/>
          <w:sz w:val="22"/>
          <w:szCs w:val="22"/>
        </w:rPr>
        <w:t>Output</w:t>
      </w:r>
      <w:r w:rsidR="00F95874">
        <w:rPr>
          <w:rFonts w:cs="Arial"/>
          <w:sz w:val="22"/>
          <w:szCs w:val="22"/>
        </w:rPr>
        <w:t xml:space="preserve"> 2 at 25%. This was done because SIP-LA’s year one activities were focussed on </w:t>
      </w:r>
      <w:r w:rsidR="008C77B2">
        <w:rPr>
          <w:rFonts w:cs="Arial"/>
          <w:sz w:val="22"/>
          <w:szCs w:val="22"/>
        </w:rPr>
        <w:t>technical assistance</w:t>
      </w:r>
      <w:r w:rsidR="00F95874">
        <w:rPr>
          <w:rFonts w:cs="Arial"/>
          <w:sz w:val="22"/>
          <w:szCs w:val="22"/>
        </w:rPr>
        <w:t xml:space="preserve"> whilst the programme developed its </w:t>
      </w:r>
      <w:r w:rsidR="00844C3D">
        <w:rPr>
          <w:rFonts w:cs="Arial"/>
          <w:sz w:val="22"/>
          <w:szCs w:val="22"/>
        </w:rPr>
        <w:t>blended finance</w:t>
      </w:r>
      <w:r w:rsidR="00F95874">
        <w:rPr>
          <w:rFonts w:cs="Arial"/>
          <w:sz w:val="22"/>
          <w:szCs w:val="22"/>
        </w:rPr>
        <w:t xml:space="preserve"> pipeline. For this Annual Review, the </w:t>
      </w:r>
      <w:r w:rsidR="00844C3D">
        <w:rPr>
          <w:rFonts w:cs="Arial"/>
          <w:sz w:val="22"/>
          <w:szCs w:val="22"/>
        </w:rPr>
        <w:t>Output</w:t>
      </w:r>
      <w:r w:rsidR="00F95874">
        <w:rPr>
          <w:rFonts w:cs="Arial"/>
          <w:sz w:val="22"/>
          <w:szCs w:val="22"/>
        </w:rPr>
        <w:t xml:space="preserve"> weightings have been revised to reflect the weightings in the business case. </w:t>
      </w:r>
      <w:r w:rsidR="00844C3D">
        <w:rPr>
          <w:rFonts w:cs="Arial"/>
          <w:sz w:val="22"/>
          <w:szCs w:val="22"/>
        </w:rPr>
        <w:t>Output</w:t>
      </w:r>
      <w:r w:rsidR="00F95874">
        <w:rPr>
          <w:rFonts w:cs="Arial"/>
          <w:sz w:val="22"/>
          <w:szCs w:val="22"/>
        </w:rPr>
        <w:t xml:space="preserve"> 1 is therefore weighted at 25% and </w:t>
      </w:r>
      <w:r w:rsidR="00844C3D">
        <w:rPr>
          <w:rFonts w:cs="Arial"/>
          <w:sz w:val="22"/>
          <w:szCs w:val="22"/>
        </w:rPr>
        <w:t>Output</w:t>
      </w:r>
      <w:r w:rsidR="00F95874">
        <w:rPr>
          <w:rFonts w:cs="Arial"/>
          <w:sz w:val="22"/>
          <w:szCs w:val="22"/>
        </w:rPr>
        <w:t xml:space="preserve"> 2 is weighted at 75%. </w:t>
      </w:r>
    </w:p>
    <w:p w14:paraId="1C2910D8" w14:textId="34FD5B89" w:rsidR="00F95874" w:rsidRPr="00373026" w:rsidRDefault="00844C3D" w:rsidP="00F95874">
      <w:pPr>
        <w:spacing w:before="120" w:after="120" w:line="276" w:lineRule="auto"/>
        <w:jc w:val="both"/>
        <w:rPr>
          <w:rFonts w:cs="Arial"/>
          <w:sz w:val="22"/>
          <w:szCs w:val="22"/>
        </w:rPr>
      </w:pPr>
      <w:r>
        <w:rPr>
          <w:rFonts w:cs="Arial"/>
          <w:sz w:val="22"/>
          <w:szCs w:val="22"/>
        </w:rPr>
        <w:t>Output</w:t>
      </w:r>
      <w:r w:rsidR="00F95874">
        <w:rPr>
          <w:rFonts w:cs="Arial"/>
          <w:sz w:val="22"/>
          <w:szCs w:val="22"/>
        </w:rPr>
        <w:t xml:space="preserve"> 1</w:t>
      </w:r>
      <w:r w:rsidR="00F95874" w:rsidRPr="00373026">
        <w:rPr>
          <w:rFonts w:cs="Arial"/>
          <w:sz w:val="22"/>
          <w:szCs w:val="22"/>
        </w:rPr>
        <w:t xml:space="preserve"> has undergone structural change as part of the aforementioned </w:t>
      </w:r>
      <w:r>
        <w:rPr>
          <w:rFonts w:cs="Arial"/>
          <w:sz w:val="22"/>
          <w:szCs w:val="22"/>
        </w:rPr>
        <w:t>log frame</w:t>
      </w:r>
      <w:r w:rsidR="00F95874" w:rsidRPr="00373026">
        <w:rPr>
          <w:rFonts w:cs="Arial"/>
          <w:sz w:val="22"/>
          <w:szCs w:val="22"/>
        </w:rPr>
        <w:t xml:space="preserve"> review. </w:t>
      </w:r>
      <w:r w:rsidR="00F95874">
        <w:rPr>
          <w:rFonts w:cs="Arial"/>
          <w:sz w:val="22"/>
          <w:szCs w:val="22"/>
        </w:rPr>
        <w:t>It is planned t</w:t>
      </w:r>
      <w:r w:rsidR="00F95874" w:rsidRPr="00373026">
        <w:rPr>
          <w:rFonts w:cs="Arial"/>
          <w:sz w:val="22"/>
          <w:szCs w:val="22"/>
        </w:rPr>
        <w:t xml:space="preserve">here will be two separate </w:t>
      </w:r>
      <w:r>
        <w:rPr>
          <w:rFonts w:cs="Arial"/>
          <w:sz w:val="22"/>
          <w:szCs w:val="22"/>
        </w:rPr>
        <w:t>Output</w:t>
      </w:r>
      <w:r w:rsidR="00F95874" w:rsidRPr="00373026">
        <w:rPr>
          <w:rFonts w:cs="Arial"/>
          <w:sz w:val="22"/>
          <w:szCs w:val="22"/>
        </w:rPr>
        <w:t xml:space="preserve">s for Private sector and Public sector </w:t>
      </w:r>
      <w:r w:rsidR="008C77B2">
        <w:rPr>
          <w:rFonts w:cs="Arial"/>
          <w:sz w:val="22"/>
          <w:szCs w:val="22"/>
        </w:rPr>
        <w:t>technical assistance</w:t>
      </w:r>
      <w:r w:rsidR="00F95874" w:rsidRPr="00373026">
        <w:rPr>
          <w:rFonts w:cs="Arial"/>
          <w:sz w:val="22"/>
          <w:szCs w:val="22"/>
        </w:rPr>
        <w:t xml:space="preserve">. </w:t>
      </w:r>
      <w:r>
        <w:rPr>
          <w:rFonts w:cs="Arial"/>
          <w:sz w:val="22"/>
          <w:szCs w:val="22"/>
        </w:rPr>
        <w:t>Output</w:t>
      </w:r>
      <w:r w:rsidR="00F95874" w:rsidRPr="00373026">
        <w:rPr>
          <w:rFonts w:cs="Arial"/>
          <w:sz w:val="22"/>
          <w:szCs w:val="22"/>
        </w:rPr>
        <w:t xml:space="preserve"> 1 will measure public sector </w:t>
      </w:r>
      <w:r w:rsidR="008C77B2">
        <w:rPr>
          <w:rFonts w:cs="Arial"/>
          <w:sz w:val="22"/>
          <w:szCs w:val="22"/>
        </w:rPr>
        <w:t>technical assistance</w:t>
      </w:r>
      <w:r w:rsidR="00F95874" w:rsidRPr="00373026">
        <w:rPr>
          <w:rFonts w:cs="Arial"/>
          <w:sz w:val="22"/>
          <w:szCs w:val="22"/>
        </w:rPr>
        <w:t xml:space="preserve"> only and capture the improvements made to sustainable infrastructure capacity building and regulatory environments</w:t>
      </w:r>
      <w:r w:rsidR="00F95874">
        <w:rPr>
          <w:rFonts w:cs="Arial"/>
          <w:sz w:val="22"/>
          <w:szCs w:val="22"/>
        </w:rPr>
        <w:t xml:space="preserve">. It will also </w:t>
      </w:r>
      <w:r w:rsidR="00F95874" w:rsidRPr="00373026">
        <w:rPr>
          <w:rFonts w:cs="Arial"/>
          <w:sz w:val="22"/>
          <w:szCs w:val="22"/>
        </w:rPr>
        <w:t xml:space="preserve">capture the implementation of sustainable infrastructure approaches within public sector institutions. </w:t>
      </w:r>
      <w:r w:rsidR="00C070D0">
        <w:rPr>
          <w:rFonts w:cs="Arial"/>
          <w:sz w:val="22"/>
          <w:szCs w:val="22"/>
        </w:rPr>
        <w:t xml:space="preserve">A new </w:t>
      </w:r>
      <w:r>
        <w:rPr>
          <w:rFonts w:cs="Arial"/>
          <w:sz w:val="22"/>
          <w:szCs w:val="22"/>
        </w:rPr>
        <w:t>Output</w:t>
      </w:r>
      <w:r w:rsidR="00F95874" w:rsidRPr="00373026">
        <w:rPr>
          <w:rFonts w:cs="Arial"/>
          <w:sz w:val="22"/>
          <w:szCs w:val="22"/>
        </w:rPr>
        <w:t xml:space="preserve"> 2 will measure private sector </w:t>
      </w:r>
      <w:r w:rsidR="008C77B2">
        <w:rPr>
          <w:rFonts w:cs="Arial"/>
          <w:sz w:val="22"/>
          <w:szCs w:val="22"/>
        </w:rPr>
        <w:t>technical assistance</w:t>
      </w:r>
      <w:r w:rsidR="00F95874" w:rsidRPr="00373026">
        <w:rPr>
          <w:rFonts w:cs="Arial"/>
          <w:sz w:val="22"/>
          <w:szCs w:val="22"/>
        </w:rPr>
        <w:t xml:space="preserve"> only, capturing how support contributes to the bankability of sustainable infras</w:t>
      </w:r>
      <w:r w:rsidR="00106F6F">
        <w:rPr>
          <w:rFonts w:cs="Arial"/>
          <w:sz w:val="22"/>
          <w:szCs w:val="22"/>
        </w:rPr>
        <w:t>t</w:t>
      </w:r>
      <w:r w:rsidR="00F95874" w:rsidRPr="00373026">
        <w:rPr>
          <w:rFonts w:cs="Arial"/>
          <w:sz w:val="22"/>
          <w:szCs w:val="22"/>
        </w:rPr>
        <w:t xml:space="preserve">ructure projects. </w:t>
      </w:r>
    </w:p>
    <w:p w14:paraId="604D4D8B" w14:textId="77777777" w:rsidR="00F40CDB" w:rsidRPr="00373026" w:rsidRDefault="00F40CDB" w:rsidP="00F40CDB">
      <w:pPr>
        <w:spacing w:before="120" w:after="120" w:line="276" w:lineRule="auto"/>
        <w:jc w:val="both"/>
        <w:rPr>
          <w:b/>
          <w:bCs/>
          <w:sz w:val="22"/>
          <w:szCs w:val="22"/>
        </w:rPr>
      </w:pPr>
    </w:p>
    <w:tbl>
      <w:tblPr>
        <w:tblStyle w:val="TableGrid"/>
        <w:tblW w:w="9639" w:type="dxa"/>
        <w:tblInd w:w="-5" w:type="dxa"/>
        <w:tblLook w:val="04A0" w:firstRow="1" w:lastRow="0" w:firstColumn="1" w:lastColumn="0" w:noHBand="0" w:noVBand="1"/>
      </w:tblPr>
      <w:tblGrid>
        <w:gridCol w:w="2357"/>
        <w:gridCol w:w="2584"/>
        <w:gridCol w:w="3423"/>
        <w:gridCol w:w="1275"/>
      </w:tblGrid>
      <w:tr w:rsidR="00E91BF1" w:rsidRPr="00373026" w14:paraId="08290C19" w14:textId="77777777" w:rsidTr="00191418">
        <w:trPr>
          <w:trHeight w:val="531"/>
        </w:trPr>
        <w:tc>
          <w:tcPr>
            <w:tcW w:w="235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6E71D3B" w14:textId="3E01C94E" w:rsidR="00F40CDB" w:rsidRPr="00122B20" w:rsidRDefault="00844C3D" w:rsidP="00191418">
            <w:pPr>
              <w:spacing w:before="120" w:after="120" w:line="276" w:lineRule="auto"/>
              <w:jc w:val="both"/>
              <w:rPr>
                <w:b/>
                <w:bCs/>
                <w:sz w:val="20"/>
                <w:szCs w:val="20"/>
              </w:rPr>
            </w:pPr>
            <w:r>
              <w:rPr>
                <w:b/>
                <w:bCs/>
                <w:sz w:val="20"/>
                <w:szCs w:val="20"/>
              </w:rPr>
              <w:t>Output</w:t>
            </w:r>
            <w:r w:rsidR="00F40CDB" w:rsidRPr="00122B20">
              <w:rPr>
                <w:b/>
                <w:bCs/>
                <w:sz w:val="20"/>
                <w:szCs w:val="20"/>
              </w:rPr>
              <w:t xml:space="preserve"> Title </w:t>
            </w:r>
          </w:p>
        </w:tc>
        <w:tc>
          <w:tcPr>
            <w:tcW w:w="728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B5933E7" w14:textId="77777777" w:rsidR="00F40CDB" w:rsidRPr="00122B20" w:rsidRDefault="00F40CDB" w:rsidP="00191418">
            <w:pPr>
              <w:spacing w:before="120" w:after="120" w:line="276" w:lineRule="auto"/>
              <w:jc w:val="both"/>
              <w:rPr>
                <w:bCs/>
                <w:iCs/>
                <w:sz w:val="20"/>
                <w:szCs w:val="20"/>
              </w:rPr>
            </w:pPr>
            <w:r w:rsidRPr="00122B20">
              <w:rPr>
                <w:bCs/>
                <w:iCs/>
                <w:sz w:val="20"/>
                <w:szCs w:val="20"/>
              </w:rPr>
              <w:t>Capital Investment in sustainable infrastructure project is able to leverage the requisite private finance, increase energy efficiency and create jobs</w:t>
            </w:r>
          </w:p>
        </w:tc>
      </w:tr>
      <w:tr w:rsidR="00A4048C" w:rsidRPr="00373026" w14:paraId="475CCBF4" w14:textId="77777777" w:rsidTr="00191418">
        <w:trPr>
          <w:trHeight w:val="377"/>
        </w:trPr>
        <w:tc>
          <w:tcPr>
            <w:tcW w:w="235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9C1D321" w14:textId="0CF55DAA" w:rsidR="00F40CDB" w:rsidRPr="00122B20" w:rsidRDefault="00844C3D" w:rsidP="00191418">
            <w:pPr>
              <w:spacing w:before="120" w:after="120" w:line="276" w:lineRule="auto"/>
              <w:jc w:val="both"/>
              <w:rPr>
                <w:b/>
                <w:sz w:val="20"/>
                <w:szCs w:val="20"/>
              </w:rPr>
            </w:pPr>
            <w:r>
              <w:rPr>
                <w:b/>
                <w:sz w:val="20"/>
                <w:szCs w:val="20"/>
              </w:rPr>
              <w:t>Output</w:t>
            </w:r>
            <w:r w:rsidR="00F40CDB" w:rsidRPr="00122B20">
              <w:rPr>
                <w:b/>
                <w:sz w:val="20"/>
                <w:szCs w:val="20"/>
              </w:rPr>
              <w:t xml:space="preserve"> number: </w:t>
            </w:r>
          </w:p>
        </w:tc>
        <w:tc>
          <w:tcPr>
            <w:tcW w:w="2584" w:type="dxa"/>
            <w:tcBorders>
              <w:top w:val="single" w:sz="4" w:space="0" w:color="auto"/>
              <w:left w:val="single" w:sz="4" w:space="0" w:color="auto"/>
              <w:bottom w:val="single" w:sz="4" w:space="0" w:color="auto"/>
              <w:right w:val="single" w:sz="4" w:space="0" w:color="auto"/>
            </w:tcBorders>
          </w:tcPr>
          <w:p w14:paraId="0BCD6DBC" w14:textId="77777777" w:rsidR="00F40CDB" w:rsidRPr="00122B20" w:rsidRDefault="00F40CDB" w:rsidP="00191418">
            <w:pPr>
              <w:spacing w:before="120" w:after="120" w:line="276" w:lineRule="auto"/>
              <w:jc w:val="both"/>
              <w:rPr>
                <w:sz w:val="20"/>
                <w:szCs w:val="20"/>
              </w:rPr>
            </w:pPr>
            <w:r w:rsidRPr="00122B20">
              <w:rPr>
                <w:sz w:val="20"/>
                <w:szCs w:val="20"/>
              </w:rPr>
              <w:t>2</w:t>
            </w:r>
          </w:p>
        </w:tc>
        <w:tc>
          <w:tcPr>
            <w:tcW w:w="342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2F7897B" w14:textId="589DA5B5" w:rsidR="00F40CDB" w:rsidRPr="00AC4E91" w:rsidRDefault="00844C3D" w:rsidP="00191418">
            <w:pPr>
              <w:spacing w:before="120" w:after="120" w:line="276" w:lineRule="auto"/>
              <w:jc w:val="both"/>
              <w:rPr>
                <w:b/>
                <w:sz w:val="20"/>
                <w:szCs w:val="20"/>
              </w:rPr>
            </w:pPr>
            <w:r>
              <w:rPr>
                <w:b/>
                <w:sz w:val="20"/>
                <w:szCs w:val="20"/>
              </w:rPr>
              <w:t>Output</w:t>
            </w:r>
            <w:r w:rsidR="00F40CDB" w:rsidRPr="00AC4E91">
              <w:rPr>
                <w:b/>
                <w:sz w:val="20"/>
                <w:szCs w:val="20"/>
              </w:rPr>
              <w:t xml:space="preserve"> Score: </w:t>
            </w:r>
          </w:p>
        </w:tc>
        <w:tc>
          <w:tcPr>
            <w:tcW w:w="1275" w:type="dxa"/>
            <w:tcBorders>
              <w:top w:val="single" w:sz="4" w:space="0" w:color="auto"/>
              <w:left w:val="single" w:sz="4" w:space="0" w:color="auto"/>
              <w:bottom w:val="single" w:sz="4" w:space="0" w:color="auto"/>
              <w:right w:val="single" w:sz="4" w:space="0" w:color="auto"/>
            </w:tcBorders>
          </w:tcPr>
          <w:p w14:paraId="4D6218C3" w14:textId="1BF170CD" w:rsidR="00F40CDB" w:rsidRPr="00AC4E91" w:rsidRDefault="00F40CDB" w:rsidP="00191418">
            <w:pPr>
              <w:spacing w:before="120" w:after="120" w:line="276" w:lineRule="auto"/>
              <w:jc w:val="both"/>
              <w:rPr>
                <w:b/>
                <w:bCs/>
                <w:iCs/>
                <w:sz w:val="20"/>
                <w:szCs w:val="20"/>
              </w:rPr>
            </w:pPr>
            <w:r w:rsidRPr="00AC4E91">
              <w:rPr>
                <w:b/>
                <w:bCs/>
                <w:iCs/>
                <w:sz w:val="20"/>
                <w:szCs w:val="20"/>
              </w:rPr>
              <w:t>n/a</w:t>
            </w:r>
          </w:p>
        </w:tc>
      </w:tr>
      <w:tr w:rsidR="00A4048C" w:rsidRPr="00373026" w14:paraId="5229D180" w14:textId="77777777" w:rsidTr="00191418">
        <w:trPr>
          <w:trHeight w:val="375"/>
        </w:trPr>
        <w:tc>
          <w:tcPr>
            <w:tcW w:w="235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E0924AF" w14:textId="77777777" w:rsidR="00F40CDB" w:rsidRPr="00122B20" w:rsidRDefault="00F40CDB" w:rsidP="00191418">
            <w:pPr>
              <w:spacing w:before="120" w:after="120" w:line="276" w:lineRule="auto"/>
              <w:rPr>
                <w:b/>
                <w:sz w:val="20"/>
                <w:szCs w:val="20"/>
              </w:rPr>
            </w:pPr>
            <w:r w:rsidRPr="00122B20">
              <w:rPr>
                <w:b/>
                <w:sz w:val="20"/>
                <w:szCs w:val="20"/>
              </w:rPr>
              <w:t xml:space="preserve">Impact weighting (%):  </w:t>
            </w:r>
          </w:p>
        </w:tc>
        <w:tc>
          <w:tcPr>
            <w:tcW w:w="2584" w:type="dxa"/>
            <w:tcBorders>
              <w:top w:val="single" w:sz="4" w:space="0" w:color="auto"/>
              <w:left w:val="single" w:sz="4" w:space="0" w:color="auto"/>
              <w:bottom w:val="single" w:sz="4" w:space="0" w:color="auto"/>
              <w:right w:val="single" w:sz="4" w:space="0" w:color="auto"/>
            </w:tcBorders>
            <w:hideMark/>
          </w:tcPr>
          <w:p w14:paraId="4FD12DA2" w14:textId="77777777" w:rsidR="00F40CDB" w:rsidRPr="00122B20" w:rsidRDefault="00F40CDB" w:rsidP="00191418">
            <w:pPr>
              <w:spacing w:before="120" w:after="120" w:line="276" w:lineRule="auto"/>
              <w:jc w:val="both"/>
              <w:rPr>
                <w:bCs/>
                <w:sz w:val="20"/>
                <w:szCs w:val="20"/>
              </w:rPr>
            </w:pPr>
            <w:r w:rsidRPr="00122B20">
              <w:rPr>
                <w:bCs/>
                <w:sz w:val="20"/>
                <w:szCs w:val="20"/>
              </w:rPr>
              <w:t>75%</w:t>
            </w:r>
          </w:p>
        </w:tc>
        <w:tc>
          <w:tcPr>
            <w:tcW w:w="342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6D07473" w14:textId="77777777" w:rsidR="00F40CDB" w:rsidRPr="00122B20" w:rsidRDefault="00F40CDB" w:rsidP="00191418">
            <w:pPr>
              <w:spacing w:before="120" w:after="120" w:line="276" w:lineRule="auto"/>
              <w:jc w:val="both"/>
              <w:rPr>
                <w:b/>
                <w:sz w:val="20"/>
                <w:szCs w:val="20"/>
              </w:rPr>
            </w:pPr>
            <w:r w:rsidRPr="00122B20">
              <w:rPr>
                <w:b/>
                <w:sz w:val="20"/>
                <w:szCs w:val="20"/>
              </w:rPr>
              <w:t xml:space="preserve">Weighting revised since last AR </w:t>
            </w:r>
          </w:p>
        </w:tc>
        <w:tc>
          <w:tcPr>
            <w:tcW w:w="1275" w:type="dxa"/>
            <w:tcBorders>
              <w:top w:val="single" w:sz="4" w:space="0" w:color="auto"/>
              <w:left w:val="single" w:sz="4" w:space="0" w:color="auto"/>
              <w:bottom w:val="single" w:sz="4" w:space="0" w:color="auto"/>
              <w:right w:val="single" w:sz="4" w:space="0" w:color="auto"/>
            </w:tcBorders>
          </w:tcPr>
          <w:p w14:paraId="26101607" w14:textId="77777777" w:rsidR="00F40CDB" w:rsidRPr="00122B20" w:rsidRDefault="00F40CDB" w:rsidP="00191418">
            <w:pPr>
              <w:spacing w:before="120" w:after="120" w:line="276" w:lineRule="auto"/>
              <w:jc w:val="both"/>
              <w:rPr>
                <w:bCs/>
                <w:sz w:val="20"/>
                <w:szCs w:val="20"/>
              </w:rPr>
            </w:pPr>
            <w:r w:rsidRPr="00122B20">
              <w:rPr>
                <w:bCs/>
                <w:sz w:val="20"/>
                <w:szCs w:val="20"/>
              </w:rPr>
              <w:t>Yes</w:t>
            </w:r>
          </w:p>
        </w:tc>
      </w:tr>
      <w:tr w:rsidR="00A4048C" w:rsidRPr="00373026" w14:paraId="09CE7F50" w14:textId="77777777" w:rsidTr="00191418">
        <w:trPr>
          <w:trHeight w:val="375"/>
        </w:trPr>
        <w:tc>
          <w:tcPr>
            <w:tcW w:w="235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956F5DD" w14:textId="77777777" w:rsidR="00F40CDB" w:rsidRPr="00122B20" w:rsidRDefault="00F40CDB" w:rsidP="00191418">
            <w:pPr>
              <w:spacing w:before="120" w:after="120" w:line="276" w:lineRule="auto"/>
              <w:jc w:val="both"/>
              <w:rPr>
                <w:b/>
                <w:sz w:val="20"/>
                <w:szCs w:val="20"/>
              </w:rPr>
            </w:pPr>
            <w:r w:rsidRPr="00122B20">
              <w:rPr>
                <w:b/>
                <w:sz w:val="20"/>
                <w:szCs w:val="20"/>
              </w:rPr>
              <w:lastRenderedPageBreak/>
              <w:t>Risk rating</w:t>
            </w:r>
          </w:p>
        </w:tc>
        <w:tc>
          <w:tcPr>
            <w:tcW w:w="2584" w:type="dxa"/>
            <w:tcBorders>
              <w:top w:val="single" w:sz="4" w:space="0" w:color="auto"/>
              <w:left w:val="single" w:sz="4" w:space="0" w:color="auto"/>
              <w:bottom w:val="single" w:sz="4" w:space="0" w:color="auto"/>
              <w:right w:val="single" w:sz="4" w:space="0" w:color="auto"/>
            </w:tcBorders>
          </w:tcPr>
          <w:p w14:paraId="0822FB60" w14:textId="77777777" w:rsidR="00F40CDB" w:rsidRPr="00B6063C" w:rsidRDefault="00F40CDB" w:rsidP="00191418">
            <w:pPr>
              <w:spacing w:before="120" w:after="120" w:line="276" w:lineRule="auto"/>
              <w:jc w:val="both"/>
              <w:rPr>
                <w:bCs/>
                <w:sz w:val="20"/>
                <w:szCs w:val="20"/>
              </w:rPr>
            </w:pPr>
            <w:r w:rsidRPr="00122B20">
              <w:rPr>
                <w:bCs/>
                <w:sz w:val="20"/>
                <w:szCs w:val="20"/>
              </w:rPr>
              <w:t>Major</w:t>
            </w:r>
          </w:p>
        </w:tc>
        <w:tc>
          <w:tcPr>
            <w:tcW w:w="342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1124E6B" w14:textId="77777777" w:rsidR="00F40CDB" w:rsidRPr="00B6063C" w:rsidRDefault="00F40CDB" w:rsidP="00191418">
            <w:pPr>
              <w:spacing w:before="120" w:after="120" w:line="276" w:lineRule="auto"/>
              <w:jc w:val="both"/>
              <w:rPr>
                <w:b/>
                <w:sz w:val="20"/>
                <w:szCs w:val="20"/>
              </w:rPr>
            </w:pPr>
            <w:r w:rsidRPr="00B6063C">
              <w:rPr>
                <w:b/>
                <w:sz w:val="20"/>
                <w:szCs w:val="20"/>
              </w:rPr>
              <w:t>Risk revised since last AR?</w:t>
            </w:r>
          </w:p>
        </w:tc>
        <w:tc>
          <w:tcPr>
            <w:tcW w:w="1275" w:type="dxa"/>
            <w:tcBorders>
              <w:top w:val="single" w:sz="4" w:space="0" w:color="auto"/>
              <w:left w:val="single" w:sz="4" w:space="0" w:color="auto"/>
              <w:bottom w:val="single" w:sz="4" w:space="0" w:color="auto"/>
              <w:right w:val="single" w:sz="4" w:space="0" w:color="auto"/>
            </w:tcBorders>
          </w:tcPr>
          <w:p w14:paraId="76572FB7" w14:textId="77777777" w:rsidR="00F40CDB" w:rsidRPr="00B6063C" w:rsidRDefault="00F40CDB" w:rsidP="00191418">
            <w:pPr>
              <w:spacing w:before="120" w:after="120" w:line="276" w:lineRule="auto"/>
              <w:jc w:val="both"/>
              <w:rPr>
                <w:bCs/>
                <w:sz w:val="20"/>
                <w:szCs w:val="20"/>
              </w:rPr>
            </w:pPr>
            <w:r w:rsidRPr="00B6063C">
              <w:rPr>
                <w:bCs/>
                <w:sz w:val="20"/>
                <w:szCs w:val="20"/>
              </w:rPr>
              <w:t>Yes</w:t>
            </w:r>
          </w:p>
        </w:tc>
      </w:tr>
    </w:tbl>
    <w:p w14:paraId="2CCD10AA" w14:textId="77777777" w:rsidR="00F40CDB" w:rsidRDefault="00F40CDB" w:rsidP="00F40CDB">
      <w:pPr>
        <w:spacing w:before="120" w:after="120" w:line="276" w:lineRule="auto"/>
        <w:jc w:val="both"/>
        <w:rPr>
          <w:b/>
          <w:bCs/>
          <w:sz w:val="22"/>
          <w:szCs w:val="22"/>
        </w:rPr>
      </w:pPr>
    </w:p>
    <w:tbl>
      <w:tblPr>
        <w:tblStyle w:val="TableGrid"/>
        <w:tblW w:w="9634" w:type="dxa"/>
        <w:tblLook w:val="04A0" w:firstRow="1" w:lastRow="0" w:firstColumn="1" w:lastColumn="0" w:noHBand="0" w:noVBand="1"/>
      </w:tblPr>
      <w:tblGrid>
        <w:gridCol w:w="6374"/>
        <w:gridCol w:w="1701"/>
        <w:gridCol w:w="1559"/>
      </w:tblGrid>
      <w:tr w:rsidR="00F40CDB" w14:paraId="72810E38" w14:textId="77777777" w:rsidTr="00191418">
        <w:tc>
          <w:tcPr>
            <w:tcW w:w="6374" w:type="dxa"/>
            <w:shd w:val="clear" w:color="auto" w:fill="D9E2F3" w:themeFill="accent1" w:themeFillTint="33"/>
          </w:tcPr>
          <w:p w14:paraId="0471AE91" w14:textId="77777777" w:rsidR="00F40CDB" w:rsidRPr="00B6063C" w:rsidRDefault="00F40CDB" w:rsidP="00191418">
            <w:pPr>
              <w:spacing w:before="120" w:after="120" w:line="276" w:lineRule="auto"/>
              <w:jc w:val="both"/>
              <w:rPr>
                <w:b/>
                <w:bCs/>
                <w:sz w:val="20"/>
                <w:szCs w:val="20"/>
              </w:rPr>
            </w:pPr>
            <w:r w:rsidRPr="00B6063C">
              <w:rPr>
                <w:b/>
                <w:bCs/>
                <w:sz w:val="20"/>
                <w:szCs w:val="20"/>
              </w:rPr>
              <w:t>Indicator(s)</w:t>
            </w:r>
            <w:r w:rsidRPr="00B6063C">
              <w:rPr>
                <w:color w:val="000000"/>
                <w:sz w:val="20"/>
                <w:szCs w:val="20"/>
              </w:rPr>
              <w:t> </w:t>
            </w:r>
          </w:p>
        </w:tc>
        <w:tc>
          <w:tcPr>
            <w:tcW w:w="1701" w:type="dxa"/>
            <w:shd w:val="clear" w:color="auto" w:fill="D9E2F3" w:themeFill="accent1" w:themeFillTint="33"/>
          </w:tcPr>
          <w:p w14:paraId="1842B4CA" w14:textId="77777777" w:rsidR="00F40CDB" w:rsidRPr="00B6063C" w:rsidRDefault="00F40CDB" w:rsidP="00191418">
            <w:pPr>
              <w:spacing w:before="120" w:after="120" w:line="276" w:lineRule="auto"/>
              <w:jc w:val="both"/>
              <w:rPr>
                <w:b/>
                <w:bCs/>
                <w:sz w:val="20"/>
                <w:szCs w:val="20"/>
              </w:rPr>
            </w:pPr>
            <w:r w:rsidRPr="00B6063C">
              <w:rPr>
                <w:b/>
                <w:bCs/>
                <w:sz w:val="20"/>
                <w:szCs w:val="20"/>
              </w:rPr>
              <w:t>2019 Milestone</w:t>
            </w:r>
          </w:p>
        </w:tc>
        <w:tc>
          <w:tcPr>
            <w:tcW w:w="1559" w:type="dxa"/>
            <w:shd w:val="clear" w:color="auto" w:fill="D9E2F3" w:themeFill="accent1" w:themeFillTint="33"/>
          </w:tcPr>
          <w:p w14:paraId="521E6121" w14:textId="77777777" w:rsidR="00F40CDB" w:rsidRPr="00B6063C" w:rsidRDefault="00F40CDB" w:rsidP="00191418">
            <w:pPr>
              <w:spacing w:before="120" w:after="120" w:line="276" w:lineRule="auto"/>
              <w:jc w:val="both"/>
              <w:rPr>
                <w:b/>
                <w:bCs/>
                <w:sz w:val="20"/>
                <w:szCs w:val="20"/>
              </w:rPr>
            </w:pPr>
            <w:r w:rsidRPr="00B6063C">
              <w:rPr>
                <w:b/>
                <w:bCs/>
                <w:sz w:val="20"/>
                <w:szCs w:val="20"/>
              </w:rPr>
              <w:t>2019 achieved</w:t>
            </w:r>
          </w:p>
        </w:tc>
      </w:tr>
      <w:tr w:rsidR="00F40CDB" w14:paraId="24833621" w14:textId="77777777" w:rsidTr="00191418">
        <w:tc>
          <w:tcPr>
            <w:tcW w:w="6374" w:type="dxa"/>
          </w:tcPr>
          <w:p w14:paraId="5C0B7560" w14:textId="77777777" w:rsidR="00F40CDB" w:rsidRPr="00B6063C" w:rsidRDefault="00F40CDB" w:rsidP="00191418">
            <w:pPr>
              <w:spacing w:before="120" w:after="120" w:line="276" w:lineRule="auto"/>
              <w:rPr>
                <w:b/>
                <w:bCs/>
                <w:sz w:val="20"/>
                <w:szCs w:val="20"/>
              </w:rPr>
            </w:pPr>
            <w:r w:rsidRPr="00B6063C">
              <w:rPr>
                <w:sz w:val="20"/>
                <w:szCs w:val="20"/>
              </w:rPr>
              <w:t>2.1. Private finance leveraged in investments (£)</w:t>
            </w:r>
          </w:p>
        </w:tc>
        <w:tc>
          <w:tcPr>
            <w:tcW w:w="1701" w:type="dxa"/>
          </w:tcPr>
          <w:p w14:paraId="3EA2C79B" w14:textId="77777777" w:rsidR="00F40CDB" w:rsidRPr="00B6063C" w:rsidRDefault="00F40CDB" w:rsidP="00191418">
            <w:pPr>
              <w:spacing w:before="120" w:after="120" w:line="276" w:lineRule="auto"/>
              <w:jc w:val="both"/>
              <w:rPr>
                <w:sz w:val="20"/>
                <w:szCs w:val="20"/>
              </w:rPr>
            </w:pPr>
            <w:r w:rsidRPr="00B6063C">
              <w:rPr>
                <w:sz w:val="20"/>
                <w:szCs w:val="20"/>
              </w:rPr>
              <w:t>No milestone</w:t>
            </w:r>
          </w:p>
        </w:tc>
        <w:tc>
          <w:tcPr>
            <w:tcW w:w="1559" w:type="dxa"/>
          </w:tcPr>
          <w:p w14:paraId="05D05616" w14:textId="77777777" w:rsidR="00F40CDB" w:rsidRPr="00B6063C" w:rsidRDefault="00F40CDB" w:rsidP="00191418">
            <w:pPr>
              <w:spacing w:before="120" w:after="120" w:line="276" w:lineRule="auto"/>
              <w:jc w:val="both"/>
              <w:rPr>
                <w:sz w:val="20"/>
                <w:szCs w:val="20"/>
              </w:rPr>
            </w:pPr>
            <w:r w:rsidRPr="00B6063C">
              <w:rPr>
                <w:sz w:val="20"/>
                <w:szCs w:val="20"/>
              </w:rPr>
              <w:t>0</w:t>
            </w:r>
          </w:p>
        </w:tc>
      </w:tr>
      <w:tr w:rsidR="00F40CDB" w14:paraId="5EA25381" w14:textId="77777777" w:rsidTr="00191418">
        <w:tc>
          <w:tcPr>
            <w:tcW w:w="6374" w:type="dxa"/>
          </w:tcPr>
          <w:p w14:paraId="58C042F0" w14:textId="77777777" w:rsidR="00F40CDB" w:rsidRPr="00B6063C" w:rsidRDefault="00F40CDB" w:rsidP="00191418">
            <w:pPr>
              <w:spacing w:before="120" w:after="120" w:line="276" w:lineRule="auto"/>
              <w:rPr>
                <w:b/>
                <w:bCs/>
                <w:sz w:val="20"/>
                <w:szCs w:val="20"/>
              </w:rPr>
            </w:pPr>
            <w:r w:rsidRPr="00B6063C">
              <w:rPr>
                <w:sz w:val="20"/>
                <w:szCs w:val="20"/>
              </w:rPr>
              <w:t>2.2. Direct jobs created on infrastructure projects </w:t>
            </w:r>
          </w:p>
        </w:tc>
        <w:tc>
          <w:tcPr>
            <w:tcW w:w="1701" w:type="dxa"/>
          </w:tcPr>
          <w:p w14:paraId="62D4DECE" w14:textId="77777777" w:rsidR="00F40CDB" w:rsidRPr="00B6063C" w:rsidRDefault="00F40CDB" w:rsidP="00191418">
            <w:pPr>
              <w:spacing w:before="120" w:after="120" w:line="276" w:lineRule="auto"/>
              <w:jc w:val="both"/>
              <w:rPr>
                <w:sz w:val="20"/>
                <w:szCs w:val="20"/>
              </w:rPr>
            </w:pPr>
            <w:r w:rsidRPr="00B6063C">
              <w:rPr>
                <w:sz w:val="20"/>
                <w:szCs w:val="20"/>
              </w:rPr>
              <w:t>No milestone</w:t>
            </w:r>
          </w:p>
        </w:tc>
        <w:tc>
          <w:tcPr>
            <w:tcW w:w="1559" w:type="dxa"/>
          </w:tcPr>
          <w:p w14:paraId="1B747B13" w14:textId="77777777" w:rsidR="00F40CDB" w:rsidRPr="00B6063C" w:rsidRDefault="00F40CDB" w:rsidP="00191418">
            <w:pPr>
              <w:spacing w:before="120" w:after="120" w:line="276" w:lineRule="auto"/>
              <w:jc w:val="both"/>
              <w:rPr>
                <w:sz w:val="20"/>
                <w:szCs w:val="20"/>
              </w:rPr>
            </w:pPr>
            <w:r w:rsidRPr="00B6063C">
              <w:rPr>
                <w:sz w:val="20"/>
                <w:szCs w:val="20"/>
              </w:rPr>
              <w:t>0</w:t>
            </w:r>
          </w:p>
        </w:tc>
      </w:tr>
      <w:tr w:rsidR="00F40CDB" w14:paraId="3399B4B5" w14:textId="77777777" w:rsidTr="00191418">
        <w:tc>
          <w:tcPr>
            <w:tcW w:w="6374" w:type="dxa"/>
          </w:tcPr>
          <w:p w14:paraId="146A6045" w14:textId="77777777" w:rsidR="00F40CDB" w:rsidRPr="00B6063C" w:rsidRDefault="00F40CDB" w:rsidP="00191418">
            <w:pPr>
              <w:spacing w:before="120" w:after="120" w:line="276" w:lineRule="auto"/>
              <w:rPr>
                <w:b/>
                <w:bCs/>
                <w:sz w:val="20"/>
                <w:szCs w:val="20"/>
              </w:rPr>
            </w:pPr>
            <w:r w:rsidRPr="00B6063C">
              <w:rPr>
                <w:sz w:val="20"/>
                <w:szCs w:val="20"/>
              </w:rPr>
              <w:t>2.3. Level of installed capacity of clean energy generated as a result of SIP-LA Latam supported interventions </w:t>
            </w:r>
          </w:p>
        </w:tc>
        <w:tc>
          <w:tcPr>
            <w:tcW w:w="1701" w:type="dxa"/>
          </w:tcPr>
          <w:p w14:paraId="4FFBF9D4" w14:textId="77777777" w:rsidR="00F40CDB" w:rsidRPr="00B6063C" w:rsidRDefault="00F40CDB" w:rsidP="00191418">
            <w:pPr>
              <w:spacing w:before="120" w:after="120" w:line="276" w:lineRule="auto"/>
              <w:jc w:val="both"/>
              <w:rPr>
                <w:sz w:val="20"/>
                <w:szCs w:val="20"/>
              </w:rPr>
            </w:pPr>
            <w:r w:rsidRPr="00B6063C">
              <w:rPr>
                <w:sz w:val="20"/>
                <w:szCs w:val="20"/>
              </w:rPr>
              <w:t>No milestone</w:t>
            </w:r>
          </w:p>
        </w:tc>
        <w:tc>
          <w:tcPr>
            <w:tcW w:w="1559" w:type="dxa"/>
          </w:tcPr>
          <w:p w14:paraId="10AC0DCA" w14:textId="77777777" w:rsidR="00F40CDB" w:rsidRPr="00B6063C" w:rsidRDefault="00F40CDB" w:rsidP="00191418">
            <w:pPr>
              <w:spacing w:before="120" w:after="120" w:line="276" w:lineRule="auto"/>
              <w:jc w:val="both"/>
              <w:rPr>
                <w:sz w:val="20"/>
                <w:szCs w:val="20"/>
              </w:rPr>
            </w:pPr>
            <w:r w:rsidRPr="00B6063C">
              <w:rPr>
                <w:sz w:val="20"/>
                <w:szCs w:val="20"/>
              </w:rPr>
              <w:t>0</w:t>
            </w:r>
          </w:p>
        </w:tc>
      </w:tr>
    </w:tbl>
    <w:p w14:paraId="2AB651AE" w14:textId="77777777" w:rsidR="00F40CDB" w:rsidRDefault="00F40CDB" w:rsidP="00F40CDB">
      <w:pPr>
        <w:spacing w:before="120" w:after="120" w:line="276" w:lineRule="auto"/>
        <w:jc w:val="both"/>
        <w:rPr>
          <w:rFonts w:cs="Arial"/>
          <w:b/>
          <w:bCs/>
          <w:sz w:val="22"/>
          <w:szCs w:val="22"/>
          <w:u w:val="single"/>
        </w:rPr>
      </w:pPr>
    </w:p>
    <w:p w14:paraId="2F685674" w14:textId="7C55B6EF" w:rsidR="00F40CDB" w:rsidRPr="00DB424E" w:rsidRDefault="00F40CDB" w:rsidP="00F40CDB">
      <w:pPr>
        <w:spacing w:before="120" w:after="120" w:line="276" w:lineRule="auto"/>
        <w:jc w:val="both"/>
        <w:rPr>
          <w:rFonts w:cs="Arial"/>
          <w:sz w:val="22"/>
          <w:szCs w:val="22"/>
          <w:u w:val="single"/>
        </w:rPr>
      </w:pPr>
      <w:r w:rsidRPr="00DB424E">
        <w:rPr>
          <w:rFonts w:cs="Arial"/>
          <w:b/>
          <w:bCs/>
          <w:sz w:val="22"/>
          <w:szCs w:val="22"/>
          <w:u w:val="single"/>
        </w:rPr>
        <w:t xml:space="preserve">Briefly describe the </w:t>
      </w:r>
      <w:r w:rsidR="00844C3D">
        <w:rPr>
          <w:rFonts w:cs="Arial"/>
          <w:b/>
          <w:bCs/>
          <w:sz w:val="22"/>
          <w:szCs w:val="22"/>
          <w:u w:val="single"/>
        </w:rPr>
        <w:t>Output</w:t>
      </w:r>
      <w:r w:rsidRPr="00DB424E">
        <w:rPr>
          <w:rFonts w:cs="Arial"/>
          <w:b/>
          <w:bCs/>
          <w:sz w:val="22"/>
          <w:szCs w:val="22"/>
          <w:u w:val="single"/>
        </w:rPr>
        <w:t xml:space="preserve"> and provide supporting narrative for the score.</w:t>
      </w:r>
    </w:p>
    <w:p w14:paraId="50C97C9A" w14:textId="6C31A903" w:rsidR="00F40CDB" w:rsidRPr="00697446" w:rsidRDefault="00F40CDB" w:rsidP="00F40CDB">
      <w:pPr>
        <w:spacing w:before="120" w:after="120" w:line="276" w:lineRule="auto"/>
        <w:jc w:val="both"/>
        <w:rPr>
          <w:rFonts w:eastAsiaTheme="minorHAnsi" w:cs="Arial"/>
          <w:b/>
          <w:sz w:val="22"/>
          <w:szCs w:val="22"/>
        </w:rPr>
      </w:pPr>
      <w:r w:rsidRPr="00697446">
        <w:rPr>
          <w:rFonts w:eastAsiaTheme="minorHAnsi" w:cs="Arial"/>
          <w:b/>
          <w:sz w:val="22"/>
          <w:szCs w:val="22"/>
        </w:rPr>
        <w:t xml:space="preserve">Description of the </w:t>
      </w:r>
      <w:r w:rsidR="00844C3D">
        <w:rPr>
          <w:rFonts w:eastAsiaTheme="minorHAnsi" w:cs="Arial"/>
          <w:b/>
          <w:sz w:val="22"/>
          <w:szCs w:val="22"/>
        </w:rPr>
        <w:t>Output</w:t>
      </w:r>
      <w:r w:rsidRPr="00697446">
        <w:rPr>
          <w:rFonts w:eastAsiaTheme="minorHAnsi" w:cs="Arial"/>
          <w:b/>
          <w:sz w:val="22"/>
          <w:szCs w:val="22"/>
        </w:rPr>
        <w:t>:</w:t>
      </w:r>
    </w:p>
    <w:p w14:paraId="5CBDFF54" w14:textId="571ABB10" w:rsidR="00F40CDB" w:rsidRDefault="00F40CDB" w:rsidP="00F40CDB">
      <w:pPr>
        <w:spacing w:before="120" w:after="120" w:line="276" w:lineRule="auto"/>
        <w:jc w:val="both"/>
        <w:rPr>
          <w:rFonts w:cs="Arial"/>
          <w:color w:val="000000"/>
          <w:sz w:val="22"/>
          <w:szCs w:val="22"/>
        </w:rPr>
      </w:pPr>
      <w:r w:rsidRPr="00373026">
        <w:rPr>
          <w:rFonts w:eastAsiaTheme="minorHAnsi" w:cs="Arial"/>
          <w:bCs/>
          <w:sz w:val="22"/>
          <w:szCs w:val="22"/>
        </w:rPr>
        <w:t xml:space="preserve">This </w:t>
      </w:r>
      <w:r w:rsidR="00844C3D">
        <w:rPr>
          <w:rFonts w:eastAsiaTheme="minorHAnsi" w:cs="Arial"/>
          <w:bCs/>
          <w:sz w:val="22"/>
          <w:szCs w:val="22"/>
        </w:rPr>
        <w:t>Output</w:t>
      </w:r>
      <w:r w:rsidRPr="00373026">
        <w:rPr>
          <w:rFonts w:eastAsiaTheme="minorHAnsi" w:cs="Arial"/>
          <w:bCs/>
          <w:sz w:val="22"/>
          <w:szCs w:val="22"/>
        </w:rPr>
        <w:t xml:space="preserve"> relates to the provision of </w:t>
      </w:r>
      <w:r w:rsidR="00844C3D">
        <w:rPr>
          <w:rFonts w:eastAsiaTheme="minorHAnsi" w:cs="Arial"/>
          <w:bCs/>
          <w:sz w:val="22"/>
          <w:szCs w:val="22"/>
        </w:rPr>
        <w:t>blended finance</w:t>
      </w:r>
      <w:r w:rsidRPr="00373026">
        <w:rPr>
          <w:rFonts w:eastAsiaTheme="minorHAnsi" w:cs="Arial"/>
          <w:bCs/>
          <w:sz w:val="22"/>
          <w:szCs w:val="22"/>
        </w:rPr>
        <w:t xml:space="preserve"> for sustainable infrastructure investments. The programme deploys relatively </w:t>
      </w:r>
      <w:r w:rsidRPr="00373026">
        <w:rPr>
          <w:rFonts w:cs="Arial"/>
          <w:color w:val="000000"/>
          <w:sz w:val="22"/>
          <w:szCs w:val="22"/>
        </w:rPr>
        <w:t>small volumes of concessional funding in order to deliver investments in nascent sectors where there is a high-risk perception, challenges to securing commercial lending</w:t>
      </w:r>
      <w:r w:rsidR="00172434">
        <w:rPr>
          <w:rFonts w:cs="Arial"/>
          <w:color w:val="000000"/>
          <w:sz w:val="22"/>
          <w:szCs w:val="22"/>
        </w:rPr>
        <w:t>,</w:t>
      </w:r>
      <w:r w:rsidRPr="00373026">
        <w:rPr>
          <w:rFonts w:cs="Arial"/>
          <w:color w:val="000000"/>
          <w:sz w:val="22"/>
          <w:szCs w:val="22"/>
        </w:rPr>
        <w:t xml:space="preserve"> and where private investors deem the risk adjusted return too low. The funding provided through the programme may take the form of equity, loans, sub-debt, guarantees and other risk mitigation instruments.</w:t>
      </w:r>
      <w:r w:rsidRPr="00060E97">
        <w:rPr>
          <w:rFonts w:cs="Arial"/>
          <w:color w:val="000000"/>
          <w:sz w:val="22"/>
          <w:szCs w:val="22"/>
        </w:rPr>
        <w:t xml:space="preserve"> </w:t>
      </w:r>
      <w:r w:rsidR="00F0365B">
        <w:rPr>
          <w:rFonts w:cs="Arial"/>
          <w:color w:val="000000"/>
          <w:sz w:val="22"/>
          <w:szCs w:val="22"/>
        </w:rPr>
        <w:t xml:space="preserve">SIP-LA’s </w:t>
      </w:r>
      <w:r w:rsidR="00844C3D">
        <w:rPr>
          <w:rFonts w:cs="Arial"/>
          <w:color w:val="000000"/>
          <w:sz w:val="22"/>
          <w:szCs w:val="22"/>
        </w:rPr>
        <w:t>blended finance</w:t>
      </w:r>
      <w:r w:rsidR="00F0365B">
        <w:rPr>
          <w:rFonts w:cs="Arial"/>
          <w:color w:val="000000"/>
          <w:sz w:val="22"/>
          <w:szCs w:val="22"/>
        </w:rPr>
        <w:t xml:space="preserve"> activities are delivered by </w:t>
      </w:r>
      <w:r w:rsidRPr="00373026">
        <w:rPr>
          <w:rFonts w:cs="Arial"/>
          <w:color w:val="000000"/>
          <w:sz w:val="22"/>
          <w:szCs w:val="22"/>
        </w:rPr>
        <w:t>IDB Invest</w:t>
      </w:r>
      <w:r w:rsidR="00F0365B">
        <w:rPr>
          <w:rFonts w:cs="Arial"/>
          <w:color w:val="000000"/>
          <w:sz w:val="22"/>
          <w:szCs w:val="22"/>
        </w:rPr>
        <w:t>, who</w:t>
      </w:r>
      <w:r w:rsidRPr="00373026">
        <w:rPr>
          <w:rFonts w:cs="Arial"/>
          <w:color w:val="000000"/>
          <w:sz w:val="22"/>
          <w:szCs w:val="22"/>
        </w:rPr>
        <w:t xml:space="preserve"> work with project developers to create investment worthy projects. This involves screening against IDB Invest and SIP</w:t>
      </w:r>
      <w:r>
        <w:rPr>
          <w:rFonts w:cs="Arial"/>
          <w:color w:val="000000"/>
          <w:sz w:val="22"/>
          <w:szCs w:val="22"/>
        </w:rPr>
        <w:t>-LA</w:t>
      </w:r>
      <w:r w:rsidRPr="00373026">
        <w:rPr>
          <w:rFonts w:cs="Arial"/>
          <w:color w:val="000000"/>
          <w:sz w:val="22"/>
          <w:szCs w:val="22"/>
        </w:rPr>
        <w:t xml:space="preserve"> eligibility criteria (including principles for additionality and minimum concessionality), conducting due-diligence work and designing a viable financial structure. </w:t>
      </w:r>
    </w:p>
    <w:p w14:paraId="7FF91C1E" w14:textId="77777777" w:rsidR="00F40CDB" w:rsidRPr="004A564D" w:rsidRDefault="00F40CDB" w:rsidP="00F40CDB">
      <w:pPr>
        <w:spacing w:before="120" w:after="120" w:line="276" w:lineRule="auto"/>
        <w:jc w:val="both"/>
        <w:rPr>
          <w:rFonts w:cs="Arial"/>
          <w:b/>
          <w:bCs/>
          <w:color w:val="000000"/>
          <w:sz w:val="22"/>
          <w:szCs w:val="22"/>
        </w:rPr>
      </w:pPr>
      <w:r w:rsidRPr="004A564D">
        <w:rPr>
          <w:rFonts w:cs="Arial"/>
          <w:b/>
          <w:bCs/>
          <w:color w:val="000000"/>
          <w:sz w:val="22"/>
          <w:szCs w:val="22"/>
        </w:rPr>
        <w:t>Supporting narrative for the score:</w:t>
      </w:r>
    </w:p>
    <w:p w14:paraId="12B8AC9A" w14:textId="0515DE69" w:rsidR="00F40CDB" w:rsidRDefault="00F40CDB" w:rsidP="00F40CDB">
      <w:pPr>
        <w:spacing w:before="120" w:after="120" w:line="276" w:lineRule="auto"/>
        <w:jc w:val="both"/>
        <w:rPr>
          <w:rFonts w:cs="Arial"/>
          <w:bCs/>
          <w:iCs/>
          <w:sz w:val="22"/>
          <w:szCs w:val="22"/>
          <w:lang w:eastAsia="en-GB"/>
        </w:rPr>
      </w:pPr>
      <w:r w:rsidRPr="003B2AAA">
        <w:rPr>
          <w:rFonts w:cs="Arial"/>
          <w:color w:val="000000"/>
          <w:sz w:val="22"/>
          <w:szCs w:val="22"/>
        </w:rPr>
        <w:t>SIP-LA does not have any</w:t>
      </w:r>
      <w:r w:rsidR="000B1B12">
        <w:rPr>
          <w:rFonts w:cs="Arial"/>
          <w:color w:val="000000"/>
          <w:sz w:val="22"/>
          <w:szCs w:val="22"/>
        </w:rPr>
        <w:t xml:space="preserve"> 2019</w:t>
      </w:r>
      <w:r w:rsidRPr="003B2AAA">
        <w:rPr>
          <w:rFonts w:cs="Arial"/>
          <w:color w:val="000000"/>
          <w:sz w:val="22"/>
          <w:szCs w:val="22"/>
        </w:rPr>
        <w:t xml:space="preserve"> milestones for </w:t>
      </w:r>
      <w:r w:rsidR="00844C3D">
        <w:rPr>
          <w:rFonts w:cs="Arial"/>
          <w:color w:val="000000"/>
          <w:sz w:val="22"/>
          <w:szCs w:val="22"/>
        </w:rPr>
        <w:t>Output</w:t>
      </w:r>
      <w:r w:rsidR="000B1B12">
        <w:rPr>
          <w:rFonts w:cs="Arial"/>
          <w:color w:val="000000"/>
          <w:sz w:val="22"/>
          <w:szCs w:val="22"/>
        </w:rPr>
        <w:t xml:space="preserve"> 2. This is</w:t>
      </w:r>
      <w:r w:rsidRPr="003B2AAA">
        <w:rPr>
          <w:rFonts w:cs="Arial"/>
          <w:color w:val="000000"/>
          <w:sz w:val="22"/>
          <w:szCs w:val="22"/>
        </w:rPr>
        <w:t xml:space="preserve"> because </w:t>
      </w:r>
      <w:r w:rsidRPr="003B2AAA">
        <w:rPr>
          <w:sz w:val="22"/>
          <w:szCs w:val="22"/>
        </w:rPr>
        <w:t>the milestones are being reprofiled</w:t>
      </w:r>
      <w:r w:rsidR="00B60A7A">
        <w:rPr>
          <w:sz w:val="22"/>
          <w:szCs w:val="22"/>
        </w:rPr>
        <w:t xml:space="preserve"> as per the recommendations in the 2018 SIP-LA Annual Review</w:t>
      </w:r>
      <w:r w:rsidRPr="003B2AAA">
        <w:rPr>
          <w:sz w:val="22"/>
          <w:szCs w:val="22"/>
        </w:rPr>
        <w:t xml:space="preserve">. </w:t>
      </w:r>
      <w:r w:rsidR="00645A6D">
        <w:rPr>
          <w:sz w:val="22"/>
          <w:szCs w:val="22"/>
        </w:rPr>
        <w:t>SIP-LA</w:t>
      </w:r>
      <w:r w:rsidRPr="003B2AAA">
        <w:rPr>
          <w:sz w:val="22"/>
          <w:szCs w:val="22"/>
        </w:rPr>
        <w:t xml:space="preserve"> 2018 Annual Review recommended that BEIS and IDB review the </w:t>
      </w:r>
      <w:r w:rsidR="00844C3D">
        <w:rPr>
          <w:sz w:val="22"/>
          <w:szCs w:val="22"/>
        </w:rPr>
        <w:t>log frame</w:t>
      </w:r>
      <w:r w:rsidRPr="003B2AAA">
        <w:rPr>
          <w:sz w:val="22"/>
          <w:szCs w:val="22"/>
        </w:rPr>
        <w:t xml:space="preserve"> and reprofile the </w:t>
      </w:r>
      <w:r w:rsidR="00844C3D">
        <w:rPr>
          <w:sz w:val="22"/>
          <w:szCs w:val="22"/>
        </w:rPr>
        <w:t>Output</w:t>
      </w:r>
      <w:r w:rsidRPr="003B2AAA">
        <w:rPr>
          <w:sz w:val="22"/>
          <w:szCs w:val="22"/>
        </w:rPr>
        <w:t xml:space="preserve"> and </w:t>
      </w:r>
      <w:r w:rsidR="00C070D0">
        <w:rPr>
          <w:sz w:val="22"/>
          <w:szCs w:val="22"/>
        </w:rPr>
        <w:t>O</w:t>
      </w:r>
      <w:r w:rsidRPr="003B2AAA">
        <w:rPr>
          <w:sz w:val="22"/>
          <w:szCs w:val="22"/>
        </w:rPr>
        <w:t>utcome</w:t>
      </w:r>
      <w:r w:rsidR="00C070D0">
        <w:rPr>
          <w:sz w:val="22"/>
          <w:szCs w:val="22"/>
        </w:rPr>
        <w:t xml:space="preserve"> statements and</w:t>
      </w:r>
      <w:r w:rsidRPr="003B2AAA">
        <w:rPr>
          <w:sz w:val="22"/>
          <w:szCs w:val="22"/>
        </w:rPr>
        <w:t xml:space="preserve"> milestones that assess </w:t>
      </w:r>
      <w:r w:rsidR="00844C3D">
        <w:rPr>
          <w:sz w:val="22"/>
          <w:szCs w:val="22"/>
        </w:rPr>
        <w:t>blended finance</w:t>
      </w:r>
      <w:r w:rsidRPr="003B2AAA">
        <w:rPr>
          <w:sz w:val="22"/>
          <w:szCs w:val="22"/>
        </w:rPr>
        <w:t xml:space="preserve"> Investments (</w:t>
      </w:r>
      <w:r w:rsidR="00844C3D">
        <w:rPr>
          <w:sz w:val="22"/>
          <w:szCs w:val="22"/>
        </w:rPr>
        <w:t>Output</w:t>
      </w:r>
      <w:r w:rsidRPr="003B2AAA">
        <w:rPr>
          <w:sz w:val="22"/>
          <w:szCs w:val="22"/>
        </w:rPr>
        <w:t xml:space="preserve"> 2). This was because the </w:t>
      </w:r>
      <w:r w:rsidRPr="003B2AAA">
        <w:rPr>
          <w:rFonts w:cs="Arial"/>
          <w:color w:val="000000"/>
          <w:sz w:val="22"/>
          <w:szCs w:val="22"/>
        </w:rPr>
        <w:t xml:space="preserve">BEIS and IDB teams agreed that the proposed milestones were based on inaccurate projections of time taken to build a </w:t>
      </w:r>
      <w:r w:rsidR="00844C3D">
        <w:rPr>
          <w:rFonts w:cs="Arial"/>
          <w:color w:val="000000"/>
          <w:sz w:val="22"/>
          <w:szCs w:val="22"/>
        </w:rPr>
        <w:t>blended finance</w:t>
      </w:r>
      <w:r w:rsidRPr="003B2AAA">
        <w:rPr>
          <w:rFonts w:cs="Arial"/>
          <w:color w:val="000000"/>
          <w:sz w:val="22"/>
          <w:szCs w:val="22"/>
        </w:rPr>
        <w:t xml:space="preserve"> pipeline and therefore expected results would not be achieved as estimated in the Business Case. </w:t>
      </w:r>
      <w:r w:rsidRPr="003B2AAA">
        <w:rPr>
          <w:rFonts w:cs="Arial"/>
          <w:sz w:val="22"/>
          <w:szCs w:val="22"/>
        </w:rPr>
        <w:t xml:space="preserve">The pipeline delays are reflective of </w:t>
      </w:r>
      <w:r w:rsidRPr="003B2AAA">
        <w:rPr>
          <w:rFonts w:eastAsiaTheme="minorHAnsi" w:cs="Arial"/>
          <w:bCs/>
          <w:sz w:val="22"/>
          <w:szCs w:val="22"/>
        </w:rPr>
        <w:t xml:space="preserve">the time-lag between project </w:t>
      </w:r>
      <w:r w:rsidRPr="003B2AAA">
        <w:rPr>
          <w:rFonts w:cs="Arial"/>
          <w:bCs/>
          <w:iCs/>
          <w:sz w:val="22"/>
          <w:szCs w:val="22"/>
          <w:lang w:eastAsia="en-GB"/>
        </w:rPr>
        <w:t xml:space="preserve">origination, due diligence, construction, and operationalisation. </w:t>
      </w:r>
      <w:r>
        <w:rPr>
          <w:rFonts w:cs="Arial"/>
          <w:bCs/>
          <w:iCs/>
          <w:sz w:val="22"/>
          <w:szCs w:val="22"/>
          <w:lang w:eastAsia="en-GB"/>
        </w:rPr>
        <w:t xml:space="preserve">IDB and BEIS are working to complete this reprofile in 2020. </w:t>
      </w:r>
    </w:p>
    <w:p w14:paraId="51C2539B" w14:textId="06ABD3F4" w:rsidR="00F40CDB" w:rsidRPr="003B2AAA" w:rsidRDefault="00F40CDB" w:rsidP="00F40CDB">
      <w:pPr>
        <w:spacing w:before="120" w:after="120" w:line="276" w:lineRule="auto"/>
        <w:jc w:val="both"/>
        <w:rPr>
          <w:rFonts w:cs="Arial"/>
          <w:bCs/>
          <w:iCs/>
          <w:sz w:val="22"/>
          <w:szCs w:val="22"/>
        </w:rPr>
      </w:pPr>
      <w:r w:rsidRPr="003B2AAA">
        <w:rPr>
          <w:rFonts w:cs="Arial"/>
          <w:bCs/>
          <w:iCs/>
          <w:sz w:val="22"/>
          <w:szCs w:val="22"/>
          <w:lang w:eastAsia="en-GB"/>
        </w:rPr>
        <w:t xml:space="preserve">Although there are no milestones to assess against, </w:t>
      </w:r>
      <w:r w:rsidRPr="003B2AAA">
        <w:rPr>
          <w:sz w:val="22"/>
          <w:szCs w:val="22"/>
        </w:rPr>
        <w:t xml:space="preserve">progress on </w:t>
      </w:r>
      <w:r w:rsidR="00844C3D">
        <w:rPr>
          <w:sz w:val="22"/>
          <w:szCs w:val="22"/>
        </w:rPr>
        <w:t>Output</w:t>
      </w:r>
      <w:r w:rsidRPr="003B2AAA">
        <w:rPr>
          <w:sz w:val="22"/>
          <w:szCs w:val="22"/>
        </w:rPr>
        <w:t xml:space="preserve"> 2 has been slow and </w:t>
      </w:r>
      <w:r w:rsidRPr="003B2AAA">
        <w:rPr>
          <w:bCs/>
          <w:sz w:val="22"/>
          <w:szCs w:val="22"/>
        </w:rPr>
        <w:t xml:space="preserve">the programme has not yet made any capital investments. This is primarily attributable to two factors. </w:t>
      </w:r>
    </w:p>
    <w:p w14:paraId="270E3BF9" w14:textId="504271B4" w:rsidR="00F40CDB" w:rsidRPr="000851B5" w:rsidRDefault="00F40CDB" w:rsidP="00F40CDB">
      <w:pPr>
        <w:pStyle w:val="ListParagraph"/>
        <w:numPr>
          <w:ilvl w:val="0"/>
          <w:numId w:val="35"/>
        </w:numPr>
        <w:spacing w:before="120" w:after="120" w:line="276" w:lineRule="auto"/>
        <w:jc w:val="both"/>
        <w:rPr>
          <w:rFonts w:cs="Arial"/>
          <w:bCs/>
          <w:iCs/>
          <w:sz w:val="22"/>
          <w:szCs w:val="22"/>
        </w:rPr>
      </w:pPr>
      <w:r>
        <w:rPr>
          <w:bCs/>
          <w:sz w:val="22"/>
          <w:szCs w:val="22"/>
        </w:rPr>
        <w:t>In</w:t>
      </w:r>
      <w:r w:rsidRPr="000851B5">
        <w:rPr>
          <w:bCs/>
          <w:sz w:val="22"/>
          <w:szCs w:val="22"/>
        </w:rPr>
        <w:t xml:space="preserve"> 2019</w:t>
      </w:r>
      <w:r w:rsidR="007C1E2F">
        <w:rPr>
          <w:bCs/>
          <w:sz w:val="22"/>
          <w:szCs w:val="22"/>
        </w:rPr>
        <w:t>,</w:t>
      </w:r>
      <w:r w:rsidRPr="000851B5">
        <w:rPr>
          <w:bCs/>
          <w:sz w:val="22"/>
          <w:szCs w:val="22"/>
        </w:rPr>
        <w:t xml:space="preserve"> the political context and change in administrations in Mexico, Peru and Brazil significantly impacted the ability for </w:t>
      </w:r>
      <w:r w:rsidR="00D12787">
        <w:rPr>
          <w:bCs/>
          <w:sz w:val="22"/>
          <w:szCs w:val="22"/>
        </w:rPr>
        <w:t>IDB</w:t>
      </w:r>
      <w:r w:rsidRPr="000851B5">
        <w:rPr>
          <w:bCs/>
          <w:sz w:val="22"/>
          <w:szCs w:val="22"/>
        </w:rPr>
        <w:t xml:space="preserve"> to make investments with SIP-LA funds. In Peru, chang</w:t>
      </w:r>
      <w:r>
        <w:rPr>
          <w:bCs/>
          <w:sz w:val="22"/>
          <w:szCs w:val="22"/>
        </w:rPr>
        <w:t>ing</w:t>
      </w:r>
      <w:r w:rsidRPr="000851B5">
        <w:rPr>
          <w:bCs/>
          <w:sz w:val="22"/>
          <w:szCs w:val="22"/>
        </w:rPr>
        <w:t xml:space="preserve"> political priorities and the </w:t>
      </w:r>
      <w:r>
        <w:rPr>
          <w:bCs/>
          <w:sz w:val="22"/>
          <w:szCs w:val="22"/>
        </w:rPr>
        <w:t xml:space="preserve">consequential </w:t>
      </w:r>
      <w:r w:rsidRPr="000851B5">
        <w:rPr>
          <w:bCs/>
          <w:sz w:val="22"/>
          <w:szCs w:val="22"/>
        </w:rPr>
        <w:t xml:space="preserve">impact on key markets affected </w:t>
      </w:r>
      <w:r w:rsidR="00D12787">
        <w:rPr>
          <w:bCs/>
          <w:sz w:val="22"/>
          <w:szCs w:val="22"/>
        </w:rPr>
        <w:t>IDB</w:t>
      </w:r>
      <w:r w:rsidRPr="000851B5">
        <w:rPr>
          <w:bCs/>
          <w:sz w:val="22"/>
          <w:szCs w:val="22"/>
        </w:rPr>
        <w:t xml:space="preserve">’s ability to identify suitable investments and develop a pipeline. Policy and regulatory changes in relevant sectors in Brazil and Mexico contributed to the withdrawal and postponement of SIP funds from identified investments for 2019. </w:t>
      </w:r>
    </w:p>
    <w:p w14:paraId="35691073" w14:textId="554BD174" w:rsidR="00D64BBA" w:rsidRPr="000851B5" w:rsidRDefault="00D64BBA" w:rsidP="00D64BBA">
      <w:pPr>
        <w:pStyle w:val="ListParagraph"/>
        <w:numPr>
          <w:ilvl w:val="0"/>
          <w:numId w:val="35"/>
        </w:numPr>
        <w:spacing w:before="120" w:after="120" w:line="276" w:lineRule="auto"/>
        <w:jc w:val="both"/>
        <w:rPr>
          <w:rFonts w:cs="Arial"/>
          <w:color w:val="000000"/>
          <w:sz w:val="22"/>
          <w:szCs w:val="22"/>
        </w:rPr>
      </w:pPr>
      <w:r w:rsidRPr="000851B5">
        <w:rPr>
          <w:bCs/>
          <w:sz w:val="22"/>
          <w:szCs w:val="22"/>
        </w:rPr>
        <w:t xml:space="preserve">Second, latent delays in developing a </w:t>
      </w:r>
      <w:r w:rsidR="00844C3D">
        <w:rPr>
          <w:bCs/>
          <w:sz w:val="22"/>
          <w:szCs w:val="22"/>
        </w:rPr>
        <w:t>blended finance</w:t>
      </w:r>
      <w:r w:rsidRPr="000851B5">
        <w:rPr>
          <w:bCs/>
          <w:sz w:val="22"/>
          <w:szCs w:val="22"/>
        </w:rPr>
        <w:t xml:space="preserve"> portfolio in </w:t>
      </w:r>
      <w:r>
        <w:rPr>
          <w:bCs/>
          <w:sz w:val="22"/>
          <w:szCs w:val="22"/>
        </w:rPr>
        <w:t>the first year</w:t>
      </w:r>
      <w:r w:rsidRPr="000851B5">
        <w:rPr>
          <w:bCs/>
          <w:sz w:val="22"/>
          <w:szCs w:val="22"/>
        </w:rPr>
        <w:t xml:space="preserve"> of operation</w:t>
      </w:r>
      <w:r>
        <w:rPr>
          <w:bCs/>
          <w:sz w:val="22"/>
          <w:szCs w:val="22"/>
        </w:rPr>
        <w:t xml:space="preserve"> (2018)</w:t>
      </w:r>
      <w:r w:rsidRPr="000851B5">
        <w:rPr>
          <w:bCs/>
          <w:sz w:val="22"/>
          <w:szCs w:val="22"/>
        </w:rPr>
        <w:t xml:space="preserve"> impacted the identification of suitable investments across the region 2019. As part of this, IDB therefore did not have sufficient time to develop a diverse portfolio capable of responding to the changing political contexts</w:t>
      </w:r>
      <w:r>
        <w:rPr>
          <w:bCs/>
          <w:sz w:val="22"/>
          <w:szCs w:val="22"/>
        </w:rPr>
        <w:t>.</w:t>
      </w:r>
    </w:p>
    <w:p w14:paraId="6D3137CE" w14:textId="73C38500" w:rsidR="00592A1E" w:rsidRPr="00592A1E" w:rsidRDefault="00592A1E" w:rsidP="00592A1E">
      <w:pPr>
        <w:spacing w:before="120" w:after="120" w:line="276" w:lineRule="auto"/>
        <w:jc w:val="both"/>
        <w:rPr>
          <w:rFonts w:cs="Arial"/>
          <w:color w:val="000000"/>
          <w:sz w:val="22"/>
          <w:szCs w:val="22"/>
        </w:rPr>
      </w:pPr>
      <w:r w:rsidRPr="00592A1E">
        <w:rPr>
          <w:rFonts w:cs="Arial"/>
          <w:color w:val="000000"/>
          <w:sz w:val="22"/>
          <w:szCs w:val="22"/>
        </w:rPr>
        <w:t>BEIS and IDB have taken a number of steps within their control to improve the project or</w:t>
      </w:r>
      <w:r w:rsidR="00086B44">
        <w:rPr>
          <w:rFonts w:cs="Arial"/>
          <w:color w:val="000000"/>
          <w:sz w:val="22"/>
          <w:szCs w:val="22"/>
        </w:rPr>
        <w:t>i</w:t>
      </w:r>
      <w:r w:rsidRPr="00592A1E">
        <w:rPr>
          <w:rFonts w:cs="Arial"/>
          <w:color w:val="000000"/>
          <w:sz w:val="22"/>
          <w:szCs w:val="22"/>
        </w:rPr>
        <w:t xml:space="preserve">gination. The improvements to governance arrangements and the development of comprehensive programming strategies </w:t>
      </w:r>
      <w:r w:rsidRPr="00592A1E">
        <w:rPr>
          <w:rFonts w:cs="Arial"/>
          <w:color w:val="000000"/>
          <w:sz w:val="22"/>
          <w:szCs w:val="22"/>
        </w:rPr>
        <w:lastRenderedPageBreak/>
        <w:t xml:space="preserve">for each country are aimed to ensure that SIP-LA investments are aligned with a strategic vision that will deliver SIP-LA’s transformational objectives in all four partner countries. In addition, IDB has taken a market-led approach by looking to support investments which have been made feasible through the programme’s </w:t>
      </w:r>
      <w:r w:rsidR="008C77B2">
        <w:rPr>
          <w:rFonts w:cs="Arial"/>
          <w:color w:val="000000"/>
          <w:sz w:val="22"/>
          <w:szCs w:val="22"/>
        </w:rPr>
        <w:t>technical assistance</w:t>
      </w:r>
      <w:r w:rsidRPr="00592A1E">
        <w:rPr>
          <w:rFonts w:cs="Arial"/>
          <w:color w:val="000000"/>
          <w:sz w:val="22"/>
          <w:szCs w:val="22"/>
        </w:rPr>
        <w:t xml:space="preserve"> activities. </w:t>
      </w:r>
    </w:p>
    <w:p w14:paraId="0D6823C9" w14:textId="3C57A84A" w:rsidR="00F40CDB" w:rsidRPr="003B2AAA" w:rsidRDefault="00F40CDB" w:rsidP="00F40CDB">
      <w:pPr>
        <w:spacing w:before="120" w:after="120" w:line="276" w:lineRule="auto"/>
        <w:jc w:val="both"/>
        <w:rPr>
          <w:rFonts w:cs="Arial"/>
          <w:color w:val="000000"/>
          <w:sz w:val="22"/>
          <w:szCs w:val="22"/>
        </w:rPr>
      </w:pPr>
      <w:r w:rsidRPr="003B2AAA">
        <w:rPr>
          <w:bCs/>
          <w:sz w:val="22"/>
          <w:szCs w:val="22"/>
        </w:rPr>
        <w:t xml:space="preserve">Because of </w:t>
      </w:r>
      <w:r w:rsidR="007C1E2F">
        <w:rPr>
          <w:bCs/>
          <w:sz w:val="22"/>
          <w:szCs w:val="22"/>
        </w:rPr>
        <w:t xml:space="preserve">these </w:t>
      </w:r>
      <w:r w:rsidRPr="003B2AAA">
        <w:rPr>
          <w:bCs/>
          <w:sz w:val="22"/>
          <w:szCs w:val="22"/>
        </w:rPr>
        <w:t>steps taken</w:t>
      </w:r>
      <w:r w:rsidR="007C1E2F">
        <w:rPr>
          <w:bCs/>
          <w:sz w:val="22"/>
          <w:szCs w:val="22"/>
        </w:rPr>
        <w:t>,</w:t>
      </w:r>
      <w:r w:rsidRPr="003B2AAA">
        <w:rPr>
          <w:bCs/>
          <w:sz w:val="22"/>
          <w:szCs w:val="22"/>
        </w:rPr>
        <w:t xml:space="preserve"> </w:t>
      </w:r>
      <w:r w:rsidR="00D12787">
        <w:rPr>
          <w:bCs/>
          <w:sz w:val="22"/>
          <w:szCs w:val="22"/>
        </w:rPr>
        <w:t>IDB</w:t>
      </w:r>
      <w:r w:rsidRPr="003B2AAA">
        <w:rPr>
          <w:bCs/>
          <w:sz w:val="22"/>
          <w:szCs w:val="22"/>
        </w:rPr>
        <w:t xml:space="preserve"> has now established a </w:t>
      </w:r>
      <w:r w:rsidR="00844C3D">
        <w:rPr>
          <w:bCs/>
          <w:sz w:val="22"/>
          <w:szCs w:val="22"/>
        </w:rPr>
        <w:t>blended finance</w:t>
      </w:r>
      <w:r w:rsidRPr="003B2AAA">
        <w:rPr>
          <w:bCs/>
          <w:sz w:val="22"/>
          <w:szCs w:val="22"/>
        </w:rPr>
        <w:t xml:space="preserve"> pipeline and</w:t>
      </w:r>
      <w:r w:rsidR="007C1E2F">
        <w:rPr>
          <w:bCs/>
          <w:sz w:val="22"/>
          <w:szCs w:val="22"/>
        </w:rPr>
        <w:t>,</w:t>
      </w:r>
      <w:r w:rsidRPr="003B2AAA">
        <w:rPr>
          <w:bCs/>
          <w:sz w:val="22"/>
          <w:szCs w:val="22"/>
        </w:rPr>
        <w:t xml:space="preserve"> as a result</w:t>
      </w:r>
      <w:r w:rsidR="00621730">
        <w:rPr>
          <w:bCs/>
          <w:sz w:val="22"/>
          <w:szCs w:val="22"/>
        </w:rPr>
        <w:t xml:space="preserve">, </w:t>
      </w:r>
      <w:r w:rsidR="00645A6D">
        <w:rPr>
          <w:bCs/>
          <w:sz w:val="22"/>
          <w:szCs w:val="22"/>
        </w:rPr>
        <w:t>‘no-objection’</w:t>
      </w:r>
      <w:r w:rsidR="00621730">
        <w:rPr>
          <w:bCs/>
          <w:sz w:val="22"/>
          <w:szCs w:val="22"/>
        </w:rPr>
        <w:t xml:space="preserve"> from BEIS has been provided for</w:t>
      </w:r>
      <w:r w:rsidRPr="003B2AAA">
        <w:rPr>
          <w:bCs/>
          <w:sz w:val="22"/>
          <w:szCs w:val="22"/>
        </w:rPr>
        <w:t xml:space="preserve"> two investments so far in 2020.</w:t>
      </w:r>
      <w:r w:rsidR="00372A6F">
        <w:rPr>
          <w:bCs/>
          <w:sz w:val="22"/>
          <w:szCs w:val="22"/>
        </w:rPr>
        <w:t xml:space="preserve"> </w:t>
      </w:r>
    </w:p>
    <w:p w14:paraId="67E22E5A" w14:textId="7AB4ED7D" w:rsidR="00086B44" w:rsidRPr="003B2AAA" w:rsidRDefault="00086B44" w:rsidP="00086B44">
      <w:pPr>
        <w:spacing w:before="120" w:after="120" w:line="276" w:lineRule="auto"/>
        <w:jc w:val="both"/>
        <w:rPr>
          <w:rFonts w:ascii="Calibri" w:hAnsi="Calibri"/>
          <w:sz w:val="22"/>
          <w:szCs w:val="22"/>
        </w:rPr>
      </w:pPr>
      <w:r w:rsidRPr="00086B44">
        <w:rPr>
          <w:bCs/>
          <w:sz w:val="22"/>
          <w:szCs w:val="22"/>
        </w:rPr>
        <w:t xml:space="preserve">Despite progress and the improvements that have been made, there are concerns that delays may have affected the lifetime results of the programme. IDB and BEIS are working to reprofile the </w:t>
      </w:r>
      <w:r w:rsidRPr="00086B44">
        <w:rPr>
          <w:rFonts w:cs="Arial"/>
          <w:color w:val="000000"/>
          <w:sz w:val="22"/>
          <w:szCs w:val="22"/>
        </w:rPr>
        <w:t xml:space="preserve">milestones for </w:t>
      </w:r>
      <w:r w:rsidR="00844C3D">
        <w:rPr>
          <w:rFonts w:cs="Arial"/>
          <w:color w:val="000000"/>
          <w:sz w:val="22"/>
          <w:szCs w:val="22"/>
        </w:rPr>
        <w:t>blended finance</w:t>
      </w:r>
      <w:r w:rsidRPr="00086B44">
        <w:rPr>
          <w:rFonts w:cs="Arial"/>
          <w:color w:val="000000"/>
          <w:sz w:val="22"/>
          <w:szCs w:val="22"/>
        </w:rPr>
        <w:t xml:space="preserve"> to reflect the time taken for pipeline development. The teams will consider whether the achievement of outcome and </w:t>
      </w:r>
      <w:r w:rsidR="00844C3D">
        <w:rPr>
          <w:rFonts w:cs="Arial"/>
          <w:color w:val="000000"/>
          <w:sz w:val="22"/>
          <w:szCs w:val="22"/>
        </w:rPr>
        <w:t>output</w:t>
      </w:r>
      <w:r w:rsidRPr="00086B44">
        <w:rPr>
          <w:rFonts w:cs="Arial"/>
          <w:color w:val="000000"/>
          <w:sz w:val="22"/>
          <w:szCs w:val="22"/>
        </w:rPr>
        <w:t xml:space="preserve"> 2 milestones should be extended beyond the original lifetime of the programme (November 2022).</w:t>
      </w:r>
      <w:r w:rsidRPr="00086B44">
        <w:rPr>
          <w:bCs/>
          <w:sz w:val="22"/>
          <w:szCs w:val="22"/>
        </w:rPr>
        <w:t xml:space="preserve"> Moreover, as discussed in relation to </w:t>
      </w:r>
      <w:r w:rsidR="008C77B2">
        <w:rPr>
          <w:bCs/>
          <w:sz w:val="22"/>
          <w:szCs w:val="22"/>
        </w:rPr>
        <w:t>o</w:t>
      </w:r>
      <w:r w:rsidR="00844C3D">
        <w:rPr>
          <w:bCs/>
          <w:sz w:val="22"/>
          <w:szCs w:val="22"/>
        </w:rPr>
        <w:t>utput</w:t>
      </w:r>
      <w:r w:rsidRPr="00086B44">
        <w:rPr>
          <w:bCs/>
          <w:sz w:val="22"/>
          <w:szCs w:val="22"/>
        </w:rPr>
        <w:t xml:space="preserve"> 1, a risk was identified that there was not adequate visibility of how SIP-LA would deliver of a holistic portfolio of complementary </w:t>
      </w:r>
      <w:r w:rsidR="008C77B2">
        <w:rPr>
          <w:bCs/>
          <w:sz w:val="22"/>
          <w:szCs w:val="22"/>
        </w:rPr>
        <w:t>technical assistance</w:t>
      </w:r>
      <w:r w:rsidRPr="00086B44">
        <w:rPr>
          <w:bCs/>
          <w:sz w:val="22"/>
          <w:szCs w:val="22"/>
        </w:rPr>
        <w:t xml:space="preserve"> and </w:t>
      </w:r>
      <w:r w:rsidR="00844C3D">
        <w:rPr>
          <w:bCs/>
          <w:sz w:val="22"/>
          <w:szCs w:val="22"/>
        </w:rPr>
        <w:t>blended finance</w:t>
      </w:r>
      <w:r w:rsidRPr="00086B44">
        <w:rPr>
          <w:bCs/>
          <w:sz w:val="22"/>
          <w:szCs w:val="22"/>
        </w:rPr>
        <w:t xml:space="preserve"> interventions across the four partner countries. Currently </w:t>
      </w:r>
      <w:r w:rsidR="00D12787">
        <w:rPr>
          <w:bCs/>
          <w:sz w:val="22"/>
          <w:szCs w:val="22"/>
        </w:rPr>
        <w:t>IDB</w:t>
      </w:r>
      <w:r w:rsidRPr="00086B44">
        <w:rPr>
          <w:bCs/>
          <w:sz w:val="22"/>
          <w:szCs w:val="22"/>
        </w:rPr>
        <w:t xml:space="preserve"> and BEIS are working on the development of </w:t>
      </w:r>
      <w:r w:rsidR="008C77B2">
        <w:rPr>
          <w:bCs/>
          <w:sz w:val="22"/>
          <w:szCs w:val="22"/>
        </w:rPr>
        <w:t>Country Frameworks</w:t>
      </w:r>
      <w:r w:rsidR="007C1E2F">
        <w:rPr>
          <w:bCs/>
          <w:sz w:val="22"/>
          <w:szCs w:val="22"/>
        </w:rPr>
        <w:t>,</w:t>
      </w:r>
      <w:r w:rsidRPr="00086B44">
        <w:rPr>
          <w:bCs/>
          <w:sz w:val="22"/>
          <w:szCs w:val="22"/>
        </w:rPr>
        <w:t xml:space="preserve"> which will articulate an overarching strategy for achieving transformational aims.</w:t>
      </w:r>
    </w:p>
    <w:p w14:paraId="68CCD695" w14:textId="70A34D21" w:rsidR="00F40CDB" w:rsidRPr="00B84367" w:rsidRDefault="00F40CDB" w:rsidP="00F40CDB">
      <w:pPr>
        <w:spacing w:before="120" w:after="120" w:line="276" w:lineRule="auto"/>
        <w:jc w:val="both"/>
        <w:rPr>
          <w:rFonts w:ascii="Calibri" w:hAnsi="Calibri"/>
          <w:sz w:val="22"/>
          <w:szCs w:val="22"/>
          <w:lang w:eastAsia="en-GB"/>
        </w:rPr>
      </w:pPr>
      <w:r w:rsidRPr="00B84367">
        <w:rPr>
          <w:rFonts w:cs="Arial"/>
          <w:b/>
          <w:bCs/>
          <w:sz w:val="22"/>
          <w:szCs w:val="22"/>
        </w:rPr>
        <w:t>Information not captured in outcome indicators</w:t>
      </w:r>
    </w:p>
    <w:p w14:paraId="4DA0C7AA" w14:textId="761ADAF3" w:rsidR="00F40CDB" w:rsidRDefault="006A55F6" w:rsidP="00F40CDB">
      <w:pPr>
        <w:snapToGrid w:val="0"/>
        <w:spacing w:before="120" w:after="120" w:line="276" w:lineRule="auto"/>
        <w:jc w:val="both"/>
        <w:rPr>
          <w:rFonts w:cs="Arial"/>
          <w:color w:val="000000"/>
          <w:sz w:val="22"/>
          <w:szCs w:val="22"/>
        </w:rPr>
      </w:pPr>
      <w:r>
        <w:rPr>
          <w:rFonts w:cs="Arial"/>
          <w:color w:val="000000"/>
          <w:sz w:val="22"/>
          <w:szCs w:val="22"/>
        </w:rPr>
        <w:t xml:space="preserve">SIP-LA has made substantial progress in developing </w:t>
      </w:r>
      <w:r w:rsidR="00B72A44">
        <w:rPr>
          <w:rFonts w:cs="Arial"/>
          <w:color w:val="000000"/>
          <w:sz w:val="22"/>
          <w:szCs w:val="22"/>
        </w:rPr>
        <w:t>its</w:t>
      </w:r>
      <w:r>
        <w:rPr>
          <w:rFonts w:cs="Arial"/>
          <w:color w:val="000000"/>
          <w:sz w:val="22"/>
          <w:szCs w:val="22"/>
        </w:rPr>
        <w:t xml:space="preserve"> </w:t>
      </w:r>
      <w:r w:rsidR="00844C3D">
        <w:rPr>
          <w:rFonts w:cs="Arial"/>
          <w:color w:val="000000"/>
          <w:sz w:val="22"/>
          <w:szCs w:val="22"/>
        </w:rPr>
        <w:t>blended finance</w:t>
      </w:r>
      <w:r>
        <w:rPr>
          <w:rFonts w:cs="Arial"/>
          <w:color w:val="000000"/>
          <w:sz w:val="22"/>
          <w:szCs w:val="22"/>
        </w:rPr>
        <w:t xml:space="preserve"> pipeline. </w:t>
      </w:r>
      <w:r w:rsidR="00F40CDB">
        <w:rPr>
          <w:rFonts w:cs="Arial"/>
          <w:color w:val="000000"/>
          <w:sz w:val="22"/>
          <w:szCs w:val="22"/>
        </w:rPr>
        <w:t xml:space="preserve">Despite a lack of investments reaching financial close, it is important to acknowledge the context in which SIP-LA has been operating and the work that </w:t>
      </w:r>
      <w:r w:rsidR="00D12787">
        <w:rPr>
          <w:rFonts w:cs="Arial"/>
          <w:color w:val="000000"/>
          <w:sz w:val="22"/>
          <w:szCs w:val="22"/>
        </w:rPr>
        <w:t>IDB</w:t>
      </w:r>
      <w:r w:rsidR="00F40CDB">
        <w:rPr>
          <w:rFonts w:cs="Arial"/>
          <w:color w:val="000000"/>
          <w:sz w:val="22"/>
          <w:szCs w:val="22"/>
        </w:rPr>
        <w:t xml:space="preserve"> has undertaken to present </w:t>
      </w:r>
      <w:r w:rsidR="00844C3D">
        <w:rPr>
          <w:rFonts w:cs="Arial"/>
          <w:color w:val="000000"/>
          <w:sz w:val="22"/>
          <w:szCs w:val="22"/>
        </w:rPr>
        <w:t>blended finance</w:t>
      </w:r>
      <w:r w:rsidR="00F40CDB">
        <w:rPr>
          <w:rFonts w:cs="Arial"/>
          <w:color w:val="000000"/>
          <w:sz w:val="22"/>
          <w:szCs w:val="22"/>
        </w:rPr>
        <w:t xml:space="preserve"> investments to BEIS in 2019</w:t>
      </w:r>
      <w:r w:rsidR="007C1E2F">
        <w:rPr>
          <w:rFonts w:cs="Arial"/>
          <w:color w:val="000000"/>
          <w:sz w:val="22"/>
          <w:szCs w:val="22"/>
        </w:rPr>
        <w:t>.</w:t>
      </w:r>
      <w:r w:rsidR="00F40CDB">
        <w:rPr>
          <w:rFonts w:cs="Arial"/>
          <w:color w:val="000000"/>
          <w:sz w:val="22"/>
          <w:szCs w:val="22"/>
        </w:rPr>
        <w:t xml:space="preserve"> </w:t>
      </w:r>
      <w:r w:rsidR="007C1E2F">
        <w:rPr>
          <w:rFonts w:cs="Arial"/>
          <w:color w:val="000000"/>
          <w:sz w:val="22"/>
          <w:szCs w:val="22"/>
        </w:rPr>
        <w:t>C</w:t>
      </w:r>
      <w:r w:rsidR="008176C9">
        <w:rPr>
          <w:rFonts w:cs="Arial"/>
          <w:color w:val="000000"/>
          <w:sz w:val="22"/>
          <w:szCs w:val="22"/>
        </w:rPr>
        <w:t xml:space="preserve">ase studies are listed in </w:t>
      </w:r>
      <w:r w:rsidR="00CE7DCE">
        <w:rPr>
          <w:rFonts w:cs="Arial"/>
          <w:color w:val="000000"/>
          <w:sz w:val="22"/>
          <w:szCs w:val="22"/>
        </w:rPr>
        <w:t>Annex C</w:t>
      </w:r>
      <w:r w:rsidR="008176C9">
        <w:rPr>
          <w:rFonts w:cs="Arial"/>
          <w:color w:val="000000"/>
          <w:sz w:val="22"/>
          <w:szCs w:val="22"/>
        </w:rPr>
        <w:t xml:space="preserve">. </w:t>
      </w:r>
    </w:p>
    <w:p w14:paraId="60149FFF" w14:textId="4A140540" w:rsidR="00F40CDB" w:rsidRPr="00373026" w:rsidRDefault="00F40CDB" w:rsidP="00F40CDB">
      <w:pPr>
        <w:spacing w:before="120" w:after="120" w:line="276" w:lineRule="auto"/>
        <w:jc w:val="both"/>
        <w:rPr>
          <w:rFonts w:cs="Arial"/>
          <w:sz w:val="22"/>
          <w:szCs w:val="22"/>
        </w:rPr>
      </w:pPr>
      <w:r w:rsidRPr="00373026">
        <w:rPr>
          <w:b/>
          <w:sz w:val="22"/>
          <w:szCs w:val="22"/>
        </w:rPr>
        <w:t xml:space="preserve">Describe any changes this </w:t>
      </w:r>
      <w:r w:rsidR="00844C3D">
        <w:rPr>
          <w:b/>
          <w:sz w:val="22"/>
          <w:szCs w:val="22"/>
        </w:rPr>
        <w:t>Output</w:t>
      </w:r>
      <w:r w:rsidRPr="00373026">
        <w:rPr>
          <w:b/>
          <w:sz w:val="22"/>
          <w:szCs w:val="22"/>
        </w:rPr>
        <w:t xml:space="preserve">, and any planned changes as a result of this review. </w:t>
      </w:r>
    </w:p>
    <w:p w14:paraId="4753F2E1" w14:textId="5259E942" w:rsidR="00F40CDB" w:rsidRDefault="00F40CDB" w:rsidP="00F40CDB">
      <w:pPr>
        <w:spacing w:before="120" w:after="120" w:line="276" w:lineRule="auto"/>
        <w:jc w:val="both"/>
        <w:rPr>
          <w:rFonts w:cs="Arial"/>
          <w:sz w:val="22"/>
          <w:szCs w:val="22"/>
        </w:rPr>
      </w:pPr>
      <w:r w:rsidRPr="00373026">
        <w:rPr>
          <w:rFonts w:cs="Arial"/>
          <w:sz w:val="22"/>
          <w:szCs w:val="22"/>
        </w:rPr>
        <w:t xml:space="preserve">This </w:t>
      </w:r>
      <w:r w:rsidR="00844C3D">
        <w:rPr>
          <w:rFonts w:cs="Arial"/>
          <w:sz w:val="22"/>
          <w:szCs w:val="22"/>
        </w:rPr>
        <w:t>Output</w:t>
      </w:r>
      <w:r w:rsidRPr="00373026">
        <w:rPr>
          <w:rFonts w:cs="Arial"/>
          <w:sz w:val="22"/>
          <w:szCs w:val="22"/>
        </w:rPr>
        <w:t xml:space="preserve"> has been reviewed as part of the </w:t>
      </w:r>
      <w:r w:rsidR="00844C3D">
        <w:rPr>
          <w:rFonts w:cs="Arial"/>
          <w:sz w:val="22"/>
          <w:szCs w:val="22"/>
        </w:rPr>
        <w:t>log frame</w:t>
      </w:r>
      <w:r w:rsidRPr="00373026">
        <w:rPr>
          <w:rFonts w:cs="Arial"/>
          <w:sz w:val="22"/>
          <w:szCs w:val="22"/>
        </w:rPr>
        <w:t xml:space="preserve"> review and </w:t>
      </w:r>
      <w:r w:rsidR="00844C3D">
        <w:rPr>
          <w:rFonts w:cs="Arial"/>
          <w:sz w:val="22"/>
          <w:szCs w:val="22"/>
        </w:rPr>
        <w:t>blended finance</w:t>
      </w:r>
      <w:r w:rsidRPr="00373026">
        <w:rPr>
          <w:rFonts w:cs="Arial"/>
          <w:sz w:val="22"/>
          <w:szCs w:val="22"/>
        </w:rPr>
        <w:t xml:space="preserve"> results will be captured within ‘</w:t>
      </w:r>
      <w:r w:rsidR="00844C3D">
        <w:rPr>
          <w:rFonts w:cs="Arial"/>
          <w:sz w:val="22"/>
          <w:szCs w:val="22"/>
        </w:rPr>
        <w:t>Output</w:t>
      </w:r>
      <w:r w:rsidRPr="00373026">
        <w:rPr>
          <w:rFonts w:cs="Arial"/>
          <w:sz w:val="22"/>
          <w:szCs w:val="22"/>
        </w:rPr>
        <w:t xml:space="preserve"> 3’, it will measure the number of investments made with SIP</w:t>
      </w:r>
      <w:r>
        <w:rPr>
          <w:rFonts w:cs="Arial"/>
          <w:sz w:val="22"/>
          <w:szCs w:val="22"/>
        </w:rPr>
        <w:t>-LA</w:t>
      </w:r>
      <w:r w:rsidRPr="00373026">
        <w:rPr>
          <w:rFonts w:cs="Arial"/>
          <w:sz w:val="22"/>
          <w:szCs w:val="22"/>
        </w:rPr>
        <w:t xml:space="preserve"> funds, private finance leveraged and level of installed capacity of clean energy generated. </w:t>
      </w:r>
    </w:p>
    <w:p w14:paraId="3A94961F" w14:textId="5745B056" w:rsidR="00F703E8" w:rsidRDefault="00F703E8" w:rsidP="00F703E8">
      <w:pPr>
        <w:spacing w:before="120" w:after="120" w:line="276" w:lineRule="auto"/>
        <w:jc w:val="both"/>
        <w:rPr>
          <w:rFonts w:cs="Arial"/>
          <w:sz w:val="22"/>
          <w:szCs w:val="22"/>
        </w:rPr>
      </w:pPr>
      <w:r>
        <w:rPr>
          <w:rFonts w:cs="Arial"/>
          <w:sz w:val="22"/>
          <w:szCs w:val="22"/>
        </w:rPr>
        <w:t>In 2019</w:t>
      </w:r>
      <w:r w:rsidR="007C1E2F">
        <w:rPr>
          <w:rFonts w:cs="Arial"/>
          <w:sz w:val="22"/>
          <w:szCs w:val="22"/>
        </w:rPr>
        <w:t>,</w:t>
      </w:r>
      <w:r>
        <w:rPr>
          <w:rFonts w:cs="Arial"/>
          <w:sz w:val="22"/>
          <w:szCs w:val="22"/>
        </w:rPr>
        <w:t xml:space="preserve"> this </w:t>
      </w:r>
      <w:r w:rsidR="00844C3D">
        <w:rPr>
          <w:rFonts w:cs="Arial"/>
          <w:sz w:val="22"/>
          <w:szCs w:val="22"/>
        </w:rPr>
        <w:t>Output</w:t>
      </w:r>
      <w:r>
        <w:rPr>
          <w:rFonts w:cs="Arial"/>
          <w:sz w:val="22"/>
          <w:szCs w:val="22"/>
        </w:rPr>
        <w:t xml:space="preserve"> was weighted at 25% rather than 75% as listed in the Business Case. The decision to change the weighting was taken to reflect that in the first year of implementation activities were focussed on </w:t>
      </w:r>
      <w:r w:rsidR="008C77B2">
        <w:rPr>
          <w:rFonts w:cs="Arial"/>
          <w:sz w:val="22"/>
          <w:szCs w:val="22"/>
        </w:rPr>
        <w:t>technical assistance</w:t>
      </w:r>
      <w:r>
        <w:rPr>
          <w:rFonts w:cs="Arial"/>
          <w:sz w:val="22"/>
          <w:szCs w:val="22"/>
        </w:rPr>
        <w:t xml:space="preserve">. The weightings have now been reverted to the original expectation of 25% to </w:t>
      </w:r>
      <w:r w:rsidR="00844C3D">
        <w:rPr>
          <w:rFonts w:cs="Arial"/>
          <w:sz w:val="22"/>
          <w:szCs w:val="22"/>
        </w:rPr>
        <w:t>Output</w:t>
      </w:r>
      <w:r>
        <w:rPr>
          <w:rFonts w:cs="Arial"/>
          <w:sz w:val="22"/>
          <w:szCs w:val="22"/>
        </w:rPr>
        <w:t xml:space="preserve"> 1 (</w:t>
      </w:r>
      <w:r w:rsidR="008C77B2">
        <w:rPr>
          <w:rFonts w:cs="Arial"/>
          <w:sz w:val="22"/>
          <w:szCs w:val="22"/>
        </w:rPr>
        <w:t>technical assistance</w:t>
      </w:r>
      <w:r>
        <w:rPr>
          <w:rFonts w:cs="Arial"/>
          <w:sz w:val="22"/>
          <w:szCs w:val="22"/>
        </w:rPr>
        <w:t xml:space="preserve">) and 75% to </w:t>
      </w:r>
      <w:r w:rsidR="00844C3D">
        <w:rPr>
          <w:rFonts w:cs="Arial"/>
          <w:sz w:val="22"/>
          <w:szCs w:val="22"/>
        </w:rPr>
        <w:t>Output</w:t>
      </w:r>
      <w:r>
        <w:rPr>
          <w:rFonts w:cs="Arial"/>
          <w:sz w:val="22"/>
          <w:szCs w:val="22"/>
        </w:rPr>
        <w:t xml:space="preserve"> 2 (</w:t>
      </w:r>
      <w:r w:rsidR="00844C3D">
        <w:rPr>
          <w:rFonts w:cs="Arial"/>
          <w:sz w:val="22"/>
          <w:szCs w:val="22"/>
        </w:rPr>
        <w:t>blended finance</w:t>
      </w:r>
      <w:r>
        <w:rPr>
          <w:rFonts w:cs="Arial"/>
          <w:sz w:val="22"/>
          <w:szCs w:val="22"/>
        </w:rPr>
        <w:t xml:space="preserve">). </w:t>
      </w:r>
    </w:p>
    <w:p w14:paraId="4DD84DC7" w14:textId="408C4CC6" w:rsidR="00963A4B" w:rsidRDefault="00F40CDB" w:rsidP="00F40CDB">
      <w:pPr>
        <w:spacing w:before="120" w:after="120" w:line="276" w:lineRule="auto"/>
        <w:jc w:val="both"/>
        <w:rPr>
          <w:rFonts w:cs="Arial"/>
          <w:b/>
          <w:bCs/>
          <w:sz w:val="22"/>
          <w:szCs w:val="22"/>
        </w:rPr>
      </w:pPr>
      <w:r w:rsidRPr="00373026">
        <w:rPr>
          <w:rFonts w:cs="Arial"/>
          <w:b/>
          <w:bCs/>
          <w:sz w:val="22"/>
          <w:szCs w:val="22"/>
        </w:rPr>
        <w:t>Progress on recommendations from the previous AR</w:t>
      </w:r>
      <w:r>
        <w:rPr>
          <w:rFonts w:cs="Arial"/>
          <w:b/>
          <w:bCs/>
          <w:sz w:val="22"/>
          <w:szCs w:val="22"/>
        </w:rPr>
        <w:t xml:space="preserve">, </w:t>
      </w:r>
      <w:r w:rsidRPr="00373026">
        <w:rPr>
          <w:rFonts w:cs="Arial"/>
          <w:b/>
          <w:bCs/>
          <w:sz w:val="22"/>
          <w:szCs w:val="22"/>
        </w:rPr>
        <w:t>lessons learned this year and recommendations for the year ahead</w:t>
      </w:r>
      <w:r w:rsidR="00963A4B">
        <w:rPr>
          <w:rFonts w:cs="Arial"/>
          <w:b/>
          <w:bCs/>
          <w:sz w:val="22"/>
          <w:szCs w:val="22"/>
        </w:rPr>
        <w:t>.</w:t>
      </w:r>
    </w:p>
    <w:tbl>
      <w:tblPr>
        <w:tblStyle w:val="TableGrid"/>
        <w:tblW w:w="4932" w:type="pct"/>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652"/>
        <w:gridCol w:w="5672"/>
      </w:tblGrid>
      <w:tr w:rsidR="00963A4B" w:rsidRPr="00E82527" w14:paraId="3EF7DDBE" w14:textId="77777777" w:rsidTr="00AC6416">
        <w:trPr>
          <w:trHeight w:val="273"/>
        </w:trPr>
        <w:tc>
          <w:tcPr>
            <w:tcW w:w="2253" w:type="pct"/>
            <w:shd w:val="clear" w:color="auto" w:fill="D9E2F3" w:themeFill="accent1" w:themeFillTint="33"/>
          </w:tcPr>
          <w:p w14:paraId="4049A357" w14:textId="77777777" w:rsidR="00963A4B" w:rsidRPr="00E82527" w:rsidRDefault="00963A4B" w:rsidP="00AC6416">
            <w:pPr>
              <w:spacing w:before="60" w:after="60"/>
              <w:rPr>
                <w:rFonts w:cs="Arial"/>
                <w:b/>
                <w:bCs/>
                <w:sz w:val="20"/>
                <w:szCs w:val="20"/>
              </w:rPr>
            </w:pPr>
            <w:r w:rsidRPr="00E82527">
              <w:rPr>
                <w:rFonts w:cs="Arial"/>
                <w:b/>
                <w:bCs/>
                <w:sz w:val="20"/>
                <w:szCs w:val="20"/>
              </w:rPr>
              <w:t>Recommendation (2018 AR)</w:t>
            </w:r>
          </w:p>
        </w:tc>
        <w:tc>
          <w:tcPr>
            <w:tcW w:w="2747" w:type="pct"/>
            <w:shd w:val="clear" w:color="auto" w:fill="D9E2F3" w:themeFill="accent1" w:themeFillTint="33"/>
          </w:tcPr>
          <w:p w14:paraId="640C17BF" w14:textId="77777777" w:rsidR="00963A4B" w:rsidRPr="00E82527" w:rsidRDefault="00963A4B" w:rsidP="00AC6416">
            <w:pPr>
              <w:spacing w:before="60" w:after="60"/>
              <w:rPr>
                <w:rFonts w:cs="Arial"/>
                <w:b/>
                <w:bCs/>
                <w:sz w:val="20"/>
                <w:szCs w:val="20"/>
              </w:rPr>
            </w:pPr>
            <w:r w:rsidRPr="00E82527">
              <w:rPr>
                <w:rFonts w:cs="Arial"/>
                <w:b/>
                <w:bCs/>
                <w:sz w:val="20"/>
                <w:szCs w:val="20"/>
              </w:rPr>
              <w:t>Status (End of Reporting Period)</w:t>
            </w:r>
          </w:p>
        </w:tc>
      </w:tr>
      <w:tr w:rsidR="00963A4B" w:rsidRPr="00E82527" w14:paraId="1D16BFFD" w14:textId="77777777" w:rsidTr="00AC6416">
        <w:tc>
          <w:tcPr>
            <w:tcW w:w="2253" w:type="pct"/>
          </w:tcPr>
          <w:p w14:paraId="6C4D8886" w14:textId="3A86D6F0" w:rsidR="00963A4B" w:rsidRPr="00E82527" w:rsidRDefault="00840A57" w:rsidP="00392284">
            <w:pPr>
              <w:spacing w:before="120" w:after="120" w:line="276" w:lineRule="auto"/>
              <w:jc w:val="both"/>
              <w:rPr>
                <w:rFonts w:cs="Arial"/>
                <w:sz w:val="20"/>
                <w:szCs w:val="20"/>
              </w:rPr>
            </w:pPr>
            <w:r w:rsidRPr="0005528B">
              <w:rPr>
                <w:rFonts w:cs="Arial"/>
                <w:bCs/>
                <w:iCs/>
                <w:sz w:val="20"/>
              </w:rPr>
              <w:t xml:space="preserve">BEIS and IDB to formally discuss the </w:t>
            </w:r>
            <w:r w:rsidR="00844C3D">
              <w:rPr>
                <w:rFonts w:cs="Arial"/>
                <w:bCs/>
                <w:iCs/>
                <w:sz w:val="20"/>
              </w:rPr>
              <w:t>blended finance</w:t>
            </w:r>
            <w:r w:rsidRPr="0005528B">
              <w:rPr>
                <w:rFonts w:cs="Arial"/>
                <w:bCs/>
                <w:iCs/>
                <w:sz w:val="20"/>
              </w:rPr>
              <w:t xml:space="preserve"> pipeline</w:t>
            </w:r>
            <w:r>
              <w:rPr>
                <w:rFonts w:cs="Arial"/>
                <w:bCs/>
                <w:iCs/>
                <w:sz w:val="20"/>
              </w:rPr>
              <w:t xml:space="preserve"> </w:t>
            </w:r>
            <w:r w:rsidRPr="0005528B">
              <w:rPr>
                <w:rFonts w:cs="Arial"/>
                <w:bCs/>
                <w:iCs/>
                <w:sz w:val="20"/>
              </w:rPr>
              <w:t>(including upcoming and prospective operations) at least biannually with a focus on additionality, transformational change and finance leveraged. Plans in place by September 2019.</w:t>
            </w:r>
          </w:p>
        </w:tc>
        <w:tc>
          <w:tcPr>
            <w:tcW w:w="2747" w:type="pct"/>
          </w:tcPr>
          <w:p w14:paraId="757B7A7B" w14:textId="61C91273" w:rsidR="00963A4B" w:rsidRPr="00E82527" w:rsidRDefault="00F1131C" w:rsidP="00AC6416">
            <w:pPr>
              <w:spacing w:before="60" w:after="60"/>
              <w:jc w:val="both"/>
              <w:rPr>
                <w:rFonts w:cs="Arial"/>
                <w:sz w:val="20"/>
                <w:szCs w:val="20"/>
              </w:rPr>
            </w:pPr>
            <w:r>
              <w:rPr>
                <w:rFonts w:cs="Arial"/>
                <w:sz w:val="20"/>
                <w:szCs w:val="20"/>
              </w:rPr>
              <w:t xml:space="preserve">IDB have delivered a </w:t>
            </w:r>
            <w:r w:rsidR="00844C3D">
              <w:rPr>
                <w:rFonts w:cs="Arial"/>
                <w:sz w:val="20"/>
                <w:szCs w:val="20"/>
              </w:rPr>
              <w:t>blended finance</w:t>
            </w:r>
            <w:r>
              <w:rPr>
                <w:rFonts w:cs="Arial"/>
                <w:sz w:val="20"/>
                <w:szCs w:val="20"/>
              </w:rPr>
              <w:t xml:space="preserve"> pipeline to BEIS and </w:t>
            </w:r>
            <w:r w:rsidR="006237F2">
              <w:rPr>
                <w:rFonts w:cs="Arial"/>
                <w:sz w:val="20"/>
                <w:szCs w:val="20"/>
              </w:rPr>
              <w:t>submitted two TCDs which have been approved in 2020</w:t>
            </w:r>
            <w:r w:rsidR="005A4403">
              <w:rPr>
                <w:rFonts w:cs="Arial"/>
                <w:sz w:val="20"/>
                <w:szCs w:val="20"/>
              </w:rPr>
              <w:t xml:space="preserve">. </w:t>
            </w:r>
            <w:r w:rsidR="00D12787">
              <w:rPr>
                <w:rFonts w:cs="Arial"/>
                <w:sz w:val="20"/>
                <w:szCs w:val="20"/>
              </w:rPr>
              <w:t>IDB</w:t>
            </w:r>
            <w:r w:rsidR="005A4403">
              <w:rPr>
                <w:rFonts w:cs="Arial"/>
                <w:sz w:val="20"/>
                <w:szCs w:val="20"/>
              </w:rPr>
              <w:t xml:space="preserve"> and BEIS have discussed the pipeline and </w:t>
            </w:r>
            <w:r w:rsidR="00AE0844">
              <w:rPr>
                <w:rFonts w:cs="Arial"/>
                <w:sz w:val="20"/>
                <w:szCs w:val="20"/>
              </w:rPr>
              <w:t xml:space="preserve">developed </w:t>
            </w:r>
            <w:r w:rsidR="00C74B3A">
              <w:rPr>
                <w:rFonts w:cs="Arial"/>
                <w:sz w:val="20"/>
                <w:szCs w:val="20"/>
              </w:rPr>
              <w:t xml:space="preserve">in draft </w:t>
            </w:r>
            <w:r w:rsidR="000C58D0">
              <w:rPr>
                <w:rFonts w:cs="Arial"/>
                <w:sz w:val="20"/>
                <w:szCs w:val="20"/>
              </w:rPr>
              <w:t xml:space="preserve">core principles </w:t>
            </w:r>
            <w:r w:rsidR="007A0CC2">
              <w:rPr>
                <w:rFonts w:cs="Arial"/>
                <w:sz w:val="20"/>
                <w:szCs w:val="20"/>
              </w:rPr>
              <w:t>which aim</w:t>
            </w:r>
            <w:r w:rsidR="000C58D0">
              <w:rPr>
                <w:rFonts w:cs="Arial"/>
                <w:sz w:val="20"/>
                <w:szCs w:val="20"/>
              </w:rPr>
              <w:t xml:space="preserve"> </w:t>
            </w:r>
            <w:r w:rsidR="00CE1406">
              <w:rPr>
                <w:rFonts w:cs="Arial"/>
                <w:sz w:val="20"/>
                <w:szCs w:val="20"/>
              </w:rPr>
              <w:t xml:space="preserve">ensure the pipeline </w:t>
            </w:r>
            <w:r w:rsidR="00E7208D">
              <w:rPr>
                <w:rFonts w:cs="Arial"/>
                <w:sz w:val="20"/>
                <w:szCs w:val="20"/>
              </w:rPr>
              <w:t>is foc</w:t>
            </w:r>
            <w:r w:rsidR="00407E13">
              <w:rPr>
                <w:rFonts w:cs="Arial"/>
                <w:sz w:val="20"/>
                <w:szCs w:val="20"/>
              </w:rPr>
              <w:t xml:space="preserve">ussed on </w:t>
            </w:r>
            <w:r w:rsidR="00407E13" w:rsidRPr="0005528B">
              <w:rPr>
                <w:rFonts w:cs="Arial"/>
                <w:bCs/>
                <w:iCs/>
                <w:sz w:val="20"/>
              </w:rPr>
              <w:t>additionality, transformational change and finance leveraged</w:t>
            </w:r>
            <w:r w:rsidR="00C74B3A">
              <w:rPr>
                <w:rFonts w:cs="Arial"/>
                <w:bCs/>
                <w:iCs/>
                <w:sz w:val="20"/>
              </w:rPr>
              <w:t>.</w:t>
            </w:r>
          </w:p>
        </w:tc>
      </w:tr>
      <w:tr w:rsidR="00FB01B9" w:rsidRPr="00E82527" w14:paraId="3F4072A2" w14:textId="77777777" w:rsidTr="00AC6416">
        <w:tc>
          <w:tcPr>
            <w:tcW w:w="2253" w:type="pct"/>
          </w:tcPr>
          <w:p w14:paraId="763C587F" w14:textId="507B464C" w:rsidR="00FB01B9" w:rsidRPr="0005528B" w:rsidRDefault="008E2457" w:rsidP="00963A4B">
            <w:pPr>
              <w:spacing w:before="120" w:after="120" w:line="276" w:lineRule="auto"/>
              <w:jc w:val="both"/>
              <w:rPr>
                <w:rFonts w:cs="Arial"/>
                <w:bCs/>
                <w:iCs/>
                <w:sz w:val="20"/>
              </w:rPr>
            </w:pPr>
            <w:r w:rsidRPr="00E82527">
              <w:rPr>
                <w:sz w:val="20"/>
                <w:szCs w:val="20"/>
              </w:rPr>
              <w:t xml:space="preserve">The previous Annual Review recommended that BEIS and IDB reprofile the targets for </w:t>
            </w:r>
            <w:r w:rsidR="00844C3D">
              <w:rPr>
                <w:sz w:val="20"/>
                <w:szCs w:val="20"/>
              </w:rPr>
              <w:t>Output</w:t>
            </w:r>
            <w:r w:rsidRPr="00E82527">
              <w:rPr>
                <w:sz w:val="20"/>
                <w:szCs w:val="20"/>
              </w:rPr>
              <w:t xml:space="preserve"> 2 results and revalidate assumptions on operating start dates. The milestones for this </w:t>
            </w:r>
            <w:r w:rsidR="00844C3D">
              <w:rPr>
                <w:sz w:val="20"/>
                <w:szCs w:val="20"/>
              </w:rPr>
              <w:t>Output</w:t>
            </w:r>
            <w:r w:rsidRPr="00E82527">
              <w:rPr>
                <w:sz w:val="20"/>
                <w:szCs w:val="20"/>
              </w:rPr>
              <w:t xml:space="preserve"> are being reprofiled and teams in BEIS and IDB will consider whether milestone achievement should be extended beyond the original lifetime of the project (November 2022).</w:t>
            </w:r>
          </w:p>
        </w:tc>
        <w:tc>
          <w:tcPr>
            <w:tcW w:w="2747" w:type="pct"/>
          </w:tcPr>
          <w:p w14:paraId="041BF2DB" w14:textId="534526CF" w:rsidR="00E71904" w:rsidRPr="00E82527" w:rsidRDefault="00BF56D8" w:rsidP="00E71904">
            <w:pPr>
              <w:spacing w:before="60" w:after="60"/>
              <w:jc w:val="both"/>
              <w:rPr>
                <w:rFonts w:cs="Arial"/>
                <w:sz w:val="20"/>
                <w:szCs w:val="20"/>
              </w:rPr>
            </w:pPr>
            <w:r>
              <w:rPr>
                <w:rFonts w:cs="Arial"/>
                <w:sz w:val="20"/>
                <w:szCs w:val="20"/>
              </w:rPr>
              <w:t xml:space="preserve">This </w:t>
            </w:r>
            <w:r w:rsidR="004E5E25">
              <w:rPr>
                <w:rFonts w:cs="Arial"/>
                <w:sz w:val="20"/>
                <w:szCs w:val="20"/>
              </w:rPr>
              <w:t xml:space="preserve">recommendation has not been completed </w:t>
            </w:r>
            <w:r w:rsidR="00487997">
              <w:rPr>
                <w:rFonts w:cs="Arial"/>
                <w:sz w:val="20"/>
                <w:szCs w:val="20"/>
              </w:rPr>
              <w:t xml:space="preserve">due to </w:t>
            </w:r>
            <w:r w:rsidR="00EC32F3">
              <w:rPr>
                <w:rFonts w:cs="Arial"/>
                <w:sz w:val="20"/>
                <w:szCs w:val="20"/>
              </w:rPr>
              <w:t xml:space="preserve">delays in completing the </w:t>
            </w:r>
            <w:r w:rsidR="00844C3D">
              <w:rPr>
                <w:rFonts w:cs="Arial"/>
                <w:sz w:val="20"/>
                <w:szCs w:val="20"/>
              </w:rPr>
              <w:t>Log frame</w:t>
            </w:r>
            <w:r w:rsidR="00EC32F3">
              <w:rPr>
                <w:rFonts w:cs="Arial"/>
                <w:sz w:val="20"/>
                <w:szCs w:val="20"/>
              </w:rPr>
              <w:t xml:space="preserve"> review. These delays are accounted to </w:t>
            </w:r>
            <w:r w:rsidR="00E71904" w:rsidRPr="00E71904">
              <w:rPr>
                <w:rFonts w:cs="Arial"/>
                <w:sz w:val="20"/>
                <w:szCs w:val="20"/>
              </w:rPr>
              <w:t xml:space="preserve">changes to the BEIS project team in 2019 and </w:t>
            </w:r>
            <w:r w:rsidR="00474AEA">
              <w:rPr>
                <w:rFonts w:cs="Arial"/>
                <w:sz w:val="20"/>
                <w:szCs w:val="20"/>
              </w:rPr>
              <w:t>2020.</w:t>
            </w:r>
            <w:r w:rsidR="00E71904" w:rsidRPr="00E71904">
              <w:rPr>
                <w:rFonts w:cs="Arial"/>
                <w:sz w:val="20"/>
                <w:szCs w:val="20"/>
              </w:rPr>
              <w:t xml:space="preserve"> This was compounded by team resource constraints caused by the </w:t>
            </w:r>
            <w:r w:rsidR="00844C3D">
              <w:rPr>
                <w:rFonts w:cs="Arial"/>
                <w:sz w:val="20"/>
                <w:szCs w:val="20"/>
              </w:rPr>
              <w:t>COVID-19</w:t>
            </w:r>
            <w:r w:rsidR="00E71904" w:rsidRPr="00E71904">
              <w:rPr>
                <w:rFonts w:cs="Arial"/>
                <w:sz w:val="20"/>
                <w:szCs w:val="20"/>
              </w:rPr>
              <w:t xml:space="preserve"> lockdown.</w:t>
            </w:r>
          </w:p>
        </w:tc>
      </w:tr>
    </w:tbl>
    <w:p w14:paraId="41CC4F20" w14:textId="6688AC02" w:rsidR="00F40CDB" w:rsidRDefault="00D4435E" w:rsidP="00F40CDB">
      <w:pPr>
        <w:spacing w:before="120" w:after="120" w:line="276" w:lineRule="auto"/>
        <w:jc w:val="both"/>
        <w:rPr>
          <w:sz w:val="22"/>
          <w:szCs w:val="22"/>
        </w:rPr>
      </w:pPr>
      <w:r>
        <w:rPr>
          <w:rFonts w:cs="Arial"/>
          <w:sz w:val="22"/>
          <w:szCs w:val="22"/>
        </w:rPr>
        <w:lastRenderedPageBreak/>
        <w:t>The key lesson learnt was tha</w:t>
      </w:r>
      <w:r w:rsidR="00417BAC">
        <w:rPr>
          <w:rFonts w:cs="Arial"/>
          <w:sz w:val="22"/>
          <w:szCs w:val="22"/>
        </w:rPr>
        <w:t xml:space="preserve">t </w:t>
      </w:r>
      <w:r w:rsidR="00417BAC">
        <w:rPr>
          <w:sz w:val="22"/>
          <w:szCs w:val="22"/>
        </w:rPr>
        <w:t xml:space="preserve">direct impacts of political factors on </w:t>
      </w:r>
      <w:r w:rsidR="00844C3D">
        <w:rPr>
          <w:sz w:val="22"/>
          <w:szCs w:val="22"/>
        </w:rPr>
        <w:t>blended finance</w:t>
      </w:r>
      <w:r w:rsidR="00417BAC">
        <w:rPr>
          <w:sz w:val="22"/>
          <w:szCs w:val="22"/>
        </w:rPr>
        <w:t xml:space="preserve"> programming could not be mitigated against</w:t>
      </w:r>
      <w:r w:rsidR="00A74F8F">
        <w:rPr>
          <w:sz w:val="22"/>
          <w:szCs w:val="22"/>
        </w:rPr>
        <w:t xml:space="preserve">. </w:t>
      </w:r>
      <w:r w:rsidR="009364CA">
        <w:rPr>
          <w:sz w:val="22"/>
          <w:szCs w:val="22"/>
        </w:rPr>
        <w:t>S</w:t>
      </w:r>
      <w:r w:rsidR="005E2B28">
        <w:rPr>
          <w:sz w:val="22"/>
          <w:szCs w:val="22"/>
        </w:rPr>
        <w:t>ignificant</w:t>
      </w:r>
      <w:r w:rsidR="009364CA">
        <w:rPr>
          <w:sz w:val="22"/>
          <w:szCs w:val="22"/>
        </w:rPr>
        <w:t xml:space="preserve"> p</w:t>
      </w:r>
      <w:r w:rsidR="00A74F8F">
        <w:rPr>
          <w:sz w:val="22"/>
          <w:szCs w:val="22"/>
        </w:rPr>
        <w:t>olicy and personnel changes within administrations have been a prominent aspect of the difficulties faced.</w:t>
      </w:r>
      <w:r w:rsidR="000E4CF0">
        <w:rPr>
          <w:sz w:val="22"/>
          <w:szCs w:val="22"/>
        </w:rPr>
        <w:t xml:space="preserve"> There are no planned administration changes over the coming year, indicating that potential policy stability in partner countries could foster wider opportunities for investments across the region. </w:t>
      </w:r>
      <w:r w:rsidR="00E010A5">
        <w:rPr>
          <w:sz w:val="22"/>
          <w:szCs w:val="22"/>
        </w:rPr>
        <w:t>I</w:t>
      </w:r>
      <w:r w:rsidR="004D439C">
        <w:rPr>
          <w:sz w:val="22"/>
          <w:szCs w:val="22"/>
        </w:rPr>
        <w:t xml:space="preserve">naccurate expectations </w:t>
      </w:r>
      <w:r w:rsidR="00E010A5">
        <w:rPr>
          <w:sz w:val="22"/>
          <w:szCs w:val="22"/>
        </w:rPr>
        <w:t>of</w:t>
      </w:r>
      <w:r w:rsidR="00AB6854">
        <w:rPr>
          <w:sz w:val="22"/>
          <w:szCs w:val="22"/>
        </w:rPr>
        <w:t xml:space="preserve"> the</w:t>
      </w:r>
      <w:r w:rsidR="004D439C">
        <w:rPr>
          <w:sz w:val="22"/>
          <w:szCs w:val="22"/>
        </w:rPr>
        <w:t xml:space="preserve"> time taken to develop a pipeline </w:t>
      </w:r>
      <w:r w:rsidR="00AB6854">
        <w:rPr>
          <w:sz w:val="22"/>
          <w:szCs w:val="22"/>
        </w:rPr>
        <w:t>meant that the impacts of political contexts at the project level</w:t>
      </w:r>
      <w:r w:rsidR="007C1E2F">
        <w:rPr>
          <w:sz w:val="22"/>
          <w:szCs w:val="22"/>
        </w:rPr>
        <w:t>,</w:t>
      </w:r>
      <w:r w:rsidR="00AB6854">
        <w:rPr>
          <w:sz w:val="22"/>
          <w:szCs w:val="22"/>
        </w:rPr>
        <w:t xml:space="preserve"> </w:t>
      </w:r>
      <w:r w:rsidR="00A730FE">
        <w:rPr>
          <w:sz w:val="22"/>
          <w:szCs w:val="22"/>
        </w:rPr>
        <w:t xml:space="preserve">such as in Mexico and Brazil, </w:t>
      </w:r>
      <w:r w:rsidR="00AB6854">
        <w:rPr>
          <w:sz w:val="22"/>
          <w:szCs w:val="22"/>
        </w:rPr>
        <w:t>could not be mitigated at the portfolio level by the delivery of additional investments from a robust pipeline.</w:t>
      </w:r>
      <w:r w:rsidR="009A0C9A">
        <w:rPr>
          <w:sz w:val="22"/>
          <w:szCs w:val="22"/>
        </w:rPr>
        <w:t xml:space="preserve"> </w:t>
      </w:r>
      <w:r w:rsidR="007C1E2F">
        <w:rPr>
          <w:sz w:val="22"/>
          <w:szCs w:val="22"/>
        </w:rPr>
        <w:t xml:space="preserve">During 2019, </w:t>
      </w:r>
      <w:r w:rsidR="009A0C9A">
        <w:rPr>
          <w:sz w:val="22"/>
          <w:szCs w:val="22"/>
        </w:rPr>
        <w:t xml:space="preserve">IDB have used a market level approach to identify </w:t>
      </w:r>
      <w:r w:rsidR="00584D9D">
        <w:rPr>
          <w:sz w:val="22"/>
          <w:szCs w:val="22"/>
        </w:rPr>
        <w:t xml:space="preserve">potential </w:t>
      </w:r>
      <w:r w:rsidR="009A0C9A">
        <w:rPr>
          <w:sz w:val="22"/>
          <w:szCs w:val="22"/>
        </w:rPr>
        <w:t>investments th</w:t>
      </w:r>
      <w:r w:rsidR="00584D9D">
        <w:rPr>
          <w:sz w:val="22"/>
          <w:szCs w:val="22"/>
        </w:rPr>
        <w:t xml:space="preserve">rough the results of successful </w:t>
      </w:r>
      <w:r w:rsidR="003B4AB9">
        <w:rPr>
          <w:sz w:val="22"/>
          <w:szCs w:val="22"/>
        </w:rPr>
        <w:t xml:space="preserve">public and private policy aligned </w:t>
      </w:r>
      <w:r w:rsidR="008C77B2">
        <w:rPr>
          <w:sz w:val="22"/>
          <w:szCs w:val="22"/>
        </w:rPr>
        <w:t>technical assistance</w:t>
      </w:r>
      <w:r w:rsidR="00584D9D">
        <w:rPr>
          <w:sz w:val="22"/>
          <w:szCs w:val="22"/>
        </w:rPr>
        <w:t xml:space="preserve">, this has already led to the </w:t>
      </w:r>
      <w:r w:rsidR="005A4759">
        <w:rPr>
          <w:sz w:val="22"/>
          <w:szCs w:val="22"/>
        </w:rPr>
        <w:t xml:space="preserve">presentation </w:t>
      </w:r>
      <w:r w:rsidR="00584D9D">
        <w:rPr>
          <w:sz w:val="22"/>
          <w:szCs w:val="22"/>
        </w:rPr>
        <w:t>of two investments</w:t>
      </w:r>
      <w:r w:rsidR="005A4759">
        <w:rPr>
          <w:sz w:val="22"/>
          <w:szCs w:val="22"/>
        </w:rPr>
        <w:t xml:space="preserve"> to BEIS</w:t>
      </w:r>
      <w:r w:rsidR="00584D9D">
        <w:rPr>
          <w:sz w:val="22"/>
          <w:szCs w:val="22"/>
        </w:rPr>
        <w:t xml:space="preserve"> in 2020</w:t>
      </w:r>
      <w:r w:rsidR="005A4759">
        <w:rPr>
          <w:sz w:val="22"/>
          <w:szCs w:val="22"/>
        </w:rPr>
        <w:t>, both have received ‘</w:t>
      </w:r>
      <w:r w:rsidR="00645A6D">
        <w:rPr>
          <w:sz w:val="22"/>
          <w:szCs w:val="22"/>
        </w:rPr>
        <w:t>‘no-objection’</w:t>
      </w:r>
      <w:r w:rsidR="005A4759">
        <w:rPr>
          <w:sz w:val="22"/>
          <w:szCs w:val="22"/>
        </w:rPr>
        <w:t>’</w:t>
      </w:r>
      <w:r w:rsidR="00584D9D">
        <w:rPr>
          <w:sz w:val="22"/>
          <w:szCs w:val="22"/>
        </w:rPr>
        <w:t xml:space="preserve">. </w:t>
      </w:r>
      <w:r w:rsidR="00B43945">
        <w:rPr>
          <w:sz w:val="22"/>
          <w:szCs w:val="22"/>
        </w:rPr>
        <w:t xml:space="preserve">The continued delivery of successful </w:t>
      </w:r>
      <w:r w:rsidR="008C77B2">
        <w:rPr>
          <w:sz w:val="22"/>
          <w:szCs w:val="22"/>
        </w:rPr>
        <w:t>technical assistance</w:t>
      </w:r>
      <w:r w:rsidR="00B43945">
        <w:rPr>
          <w:sz w:val="22"/>
          <w:szCs w:val="22"/>
        </w:rPr>
        <w:t xml:space="preserve"> is likely to strengthen the regional investment pipeline. </w:t>
      </w:r>
      <w:r w:rsidR="00537D45" w:rsidRPr="00D4435E">
        <w:rPr>
          <w:rFonts w:cs="Arial"/>
          <w:sz w:val="22"/>
          <w:szCs w:val="22"/>
        </w:rPr>
        <w:t xml:space="preserve">The </w:t>
      </w:r>
      <w:r w:rsidR="00832D6D" w:rsidRPr="00D4435E">
        <w:rPr>
          <w:rFonts w:cs="Arial"/>
          <w:sz w:val="22"/>
          <w:szCs w:val="22"/>
        </w:rPr>
        <w:t>development of</w:t>
      </w:r>
      <w:r w:rsidR="00615EE6">
        <w:rPr>
          <w:rFonts w:cs="Arial"/>
          <w:sz w:val="22"/>
          <w:szCs w:val="22"/>
        </w:rPr>
        <w:t xml:space="preserve"> such</w:t>
      </w:r>
      <w:r w:rsidR="00832D6D" w:rsidRPr="00D4435E">
        <w:rPr>
          <w:rFonts w:cs="Arial"/>
          <w:sz w:val="22"/>
          <w:szCs w:val="22"/>
        </w:rPr>
        <w:t xml:space="preserve"> a pipeline for </w:t>
      </w:r>
      <w:r w:rsidR="00844C3D">
        <w:rPr>
          <w:rFonts w:cs="Arial"/>
          <w:sz w:val="22"/>
          <w:szCs w:val="22"/>
        </w:rPr>
        <w:t>blended finance</w:t>
      </w:r>
      <w:r w:rsidR="00832D6D" w:rsidRPr="00D4435E">
        <w:rPr>
          <w:rFonts w:cs="Arial"/>
          <w:sz w:val="22"/>
          <w:szCs w:val="22"/>
        </w:rPr>
        <w:t xml:space="preserve"> </w:t>
      </w:r>
      <w:r w:rsidR="009F25AD" w:rsidRPr="00D4435E">
        <w:rPr>
          <w:rFonts w:cs="Arial"/>
          <w:sz w:val="22"/>
          <w:szCs w:val="22"/>
        </w:rPr>
        <w:t xml:space="preserve">should allow this </w:t>
      </w:r>
      <w:r w:rsidR="001D13DF">
        <w:rPr>
          <w:rFonts w:cs="Arial"/>
          <w:sz w:val="22"/>
          <w:szCs w:val="22"/>
        </w:rPr>
        <w:t>o</w:t>
      </w:r>
      <w:r w:rsidR="00844C3D">
        <w:rPr>
          <w:rFonts w:cs="Arial"/>
          <w:sz w:val="22"/>
          <w:szCs w:val="22"/>
        </w:rPr>
        <w:t>utput</w:t>
      </w:r>
      <w:r w:rsidR="009F25AD" w:rsidRPr="00D4435E">
        <w:rPr>
          <w:rFonts w:cs="Arial"/>
          <w:sz w:val="22"/>
          <w:szCs w:val="22"/>
        </w:rPr>
        <w:t xml:space="preserve"> to </w:t>
      </w:r>
      <w:r w:rsidR="0085160B" w:rsidRPr="00D4435E">
        <w:rPr>
          <w:rFonts w:cs="Arial"/>
          <w:sz w:val="22"/>
          <w:szCs w:val="22"/>
        </w:rPr>
        <w:t>make progress on milestones in the year ahead</w:t>
      </w:r>
      <w:r w:rsidR="000B244C">
        <w:rPr>
          <w:rFonts w:cs="Arial"/>
          <w:sz w:val="22"/>
          <w:szCs w:val="22"/>
        </w:rPr>
        <w:t>.</w:t>
      </w:r>
      <w:r w:rsidR="0085160B" w:rsidRPr="00D4435E">
        <w:rPr>
          <w:rFonts w:cs="Arial"/>
          <w:sz w:val="22"/>
          <w:szCs w:val="22"/>
        </w:rPr>
        <w:t xml:space="preserve"> </w:t>
      </w:r>
      <w:r w:rsidR="000B244C">
        <w:rPr>
          <w:rFonts w:cs="Arial"/>
          <w:sz w:val="22"/>
          <w:szCs w:val="22"/>
        </w:rPr>
        <w:t>P</w:t>
      </w:r>
      <w:r w:rsidR="0085160B" w:rsidRPr="00D4435E">
        <w:rPr>
          <w:rFonts w:cs="Arial"/>
          <w:sz w:val="22"/>
          <w:szCs w:val="22"/>
        </w:rPr>
        <w:t>articularly</w:t>
      </w:r>
      <w:r w:rsidR="00001DEE">
        <w:rPr>
          <w:rFonts w:cs="Arial"/>
          <w:sz w:val="22"/>
          <w:szCs w:val="22"/>
        </w:rPr>
        <w:t>,</w:t>
      </w:r>
      <w:r w:rsidR="0085160B" w:rsidRPr="00D4435E">
        <w:rPr>
          <w:rFonts w:cs="Arial"/>
          <w:sz w:val="22"/>
          <w:szCs w:val="22"/>
        </w:rPr>
        <w:t xml:space="preserve"> IDB should consider the potential impacts of political factors</w:t>
      </w:r>
      <w:r w:rsidR="00B5052E">
        <w:rPr>
          <w:rFonts w:cs="Arial"/>
          <w:sz w:val="22"/>
          <w:szCs w:val="22"/>
        </w:rPr>
        <w:t xml:space="preserve"> throughout project origination</w:t>
      </w:r>
      <w:r w:rsidR="0085160B" w:rsidRPr="00D4435E">
        <w:rPr>
          <w:rFonts w:cs="Arial"/>
          <w:sz w:val="22"/>
          <w:szCs w:val="22"/>
        </w:rPr>
        <w:t xml:space="preserve"> </w:t>
      </w:r>
      <w:r w:rsidR="00D12787">
        <w:rPr>
          <w:rFonts w:cs="Arial"/>
          <w:sz w:val="22"/>
          <w:szCs w:val="22"/>
        </w:rPr>
        <w:t>IDB</w:t>
      </w:r>
      <w:r w:rsidR="00536DCE" w:rsidRPr="00D4435E">
        <w:rPr>
          <w:rFonts w:cs="Arial"/>
          <w:sz w:val="22"/>
          <w:szCs w:val="22"/>
        </w:rPr>
        <w:t xml:space="preserve"> should engage with embassy teams regarding </w:t>
      </w:r>
      <w:r w:rsidR="00844C3D">
        <w:rPr>
          <w:rFonts w:cs="Arial"/>
          <w:sz w:val="22"/>
          <w:szCs w:val="22"/>
        </w:rPr>
        <w:t>blended finance</w:t>
      </w:r>
      <w:r w:rsidR="00615EE6">
        <w:rPr>
          <w:rFonts w:cs="Arial"/>
          <w:sz w:val="22"/>
          <w:szCs w:val="22"/>
        </w:rPr>
        <w:t xml:space="preserve"> at the project and portfolio level</w:t>
      </w:r>
      <w:r w:rsidR="005B369E" w:rsidRPr="00D4435E">
        <w:rPr>
          <w:rFonts w:cs="Arial"/>
          <w:sz w:val="22"/>
          <w:szCs w:val="22"/>
        </w:rPr>
        <w:t xml:space="preserve"> to improve coordination</w:t>
      </w:r>
      <w:r w:rsidR="001875E1">
        <w:rPr>
          <w:rFonts w:cs="Arial"/>
          <w:sz w:val="22"/>
          <w:szCs w:val="22"/>
        </w:rPr>
        <w:t xml:space="preserve">. </w:t>
      </w:r>
    </w:p>
    <w:p w14:paraId="2D64C140" w14:textId="33308A69" w:rsidR="009E1DD7" w:rsidRDefault="00F40CDB" w:rsidP="00F40CDB">
      <w:pPr>
        <w:tabs>
          <w:tab w:val="left" w:pos="6915"/>
          <w:tab w:val="left" w:pos="9495"/>
        </w:tabs>
        <w:spacing w:before="120" w:after="120" w:line="276" w:lineRule="auto"/>
        <w:jc w:val="both"/>
        <w:rPr>
          <w:sz w:val="22"/>
          <w:szCs w:val="22"/>
        </w:rPr>
      </w:pPr>
      <w:r w:rsidRPr="00BB0DF5">
        <w:rPr>
          <w:rFonts w:cs="Arial"/>
          <w:b/>
          <w:sz w:val="22"/>
          <w:szCs w:val="22"/>
        </w:rPr>
        <w:t>Recommendation</w:t>
      </w:r>
      <w:r w:rsidRPr="00BB0DF5">
        <w:rPr>
          <w:b/>
          <w:sz w:val="22"/>
          <w:szCs w:val="22"/>
        </w:rPr>
        <w:t xml:space="preserve">: </w:t>
      </w:r>
      <w:r w:rsidRPr="00E722C9">
        <w:rPr>
          <w:sz w:val="22"/>
          <w:szCs w:val="22"/>
        </w:rPr>
        <w:t xml:space="preserve">BEIS and IDB should reprofile </w:t>
      </w:r>
      <w:r w:rsidR="00844C3D">
        <w:rPr>
          <w:sz w:val="22"/>
          <w:szCs w:val="22"/>
        </w:rPr>
        <w:t>blended finance</w:t>
      </w:r>
      <w:r w:rsidRPr="00E722C9">
        <w:rPr>
          <w:sz w:val="22"/>
          <w:szCs w:val="22"/>
        </w:rPr>
        <w:t xml:space="preserve"> milestones and consider whether achievement should be extended beyond the original programme completion date of 2022. To be completed by 31 </w:t>
      </w:r>
      <w:r>
        <w:rPr>
          <w:sz w:val="22"/>
          <w:szCs w:val="22"/>
        </w:rPr>
        <w:t xml:space="preserve">January </w:t>
      </w:r>
      <w:r w:rsidRPr="00E722C9">
        <w:rPr>
          <w:sz w:val="22"/>
          <w:szCs w:val="22"/>
        </w:rPr>
        <w:t>202</w:t>
      </w:r>
      <w:r>
        <w:rPr>
          <w:sz w:val="22"/>
          <w:szCs w:val="22"/>
        </w:rPr>
        <w:t>1</w:t>
      </w:r>
      <w:r w:rsidRPr="00E722C9">
        <w:rPr>
          <w:sz w:val="22"/>
          <w:szCs w:val="22"/>
        </w:rPr>
        <w:t xml:space="preserve">. </w:t>
      </w:r>
    </w:p>
    <w:p w14:paraId="2DF637B0" w14:textId="25F5412A" w:rsidR="00F40CDB" w:rsidRPr="00373026" w:rsidRDefault="00F40CDB" w:rsidP="00F40CDB">
      <w:pPr>
        <w:pBdr>
          <w:top w:val="single" w:sz="4" w:space="1" w:color="auto"/>
          <w:left w:val="single" w:sz="4" w:space="4" w:color="auto"/>
          <w:bottom w:val="single" w:sz="4" w:space="1" w:color="auto"/>
          <w:right w:val="single" w:sz="4" w:space="4" w:color="auto"/>
        </w:pBdr>
        <w:shd w:val="clear" w:color="auto" w:fill="D9E2F3" w:themeFill="accent1" w:themeFillTint="33"/>
        <w:spacing w:before="120" w:after="120" w:line="276" w:lineRule="auto"/>
        <w:jc w:val="both"/>
        <w:rPr>
          <w:rFonts w:cs="Arial"/>
          <w:bCs/>
          <w:sz w:val="22"/>
          <w:szCs w:val="22"/>
        </w:rPr>
      </w:pPr>
      <w:r w:rsidRPr="00373026">
        <w:rPr>
          <w:rFonts w:cs="Arial"/>
          <w:b/>
          <w:bCs/>
          <w:sz w:val="22"/>
          <w:szCs w:val="22"/>
        </w:rPr>
        <w:t xml:space="preserve">D: </w:t>
      </w:r>
      <w:r w:rsidRPr="00373026">
        <w:rPr>
          <w:b/>
          <w:bCs/>
          <w:sz w:val="22"/>
          <w:szCs w:val="22"/>
        </w:rPr>
        <w:t xml:space="preserve">PROJECT PERFORMANCE NOT CAPTURED BY </w:t>
      </w:r>
      <w:r w:rsidR="00844C3D">
        <w:rPr>
          <w:b/>
          <w:bCs/>
          <w:sz w:val="22"/>
          <w:szCs w:val="22"/>
        </w:rPr>
        <w:t>OUTPUT</w:t>
      </w:r>
      <w:r w:rsidRPr="00373026">
        <w:rPr>
          <w:b/>
          <w:bCs/>
          <w:sz w:val="22"/>
          <w:szCs w:val="22"/>
        </w:rPr>
        <w:t xml:space="preserve">S </w:t>
      </w:r>
    </w:p>
    <w:p w14:paraId="79AE3919" w14:textId="6B65A8A1" w:rsidR="006B18A0" w:rsidRDefault="006B18A0" w:rsidP="00F40CDB">
      <w:pPr>
        <w:spacing w:before="120" w:after="120" w:line="276" w:lineRule="auto"/>
        <w:jc w:val="both"/>
        <w:rPr>
          <w:rFonts w:cs="Arial"/>
          <w:bCs/>
          <w:sz w:val="22"/>
          <w:szCs w:val="22"/>
        </w:rPr>
      </w:pPr>
      <w:r>
        <w:rPr>
          <w:rFonts w:cs="Arial"/>
          <w:bCs/>
          <w:sz w:val="22"/>
          <w:szCs w:val="22"/>
        </w:rPr>
        <w:t>There ha</w:t>
      </w:r>
      <w:r w:rsidR="00A00B7D">
        <w:rPr>
          <w:rFonts w:cs="Arial"/>
          <w:bCs/>
          <w:sz w:val="22"/>
          <w:szCs w:val="22"/>
        </w:rPr>
        <w:t>ve</w:t>
      </w:r>
      <w:r>
        <w:rPr>
          <w:rFonts w:cs="Arial"/>
          <w:bCs/>
          <w:sz w:val="22"/>
          <w:szCs w:val="22"/>
        </w:rPr>
        <w:t xml:space="preserve"> been </w:t>
      </w:r>
      <w:r w:rsidR="006140A7">
        <w:rPr>
          <w:rFonts w:cs="Arial"/>
          <w:bCs/>
          <w:sz w:val="22"/>
          <w:szCs w:val="22"/>
        </w:rPr>
        <w:t xml:space="preserve">a number of additional benefits </w:t>
      </w:r>
      <w:r w:rsidR="005119EC">
        <w:rPr>
          <w:rFonts w:cs="Arial"/>
          <w:bCs/>
          <w:sz w:val="22"/>
          <w:szCs w:val="22"/>
        </w:rPr>
        <w:t xml:space="preserve">realised </w:t>
      </w:r>
      <w:r w:rsidR="006140A7">
        <w:rPr>
          <w:rFonts w:cs="Arial"/>
          <w:bCs/>
          <w:sz w:val="22"/>
          <w:szCs w:val="22"/>
        </w:rPr>
        <w:t xml:space="preserve">over the review period </w:t>
      </w:r>
      <w:r w:rsidR="005119EC">
        <w:rPr>
          <w:rFonts w:cs="Arial"/>
          <w:bCs/>
          <w:sz w:val="22"/>
          <w:szCs w:val="22"/>
        </w:rPr>
        <w:t xml:space="preserve">which sit </w:t>
      </w:r>
      <w:r w:rsidR="006140A7">
        <w:rPr>
          <w:rFonts w:cs="Arial"/>
          <w:bCs/>
          <w:sz w:val="22"/>
          <w:szCs w:val="22"/>
        </w:rPr>
        <w:t xml:space="preserve">outside of the </w:t>
      </w:r>
      <w:r w:rsidR="00844C3D">
        <w:rPr>
          <w:rFonts w:cs="Arial"/>
          <w:bCs/>
          <w:sz w:val="22"/>
          <w:szCs w:val="22"/>
        </w:rPr>
        <w:t>log frame</w:t>
      </w:r>
      <w:r w:rsidR="005119EC">
        <w:rPr>
          <w:rFonts w:cs="Arial"/>
          <w:bCs/>
          <w:sz w:val="22"/>
          <w:szCs w:val="22"/>
        </w:rPr>
        <w:t xml:space="preserve"> </w:t>
      </w:r>
      <w:r w:rsidR="008C77B2">
        <w:rPr>
          <w:rFonts w:cs="Arial"/>
          <w:bCs/>
          <w:sz w:val="22"/>
          <w:szCs w:val="22"/>
        </w:rPr>
        <w:t>o</w:t>
      </w:r>
      <w:r w:rsidR="00844C3D">
        <w:rPr>
          <w:rFonts w:cs="Arial"/>
          <w:bCs/>
          <w:sz w:val="22"/>
          <w:szCs w:val="22"/>
        </w:rPr>
        <w:t>utput</w:t>
      </w:r>
      <w:r w:rsidR="006140A7">
        <w:rPr>
          <w:rFonts w:cs="Arial"/>
          <w:bCs/>
          <w:sz w:val="22"/>
          <w:szCs w:val="22"/>
        </w:rPr>
        <w:t>s</w:t>
      </w:r>
      <w:r w:rsidR="000F72EC">
        <w:rPr>
          <w:rFonts w:cs="Arial"/>
          <w:bCs/>
          <w:sz w:val="22"/>
          <w:szCs w:val="22"/>
        </w:rPr>
        <w:t xml:space="preserve">. </w:t>
      </w:r>
      <w:r w:rsidR="00E85666">
        <w:rPr>
          <w:rFonts w:cs="Arial"/>
          <w:bCs/>
          <w:sz w:val="22"/>
          <w:szCs w:val="22"/>
        </w:rPr>
        <w:t>Coordinated and complementary</w:t>
      </w:r>
      <w:r w:rsidR="000F72EC">
        <w:rPr>
          <w:rFonts w:cs="Arial"/>
          <w:bCs/>
          <w:sz w:val="22"/>
          <w:szCs w:val="22"/>
        </w:rPr>
        <w:t xml:space="preserve"> interventions between </w:t>
      </w:r>
      <w:r w:rsidR="00645A6D">
        <w:rPr>
          <w:rFonts w:cs="Arial"/>
          <w:bCs/>
          <w:sz w:val="22"/>
          <w:szCs w:val="22"/>
        </w:rPr>
        <w:t>SIP-LA</w:t>
      </w:r>
      <w:r w:rsidR="00E85666">
        <w:rPr>
          <w:rFonts w:cs="Arial"/>
          <w:bCs/>
          <w:sz w:val="22"/>
          <w:szCs w:val="22"/>
        </w:rPr>
        <w:t xml:space="preserve"> and UK PACT enabled the first successful renewable energy auction in Colombia</w:t>
      </w:r>
      <w:r w:rsidR="008B0F70">
        <w:rPr>
          <w:rFonts w:cs="Arial"/>
          <w:bCs/>
          <w:sz w:val="22"/>
          <w:szCs w:val="22"/>
        </w:rPr>
        <w:t>.</w:t>
      </w:r>
      <w:r w:rsidR="00CF3C82">
        <w:rPr>
          <w:rFonts w:cs="Arial"/>
          <w:bCs/>
          <w:sz w:val="22"/>
          <w:szCs w:val="22"/>
        </w:rPr>
        <w:t xml:space="preserve"> </w:t>
      </w:r>
      <w:r w:rsidR="008B0F70">
        <w:rPr>
          <w:rFonts w:cs="Arial"/>
          <w:bCs/>
          <w:sz w:val="22"/>
          <w:szCs w:val="22"/>
        </w:rPr>
        <w:t>T</w:t>
      </w:r>
      <w:r w:rsidR="00CF3C82">
        <w:rPr>
          <w:rFonts w:cs="Arial"/>
          <w:bCs/>
          <w:sz w:val="22"/>
          <w:szCs w:val="22"/>
        </w:rPr>
        <w:t>his</w:t>
      </w:r>
      <w:r w:rsidR="008B0F70">
        <w:rPr>
          <w:rFonts w:cs="Arial"/>
          <w:bCs/>
          <w:sz w:val="22"/>
          <w:szCs w:val="22"/>
        </w:rPr>
        <w:t>,</w:t>
      </w:r>
      <w:r w:rsidR="00CF3C82">
        <w:rPr>
          <w:rFonts w:cs="Arial"/>
          <w:bCs/>
          <w:sz w:val="22"/>
          <w:szCs w:val="22"/>
        </w:rPr>
        <w:t xml:space="preserve"> in turn</w:t>
      </w:r>
      <w:r w:rsidR="008B0F70">
        <w:rPr>
          <w:rFonts w:cs="Arial"/>
          <w:bCs/>
          <w:sz w:val="22"/>
          <w:szCs w:val="22"/>
        </w:rPr>
        <w:t>,</w:t>
      </w:r>
      <w:r w:rsidR="00CF3C82">
        <w:rPr>
          <w:rFonts w:cs="Arial"/>
          <w:bCs/>
          <w:sz w:val="22"/>
          <w:szCs w:val="22"/>
        </w:rPr>
        <w:t xml:space="preserve"> increased the UK’s visibility </w:t>
      </w:r>
      <w:r w:rsidR="00695256">
        <w:rPr>
          <w:rFonts w:cs="Arial"/>
          <w:bCs/>
          <w:sz w:val="22"/>
          <w:szCs w:val="22"/>
        </w:rPr>
        <w:t xml:space="preserve">through </w:t>
      </w:r>
      <w:r w:rsidR="00A164D7">
        <w:rPr>
          <w:rFonts w:cs="Arial"/>
          <w:bCs/>
          <w:sz w:val="22"/>
          <w:szCs w:val="22"/>
        </w:rPr>
        <w:t xml:space="preserve">the UK-Colombia </w:t>
      </w:r>
      <w:r w:rsidR="00001DEE">
        <w:rPr>
          <w:rFonts w:cs="Arial"/>
          <w:bCs/>
          <w:sz w:val="22"/>
          <w:szCs w:val="22"/>
        </w:rPr>
        <w:t>C</w:t>
      </w:r>
      <w:r w:rsidR="00A164D7">
        <w:rPr>
          <w:rFonts w:cs="Arial"/>
          <w:bCs/>
          <w:sz w:val="22"/>
          <w:szCs w:val="22"/>
        </w:rPr>
        <w:t xml:space="preserve">limate </w:t>
      </w:r>
      <w:r w:rsidR="00001DEE">
        <w:rPr>
          <w:rFonts w:cs="Arial"/>
          <w:bCs/>
          <w:sz w:val="22"/>
          <w:szCs w:val="22"/>
        </w:rPr>
        <w:t>P</w:t>
      </w:r>
      <w:r w:rsidR="00A164D7">
        <w:rPr>
          <w:rFonts w:cs="Arial"/>
          <w:bCs/>
          <w:sz w:val="22"/>
          <w:szCs w:val="22"/>
        </w:rPr>
        <w:t xml:space="preserve">artnership. </w:t>
      </w:r>
      <w:r w:rsidR="00001DEE">
        <w:rPr>
          <w:rFonts w:cs="Arial"/>
          <w:bCs/>
          <w:sz w:val="22"/>
          <w:szCs w:val="22"/>
        </w:rPr>
        <w:t>S</w:t>
      </w:r>
      <w:r w:rsidR="00A164D7">
        <w:rPr>
          <w:rFonts w:cs="Arial"/>
          <w:bCs/>
          <w:sz w:val="22"/>
          <w:szCs w:val="22"/>
        </w:rPr>
        <w:t>IP</w:t>
      </w:r>
      <w:r w:rsidR="00001DEE">
        <w:rPr>
          <w:rFonts w:cs="Arial"/>
          <w:bCs/>
          <w:sz w:val="22"/>
          <w:szCs w:val="22"/>
        </w:rPr>
        <w:t>-LA</w:t>
      </w:r>
      <w:r w:rsidR="00A164D7">
        <w:rPr>
          <w:rFonts w:cs="Arial"/>
          <w:bCs/>
          <w:sz w:val="22"/>
          <w:szCs w:val="22"/>
        </w:rPr>
        <w:t xml:space="preserve"> also received </w:t>
      </w:r>
      <w:r w:rsidR="00F4690B">
        <w:rPr>
          <w:rFonts w:cs="Arial"/>
          <w:bCs/>
          <w:sz w:val="22"/>
          <w:szCs w:val="22"/>
        </w:rPr>
        <w:t>good visibility at COP25</w:t>
      </w:r>
      <w:r w:rsidR="003365F4">
        <w:rPr>
          <w:rFonts w:cs="Arial"/>
          <w:bCs/>
          <w:sz w:val="22"/>
          <w:szCs w:val="22"/>
        </w:rPr>
        <w:t>.</w:t>
      </w:r>
      <w:r w:rsidR="00F4690B">
        <w:rPr>
          <w:rFonts w:cs="Arial"/>
          <w:bCs/>
          <w:sz w:val="22"/>
          <w:szCs w:val="22"/>
        </w:rPr>
        <w:t xml:space="preserve"> </w:t>
      </w:r>
      <w:r w:rsidR="003365F4">
        <w:rPr>
          <w:rFonts w:cs="Arial"/>
          <w:bCs/>
          <w:sz w:val="22"/>
          <w:szCs w:val="22"/>
        </w:rPr>
        <w:t>P</w:t>
      </w:r>
      <w:r w:rsidR="009E4BB2">
        <w:rPr>
          <w:rFonts w:cs="Arial"/>
          <w:bCs/>
          <w:sz w:val="22"/>
          <w:szCs w:val="22"/>
        </w:rPr>
        <w:t xml:space="preserve">rivate sector </w:t>
      </w:r>
      <w:r w:rsidR="008C77B2">
        <w:rPr>
          <w:rFonts w:cs="Arial"/>
          <w:bCs/>
          <w:sz w:val="22"/>
          <w:szCs w:val="22"/>
        </w:rPr>
        <w:t>technical assistance</w:t>
      </w:r>
      <w:r w:rsidR="008B0F70">
        <w:rPr>
          <w:rFonts w:cs="Arial"/>
          <w:bCs/>
          <w:sz w:val="22"/>
          <w:szCs w:val="22"/>
        </w:rPr>
        <w:t>,</w:t>
      </w:r>
      <w:r w:rsidR="009E4BB2">
        <w:rPr>
          <w:rFonts w:cs="Arial"/>
          <w:bCs/>
          <w:sz w:val="22"/>
          <w:szCs w:val="22"/>
        </w:rPr>
        <w:t xml:space="preserve"> delivered </w:t>
      </w:r>
      <w:r w:rsidR="003365F4">
        <w:rPr>
          <w:rFonts w:cs="Arial"/>
          <w:bCs/>
          <w:sz w:val="22"/>
          <w:szCs w:val="22"/>
        </w:rPr>
        <w:t>through advisory services</w:t>
      </w:r>
      <w:r w:rsidR="008B0F70">
        <w:rPr>
          <w:rFonts w:cs="Arial"/>
          <w:bCs/>
          <w:sz w:val="22"/>
          <w:szCs w:val="22"/>
        </w:rPr>
        <w:t>,</w:t>
      </w:r>
      <w:r w:rsidR="003365F4">
        <w:rPr>
          <w:rFonts w:cs="Arial"/>
          <w:bCs/>
          <w:sz w:val="22"/>
          <w:szCs w:val="22"/>
        </w:rPr>
        <w:t xml:space="preserve"> supported the sustainable infrastructure agenda at </w:t>
      </w:r>
      <w:r w:rsidR="00A73ED0">
        <w:rPr>
          <w:rFonts w:cs="Arial"/>
          <w:bCs/>
          <w:sz w:val="22"/>
          <w:szCs w:val="22"/>
        </w:rPr>
        <w:t>the event.</w:t>
      </w:r>
    </w:p>
    <w:tbl>
      <w:tblPr>
        <w:tblStyle w:val="TableGrid"/>
        <w:tblW w:w="0" w:type="auto"/>
        <w:tblLook w:val="04A0" w:firstRow="1" w:lastRow="0" w:firstColumn="1" w:lastColumn="0" w:noHBand="0" w:noVBand="1"/>
      </w:tblPr>
      <w:tblGrid>
        <w:gridCol w:w="4577"/>
        <w:gridCol w:w="5879"/>
      </w:tblGrid>
      <w:tr w:rsidR="00605AC9" w:rsidRPr="003E113C" w14:paraId="3AA65126" w14:textId="77777777" w:rsidTr="00605AC9">
        <w:tc>
          <w:tcPr>
            <w:tcW w:w="4577" w:type="dxa"/>
          </w:tcPr>
          <w:p w14:paraId="5BD59D14" w14:textId="434039DF" w:rsidR="00605AC9" w:rsidRPr="003E113C" w:rsidRDefault="00605AC9" w:rsidP="00AC6416">
            <w:pPr>
              <w:spacing w:before="120" w:after="120" w:line="276" w:lineRule="auto"/>
              <w:jc w:val="both"/>
              <w:rPr>
                <w:rFonts w:cs="Arial"/>
                <w:bCs/>
                <w:sz w:val="22"/>
                <w:szCs w:val="22"/>
              </w:rPr>
            </w:pPr>
            <w:r w:rsidRPr="003E113C">
              <w:rPr>
                <w:rFonts w:cs="Arial"/>
                <w:b/>
                <w:sz w:val="22"/>
                <w:szCs w:val="22"/>
              </w:rPr>
              <w:t>Visibility and coordination in</w:t>
            </w:r>
            <w:r w:rsidRPr="003E113C">
              <w:rPr>
                <w:rFonts w:cs="Arial"/>
                <w:bCs/>
                <w:sz w:val="22"/>
                <w:szCs w:val="22"/>
              </w:rPr>
              <w:t xml:space="preserve"> </w:t>
            </w:r>
            <w:r w:rsidRPr="003E113C">
              <w:rPr>
                <w:rFonts w:cs="Arial"/>
                <w:b/>
                <w:sz w:val="22"/>
                <w:szCs w:val="22"/>
              </w:rPr>
              <w:t>Colombia</w:t>
            </w:r>
          </w:p>
        </w:tc>
        <w:tc>
          <w:tcPr>
            <w:tcW w:w="5879" w:type="dxa"/>
          </w:tcPr>
          <w:p w14:paraId="6EB13536" w14:textId="6E6CC2CC" w:rsidR="006300EF" w:rsidRDefault="00605AC9" w:rsidP="00AC6416">
            <w:pPr>
              <w:spacing w:before="120" w:after="120" w:line="276" w:lineRule="auto"/>
              <w:jc w:val="both"/>
              <w:rPr>
                <w:rFonts w:cs="Arial"/>
                <w:bCs/>
                <w:sz w:val="22"/>
                <w:szCs w:val="22"/>
              </w:rPr>
            </w:pPr>
            <w:r w:rsidRPr="003E113C">
              <w:rPr>
                <w:rFonts w:cs="Arial"/>
                <w:bCs/>
                <w:sz w:val="22"/>
                <w:szCs w:val="22"/>
              </w:rPr>
              <w:t>Colombia was the first country to sign a climate partnership with the UK. In June 2019, the UK and Colombia signed a Partnership for Sustainable Growth. It aims at accelerating efforts to reduce greenhouse gas emissions and improving efforts on resilience, to secure sustainable and low carbon development in line with</w:t>
            </w:r>
            <w:r w:rsidR="008B0F70">
              <w:rPr>
                <w:rFonts w:cs="Arial"/>
                <w:bCs/>
                <w:sz w:val="22"/>
                <w:szCs w:val="22"/>
              </w:rPr>
              <w:t xml:space="preserve"> the</w:t>
            </w:r>
            <w:r w:rsidRPr="003E113C">
              <w:rPr>
                <w:rFonts w:cs="Arial"/>
                <w:bCs/>
                <w:sz w:val="22"/>
                <w:szCs w:val="22"/>
              </w:rPr>
              <w:t xml:space="preserve"> Paris Agreement. SIP-LA has both assisted in the delivery of this partnership and received increased visibility through the partnerships activities in 2019, notably </w:t>
            </w:r>
            <w:r w:rsidR="00645A6D">
              <w:rPr>
                <w:rFonts w:cs="Arial"/>
                <w:bCs/>
                <w:sz w:val="22"/>
                <w:szCs w:val="22"/>
              </w:rPr>
              <w:t>SIP-LA</w:t>
            </w:r>
            <w:r w:rsidRPr="003E113C">
              <w:rPr>
                <w:rFonts w:cs="Arial"/>
                <w:bCs/>
                <w:sz w:val="22"/>
                <w:szCs w:val="22"/>
              </w:rPr>
              <w:t xml:space="preserve"> has been used to promote private sector involvement at national and international level to enhance and accelerate the partnerships objectives. There are three areas of focus within the UK-Colombia partnership, one of which is to develop an energy transition vision. </w:t>
            </w:r>
          </w:p>
          <w:p w14:paraId="1B7034CD" w14:textId="54D43C4E" w:rsidR="00605AC9" w:rsidRPr="003E113C" w:rsidRDefault="00645A6D" w:rsidP="00AC6416">
            <w:pPr>
              <w:spacing w:before="120" w:after="120" w:line="276" w:lineRule="auto"/>
              <w:jc w:val="both"/>
              <w:rPr>
                <w:rFonts w:cs="Arial"/>
                <w:bCs/>
                <w:sz w:val="22"/>
                <w:szCs w:val="22"/>
              </w:rPr>
            </w:pPr>
            <w:r>
              <w:rPr>
                <w:rFonts w:cs="Arial"/>
                <w:bCs/>
                <w:sz w:val="22"/>
                <w:szCs w:val="22"/>
              </w:rPr>
              <w:t>SIP-LA</w:t>
            </w:r>
            <w:r w:rsidR="00605AC9" w:rsidRPr="003E113C">
              <w:rPr>
                <w:rFonts w:cs="Arial"/>
                <w:bCs/>
                <w:sz w:val="22"/>
                <w:szCs w:val="22"/>
              </w:rPr>
              <w:t xml:space="preserve"> received relevant visibility by key stakeholders within the sector by providing </w:t>
            </w:r>
            <w:r w:rsidR="008C77B2">
              <w:rPr>
                <w:rFonts w:cs="Arial"/>
                <w:bCs/>
                <w:sz w:val="22"/>
                <w:szCs w:val="22"/>
              </w:rPr>
              <w:t>technical assistance</w:t>
            </w:r>
            <w:r w:rsidR="00605AC9" w:rsidRPr="003E113C">
              <w:rPr>
                <w:rFonts w:cs="Arial"/>
                <w:bCs/>
                <w:sz w:val="22"/>
                <w:szCs w:val="22"/>
              </w:rPr>
              <w:t xml:space="preserve"> to support the design of the 2019 non-conventional renewable energy auctions. This </w:t>
            </w:r>
            <w:r w:rsidR="008C77B2">
              <w:rPr>
                <w:rFonts w:cs="Arial"/>
                <w:bCs/>
                <w:sz w:val="22"/>
                <w:szCs w:val="22"/>
              </w:rPr>
              <w:t>technical assistance</w:t>
            </w:r>
            <w:r w:rsidR="00605AC9" w:rsidRPr="003E113C">
              <w:rPr>
                <w:rFonts w:cs="Arial"/>
                <w:bCs/>
                <w:sz w:val="22"/>
                <w:szCs w:val="22"/>
              </w:rPr>
              <w:t xml:space="preserve"> has since enabled Colombia to successfully complete the renewable energy auction</w:t>
            </w:r>
            <w:r w:rsidR="00651250">
              <w:rPr>
                <w:rFonts w:cs="Arial"/>
                <w:bCs/>
                <w:sz w:val="22"/>
                <w:szCs w:val="22"/>
              </w:rPr>
              <w:t>.</w:t>
            </w:r>
          </w:p>
        </w:tc>
      </w:tr>
    </w:tbl>
    <w:p w14:paraId="2871169D" w14:textId="77777777" w:rsidR="00651250" w:rsidRDefault="00651250" w:rsidP="005A0D7B">
      <w:pPr>
        <w:spacing w:before="120" w:after="120" w:line="276" w:lineRule="auto"/>
        <w:jc w:val="both"/>
        <w:rPr>
          <w:b/>
          <w:sz w:val="22"/>
          <w:szCs w:val="22"/>
          <w:lang w:val="en"/>
        </w:rPr>
      </w:pPr>
    </w:p>
    <w:p w14:paraId="0312A70E" w14:textId="77777777" w:rsidR="00651250" w:rsidRDefault="00651250" w:rsidP="005A0D7B">
      <w:pPr>
        <w:spacing w:before="120" w:after="120" w:line="276" w:lineRule="auto"/>
        <w:jc w:val="both"/>
        <w:rPr>
          <w:b/>
          <w:sz w:val="22"/>
          <w:szCs w:val="22"/>
          <w:lang w:val="en"/>
        </w:rPr>
      </w:pPr>
    </w:p>
    <w:p w14:paraId="3203F0C8" w14:textId="157D4D7E" w:rsidR="005A0D7B" w:rsidRPr="005A0D7B" w:rsidRDefault="005A0D7B" w:rsidP="005A0D7B">
      <w:pPr>
        <w:spacing w:before="120" w:after="120" w:line="276" w:lineRule="auto"/>
        <w:jc w:val="both"/>
        <w:rPr>
          <w:bCs/>
          <w:sz w:val="22"/>
          <w:szCs w:val="22"/>
          <w:lang w:val="en"/>
        </w:rPr>
      </w:pPr>
      <w:r w:rsidRPr="005A0D7B">
        <w:rPr>
          <w:b/>
          <w:sz w:val="22"/>
          <w:szCs w:val="22"/>
          <w:lang w:val="en"/>
        </w:rPr>
        <w:lastRenderedPageBreak/>
        <w:t>Recommendation:</w:t>
      </w:r>
      <w:r w:rsidRPr="005A0D7B">
        <w:rPr>
          <w:bCs/>
          <w:sz w:val="22"/>
          <w:szCs w:val="22"/>
          <w:lang w:val="en"/>
        </w:rPr>
        <w:t xml:space="preserve"> IDB should use the evidence from the Baseline evaluation report to inform </w:t>
      </w:r>
      <w:r w:rsidR="008C77B2">
        <w:rPr>
          <w:bCs/>
          <w:sz w:val="22"/>
          <w:szCs w:val="22"/>
          <w:lang w:val="en"/>
        </w:rPr>
        <w:t>technical assistance</w:t>
      </w:r>
      <w:r w:rsidRPr="005A0D7B">
        <w:rPr>
          <w:bCs/>
          <w:sz w:val="22"/>
          <w:szCs w:val="22"/>
          <w:lang w:val="en"/>
        </w:rPr>
        <w:t xml:space="preserve"> and </w:t>
      </w:r>
      <w:r w:rsidR="00844C3D">
        <w:rPr>
          <w:bCs/>
          <w:sz w:val="22"/>
          <w:szCs w:val="22"/>
          <w:lang w:val="en"/>
        </w:rPr>
        <w:t>blended finance</w:t>
      </w:r>
      <w:r w:rsidRPr="005A0D7B">
        <w:rPr>
          <w:bCs/>
          <w:sz w:val="22"/>
          <w:szCs w:val="22"/>
          <w:lang w:val="en"/>
        </w:rPr>
        <w:t xml:space="preserve"> programming and reference this in proposals presented to BEIS, effective immediately. </w:t>
      </w:r>
    </w:p>
    <w:p w14:paraId="5C38EBA4" w14:textId="7348D150" w:rsidR="005A0D7B" w:rsidRPr="005A0D7B" w:rsidRDefault="005A0D7B" w:rsidP="005A0D7B">
      <w:pPr>
        <w:spacing w:before="120" w:after="120" w:line="276" w:lineRule="auto"/>
        <w:jc w:val="both"/>
        <w:rPr>
          <w:bCs/>
          <w:sz w:val="22"/>
          <w:szCs w:val="22"/>
          <w:lang w:val="en"/>
        </w:rPr>
      </w:pPr>
      <w:r w:rsidRPr="005A0D7B">
        <w:rPr>
          <w:b/>
          <w:sz w:val="22"/>
          <w:szCs w:val="22"/>
          <w:lang w:val="en"/>
        </w:rPr>
        <w:t>Recommendation:</w:t>
      </w:r>
      <w:r w:rsidRPr="005A0D7B">
        <w:rPr>
          <w:bCs/>
          <w:sz w:val="22"/>
          <w:szCs w:val="22"/>
          <w:lang w:val="en"/>
        </w:rPr>
        <w:t xml:space="preserve"> IDB should complete the process of commissioning a communication strategy for UK branding, visibility, and positioning by 31 December 2020.</w:t>
      </w:r>
    </w:p>
    <w:p w14:paraId="009C83AE" w14:textId="71EEE20A" w:rsidR="00F40CDB" w:rsidRDefault="005A0D7B" w:rsidP="005A0D7B">
      <w:pPr>
        <w:spacing w:before="120" w:after="120" w:line="276" w:lineRule="auto"/>
        <w:jc w:val="both"/>
        <w:rPr>
          <w:bCs/>
          <w:sz w:val="22"/>
          <w:szCs w:val="22"/>
          <w:lang w:val="en"/>
        </w:rPr>
      </w:pPr>
      <w:r w:rsidRPr="005A0D7B">
        <w:rPr>
          <w:b/>
          <w:sz w:val="22"/>
          <w:szCs w:val="22"/>
          <w:lang w:val="en"/>
        </w:rPr>
        <w:t>Recommendation:</w:t>
      </w:r>
      <w:r w:rsidRPr="005A0D7B">
        <w:rPr>
          <w:bCs/>
          <w:sz w:val="22"/>
          <w:szCs w:val="22"/>
          <w:lang w:val="en"/>
        </w:rPr>
        <w:t xml:space="preserve"> BEIS should draft a timeframe and plan for the execution of the programme’s evaluation activities and IDB should approve this by 31 December 2020.</w:t>
      </w:r>
    </w:p>
    <w:p w14:paraId="74628800" w14:textId="0D84C2F8" w:rsidR="00CF4CBB" w:rsidRDefault="00CF4CBB" w:rsidP="005A0D7B">
      <w:pPr>
        <w:spacing w:before="120" w:after="120" w:line="276" w:lineRule="auto"/>
        <w:jc w:val="both"/>
        <w:rPr>
          <w:bCs/>
          <w:sz w:val="22"/>
          <w:szCs w:val="22"/>
          <w:lang w:val="en"/>
        </w:rPr>
      </w:pPr>
      <w:r>
        <w:rPr>
          <w:b/>
          <w:sz w:val="22"/>
          <w:szCs w:val="22"/>
          <w:lang w:val="en"/>
        </w:rPr>
        <w:t xml:space="preserve">Recommendation: </w:t>
      </w:r>
      <w:r w:rsidRPr="00B624DC">
        <w:rPr>
          <w:bCs/>
          <w:sz w:val="22"/>
          <w:szCs w:val="22"/>
          <w:lang w:val="en"/>
        </w:rPr>
        <w:t xml:space="preserve">BEIS and IDB should monitor the impact of </w:t>
      </w:r>
      <w:r w:rsidR="00844C3D">
        <w:rPr>
          <w:bCs/>
          <w:sz w:val="22"/>
          <w:szCs w:val="22"/>
          <w:lang w:val="en"/>
        </w:rPr>
        <w:t>COVID-19</w:t>
      </w:r>
      <w:r w:rsidRPr="00B624DC">
        <w:rPr>
          <w:bCs/>
          <w:sz w:val="22"/>
          <w:szCs w:val="22"/>
          <w:lang w:val="en"/>
        </w:rPr>
        <w:t xml:space="preserve"> on programme delivery </w:t>
      </w:r>
      <w:r w:rsidR="003C3CBA" w:rsidRPr="00B624DC">
        <w:rPr>
          <w:bCs/>
          <w:sz w:val="22"/>
          <w:szCs w:val="22"/>
          <w:lang w:val="en"/>
        </w:rPr>
        <w:t xml:space="preserve">in monthly programming meetings effective immediately. </w:t>
      </w:r>
    </w:p>
    <w:p w14:paraId="0F0170FE" w14:textId="77777777" w:rsidR="00B624DC" w:rsidRPr="00B624DC" w:rsidRDefault="00B624DC" w:rsidP="005A0D7B">
      <w:pPr>
        <w:spacing w:before="120" w:after="120" w:line="276" w:lineRule="auto"/>
        <w:jc w:val="both"/>
        <w:rPr>
          <w:bCs/>
          <w:sz w:val="22"/>
          <w:szCs w:val="22"/>
          <w:lang w:val="en"/>
        </w:rPr>
      </w:pPr>
    </w:p>
    <w:p w14:paraId="67DC3421" w14:textId="730D0014" w:rsidR="00F40CDB" w:rsidRPr="00373026" w:rsidRDefault="00F40CDB" w:rsidP="00F40CDB">
      <w:pPr>
        <w:pBdr>
          <w:top w:val="single" w:sz="4" w:space="1" w:color="auto"/>
          <w:left w:val="single" w:sz="4" w:space="4" w:color="auto"/>
          <w:bottom w:val="single" w:sz="4" w:space="1" w:color="auto"/>
          <w:right w:val="single" w:sz="4" w:space="4" w:color="auto"/>
        </w:pBdr>
        <w:shd w:val="clear" w:color="auto" w:fill="D9E2F3" w:themeFill="accent1" w:themeFillTint="33"/>
        <w:spacing w:before="120" w:after="120" w:line="276" w:lineRule="auto"/>
        <w:jc w:val="both"/>
        <w:rPr>
          <w:rFonts w:cs="Arial"/>
          <w:bCs/>
          <w:sz w:val="22"/>
          <w:szCs w:val="22"/>
        </w:rPr>
      </w:pPr>
      <w:r w:rsidRPr="00373026">
        <w:rPr>
          <w:rFonts w:cs="Arial"/>
          <w:b/>
          <w:bCs/>
          <w:sz w:val="22"/>
          <w:szCs w:val="22"/>
        </w:rPr>
        <w:t xml:space="preserve">E: RISK </w:t>
      </w:r>
    </w:p>
    <w:p w14:paraId="030A9BC8" w14:textId="23EF90DE" w:rsidR="00F40CDB" w:rsidRPr="00373026" w:rsidRDefault="00F40CDB" w:rsidP="00F40CDB">
      <w:pPr>
        <w:spacing w:before="120" w:after="120" w:line="276" w:lineRule="auto"/>
        <w:contextualSpacing/>
        <w:jc w:val="both"/>
        <w:rPr>
          <w:rFonts w:cs="Arial"/>
          <w:b/>
          <w:sz w:val="22"/>
          <w:szCs w:val="22"/>
        </w:rPr>
      </w:pPr>
      <w:r w:rsidRPr="00373026">
        <w:rPr>
          <w:rFonts w:cs="Arial"/>
          <w:b/>
          <w:bCs/>
          <w:sz w:val="22"/>
          <w:szCs w:val="22"/>
        </w:rPr>
        <w:t>Overall risk rating:  M</w:t>
      </w:r>
      <w:r>
        <w:rPr>
          <w:rFonts w:cs="Arial"/>
          <w:b/>
          <w:bCs/>
          <w:sz w:val="22"/>
          <w:szCs w:val="22"/>
        </w:rPr>
        <w:t>ajor</w:t>
      </w:r>
    </w:p>
    <w:p w14:paraId="13570994" w14:textId="5387A4C8" w:rsidR="00F40CDB" w:rsidRPr="00373026" w:rsidRDefault="00F40CDB" w:rsidP="00F40CDB">
      <w:pPr>
        <w:spacing w:before="120" w:after="120" w:line="276" w:lineRule="auto"/>
        <w:jc w:val="both"/>
        <w:rPr>
          <w:rFonts w:cs="Arial"/>
          <w:bCs/>
          <w:sz w:val="22"/>
          <w:szCs w:val="22"/>
        </w:rPr>
      </w:pPr>
      <w:r w:rsidRPr="00373026">
        <w:rPr>
          <w:rFonts w:cs="Arial"/>
          <w:bCs/>
          <w:sz w:val="22"/>
          <w:szCs w:val="22"/>
        </w:rPr>
        <w:t>Over this review period</w:t>
      </w:r>
      <w:r w:rsidR="00144E87">
        <w:rPr>
          <w:rFonts w:cs="Arial"/>
          <w:bCs/>
          <w:sz w:val="22"/>
          <w:szCs w:val="22"/>
        </w:rPr>
        <w:t>,</w:t>
      </w:r>
      <w:r w:rsidRPr="00373026">
        <w:rPr>
          <w:rFonts w:cs="Arial"/>
          <w:bCs/>
          <w:sz w:val="22"/>
          <w:szCs w:val="22"/>
        </w:rPr>
        <w:t xml:space="preserve"> BEIS has monitored the following risks closely</w:t>
      </w:r>
      <w:r>
        <w:rPr>
          <w:rFonts w:cs="Arial"/>
          <w:bCs/>
          <w:sz w:val="22"/>
          <w:szCs w:val="22"/>
        </w:rPr>
        <w:t>:</w:t>
      </w:r>
    </w:p>
    <w:tbl>
      <w:tblPr>
        <w:tblStyle w:val="TableGrid"/>
        <w:tblW w:w="5000" w:type="pct"/>
        <w:jc w:val="center"/>
        <w:tblLook w:val="04A0" w:firstRow="1" w:lastRow="0" w:firstColumn="1" w:lastColumn="0" w:noHBand="0" w:noVBand="1"/>
      </w:tblPr>
      <w:tblGrid>
        <w:gridCol w:w="1206"/>
        <w:gridCol w:w="2518"/>
        <w:gridCol w:w="3206"/>
        <w:gridCol w:w="1558"/>
        <w:gridCol w:w="1968"/>
      </w:tblGrid>
      <w:tr w:rsidR="00314266" w:rsidRPr="00A67200" w14:paraId="321B3028" w14:textId="7E64E6D5" w:rsidTr="00BC7F10">
        <w:trPr>
          <w:trHeight w:val="712"/>
          <w:jc w:val="center"/>
        </w:trPr>
        <w:tc>
          <w:tcPr>
            <w:tcW w:w="577" w:type="pct"/>
            <w:shd w:val="clear" w:color="auto" w:fill="D9E2F3" w:themeFill="accent1" w:themeFillTint="33"/>
          </w:tcPr>
          <w:p w14:paraId="0F844DBC" w14:textId="77777777" w:rsidR="00D81C49" w:rsidRPr="00E752D3" w:rsidRDefault="00D81C49" w:rsidP="00191418">
            <w:pPr>
              <w:spacing w:before="120" w:after="120" w:line="276" w:lineRule="auto"/>
              <w:contextualSpacing/>
              <w:rPr>
                <w:rFonts w:cs="Arial"/>
                <w:b/>
                <w:bCs/>
                <w:sz w:val="20"/>
                <w:szCs w:val="20"/>
              </w:rPr>
            </w:pPr>
            <w:r>
              <w:rPr>
                <w:rFonts w:cs="Arial"/>
                <w:b/>
                <w:bCs/>
                <w:sz w:val="20"/>
                <w:szCs w:val="20"/>
              </w:rPr>
              <w:t>ID</w:t>
            </w:r>
          </w:p>
        </w:tc>
        <w:tc>
          <w:tcPr>
            <w:tcW w:w="1204" w:type="pct"/>
            <w:shd w:val="clear" w:color="auto" w:fill="D9E2F3" w:themeFill="accent1" w:themeFillTint="33"/>
          </w:tcPr>
          <w:p w14:paraId="61A6E92E" w14:textId="77777777" w:rsidR="00D81C49" w:rsidRPr="00E752D3" w:rsidRDefault="00D81C49" w:rsidP="00191418">
            <w:pPr>
              <w:spacing w:before="120" w:after="120" w:line="276" w:lineRule="auto"/>
              <w:contextualSpacing/>
              <w:rPr>
                <w:rFonts w:cs="Arial"/>
                <w:b/>
                <w:bCs/>
                <w:sz w:val="20"/>
                <w:szCs w:val="20"/>
              </w:rPr>
            </w:pPr>
            <w:r w:rsidRPr="00E752D3">
              <w:rPr>
                <w:rFonts w:cs="Arial"/>
                <w:b/>
                <w:bCs/>
                <w:sz w:val="20"/>
                <w:szCs w:val="20"/>
              </w:rPr>
              <w:t xml:space="preserve">Risk description </w:t>
            </w:r>
          </w:p>
        </w:tc>
        <w:tc>
          <w:tcPr>
            <w:tcW w:w="1533" w:type="pct"/>
            <w:shd w:val="clear" w:color="auto" w:fill="D9E2F3" w:themeFill="accent1" w:themeFillTint="33"/>
          </w:tcPr>
          <w:p w14:paraId="5B4C7947" w14:textId="77777777" w:rsidR="00D81C49" w:rsidRPr="00E752D3" w:rsidRDefault="00D81C49" w:rsidP="00191418">
            <w:pPr>
              <w:spacing w:before="120" w:after="120" w:line="276" w:lineRule="auto"/>
              <w:contextualSpacing/>
              <w:rPr>
                <w:rFonts w:cs="Arial"/>
                <w:b/>
                <w:bCs/>
                <w:sz w:val="20"/>
                <w:szCs w:val="20"/>
              </w:rPr>
            </w:pPr>
            <w:r w:rsidRPr="00E752D3">
              <w:rPr>
                <w:rFonts w:cs="Arial"/>
                <w:b/>
                <w:bCs/>
                <w:sz w:val="20"/>
                <w:szCs w:val="20"/>
              </w:rPr>
              <w:t>Risk response description</w:t>
            </w:r>
          </w:p>
        </w:tc>
        <w:tc>
          <w:tcPr>
            <w:tcW w:w="745" w:type="pct"/>
            <w:shd w:val="clear" w:color="auto" w:fill="D9E2F3" w:themeFill="accent1" w:themeFillTint="33"/>
          </w:tcPr>
          <w:p w14:paraId="1FD58464" w14:textId="5F1166FD" w:rsidR="00D81C49" w:rsidRPr="00E752D3" w:rsidRDefault="003A7D9C" w:rsidP="00191418">
            <w:pPr>
              <w:spacing w:before="120" w:after="120" w:line="276" w:lineRule="auto"/>
              <w:contextualSpacing/>
              <w:rPr>
                <w:rFonts w:cs="Arial"/>
                <w:b/>
                <w:bCs/>
                <w:sz w:val="20"/>
                <w:szCs w:val="20"/>
              </w:rPr>
            </w:pPr>
            <w:r>
              <w:rPr>
                <w:rFonts w:cs="Arial"/>
                <w:b/>
                <w:bCs/>
                <w:sz w:val="20"/>
                <w:szCs w:val="20"/>
              </w:rPr>
              <w:t>2018 AR risk rating</w:t>
            </w:r>
            <w:r w:rsidR="009E7DE4">
              <w:rPr>
                <w:rFonts w:cs="Arial"/>
                <w:b/>
                <w:bCs/>
                <w:sz w:val="20"/>
                <w:szCs w:val="20"/>
              </w:rPr>
              <w:t xml:space="preserve"> </w:t>
            </w:r>
          </w:p>
        </w:tc>
        <w:tc>
          <w:tcPr>
            <w:tcW w:w="941" w:type="pct"/>
            <w:shd w:val="clear" w:color="auto" w:fill="D9E2F3" w:themeFill="accent1" w:themeFillTint="33"/>
          </w:tcPr>
          <w:p w14:paraId="5D44C3DF" w14:textId="065BB243" w:rsidR="00D81C49" w:rsidRPr="00E752D3" w:rsidRDefault="000A2BC4" w:rsidP="00191418">
            <w:pPr>
              <w:spacing w:before="120" w:after="120" w:line="276" w:lineRule="auto"/>
              <w:contextualSpacing/>
              <w:rPr>
                <w:rFonts w:cs="Arial"/>
                <w:b/>
                <w:bCs/>
                <w:sz w:val="20"/>
                <w:szCs w:val="20"/>
              </w:rPr>
            </w:pPr>
            <w:r>
              <w:rPr>
                <w:rFonts w:cs="Arial"/>
                <w:b/>
                <w:bCs/>
                <w:sz w:val="20"/>
                <w:szCs w:val="20"/>
              </w:rPr>
              <w:t xml:space="preserve">Current </w:t>
            </w:r>
            <w:r w:rsidR="00A36023">
              <w:rPr>
                <w:rFonts w:cs="Arial"/>
                <w:b/>
                <w:bCs/>
                <w:sz w:val="20"/>
                <w:szCs w:val="20"/>
              </w:rPr>
              <w:t>Risk rating</w:t>
            </w:r>
            <w:r w:rsidR="00D81C49" w:rsidRPr="00E752D3">
              <w:rPr>
                <w:rFonts w:cs="Arial"/>
                <w:b/>
                <w:bCs/>
                <w:sz w:val="20"/>
                <w:szCs w:val="20"/>
              </w:rPr>
              <w:t xml:space="preserve"> </w:t>
            </w:r>
          </w:p>
        </w:tc>
      </w:tr>
      <w:tr w:rsidR="00314266" w:rsidRPr="00A67200" w14:paraId="1BD6215E" w14:textId="51BA60D0" w:rsidTr="00D162C4">
        <w:trPr>
          <w:trHeight w:val="583"/>
          <w:jc w:val="center"/>
        </w:trPr>
        <w:tc>
          <w:tcPr>
            <w:tcW w:w="577" w:type="pct"/>
          </w:tcPr>
          <w:p w14:paraId="581348D2" w14:textId="77777777" w:rsidR="00D81C49" w:rsidRPr="00E752D3" w:rsidRDefault="00D81C49" w:rsidP="00191418">
            <w:pPr>
              <w:spacing w:before="120" w:after="120" w:line="276" w:lineRule="auto"/>
              <w:rPr>
                <w:rFonts w:cs="Arial"/>
                <w:b/>
                <w:bCs/>
                <w:color w:val="000000"/>
                <w:sz w:val="20"/>
                <w:szCs w:val="20"/>
                <w:shd w:val="clear" w:color="auto" w:fill="FFFFFF"/>
              </w:rPr>
            </w:pPr>
            <w:r>
              <w:rPr>
                <w:rFonts w:cs="Arial"/>
                <w:b/>
                <w:bCs/>
                <w:color w:val="000000"/>
                <w:sz w:val="20"/>
                <w:szCs w:val="20"/>
                <w:shd w:val="clear" w:color="auto" w:fill="FFFFFF"/>
              </w:rPr>
              <w:t>Risk 1</w:t>
            </w:r>
          </w:p>
        </w:tc>
        <w:tc>
          <w:tcPr>
            <w:tcW w:w="1204" w:type="pct"/>
          </w:tcPr>
          <w:p w14:paraId="76DD7568" w14:textId="77777777" w:rsidR="00D81C49" w:rsidRPr="00E752D3" w:rsidRDefault="00D81C49" w:rsidP="00191418">
            <w:pPr>
              <w:spacing w:before="120" w:after="120" w:line="276" w:lineRule="auto"/>
              <w:rPr>
                <w:rFonts w:cs="Arial"/>
                <w:b/>
                <w:bCs/>
                <w:color w:val="000000"/>
                <w:sz w:val="20"/>
                <w:szCs w:val="20"/>
                <w:shd w:val="clear" w:color="auto" w:fill="FFFFFF"/>
              </w:rPr>
            </w:pPr>
            <w:r w:rsidRPr="00E752D3">
              <w:rPr>
                <w:rFonts w:cs="Arial"/>
                <w:b/>
                <w:bCs/>
                <w:color w:val="000000"/>
                <w:sz w:val="20"/>
                <w:szCs w:val="20"/>
                <w:shd w:val="clear" w:color="auto" w:fill="FFFFFF"/>
              </w:rPr>
              <w:t xml:space="preserve">Delivery Risk: </w:t>
            </w:r>
          </w:p>
          <w:p w14:paraId="28EDFDCF" w14:textId="27BC867B" w:rsidR="00D81C49" w:rsidRPr="00E752D3" w:rsidRDefault="00D81C49" w:rsidP="00191418">
            <w:pPr>
              <w:spacing w:before="120" w:after="120" w:line="276" w:lineRule="auto"/>
              <w:rPr>
                <w:rFonts w:cs="Arial"/>
                <w:b/>
                <w:bCs/>
                <w:color w:val="000000"/>
                <w:sz w:val="20"/>
                <w:szCs w:val="20"/>
                <w:shd w:val="clear" w:color="auto" w:fill="FFFFFF"/>
              </w:rPr>
            </w:pPr>
            <w:r w:rsidRPr="00E752D3">
              <w:rPr>
                <w:rFonts w:cs="Arial"/>
                <w:color w:val="000000"/>
                <w:sz w:val="20"/>
                <w:szCs w:val="20"/>
                <w:shd w:val="clear" w:color="auto" w:fill="FFFFFF"/>
              </w:rPr>
              <w:t xml:space="preserve">There is a risk that project activities, both </w:t>
            </w:r>
            <w:r w:rsidR="008C77B2">
              <w:rPr>
                <w:rFonts w:cs="Arial"/>
                <w:color w:val="000000"/>
                <w:sz w:val="20"/>
                <w:szCs w:val="20"/>
                <w:shd w:val="clear" w:color="auto" w:fill="FFFFFF"/>
              </w:rPr>
              <w:t>technical assistance</w:t>
            </w:r>
            <w:r w:rsidRPr="00E752D3">
              <w:rPr>
                <w:rFonts w:cs="Arial"/>
                <w:color w:val="000000"/>
                <w:sz w:val="20"/>
                <w:szCs w:val="20"/>
                <w:shd w:val="clear" w:color="auto" w:fill="FFFFFF"/>
              </w:rPr>
              <w:t xml:space="preserve"> and </w:t>
            </w:r>
            <w:r w:rsidR="00844C3D">
              <w:rPr>
                <w:rFonts w:cs="Arial"/>
                <w:color w:val="000000"/>
                <w:sz w:val="20"/>
                <w:szCs w:val="20"/>
                <w:shd w:val="clear" w:color="auto" w:fill="FFFFFF"/>
              </w:rPr>
              <w:t>blended finance</w:t>
            </w:r>
            <w:r w:rsidRPr="00E752D3">
              <w:rPr>
                <w:rFonts w:cs="Arial"/>
                <w:color w:val="000000"/>
                <w:sz w:val="20"/>
                <w:szCs w:val="20"/>
                <w:shd w:val="clear" w:color="auto" w:fill="FFFFFF"/>
              </w:rPr>
              <w:t xml:space="preserve"> investments</w:t>
            </w:r>
            <w:r w:rsidR="00144E87">
              <w:rPr>
                <w:rFonts w:cs="Arial"/>
                <w:color w:val="000000"/>
                <w:sz w:val="20"/>
                <w:szCs w:val="20"/>
                <w:shd w:val="clear" w:color="auto" w:fill="FFFFFF"/>
              </w:rPr>
              <w:t>,</w:t>
            </w:r>
            <w:r w:rsidRPr="00E752D3">
              <w:rPr>
                <w:rFonts w:cs="Arial"/>
                <w:color w:val="000000"/>
                <w:sz w:val="20"/>
                <w:szCs w:val="20"/>
                <w:shd w:val="clear" w:color="auto" w:fill="FFFFFF"/>
              </w:rPr>
              <w:t xml:space="preserve"> do not proceed at the pace expected following delays in year one and two.</w:t>
            </w:r>
          </w:p>
        </w:tc>
        <w:tc>
          <w:tcPr>
            <w:tcW w:w="1533" w:type="pct"/>
          </w:tcPr>
          <w:p w14:paraId="4D2EBEBF" w14:textId="77777777" w:rsidR="00D81C49" w:rsidRPr="00E752D3" w:rsidRDefault="00D81C49" w:rsidP="00191418">
            <w:pPr>
              <w:pStyle w:val="ListParagraph"/>
              <w:numPr>
                <w:ilvl w:val="0"/>
                <w:numId w:val="4"/>
              </w:numPr>
              <w:spacing w:before="120" w:after="120" w:line="276" w:lineRule="auto"/>
              <w:ind w:left="222" w:hanging="222"/>
              <w:rPr>
                <w:rFonts w:cs="Arial"/>
                <w:sz w:val="20"/>
              </w:rPr>
            </w:pPr>
            <w:r w:rsidRPr="00E752D3">
              <w:rPr>
                <w:rFonts w:cs="Arial"/>
                <w:sz w:val="20"/>
              </w:rPr>
              <w:t>BEIS to maintain oversight of the speed and quality of implementation through implementation meetings (at least monthly) with IDB and British Embassy colleagues.</w:t>
            </w:r>
          </w:p>
          <w:p w14:paraId="15588958" w14:textId="77777777" w:rsidR="00D81C49" w:rsidRPr="00E752D3" w:rsidRDefault="00D81C49" w:rsidP="00191418">
            <w:pPr>
              <w:pStyle w:val="ListParagraph"/>
              <w:numPr>
                <w:ilvl w:val="0"/>
                <w:numId w:val="4"/>
              </w:numPr>
              <w:spacing w:before="120" w:after="120" w:line="276" w:lineRule="auto"/>
              <w:ind w:left="222" w:hanging="222"/>
              <w:rPr>
                <w:rFonts w:cs="Arial"/>
                <w:sz w:val="20"/>
              </w:rPr>
            </w:pPr>
            <w:r w:rsidRPr="00E752D3">
              <w:rPr>
                <w:rFonts w:cs="Arial"/>
                <w:sz w:val="20"/>
              </w:rPr>
              <w:t xml:space="preserve">BEIS and IDB had two formal review meetings each year to assess the performance of the programme and introduce remedial actions. </w:t>
            </w:r>
          </w:p>
        </w:tc>
        <w:tc>
          <w:tcPr>
            <w:tcW w:w="745" w:type="pct"/>
          </w:tcPr>
          <w:p w14:paraId="0099B44A" w14:textId="77777777" w:rsidR="00D81C49" w:rsidRPr="00E752D3" w:rsidRDefault="00D81C49" w:rsidP="00191418">
            <w:pPr>
              <w:spacing w:before="120" w:after="120" w:line="276" w:lineRule="auto"/>
              <w:contextualSpacing/>
              <w:rPr>
                <w:rFonts w:cs="Arial"/>
                <w:sz w:val="20"/>
                <w:szCs w:val="20"/>
              </w:rPr>
            </w:pPr>
            <w:r w:rsidRPr="00E752D3">
              <w:rPr>
                <w:rFonts w:cs="Arial"/>
                <w:sz w:val="20"/>
                <w:szCs w:val="20"/>
              </w:rPr>
              <w:t>Major</w:t>
            </w:r>
          </w:p>
        </w:tc>
        <w:tc>
          <w:tcPr>
            <w:tcW w:w="941" w:type="pct"/>
          </w:tcPr>
          <w:p w14:paraId="3659531C" w14:textId="6A5ED161" w:rsidR="00D81C49" w:rsidRPr="00A36023" w:rsidRDefault="00A36023" w:rsidP="00A36023">
            <w:pPr>
              <w:spacing w:before="120" w:after="120" w:line="276" w:lineRule="auto"/>
              <w:rPr>
                <w:rFonts w:cs="Arial"/>
                <w:sz w:val="20"/>
              </w:rPr>
            </w:pPr>
            <w:r>
              <w:rPr>
                <w:rFonts w:cs="Arial"/>
                <w:sz w:val="20"/>
              </w:rPr>
              <w:t>Major</w:t>
            </w:r>
          </w:p>
        </w:tc>
      </w:tr>
      <w:tr w:rsidR="00314266" w:rsidRPr="00A67200" w14:paraId="5640816B" w14:textId="1E56B48D" w:rsidTr="00E07005">
        <w:trPr>
          <w:trHeight w:val="583"/>
          <w:jc w:val="center"/>
        </w:trPr>
        <w:tc>
          <w:tcPr>
            <w:tcW w:w="577" w:type="pct"/>
          </w:tcPr>
          <w:p w14:paraId="00CADA2F" w14:textId="77777777" w:rsidR="00D81C49" w:rsidRPr="00E752D3" w:rsidRDefault="00D81C49" w:rsidP="00191418">
            <w:pPr>
              <w:spacing w:before="120" w:after="120" w:line="276" w:lineRule="auto"/>
              <w:rPr>
                <w:rFonts w:cs="Arial"/>
                <w:b/>
                <w:bCs/>
                <w:color w:val="000000"/>
                <w:sz w:val="20"/>
                <w:szCs w:val="20"/>
                <w:shd w:val="clear" w:color="auto" w:fill="FFFFFF"/>
              </w:rPr>
            </w:pPr>
            <w:r>
              <w:rPr>
                <w:rFonts w:cs="Arial"/>
                <w:b/>
                <w:bCs/>
                <w:color w:val="000000"/>
                <w:sz w:val="20"/>
                <w:szCs w:val="20"/>
                <w:shd w:val="clear" w:color="auto" w:fill="FFFFFF"/>
              </w:rPr>
              <w:t>Risk 2</w:t>
            </w:r>
          </w:p>
        </w:tc>
        <w:tc>
          <w:tcPr>
            <w:tcW w:w="1204" w:type="pct"/>
          </w:tcPr>
          <w:p w14:paraId="0120F80C" w14:textId="77777777" w:rsidR="00D81C49" w:rsidRPr="00E752D3" w:rsidRDefault="00D81C49" w:rsidP="00191418">
            <w:pPr>
              <w:spacing w:before="120" w:after="120" w:line="276" w:lineRule="auto"/>
              <w:rPr>
                <w:rFonts w:cs="Arial"/>
                <w:color w:val="000000"/>
                <w:sz w:val="20"/>
                <w:szCs w:val="20"/>
                <w:shd w:val="clear" w:color="auto" w:fill="FFFFFF"/>
              </w:rPr>
            </w:pPr>
            <w:r w:rsidRPr="00E752D3">
              <w:rPr>
                <w:rFonts w:cs="Arial"/>
                <w:b/>
                <w:bCs/>
                <w:color w:val="000000"/>
                <w:sz w:val="20"/>
                <w:szCs w:val="20"/>
                <w:shd w:val="clear" w:color="auto" w:fill="FFFFFF"/>
              </w:rPr>
              <w:t>Delivery risk:</w:t>
            </w:r>
            <w:r w:rsidRPr="00E752D3">
              <w:rPr>
                <w:rFonts w:cs="Arial"/>
                <w:color w:val="000000"/>
                <w:sz w:val="20"/>
                <w:szCs w:val="20"/>
                <w:shd w:val="clear" w:color="auto" w:fill="FFFFFF"/>
              </w:rPr>
              <w:t xml:space="preserve"> </w:t>
            </w:r>
          </w:p>
          <w:p w14:paraId="68D895F6" w14:textId="3AA72514" w:rsidR="00D81C49" w:rsidRPr="00E752D3" w:rsidRDefault="00D81C49" w:rsidP="00191418">
            <w:pPr>
              <w:spacing w:before="120" w:after="120" w:line="276" w:lineRule="auto"/>
              <w:rPr>
                <w:rFonts w:cs="Arial"/>
                <w:color w:val="000000"/>
                <w:sz w:val="20"/>
                <w:szCs w:val="20"/>
                <w:shd w:val="clear" w:color="auto" w:fill="FFFFFF"/>
              </w:rPr>
            </w:pPr>
            <w:r w:rsidRPr="00E752D3">
              <w:rPr>
                <w:rFonts w:cs="Arial"/>
                <w:color w:val="000000"/>
                <w:sz w:val="20"/>
                <w:szCs w:val="20"/>
                <w:shd w:val="clear" w:color="auto" w:fill="FFFFFF"/>
              </w:rPr>
              <w:t xml:space="preserve">There is a risk that </w:t>
            </w:r>
            <w:r w:rsidR="00844C3D">
              <w:rPr>
                <w:rFonts w:cs="Arial"/>
                <w:color w:val="000000"/>
                <w:sz w:val="20"/>
                <w:szCs w:val="20"/>
                <w:shd w:val="clear" w:color="auto" w:fill="FFFFFF"/>
              </w:rPr>
              <w:t>blended finance</w:t>
            </w:r>
            <w:r w:rsidRPr="00E752D3">
              <w:rPr>
                <w:rFonts w:cs="Arial"/>
                <w:color w:val="000000"/>
                <w:sz w:val="20"/>
                <w:szCs w:val="20"/>
                <w:shd w:val="clear" w:color="auto" w:fill="FFFFFF"/>
              </w:rPr>
              <w:t xml:space="preserve"> investments cannot be identified within the four countries which are within SIP</w:t>
            </w:r>
            <w:r w:rsidR="008C77B2">
              <w:rPr>
                <w:rFonts w:cs="Arial"/>
                <w:color w:val="000000"/>
                <w:sz w:val="20"/>
                <w:szCs w:val="20"/>
                <w:shd w:val="clear" w:color="auto" w:fill="FFFFFF"/>
              </w:rPr>
              <w:t>-LA’s</w:t>
            </w:r>
            <w:r w:rsidRPr="00E752D3">
              <w:rPr>
                <w:rFonts w:cs="Arial"/>
                <w:color w:val="000000"/>
                <w:sz w:val="20"/>
                <w:szCs w:val="20"/>
                <w:shd w:val="clear" w:color="auto" w:fill="FFFFFF"/>
              </w:rPr>
              <w:t xml:space="preserve"> sectors</w:t>
            </w:r>
            <w:r w:rsidR="00144E87">
              <w:rPr>
                <w:rFonts w:cs="Arial"/>
                <w:color w:val="000000"/>
                <w:sz w:val="20"/>
                <w:szCs w:val="20"/>
                <w:shd w:val="clear" w:color="auto" w:fill="FFFFFF"/>
              </w:rPr>
              <w:t>,</w:t>
            </w:r>
            <w:r w:rsidRPr="00E752D3">
              <w:rPr>
                <w:rFonts w:cs="Arial"/>
                <w:color w:val="000000"/>
                <w:sz w:val="20"/>
                <w:szCs w:val="20"/>
                <w:shd w:val="clear" w:color="auto" w:fill="FFFFFF"/>
              </w:rPr>
              <w:t xml:space="preserve"> and meet BEIS’s expectations of additionality, transformational change, and mobilisation of private finance.  </w:t>
            </w:r>
          </w:p>
          <w:p w14:paraId="57FDED25" w14:textId="77777777" w:rsidR="00D81C49" w:rsidRPr="00E752D3" w:rsidRDefault="00D81C49" w:rsidP="00191418">
            <w:pPr>
              <w:spacing w:before="120" w:after="120" w:line="276" w:lineRule="auto"/>
              <w:rPr>
                <w:rFonts w:cs="Arial"/>
                <w:b/>
                <w:bCs/>
                <w:color w:val="000000"/>
                <w:sz w:val="20"/>
                <w:szCs w:val="20"/>
                <w:shd w:val="clear" w:color="auto" w:fill="FFFFFF"/>
              </w:rPr>
            </w:pPr>
          </w:p>
        </w:tc>
        <w:tc>
          <w:tcPr>
            <w:tcW w:w="1533" w:type="pct"/>
          </w:tcPr>
          <w:p w14:paraId="437F8FD0" w14:textId="41A8F575" w:rsidR="00D81C49" w:rsidRPr="00E752D3" w:rsidRDefault="00D81C49" w:rsidP="00191418">
            <w:pPr>
              <w:pStyle w:val="ListParagraph"/>
              <w:numPr>
                <w:ilvl w:val="0"/>
                <w:numId w:val="4"/>
              </w:numPr>
              <w:spacing w:before="120" w:after="120" w:line="276" w:lineRule="auto"/>
              <w:ind w:left="222" w:hanging="222"/>
              <w:rPr>
                <w:rFonts w:cs="Arial"/>
                <w:sz w:val="20"/>
              </w:rPr>
            </w:pPr>
            <w:r w:rsidRPr="00E752D3">
              <w:rPr>
                <w:rFonts w:cs="Arial"/>
                <w:sz w:val="20"/>
              </w:rPr>
              <w:t xml:space="preserve">BEIS funds dedicated technical advisors within IDB Invest to ensure the </w:t>
            </w:r>
            <w:r w:rsidR="00844C3D">
              <w:rPr>
                <w:rFonts w:cs="Arial"/>
                <w:sz w:val="20"/>
              </w:rPr>
              <w:t>blended finance</w:t>
            </w:r>
            <w:r w:rsidRPr="00E752D3">
              <w:rPr>
                <w:rFonts w:cs="Arial"/>
                <w:sz w:val="20"/>
              </w:rPr>
              <w:t xml:space="preserve"> operations are additional and respond to BEIS priorities. </w:t>
            </w:r>
          </w:p>
          <w:p w14:paraId="0FBD0392" w14:textId="0D419842" w:rsidR="00D81C49" w:rsidRPr="00E752D3" w:rsidRDefault="00D81C49" w:rsidP="00191418">
            <w:pPr>
              <w:pStyle w:val="ListParagraph"/>
              <w:numPr>
                <w:ilvl w:val="0"/>
                <w:numId w:val="4"/>
              </w:numPr>
              <w:spacing w:before="120" w:after="120" w:line="276" w:lineRule="auto"/>
              <w:ind w:left="222" w:hanging="222"/>
              <w:rPr>
                <w:rFonts w:cs="Arial"/>
                <w:sz w:val="20"/>
              </w:rPr>
            </w:pPr>
            <w:r w:rsidRPr="00E752D3">
              <w:rPr>
                <w:rFonts w:cs="Arial"/>
                <w:sz w:val="20"/>
              </w:rPr>
              <w:t xml:space="preserve">BEIS policy and commercial advisers have a formal opportunity to object to a </w:t>
            </w:r>
            <w:r w:rsidR="00844C3D">
              <w:rPr>
                <w:rFonts w:cs="Arial"/>
                <w:sz w:val="20"/>
              </w:rPr>
              <w:t>blended finance</w:t>
            </w:r>
            <w:r w:rsidRPr="00E752D3">
              <w:rPr>
                <w:rFonts w:cs="Arial"/>
                <w:sz w:val="20"/>
              </w:rPr>
              <w:t xml:space="preserve"> proposal. This provides an additional layer of due diligence.</w:t>
            </w:r>
          </w:p>
          <w:p w14:paraId="613EA5D2" w14:textId="09388C02" w:rsidR="00D81C49" w:rsidRPr="00E752D3" w:rsidRDefault="00D81C49" w:rsidP="00191418">
            <w:pPr>
              <w:pStyle w:val="ListParagraph"/>
              <w:numPr>
                <w:ilvl w:val="0"/>
                <w:numId w:val="4"/>
              </w:numPr>
              <w:spacing w:before="120" w:after="120" w:line="276" w:lineRule="auto"/>
              <w:ind w:left="222" w:hanging="222"/>
              <w:rPr>
                <w:rFonts w:cs="Arial"/>
                <w:sz w:val="20"/>
              </w:rPr>
            </w:pPr>
            <w:r w:rsidRPr="00E752D3">
              <w:rPr>
                <w:rFonts w:cs="Arial"/>
                <w:sz w:val="20"/>
              </w:rPr>
              <w:t>IDB is expected to present how each investment is additional, transformative and the expected volumes of mobilised capital within each proposal.</w:t>
            </w:r>
          </w:p>
        </w:tc>
        <w:tc>
          <w:tcPr>
            <w:tcW w:w="745" w:type="pct"/>
          </w:tcPr>
          <w:p w14:paraId="3B6C4274" w14:textId="77777777" w:rsidR="00D81C49" w:rsidRPr="00E752D3" w:rsidRDefault="00D81C49" w:rsidP="00191418">
            <w:pPr>
              <w:spacing w:before="120" w:after="120" w:line="276" w:lineRule="auto"/>
              <w:contextualSpacing/>
              <w:rPr>
                <w:rFonts w:cs="Arial"/>
                <w:sz w:val="20"/>
                <w:szCs w:val="20"/>
              </w:rPr>
            </w:pPr>
            <w:r w:rsidRPr="00E752D3">
              <w:rPr>
                <w:rFonts w:cs="Arial"/>
                <w:sz w:val="20"/>
                <w:szCs w:val="20"/>
              </w:rPr>
              <w:t>Major</w:t>
            </w:r>
          </w:p>
        </w:tc>
        <w:tc>
          <w:tcPr>
            <w:tcW w:w="941" w:type="pct"/>
          </w:tcPr>
          <w:p w14:paraId="4589E5C5" w14:textId="34FB005C" w:rsidR="00D81C49" w:rsidRPr="00314266" w:rsidRDefault="00314266" w:rsidP="00314266">
            <w:pPr>
              <w:spacing w:before="120" w:after="120" w:line="276" w:lineRule="auto"/>
              <w:rPr>
                <w:rFonts w:cs="Arial"/>
                <w:sz w:val="20"/>
                <w:szCs w:val="20"/>
              </w:rPr>
            </w:pPr>
            <w:r w:rsidRPr="00314266">
              <w:rPr>
                <w:rFonts w:cs="Arial"/>
                <w:sz w:val="20"/>
              </w:rPr>
              <w:t>Major</w:t>
            </w:r>
          </w:p>
        </w:tc>
      </w:tr>
      <w:tr w:rsidR="00314266" w:rsidRPr="00A67200" w14:paraId="6A11CE43" w14:textId="4E59B145" w:rsidTr="00E07005">
        <w:trPr>
          <w:trHeight w:val="2321"/>
          <w:jc w:val="center"/>
        </w:trPr>
        <w:tc>
          <w:tcPr>
            <w:tcW w:w="577" w:type="pct"/>
          </w:tcPr>
          <w:p w14:paraId="03B1D153" w14:textId="77777777" w:rsidR="00D81C49" w:rsidRPr="00E752D3" w:rsidRDefault="00D81C49" w:rsidP="00191418">
            <w:pPr>
              <w:spacing w:before="120" w:after="120" w:line="276" w:lineRule="auto"/>
              <w:contextualSpacing/>
              <w:rPr>
                <w:rFonts w:cs="Arial"/>
                <w:b/>
                <w:bCs/>
                <w:sz w:val="20"/>
                <w:szCs w:val="20"/>
              </w:rPr>
            </w:pPr>
            <w:r>
              <w:rPr>
                <w:rFonts w:cs="Arial"/>
                <w:b/>
                <w:bCs/>
                <w:sz w:val="20"/>
                <w:szCs w:val="20"/>
              </w:rPr>
              <w:lastRenderedPageBreak/>
              <w:t>Risk 3</w:t>
            </w:r>
          </w:p>
        </w:tc>
        <w:tc>
          <w:tcPr>
            <w:tcW w:w="1204" w:type="pct"/>
          </w:tcPr>
          <w:p w14:paraId="57B7FC65" w14:textId="77777777" w:rsidR="00D81C49" w:rsidRPr="00E752D3" w:rsidRDefault="00D81C49" w:rsidP="00191418">
            <w:pPr>
              <w:spacing w:before="120" w:after="120" w:line="276" w:lineRule="auto"/>
              <w:contextualSpacing/>
              <w:rPr>
                <w:rFonts w:cs="Arial"/>
                <w:sz w:val="20"/>
                <w:szCs w:val="20"/>
              </w:rPr>
            </w:pPr>
            <w:r w:rsidRPr="00E752D3">
              <w:rPr>
                <w:rFonts w:cs="Arial"/>
                <w:b/>
                <w:bCs/>
                <w:sz w:val="20"/>
                <w:szCs w:val="20"/>
              </w:rPr>
              <w:t>Delivery risk</w:t>
            </w:r>
            <w:r w:rsidRPr="00E752D3">
              <w:rPr>
                <w:rFonts w:cs="Arial"/>
                <w:sz w:val="20"/>
                <w:szCs w:val="20"/>
              </w:rPr>
              <w:t xml:space="preserve">: </w:t>
            </w:r>
          </w:p>
          <w:p w14:paraId="485AA514" w14:textId="77777777" w:rsidR="00D81C49" w:rsidRPr="00E752D3" w:rsidRDefault="00D81C49" w:rsidP="00191418">
            <w:pPr>
              <w:spacing w:before="120" w:after="120" w:line="276" w:lineRule="auto"/>
              <w:contextualSpacing/>
              <w:rPr>
                <w:rFonts w:cs="Arial"/>
                <w:b/>
                <w:bCs/>
                <w:color w:val="000000"/>
                <w:sz w:val="20"/>
                <w:szCs w:val="20"/>
                <w:shd w:val="clear" w:color="auto" w:fill="FFFFFF"/>
              </w:rPr>
            </w:pPr>
            <w:r w:rsidRPr="00E752D3">
              <w:rPr>
                <w:rFonts w:cs="Arial"/>
                <w:sz w:val="20"/>
                <w:szCs w:val="20"/>
              </w:rPr>
              <w:t xml:space="preserve">There is a risk that, by working through a multilateral development bank, there is little UK visibility or attribution to UK funding. </w:t>
            </w:r>
          </w:p>
        </w:tc>
        <w:tc>
          <w:tcPr>
            <w:tcW w:w="1533" w:type="pct"/>
          </w:tcPr>
          <w:p w14:paraId="1B9D6FEF" w14:textId="77777777" w:rsidR="00645A6D" w:rsidRDefault="00D81C49" w:rsidP="00191418">
            <w:pPr>
              <w:pStyle w:val="ListParagraph"/>
              <w:numPr>
                <w:ilvl w:val="0"/>
                <w:numId w:val="4"/>
              </w:numPr>
              <w:spacing w:before="120" w:after="120" w:line="276" w:lineRule="auto"/>
              <w:ind w:left="222" w:hanging="222"/>
              <w:rPr>
                <w:rFonts w:cs="Arial"/>
                <w:sz w:val="20"/>
              </w:rPr>
            </w:pPr>
            <w:r w:rsidRPr="00E752D3">
              <w:rPr>
                <w:rFonts w:cs="Arial"/>
                <w:sz w:val="20"/>
              </w:rPr>
              <w:t>IDB will commission and manage a communication strategy for UK branding, visibility, and positioning.</w:t>
            </w:r>
          </w:p>
          <w:p w14:paraId="587BC9CE" w14:textId="48B740C3" w:rsidR="00D81C49" w:rsidRPr="00E752D3" w:rsidRDefault="00645A6D" w:rsidP="00191418">
            <w:pPr>
              <w:pStyle w:val="ListParagraph"/>
              <w:numPr>
                <w:ilvl w:val="0"/>
                <w:numId w:val="4"/>
              </w:numPr>
              <w:spacing w:before="120" w:after="120" w:line="276" w:lineRule="auto"/>
              <w:ind w:left="222" w:hanging="222"/>
              <w:rPr>
                <w:rFonts w:cs="Arial"/>
                <w:sz w:val="20"/>
              </w:rPr>
            </w:pPr>
            <w:r>
              <w:rPr>
                <w:rFonts w:cs="Arial"/>
                <w:sz w:val="20"/>
              </w:rPr>
              <w:t>BEIS will disseminate SIP-LA activities and achievements to colleagues in post in a timely manner</w:t>
            </w:r>
            <w:r w:rsidR="00D81C49" w:rsidRPr="00E752D3">
              <w:rPr>
                <w:rFonts w:cs="Arial"/>
                <w:sz w:val="20"/>
              </w:rPr>
              <w:t xml:space="preserve"> </w:t>
            </w:r>
          </w:p>
        </w:tc>
        <w:tc>
          <w:tcPr>
            <w:tcW w:w="745" w:type="pct"/>
          </w:tcPr>
          <w:p w14:paraId="1FF9C000" w14:textId="77777777" w:rsidR="00D81C49" w:rsidRPr="00E752D3" w:rsidRDefault="00D81C49" w:rsidP="00191418">
            <w:pPr>
              <w:spacing w:before="120" w:after="120" w:line="276" w:lineRule="auto"/>
              <w:contextualSpacing/>
              <w:rPr>
                <w:rFonts w:cs="Arial"/>
                <w:sz w:val="20"/>
                <w:szCs w:val="20"/>
              </w:rPr>
            </w:pPr>
            <w:r w:rsidRPr="00E752D3">
              <w:rPr>
                <w:rFonts w:cs="Arial"/>
                <w:sz w:val="20"/>
                <w:szCs w:val="20"/>
              </w:rPr>
              <w:t>Major</w:t>
            </w:r>
          </w:p>
        </w:tc>
        <w:tc>
          <w:tcPr>
            <w:tcW w:w="941" w:type="pct"/>
          </w:tcPr>
          <w:p w14:paraId="118D0552" w14:textId="1BA45CD9" w:rsidR="00D81C49" w:rsidRPr="00E91EC9" w:rsidRDefault="00E91EC9" w:rsidP="00E91EC9">
            <w:pPr>
              <w:spacing w:before="120" w:after="120" w:line="276" w:lineRule="auto"/>
              <w:rPr>
                <w:rFonts w:cs="Arial"/>
                <w:sz w:val="20"/>
              </w:rPr>
            </w:pPr>
            <w:r w:rsidRPr="00E91EC9">
              <w:rPr>
                <w:rFonts w:cs="Arial"/>
                <w:sz w:val="20"/>
              </w:rPr>
              <w:t>Moderate</w:t>
            </w:r>
          </w:p>
        </w:tc>
      </w:tr>
      <w:tr w:rsidR="00314266" w:rsidRPr="00A67200" w14:paraId="3F346BE1" w14:textId="6EC9B1FA" w:rsidTr="00BC7F10">
        <w:trPr>
          <w:trHeight w:val="70"/>
          <w:jc w:val="center"/>
        </w:trPr>
        <w:tc>
          <w:tcPr>
            <w:tcW w:w="577" w:type="pct"/>
          </w:tcPr>
          <w:p w14:paraId="4822D860" w14:textId="77777777" w:rsidR="00D81C49" w:rsidRPr="00E752D3" w:rsidRDefault="00D81C49" w:rsidP="00191418">
            <w:pPr>
              <w:spacing w:before="120" w:after="120" w:line="276" w:lineRule="auto"/>
              <w:contextualSpacing/>
              <w:rPr>
                <w:rFonts w:cs="Arial"/>
                <w:b/>
                <w:bCs/>
                <w:sz w:val="20"/>
                <w:szCs w:val="20"/>
              </w:rPr>
            </w:pPr>
            <w:r>
              <w:rPr>
                <w:rFonts w:cs="Arial"/>
                <w:b/>
                <w:bCs/>
                <w:sz w:val="20"/>
                <w:szCs w:val="20"/>
              </w:rPr>
              <w:t>Risk 4</w:t>
            </w:r>
          </w:p>
        </w:tc>
        <w:tc>
          <w:tcPr>
            <w:tcW w:w="1204" w:type="pct"/>
          </w:tcPr>
          <w:p w14:paraId="7BD3B443" w14:textId="77777777" w:rsidR="00D81C49" w:rsidRPr="00E752D3" w:rsidRDefault="00D81C49" w:rsidP="00191418">
            <w:pPr>
              <w:spacing w:before="120" w:after="120" w:line="276" w:lineRule="auto"/>
              <w:contextualSpacing/>
              <w:rPr>
                <w:rFonts w:cs="Arial"/>
                <w:b/>
                <w:bCs/>
                <w:sz w:val="20"/>
                <w:szCs w:val="20"/>
              </w:rPr>
            </w:pPr>
            <w:r w:rsidRPr="00E752D3">
              <w:rPr>
                <w:rFonts w:cs="Arial"/>
                <w:b/>
                <w:bCs/>
                <w:sz w:val="20"/>
                <w:szCs w:val="20"/>
              </w:rPr>
              <w:t>Contextual risk:</w:t>
            </w:r>
          </w:p>
          <w:p w14:paraId="03B762EF" w14:textId="77777777" w:rsidR="00D81C49" w:rsidRPr="00E752D3" w:rsidRDefault="00D81C49" w:rsidP="00191418">
            <w:pPr>
              <w:spacing w:before="120" w:after="120" w:line="276" w:lineRule="auto"/>
              <w:contextualSpacing/>
              <w:rPr>
                <w:rFonts w:cs="Arial"/>
                <w:sz w:val="20"/>
                <w:szCs w:val="20"/>
              </w:rPr>
            </w:pPr>
            <w:r w:rsidRPr="00E752D3">
              <w:rPr>
                <w:rFonts w:cs="Arial"/>
                <w:sz w:val="20"/>
                <w:szCs w:val="20"/>
              </w:rPr>
              <w:t xml:space="preserve">There is a risk that political support for both NDC implementation and private sector participation might change in light of the impacts of political transitions. </w:t>
            </w:r>
          </w:p>
        </w:tc>
        <w:tc>
          <w:tcPr>
            <w:tcW w:w="1533" w:type="pct"/>
          </w:tcPr>
          <w:p w14:paraId="2D5B1037" w14:textId="77777777" w:rsidR="00D81C49" w:rsidRPr="00E752D3" w:rsidRDefault="00D81C49" w:rsidP="00191418">
            <w:pPr>
              <w:pStyle w:val="ListParagraph"/>
              <w:numPr>
                <w:ilvl w:val="0"/>
                <w:numId w:val="4"/>
              </w:numPr>
              <w:spacing w:before="120" w:after="120" w:line="276" w:lineRule="auto"/>
              <w:ind w:left="222" w:hanging="222"/>
              <w:rPr>
                <w:rFonts w:cs="Arial"/>
                <w:sz w:val="20"/>
              </w:rPr>
            </w:pPr>
            <w:r w:rsidRPr="00E752D3">
              <w:rPr>
                <w:rFonts w:cs="Arial"/>
                <w:sz w:val="20"/>
              </w:rPr>
              <w:t xml:space="preserve">IDB have identified alternative programming options should traction with national government be limited. For example, working closely with sub-national administrations and the private sector. </w:t>
            </w:r>
          </w:p>
          <w:p w14:paraId="587B6CE3" w14:textId="65E059AE" w:rsidR="00D81C49" w:rsidRPr="00E752D3" w:rsidRDefault="008C77B2" w:rsidP="00314266">
            <w:pPr>
              <w:pStyle w:val="ListParagraph"/>
              <w:numPr>
                <w:ilvl w:val="0"/>
                <w:numId w:val="4"/>
              </w:numPr>
              <w:spacing w:before="120" w:after="120" w:line="276" w:lineRule="auto"/>
              <w:ind w:left="222" w:hanging="222"/>
              <w:rPr>
                <w:rFonts w:cs="Arial"/>
                <w:sz w:val="20"/>
              </w:rPr>
            </w:pPr>
            <w:r>
              <w:rPr>
                <w:rFonts w:cs="Arial"/>
                <w:sz w:val="20"/>
              </w:rPr>
              <w:t>Technical assistance</w:t>
            </w:r>
            <w:r w:rsidR="00D81C49" w:rsidRPr="00E752D3">
              <w:rPr>
                <w:rFonts w:cs="Arial"/>
                <w:sz w:val="20"/>
              </w:rPr>
              <w:t xml:space="preserve"> activities are subject to IDB’s Quality and Risk Review (QRR) process. This process identifies potential political, environmental, and social risks and introduces mitigating actions.</w:t>
            </w:r>
          </w:p>
        </w:tc>
        <w:tc>
          <w:tcPr>
            <w:tcW w:w="745" w:type="pct"/>
          </w:tcPr>
          <w:p w14:paraId="120D14FD" w14:textId="77777777" w:rsidR="00D81C49" w:rsidRPr="00E752D3" w:rsidRDefault="00D81C49" w:rsidP="00191418">
            <w:pPr>
              <w:spacing w:before="120" w:after="120" w:line="276" w:lineRule="auto"/>
              <w:contextualSpacing/>
              <w:rPr>
                <w:rFonts w:cs="Arial"/>
                <w:sz w:val="20"/>
                <w:szCs w:val="20"/>
              </w:rPr>
            </w:pPr>
            <w:r w:rsidRPr="00E752D3">
              <w:rPr>
                <w:rFonts w:cs="Arial"/>
                <w:sz w:val="20"/>
                <w:szCs w:val="20"/>
              </w:rPr>
              <w:t>Major</w:t>
            </w:r>
          </w:p>
        </w:tc>
        <w:tc>
          <w:tcPr>
            <w:tcW w:w="941" w:type="pct"/>
          </w:tcPr>
          <w:p w14:paraId="1AEADD31" w14:textId="1BAE80DB" w:rsidR="00D81C49" w:rsidRPr="00E752D3" w:rsidRDefault="00E91EC9" w:rsidP="00E91EC9">
            <w:pPr>
              <w:spacing w:before="120" w:after="120" w:line="276" w:lineRule="auto"/>
              <w:contextualSpacing/>
              <w:rPr>
                <w:rFonts w:cs="Arial"/>
                <w:sz w:val="20"/>
                <w:szCs w:val="20"/>
              </w:rPr>
            </w:pPr>
            <w:r>
              <w:rPr>
                <w:rFonts w:cs="Arial"/>
                <w:sz w:val="20"/>
                <w:szCs w:val="20"/>
              </w:rPr>
              <w:t>Moderate</w:t>
            </w:r>
          </w:p>
        </w:tc>
      </w:tr>
      <w:tr w:rsidR="00314266" w:rsidRPr="00A67200" w14:paraId="7C6FC5E4" w14:textId="41E0F0DF" w:rsidTr="00BC7F10">
        <w:trPr>
          <w:trHeight w:val="2418"/>
          <w:jc w:val="center"/>
        </w:trPr>
        <w:tc>
          <w:tcPr>
            <w:tcW w:w="577" w:type="pct"/>
          </w:tcPr>
          <w:p w14:paraId="591B70BA" w14:textId="77777777" w:rsidR="00D81C49" w:rsidRPr="00E752D3" w:rsidRDefault="00D81C49" w:rsidP="00191418">
            <w:pPr>
              <w:spacing w:before="120" w:after="120" w:line="276" w:lineRule="auto"/>
              <w:contextualSpacing/>
              <w:rPr>
                <w:rFonts w:cs="Arial"/>
                <w:b/>
                <w:bCs/>
                <w:sz w:val="20"/>
                <w:szCs w:val="20"/>
              </w:rPr>
            </w:pPr>
            <w:r>
              <w:rPr>
                <w:rFonts w:cs="Arial"/>
                <w:b/>
                <w:bCs/>
                <w:sz w:val="20"/>
                <w:szCs w:val="20"/>
              </w:rPr>
              <w:t>Risk 5</w:t>
            </w:r>
          </w:p>
        </w:tc>
        <w:tc>
          <w:tcPr>
            <w:tcW w:w="1204" w:type="pct"/>
          </w:tcPr>
          <w:p w14:paraId="0CC06F2F" w14:textId="77777777" w:rsidR="00D81C49" w:rsidRPr="00E752D3" w:rsidRDefault="00D81C49" w:rsidP="00191418">
            <w:pPr>
              <w:spacing w:before="120" w:after="120" w:line="276" w:lineRule="auto"/>
              <w:contextualSpacing/>
              <w:rPr>
                <w:rFonts w:cs="Arial"/>
                <w:b/>
                <w:bCs/>
                <w:sz w:val="20"/>
                <w:szCs w:val="20"/>
              </w:rPr>
            </w:pPr>
            <w:r w:rsidRPr="00E752D3">
              <w:rPr>
                <w:rFonts w:cs="Arial"/>
                <w:b/>
                <w:bCs/>
                <w:sz w:val="20"/>
                <w:szCs w:val="20"/>
              </w:rPr>
              <w:t>Delivery risk:</w:t>
            </w:r>
          </w:p>
          <w:p w14:paraId="4D7608DC" w14:textId="1987BA36" w:rsidR="00D81C49" w:rsidRPr="00E752D3" w:rsidRDefault="00D81C49" w:rsidP="00191418">
            <w:pPr>
              <w:spacing w:before="120" w:after="120" w:line="276" w:lineRule="auto"/>
              <w:contextualSpacing/>
              <w:rPr>
                <w:rFonts w:cs="Arial"/>
                <w:sz w:val="20"/>
                <w:szCs w:val="20"/>
              </w:rPr>
            </w:pPr>
            <w:r w:rsidRPr="00E752D3">
              <w:rPr>
                <w:rFonts w:cs="Arial"/>
                <w:sz w:val="20"/>
                <w:szCs w:val="20"/>
              </w:rPr>
              <w:t>There is a risk that IDB’s internal processes do not align with BEIS’ M&amp;E requirements</w:t>
            </w:r>
            <w:r w:rsidR="00553A2B">
              <w:rPr>
                <w:rFonts w:cs="Arial"/>
                <w:sz w:val="20"/>
                <w:szCs w:val="20"/>
              </w:rPr>
              <w:t>.</w:t>
            </w:r>
          </w:p>
        </w:tc>
        <w:tc>
          <w:tcPr>
            <w:tcW w:w="1533" w:type="pct"/>
          </w:tcPr>
          <w:p w14:paraId="443EAEE5" w14:textId="0B362148" w:rsidR="00D81C49" w:rsidRPr="00E752D3" w:rsidRDefault="00D81C49" w:rsidP="00191418">
            <w:pPr>
              <w:pStyle w:val="ListParagraph"/>
              <w:numPr>
                <w:ilvl w:val="0"/>
                <w:numId w:val="4"/>
              </w:numPr>
              <w:spacing w:before="120" w:after="120" w:line="276" w:lineRule="auto"/>
              <w:ind w:left="222" w:hanging="222"/>
              <w:rPr>
                <w:rFonts w:cs="Arial"/>
                <w:sz w:val="20"/>
              </w:rPr>
            </w:pPr>
            <w:r w:rsidRPr="00E752D3">
              <w:rPr>
                <w:rFonts w:cs="Arial"/>
                <w:sz w:val="20"/>
              </w:rPr>
              <w:t>BEIS and IDB will hold a workshop to align the content of IDB’s Annual Report with BEIS’ Annual Review</w:t>
            </w:r>
            <w:r w:rsidR="00553A2B">
              <w:rPr>
                <w:rFonts w:cs="Arial"/>
                <w:sz w:val="20"/>
              </w:rPr>
              <w:t>.</w:t>
            </w:r>
          </w:p>
          <w:p w14:paraId="33C87244" w14:textId="36A789EB" w:rsidR="00D81C49" w:rsidRPr="00E752D3" w:rsidRDefault="00D81C49" w:rsidP="00191418">
            <w:pPr>
              <w:pStyle w:val="ListParagraph"/>
              <w:numPr>
                <w:ilvl w:val="0"/>
                <w:numId w:val="4"/>
              </w:numPr>
              <w:spacing w:before="120" w:after="120" w:line="276" w:lineRule="auto"/>
              <w:ind w:left="222" w:hanging="222"/>
              <w:rPr>
                <w:rFonts w:cs="Arial"/>
                <w:sz w:val="20"/>
              </w:rPr>
            </w:pPr>
            <w:r w:rsidRPr="00E752D3">
              <w:rPr>
                <w:rFonts w:cs="Arial"/>
                <w:sz w:val="20"/>
              </w:rPr>
              <w:t>BEIS and IDB will agree a collaborative evaluation plan for the programme</w:t>
            </w:r>
            <w:r w:rsidR="00553A2B">
              <w:rPr>
                <w:rFonts w:cs="Arial"/>
                <w:sz w:val="20"/>
              </w:rPr>
              <w:t>.</w:t>
            </w:r>
          </w:p>
          <w:p w14:paraId="2BD463D6" w14:textId="14697780" w:rsidR="00D81C49" w:rsidRPr="00E752D3" w:rsidRDefault="00D81C49" w:rsidP="00191418">
            <w:pPr>
              <w:pStyle w:val="ListParagraph"/>
              <w:numPr>
                <w:ilvl w:val="0"/>
                <w:numId w:val="4"/>
              </w:numPr>
              <w:spacing w:before="120" w:after="120" w:line="276" w:lineRule="auto"/>
              <w:ind w:left="222" w:hanging="222"/>
              <w:rPr>
                <w:rFonts w:cs="Arial"/>
                <w:sz w:val="20"/>
              </w:rPr>
            </w:pPr>
            <w:r w:rsidRPr="00E752D3">
              <w:rPr>
                <w:rFonts w:cs="Arial"/>
                <w:sz w:val="20"/>
              </w:rPr>
              <w:t xml:space="preserve">BEIS and IDB will review the </w:t>
            </w:r>
            <w:r w:rsidR="00844C3D">
              <w:rPr>
                <w:rFonts w:cs="Arial"/>
                <w:sz w:val="20"/>
              </w:rPr>
              <w:t>log frame</w:t>
            </w:r>
            <w:r w:rsidR="00553A2B">
              <w:rPr>
                <w:rFonts w:cs="Arial"/>
                <w:sz w:val="20"/>
              </w:rPr>
              <w:t>.</w:t>
            </w:r>
          </w:p>
        </w:tc>
        <w:tc>
          <w:tcPr>
            <w:tcW w:w="745" w:type="pct"/>
          </w:tcPr>
          <w:p w14:paraId="0E06C703" w14:textId="77777777" w:rsidR="00D81C49" w:rsidRPr="00E752D3" w:rsidRDefault="00D81C49" w:rsidP="00191418">
            <w:pPr>
              <w:spacing w:before="120" w:after="120" w:line="276" w:lineRule="auto"/>
              <w:contextualSpacing/>
              <w:rPr>
                <w:rFonts w:cs="Arial"/>
                <w:sz w:val="20"/>
                <w:szCs w:val="20"/>
              </w:rPr>
            </w:pPr>
            <w:r w:rsidRPr="00E752D3">
              <w:rPr>
                <w:rFonts w:cs="Arial"/>
                <w:sz w:val="20"/>
                <w:szCs w:val="20"/>
              </w:rPr>
              <w:t>Moderate</w:t>
            </w:r>
          </w:p>
        </w:tc>
        <w:tc>
          <w:tcPr>
            <w:tcW w:w="941" w:type="pct"/>
          </w:tcPr>
          <w:p w14:paraId="5F773D19" w14:textId="6EEA74FF" w:rsidR="00D81C49" w:rsidRPr="00E752D3" w:rsidRDefault="00314266" w:rsidP="00314266">
            <w:pPr>
              <w:pStyle w:val="ListParagraph"/>
              <w:spacing w:before="120" w:after="120" w:line="276" w:lineRule="auto"/>
              <w:ind w:left="157"/>
              <w:rPr>
                <w:rFonts w:cs="Arial"/>
                <w:sz w:val="20"/>
              </w:rPr>
            </w:pPr>
            <w:r>
              <w:rPr>
                <w:rFonts w:cs="Arial"/>
                <w:sz w:val="20"/>
              </w:rPr>
              <w:t>Moderate</w:t>
            </w:r>
          </w:p>
        </w:tc>
      </w:tr>
      <w:tr w:rsidR="00314266" w:rsidRPr="00A67200" w14:paraId="2097F999" w14:textId="3CED8361" w:rsidTr="00BC7F10">
        <w:trPr>
          <w:trHeight w:val="1422"/>
          <w:jc w:val="center"/>
        </w:trPr>
        <w:tc>
          <w:tcPr>
            <w:tcW w:w="577" w:type="pct"/>
          </w:tcPr>
          <w:p w14:paraId="6707A58D" w14:textId="77777777" w:rsidR="00D81C49" w:rsidRPr="00E752D3" w:rsidRDefault="00D81C49" w:rsidP="00191418">
            <w:pPr>
              <w:spacing w:before="120" w:after="120" w:line="276" w:lineRule="auto"/>
              <w:contextualSpacing/>
              <w:rPr>
                <w:rFonts w:cs="Arial"/>
                <w:b/>
                <w:bCs/>
                <w:sz w:val="20"/>
                <w:szCs w:val="20"/>
              </w:rPr>
            </w:pPr>
            <w:r>
              <w:rPr>
                <w:rFonts w:cs="Arial"/>
                <w:b/>
                <w:bCs/>
                <w:sz w:val="20"/>
                <w:szCs w:val="20"/>
              </w:rPr>
              <w:t>Risk 6</w:t>
            </w:r>
          </w:p>
        </w:tc>
        <w:tc>
          <w:tcPr>
            <w:tcW w:w="1204" w:type="pct"/>
          </w:tcPr>
          <w:p w14:paraId="2B66F774" w14:textId="77777777" w:rsidR="00D81C49" w:rsidRPr="00E752D3" w:rsidRDefault="00D81C49" w:rsidP="00191418">
            <w:pPr>
              <w:spacing w:before="120" w:after="120" w:line="276" w:lineRule="auto"/>
              <w:contextualSpacing/>
              <w:rPr>
                <w:rFonts w:cs="Arial"/>
                <w:b/>
                <w:bCs/>
                <w:sz w:val="20"/>
                <w:szCs w:val="20"/>
              </w:rPr>
            </w:pPr>
            <w:r w:rsidRPr="00E752D3">
              <w:rPr>
                <w:rFonts w:cs="Arial"/>
                <w:b/>
                <w:bCs/>
                <w:sz w:val="20"/>
                <w:szCs w:val="20"/>
              </w:rPr>
              <w:t>Contextual:</w:t>
            </w:r>
          </w:p>
          <w:p w14:paraId="282FDFD4" w14:textId="06FF797F" w:rsidR="00D81C49" w:rsidRPr="00E752D3" w:rsidRDefault="00D81C49" w:rsidP="00191418">
            <w:pPr>
              <w:spacing w:before="120" w:after="120" w:line="276" w:lineRule="auto"/>
              <w:contextualSpacing/>
              <w:rPr>
                <w:rFonts w:cs="Arial"/>
                <w:sz w:val="20"/>
                <w:szCs w:val="20"/>
              </w:rPr>
            </w:pPr>
            <w:r w:rsidRPr="00E752D3">
              <w:rPr>
                <w:rFonts w:cs="Arial"/>
                <w:sz w:val="20"/>
                <w:szCs w:val="20"/>
              </w:rPr>
              <w:t>There is a risk that SIP</w:t>
            </w:r>
            <w:r w:rsidR="00553A2B">
              <w:rPr>
                <w:rFonts w:cs="Arial"/>
                <w:sz w:val="20"/>
                <w:szCs w:val="20"/>
              </w:rPr>
              <w:t>-LA’</w:t>
            </w:r>
            <w:r w:rsidRPr="00E752D3">
              <w:rPr>
                <w:rFonts w:cs="Arial"/>
                <w:sz w:val="20"/>
                <w:szCs w:val="20"/>
              </w:rPr>
              <w:t>s interventions in each country are not aligned with other HMG priorities</w:t>
            </w:r>
            <w:r w:rsidR="00553A2B">
              <w:rPr>
                <w:rFonts w:cs="Arial"/>
                <w:sz w:val="20"/>
                <w:szCs w:val="20"/>
              </w:rPr>
              <w:t>.</w:t>
            </w:r>
          </w:p>
        </w:tc>
        <w:tc>
          <w:tcPr>
            <w:tcW w:w="1533" w:type="pct"/>
          </w:tcPr>
          <w:p w14:paraId="4FAA94D1" w14:textId="2F01B81C" w:rsidR="00D81C49" w:rsidRPr="00E752D3" w:rsidRDefault="00D81C49" w:rsidP="00191418">
            <w:pPr>
              <w:pStyle w:val="ListParagraph"/>
              <w:numPr>
                <w:ilvl w:val="0"/>
                <w:numId w:val="4"/>
              </w:numPr>
              <w:spacing w:before="120" w:after="120" w:line="276" w:lineRule="auto"/>
              <w:ind w:left="222" w:hanging="222"/>
              <w:rPr>
                <w:rFonts w:cs="Arial"/>
                <w:sz w:val="20"/>
              </w:rPr>
            </w:pPr>
            <w:r w:rsidRPr="00E752D3">
              <w:rPr>
                <w:rFonts w:cs="Arial"/>
                <w:sz w:val="20"/>
              </w:rPr>
              <w:t xml:space="preserve">BEIS approves new TA and </w:t>
            </w:r>
            <w:r w:rsidR="00844C3D">
              <w:rPr>
                <w:rFonts w:cs="Arial"/>
                <w:sz w:val="20"/>
              </w:rPr>
              <w:t>blended finance</w:t>
            </w:r>
            <w:r w:rsidRPr="00E752D3">
              <w:rPr>
                <w:rFonts w:cs="Arial"/>
                <w:sz w:val="20"/>
              </w:rPr>
              <w:t xml:space="preserve"> proposals to ensure SIP-LA priorities stay in line with ICF and HMG priorities.</w:t>
            </w:r>
          </w:p>
        </w:tc>
        <w:tc>
          <w:tcPr>
            <w:tcW w:w="745" w:type="pct"/>
          </w:tcPr>
          <w:p w14:paraId="5E1BF6BB" w14:textId="77777777" w:rsidR="00D81C49" w:rsidRPr="00E752D3" w:rsidRDefault="00D81C49" w:rsidP="00191418">
            <w:pPr>
              <w:spacing w:before="120" w:after="120" w:line="276" w:lineRule="auto"/>
              <w:contextualSpacing/>
              <w:rPr>
                <w:rFonts w:cs="Arial"/>
                <w:sz w:val="20"/>
                <w:szCs w:val="20"/>
              </w:rPr>
            </w:pPr>
            <w:r w:rsidRPr="00E752D3">
              <w:rPr>
                <w:rFonts w:cs="Arial"/>
                <w:sz w:val="20"/>
                <w:szCs w:val="20"/>
              </w:rPr>
              <w:t>Moderate</w:t>
            </w:r>
          </w:p>
        </w:tc>
        <w:tc>
          <w:tcPr>
            <w:tcW w:w="941" w:type="pct"/>
          </w:tcPr>
          <w:p w14:paraId="71D557D8" w14:textId="09524F5E" w:rsidR="00D81C49" w:rsidRPr="00E752D3" w:rsidRDefault="00314266" w:rsidP="00191418">
            <w:pPr>
              <w:spacing w:before="120" w:after="120" w:line="276" w:lineRule="auto"/>
              <w:ind w:left="157" w:hanging="157"/>
              <w:rPr>
                <w:rFonts w:cs="Arial"/>
                <w:sz w:val="20"/>
                <w:szCs w:val="20"/>
              </w:rPr>
            </w:pPr>
            <w:r>
              <w:rPr>
                <w:rFonts w:cs="Arial"/>
                <w:sz w:val="20"/>
                <w:szCs w:val="20"/>
              </w:rPr>
              <w:t>M</w:t>
            </w:r>
            <w:r w:rsidR="009D2540">
              <w:rPr>
                <w:rFonts w:cs="Arial"/>
                <w:sz w:val="20"/>
                <w:szCs w:val="20"/>
              </w:rPr>
              <w:t>oderate</w:t>
            </w:r>
          </w:p>
        </w:tc>
      </w:tr>
      <w:tr w:rsidR="00314266" w:rsidRPr="00A67200" w14:paraId="3CF7151A" w14:textId="77D88553" w:rsidTr="00E07005">
        <w:trPr>
          <w:trHeight w:val="583"/>
          <w:jc w:val="center"/>
        </w:trPr>
        <w:tc>
          <w:tcPr>
            <w:tcW w:w="577" w:type="pct"/>
          </w:tcPr>
          <w:p w14:paraId="014F2D71" w14:textId="77777777" w:rsidR="00D81C49" w:rsidRPr="00E752D3" w:rsidRDefault="00D81C49" w:rsidP="00191418">
            <w:pPr>
              <w:spacing w:before="120" w:after="120" w:line="276" w:lineRule="auto"/>
              <w:contextualSpacing/>
              <w:rPr>
                <w:rFonts w:cs="Arial"/>
                <w:b/>
                <w:bCs/>
                <w:sz w:val="20"/>
                <w:szCs w:val="20"/>
              </w:rPr>
            </w:pPr>
            <w:r>
              <w:rPr>
                <w:rFonts w:cs="Arial"/>
                <w:b/>
                <w:bCs/>
                <w:sz w:val="20"/>
                <w:szCs w:val="20"/>
              </w:rPr>
              <w:t>Risk 7</w:t>
            </w:r>
          </w:p>
        </w:tc>
        <w:tc>
          <w:tcPr>
            <w:tcW w:w="1204" w:type="pct"/>
          </w:tcPr>
          <w:p w14:paraId="558EE6C5" w14:textId="77777777" w:rsidR="00D81C49" w:rsidRPr="00E752D3" w:rsidRDefault="00D81C49" w:rsidP="00191418">
            <w:pPr>
              <w:spacing w:before="120" w:after="120" w:line="276" w:lineRule="auto"/>
              <w:contextualSpacing/>
              <w:rPr>
                <w:rFonts w:cs="Arial"/>
                <w:b/>
                <w:bCs/>
                <w:sz w:val="20"/>
                <w:szCs w:val="20"/>
              </w:rPr>
            </w:pPr>
            <w:r w:rsidRPr="00E752D3">
              <w:rPr>
                <w:rFonts w:cs="Arial"/>
                <w:b/>
                <w:bCs/>
                <w:sz w:val="20"/>
                <w:szCs w:val="20"/>
              </w:rPr>
              <w:t>Contextual:</w:t>
            </w:r>
          </w:p>
          <w:p w14:paraId="6637FF8A" w14:textId="715E7B2F" w:rsidR="00D81C49" w:rsidRPr="00E752D3" w:rsidRDefault="00D81C49" w:rsidP="00191418">
            <w:pPr>
              <w:spacing w:before="120" w:after="120" w:line="276" w:lineRule="auto"/>
              <w:contextualSpacing/>
              <w:rPr>
                <w:rFonts w:cs="Arial"/>
                <w:sz w:val="20"/>
                <w:szCs w:val="20"/>
              </w:rPr>
            </w:pPr>
            <w:r w:rsidRPr="00E752D3">
              <w:rPr>
                <w:rFonts w:cs="Arial"/>
                <w:sz w:val="20"/>
                <w:szCs w:val="20"/>
              </w:rPr>
              <w:t xml:space="preserve">There is a risk that SIP-LA </w:t>
            </w:r>
            <w:r w:rsidR="008C77B2">
              <w:rPr>
                <w:rFonts w:cs="Arial"/>
                <w:sz w:val="20"/>
                <w:szCs w:val="20"/>
              </w:rPr>
              <w:t>technical assistance</w:t>
            </w:r>
            <w:r w:rsidRPr="00E752D3">
              <w:rPr>
                <w:rFonts w:cs="Arial"/>
                <w:sz w:val="20"/>
                <w:szCs w:val="20"/>
              </w:rPr>
              <w:t xml:space="preserve"> is duplicative of other HMG programmes in the region</w:t>
            </w:r>
            <w:r w:rsidR="00553A2B">
              <w:rPr>
                <w:rFonts w:cs="Arial"/>
                <w:sz w:val="20"/>
                <w:szCs w:val="20"/>
              </w:rPr>
              <w:t>.</w:t>
            </w:r>
          </w:p>
        </w:tc>
        <w:tc>
          <w:tcPr>
            <w:tcW w:w="1533" w:type="pct"/>
          </w:tcPr>
          <w:p w14:paraId="0D532CA0" w14:textId="77777777" w:rsidR="00D81C49" w:rsidRPr="00E752D3" w:rsidRDefault="00D81C49" w:rsidP="00191418">
            <w:pPr>
              <w:pStyle w:val="ListParagraph"/>
              <w:numPr>
                <w:ilvl w:val="0"/>
                <w:numId w:val="4"/>
              </w:numPr>
              <w:spacing w:before="120" w:after="120" w:line="276" w:lineRule="auto"/>
              <w:ind w:left="222" w:hanging="222"/>
              <w:rPr>
                <w:rFonts w:cs="Arial"/>
                <w:sz w:val="20"/>
              </w:rPr>
            </w:pPr>
            <w:r w:rsidRPr="00E752D3">
              <w:rPr>
                <w:rFonts w:cs="Arial"/>
                <w:sz w:val="20"/>
              </w:rPr>
              <w:t>BEIS shares information about activities in the pipeline with other programmes to identify risk of duplication and if duplication risk is identified, coordinate activities with other programme managers and delivery partners.</w:t>
            </w:r>
          </w:p>
          <w:p w14:paraId="4AE3A149" w14:textId="6DD7D1C3" w:rsidR="00D81C49" w:rsidRPr="00E752D3" w:rsidRDefault="00D81C49" w:rsidP="00191418">
            <w:pPr>
              <w:pStyle w:val="ListParagraph"/>
              <w:numPr>
                <w:ilvl w:val="0"/>
                <w:numId w:val="4"/>
              </w:numPr>
              <w:spacing w:before="120" w:after="120" w:line="276" w:lineRule="auto"/>
              <w:ind w:left="222" w:hanging="222"/>
              <w:rPr>
                <w:rFonts w:cs="Arial"/>
                <w:sz w:val="20"/>
              </w:rPr>
            </w:pPr>
            <w:r w:rsidRPr="00E752D3">
              <w:rPr>
                <w:rFonts w:cs="Arial"/>
                <w:sz w:val="20"/>
              </w:rPr>
              <w:t>BEIS informs IDB of other HMG programmes in the region to allow coordination in country</w:t>
            </w:r>
            <w:r w:rsidR="00553A2B">
              <w:rPr>
                <w:rFonts w:cs="Arial"/>
                <w:sz w:val="20"/>
              </w:rPr>
              <w:t>.</w:t>
            </w:r>
          </w:p>
        </w:tc>
        <w:tc>
          <w:tcPr>
            <w:tcW w:w="745" w:type="pct"/>
          </w:tcPr>
          <w:p w14:paraId="19AF38FA" w14:textId="77777777" w:rsidR="00D81C49" w:rsidRPr="00E752D3" w:rsidRDefault="00D81C49" w:rsidP="00191418">
            <w:pPr>
              <w:spacing w:before="120" w:after="120" w:line="276" w:lineRule="auto"/>
              <w:contextualSpacing/>
              <w:rPr>
                <w:rFonts w:cs="Arial"/>
                <w:sz w:val="20"/>
                <w:szCs w:val="20"/>
              </w:rPr>
            </w:pPr>
            <w:r w:rsidRPr="00E752D3">
              <w:rPr>
                <w:rFonts w:cs="Arial"/>
                <w:sz w:val="20"/>
                <w:szCs w:val="20"/>
              </w:rPr>
              <w:t>Major</w:t>
            </w:r>
          </w:p>
        </w:tc>
        <w:tc>
          <w:tcPr>
            <w:tcW w:w="941" w:type="pct"/>
          </w:tcPr>
          <w:p w14:paraId="72297EEC" w14:textId="06BBAEA7" w:rsidR="00D81C49" w:rsidRPr="007712C5" w:rsidRDefault="007712C5" w:rsidP="007712C5">
            <w:pPr>
              <w:spacing w:before="120" w:after="120" w:line="276" w:lineRule="auto"/>
              <w:rPr>
                <w:rFonts w:cs="Arial"/>
                <w:sz w:val="20"/>
              </w:rPr>
            </w:pPr>
            <w:r>
              <w:rPr>
                <w:rFonts w:cs="Arial"/>
                <w:sz w:val="20"/>
              </w:rPr>
              <w:t>Moderate</w:t>
            </w:r>
          </w:p>
        </w:tc>
      </w:tr>
    </w:tbl>
    <w:p w14:paraId="53933417" w14:textId="77777777" w:rsidR="001230E8" w:rsidRDefault="001230E8" w:rsidP="001230E8">
      <w:pPr>
        <w:pStyle w:val="CommentText"/>
      </w:pPr>
    </w:p>
    <w:p w14:paraId="048B6395" w14:textId="77777777" w:rsidR="00447ED1" w:rsidRDefault="003C7BA6" w:rsidP="00F40CDB">
      <w:pPr>
        <w:spacing w:before="120" w:after="120" w:line="276" w:lineRule="auto"/>
        <w:jc w:val="both"/>
        <w:rPr>
          <w:bCs/>
          <w:sz w:val="22"/>
          <w:szCs w:val="22"/>
        </w:rPr>
      </w:pPr>
      <w:r w:rsidRPr="00447ED1">
        <w:rPr>
          <w:bCs/>
          <w:sz w:val="22"/>
          <w:szCs w:val="22"/>
        </w:rPr>
        <w:lastRenderedPageBreak/>
        <w:t>Certain risks have changed in</w:t>
      </w:r>
      <w:r w:rsidR="003168AC" w:rsidRPr="00447ED1">
        <w:rPr>
          <w:bCs/>
          <w:sz w:val="22"/>
          <w:szCs w:val="22"/>
        </w:rPr>
        <w:t xml:space="preserve"> terms of rating and response type</w:t>
      </w:r>
      <w:r w:rsidRPr="00447ED1">
        <w:rPr>
          <w:bCs/>
          <w:sz w:val="22"/>
          <w:szCs w:val="22"/>
        </w:rPr>
        <w:t xml:space="preserve"> over the review period</w:t>
      </w:r>
      <w:r w:rsidR="003168AC" w:rsidRPr="00447ED1">
        <w:rPr>
          <w:bCs/>
          <w:sz w:val="22"/>
          <w:szCs w:val="22"/>
        </w:rPr>
        <w:t>, there has also been</w:t>
      </w:r>
      <w:r w:rsidRPr="00447ED1">
        <w:rPr>
          <w:bCs/>
          <w:sz w:val="22"/>
          <w:szCs w:val="22"/>
        </w:rPr>
        <w:t xml:space="preserve"> identification of new risks.</w:t>
      </w:r>
      <w:r w:rsidR="00AB2367" w:rsidRPr="00447ED1">
        <w:rPr>
          <w:bCs/>
          <w:sz w:val="22"/>
          <w:szCs w:val="22"/>
        </w:rPr>
        <w:t xml:space="preserve"> </w:t>
      </w:r>
    </w:p>
    <w:p w14:paraId="302B5CDF" w14:textId="5964A143" w:rsidR="006410C1" w:rsidRPr="001C60D9" w:rsidRDefault="006410C1" w:rsidP="00F40CDB">
      <w:pPr>
        <w:spacing w:before="120" w:after="120" w:line="276" w:lineRule="auto"/>
        <w:jc w:val="both"/>
        <w:rPr>
          <w:bCs/>
          <w:sz w:val="22"/>
          <w:szCs w:val="22"/>
          <w:u w:val="single"/>
        </w:rPr>
      </w:pPr>
      <w:r w:rsidRPr="001C60D9">
        <w:rPr>
          <w:bCs/>
          <w:sz w:val="22"/>
          <w:szCs w:val="22"/>
          <w:u w:val="single"/>
        </w:rPr>
        <w:t>The following risks have been downgrade</w:t>
      </w:r>
      <w:r w:rsidR="004E68B8" w:rsidRPr="001C60D9">
        <w:rPr>
          <w:bCs/>
          <w:sz w:val="22"/>
          <w:szCs w:val="22"/>
          <w:u w:val="single"/>
        </w:rPr>
        <w:t>d</w:t>
      </w:r>
      <w:r w:rsidRPr="001C60D9">
        <w:rPr>
          <w:bCs/>
          <w:sz w:val="22"/>
          <w:szCs w:val="22"/>
          <w:u w:val="single"/>
        </w:rPr>
        <w:t>:</w:t>
      </w:r>
    </w:p>
    <w:p w14:paraId="2F9ECB07" w14:textId="2E5C890E" w:rsidR="004E2FC5" w:rsidRDefault="006410C1" w:rsidP="00F40CDB">
      <w:pPr>
        <w:spacing w:before="120" w:after="120" w:line="276" w:lineRule="auto"/>
        <w:jc w:val="both"/>
        <w:rPr>
          <w:bCs/>
          <w:sz w:val="22"/>
          <w:szCs w:val="22"/>
        </w:rPr>
      </w:pPr>
      <w:r w:rsidRPr="00B01F3E">
        <w:rPr>
          <w:b/>
          <w:sz w:val="22"/>
          <w:szCs w:val="22"/>
        </w:rPr>
        <w:t>Risk 3</w:t>
      </w:r>
      <w:r w:rsidR="00421936" w:rsidRPr="00B01F3E">
        <w:rPr>
          <w:b/>
          <w:sz w:val="22"/>
          <w:szCs w:val="22"/>
        </w:rPr>
        <w:t>:</w:t>
      </w:r>
      <w:r w:rsidR="00421936">
        <w:rPr>
          <w:bCs/>
          <w:sz w:val="22"/>
          <w:szCs w:val="22"/>
        </w:rPr>
        <w:t xml:space="preserve"> </w:t>
      </w:r>
      <w:r w:rsidR="003C1AE8">
        <w:rPr>
          <w:bCs/>
          <w:sz w:val="22"/>
          <w:szCs w:val="22"/>
        </w:rPr>
        <w:t>This was previously a ‘major’ risk</w:t>
      </w:r>
      <w:r w:rsidR="00C962C5">
        <w:rPr>
          <w:bCs/>
          <w:sz w:val="22"/>
          <w:szCs w:val="22"/>
        </w:rPr>
        <w:t xml:space="preserve"> but has been downgraded to </w:t>
      </w:r>
      <w:r w:rsidR="00AF12FC">
        <w:rPr>
          <w:bCs/>
          <w:sz w:val="22"/>
          <w:szCs w:val="22"/>
        </w:rPr>
        <w:t>‘</w:t>
      </w:r>
      <w:r w:rsidR="00C962C5">
        <w:rPr>
          <w:bCs/>
          <w:sz w:val="22"/>
          <w:szCs w:val="22"/>
        </w:rPr>
        <w:t>moderate</w:t>
      </w:r>
      <w:r w:rsidR="00AF12FC">
        <w:rPr>
          <w:bCs/>
          <w:sz w:val="22"/>
          <w:szCs w:val="22"/>
        </w:rPr>
        <w:t>’</w:t>
      </w:r>
      <w:r w:rsidR="00C962C5">
        <w:rPr>
          <w:bCs/>
          <w:sz w:val="22"/>
          <w:szCs w:val="22"/>
        </w:rPr>
        <w:t xml:space="preserve">. Recent </w:t>
      </w:r>
      <w:r w:rsidR="00C457C0">
        <w:rPr>
          <w:bCs/>
          <w:sz w:val="22"/>
          <w:szCs w:val="22"/>
        </w:rPr>
        <w:t>events and communication</w:t>
      </w:r>
      <w:r w:rsidR="00C962C5">
        <w:rPr>
          <w:bCs/>
          <w:sz w:val="22"/>
          <w:szCs w:val="22"/>
        </w:rPr>
        <w:t xml:space="preserve"> through the UK-Colombia partnership </w:t>
      </w:r>
      <w:r w:rsidR="00506283">
        <w:rPr>
          <w:bCs/>
          <w:sz w:val="22"/>
          <w:szCs w:val="22"/>
        </w:rPr>
        <w:t xml:space="preserve">have raised </w:t>
      </w:r>
      <w:r w:rsidR="00645A6D">
        <w:rPr>
          <w:bCs/>
          <w:sz w:val="22"/>
          <w:szCs w:val="22"/>
        </w:rPr>
        <w:t>SIP-LA</w:t>
      </w:r>
      <w:r w:rsidR="00C21F06">
        <w:rPr>
          <w:bCs/>
          <w:sz w:val="22"/>
          <w:szCs w:val="22"/>
        </w:rPr>
        <w:t xml:space="preserve">’s visibility in country and provided relevant roadmaps for replication across the region. </w:t>
      </w:r>
      <w:r w:rsidR="00737AC9">
        <w:rPr>
          <w:bCs/>
          <w:sz w:val="22"/>
          <w:szCs w:val="22"/>
        </w:rPr>
        <w:t>Increased coordination with embassy teams has increased the frequency of updates available for inclusion in country communications</w:t>
      </w:r>
      <w:r w:rsidR="004E2FC5">
        <w:rPr>
          <w:bCs/>
          <w:sz w:val="22"/>
          <w:szCs w:val="22"/>
        </w:rPr>
        <w:t xml:space="preserve">. </w:t>
      </w:r>
    </w:p>
    <w:p w14:paraId="02D0C0A7" w14:textId="0575C4C2" w:rsidR="00F40CDB" w:rsidRDefault="004E2FC5" w:rsidP="00F40CDB">
      <w:pPr>
        <w:spacing w:before="120" w:after="120" w:line="276" w:lineRule="auto"/>
        <w:jc w:val="both"/>
        <w:rPr>
          <w:bCs/>
          <w:sz w:val="22"/>
          <w:szCs w:val="22"/>
        </w:rPr>
      </w:pPr>
      <w:r>
        <w:rPr>
          <w:b/>
          <w:sz w:val="22"/>
          <w:szCs w:val="22"/>
        </w:rPr>
        <w:t>Risk</w:t>
      </w:r>
      <w:r w:rsidR="003A540F">
        <w:rPr>
          <w:b/>
          <w:sz w:val="22"/>
          <w:szCs w:val="22"/>
        </w:rPr>
        <w:t xml:space="preserve"> 4: </w:t>
      </w:r>
      <w:r w:rsidR="005B7547">
        <w:rPr>
          <w:bCs/>
          <w:sz w:val="22"/>
          <w:szCs w:val="22"/>
        </w:rPr>
        <w:t xml:space="preserve">This was previously a ‘major’ risk but has been downgraded to </w:t>
      </w:r>
      <w:r w:rsidR="00AF12FC">
        <w:rPr>
          <w:bCs/>
          <w:sz w:val="22"/>
          <w:szCs w:val="22"/>
        </w:rPr>
        <w:t>‘</w:t>
      </w:r>
      <w:r w:rsidR="005B7547">
        <w:rPr>
          <w:bCs/>
          <w:sz w:val="22"/>
          <w:szCs w:val="22"/>
        </w:rPr>
        <w:t>moderate</w:t>
      </w:r>
      <w:r w:rsidR="00AF12FC">
        <w:rPr>
          <w:bCs/>
          <w:sz w:val="22"/>
          <w:szCs w:val="22"/>
        </w:rPr>
        <w:t>’</w:t>
      </w:r>
      <w:r w:rsidR="005B7547">
        <w:rPr>
          <w:bCs/>
          <w:sz w:val="22"/>
          <w:szCs w:val="22"/>
        </w:rPr>
        <w:t>.</w:t>
      </w:r>
      <w:r w:rsidR="0090389B">
        <w:rPr>
          <w:bCs/>
          <w:sz w:val="22"/>
          <w:szCs w:val="22"/>
        </w:rPr>
        <w:t xml:space="preserve"> Following political transitions in three out of four of the partner governments across 2018/19</w:t>
      </w:r>
      <w:r w:rsidR="00FD4203">
        <w:rPr>
          <w:bCs/>
          <w:sz w:val="22"/>
          <w:szCs w:val="22"/>
        </w:rPr>
        <w:t xml:space="preserve">, feedback from embassy teams in 2019 has been that </w:t>
      </w:r>
      <w:r w:rsidR="009B7E16">
        <w:rPr>
          <w:bCs/>
          <w:sz w:val="22"/>
          <w:szCs w:val="22"/>
        </w:rPr>
        <w:t xml:space="preserve">political support and demand for the opportunities presented through SIP-LA </w:t>
      </w:r>
      <w:r w:rsidR="001B061A">
        <w:rPr>
          <w:bCs/>
          <w:sz w:val="22"/>
          <w:szCs w:val="22"/>
        </w:rPr>
        <w:t>is</w:t>
      </w:r>
      <w:r w:rsidR="009B7E16">
        <w:rPr>
          <w:bCs/>
          <w:sz w:val="22"/>
          <w:szCs w:val="22"/>
        </w:rPr>
        <w:t xml:space="preserve"> high.</w:t>
      </w:r>
    </w:p>
    <w:p w14:paraId="7EB5C1D5" w14:textId="7152E651" w:rsidR="00E95DBA" w:rsidRDefault="00E95DBA" w:rsidP="00E95DBA">
      <w:pPr>
        <w:spacing w:before="120" w:after="120" w:line="276" w:lineRule="auto"/>
        <w:jc w:val="both"/>
        <w:rPr>
          <w:bCs/>
          <w:sz w:val="22"/>
          <w:szCs w:val="22"/>
        </w:rPr>
      </w:pPr>
      <w:r>
        <w:rPr>
          <w:b/>
          <w:sz w:val="22"/>
          <w:szCs w:val="22"/>
        </w:rPr>
        <w:t xml:space="preserve">Risk 7: </w:t>
      </w:r>
      <w:r>
        <w:rPr>
          <w:bCs/>
          <w:sz w:val="22"/>
          <w:szCs w:val="22"/>
        </w:rPr>
        <w:t xml:space="preserve">This was previously a ‘major’ risk but has been downgraded to ‘moderate’. </w:t>
      </w:r>
      <w:r w:rsidR="00BB43B7">
        <w:rPr>
          <w:bCs/>
          <w:sz w:val="22"/>
          <w:szCs w:val="22"/>
        </w:rPr>
        <w:t>A</w:t>
      </w:r>
      <w:r w:rsidR="00BB43B7" w:rsidRPr="00BB43B7">
        <w:rPr>
          <w:bCs/>
          <w:sz w:val="22"/>
          <w:szCs w:val="22"/>
        </w:rPr>
        <w:t>ll BEIS ICF programmes delivering in the region are now key stakeholders in SIP</w:t>
      </w:r>
      <w:r w:rsidR="00343BD7">
        <w:rPr>
          <w:bCs/>
          <w:sz w:val="22"/>
          <w:szCs w:val="22"/>
        </w:rPr>
        <w:t>-LA’</w:t>
      </w:r>
      <w:r w:rsidR="00BB43B7" w:rsidRPr="00BB43B7">
        <w:rPr>
          <w:bCs/>
          <w:sz w:val="22"/>
          <w:szCs w:val="22"/>
        </w:rPr>
        <w:t xml:space="preserve">s project approval process. In addition, further link up has been developed between the BEIS SIP-LA team and Defra ICF teams delivering in the region. Improvements to coordination also include </w:t>
      </w:r>
      <w:r w:rsidR="00645A6D">
        <w:rPr>
          <w:bCs/>
          <w:sz w:val="22"/>
          <w:szCs w:val="22"/>
        </w:rPr>
        <w:t>SIP-LA</w:t>
      </w:r>
      <w:r w:rsidR="00BB43B7" w:rsidRPr="00BB43B7">
        <w:rPr>
          <w:bCs/>
          <w:sz w:val="22"/>
          <w:szCs w:val="22"/>
        </w:rPr>
        <w:t xml:space="preserve"> team reviewing proposals for future UK PACT interventions in September 2020 to ensure complementarity with </w:t>
      </w:r>
      <w:r w:rsidR="00645A6D">
        <w:rPr>
          <w:bCs/>
          <w:sz w:val="22"/>
          <w:szCs w:val="22"/>
        </w:rPr>
        <w:t>SIP-LA</w:t>
      </w:r>
      <w:r w:rsidR="00BB43B7" w:rsidRPr="00BB43B7">
        <w:rPr>
          <w:bCs/>
          <w:sz w:val="22"/>
          <w:szCs w:val="22"/>
        </w:rPr>
        <w:t xml:space="preserve"> pipeline.</w:t>
      </w:r>
      <w:r w:rsidR="003E0409">
        <w:rPr>
          <w:bCs/>
          <w:sz w:val="22"/>
          <w:szCs w:val="22"/>
        </w:rPr>
        <w:t xml:space="preserve"> </w:t>
      </w:r>
      <w:r w:rsidR="00700FF4">
        <w:rPr>
          <w:bCs/>
          <w:sz w:val="22"/>
          <w:szCs w:val="22"/>
        </w:rPr>
        <w:t>E</w:t>
      </w:r>
      <w:r w:rsidR="00624C30">
        <w:rPr>
          <w:bCs/>
          <w:sz w:val="22"/>
          <w:szCs w:val="22"/>
        </w:rPr>
        <w:t xml:space="preserve">mbassy teams are well sighted </w:t>
      </w:r>
      <w:r w:rsidR="00700FF4">
        <w:rPr>
          <w:bCs/>
          <w:sz w:val="22"/>
          <w:szCs w:val="22"/>
        </w:rPr>
        <w:t xml:space="preserve">of the ICF portfolio and engaged in the </w:t>
      </w:r>
      <w:r w:rsidR="001C60D9">
        <w:rPr>
          <w:bCs/>
          <w:sz w:val="22"/>
          <w:szCs w:val="22"/>
        </w:rPr>
        <w:t xml:space="preserve">approval process of </w:t>
      </w:r>
      <w:r w:rsidR="008C77B2">
        <w:rPr>
          <w:bCs/>
          <w:sz w:val="22"/>
          <w:szCs w:val="22"/>
        </w:rPr>
        <w:t>technical assistance</w:t>
      </w:r>
      <w:r w:rsidR="001C60D9">
        <w:rPr>
          <w:bCs/>
          <w:sz w:val="22"/>
          <w:szCs w:val="22"/>
        </w:rPr>
        <w:t xml:space="preserve"> projects.</w:t>
      </w:r>
    </w:p>
    <w:p w14:paraId="5D16D879" w14:textId="084F1B4F" w:rsidR="00F40CDB" w:rsidRPr="001C60D9" w:rsidRDefault="00A36023" w:rsidP="00F40CDB">
      <w:pPr>
        <w:spacing w:before="120" w:after="120" w:line="276" w:lineRule="auto"/>
        <w:jc w:val="both"/>
        <w:rPr>
          <w:bCs/>
          <w:sz w:val="22"/>
          <w:szCs w:val="22"/>
          <w:u w:val="single"/>
        </w:rPr>
      </w:pPr>
      <w:r w:rsidRPr="001C60D9">
        <w:rPr>
          <w:bCs/>
          <w:sz w:val="22"/>
          <w:szCs w:val="22"/>
          <w:u w:val="single"/>
        </w:rPr>
        <w:t xml:space="preserve">The following </w:t>
      </w:r>
      <w:r w:rsidR="001E5281" w:rsidRPr="001C60D9">
        <w:rPr>
          <w:bCs/>
          <w:sz w:val="22"/>
          <w:szCs w:val="22"/>
          <w:u w:val="single"/>
        </w:rPr>
        <w:t>actions</w:t>
      </w:r>
      <w:r w:rsidRPr="001C60D9">
        <w:rPr>
          <w:bCs/>
          <w:sz w:val="22"/>
          <w:szCs w:val="22"/>
          <w:u w:val="single"/>
        </w:rPr>
        <w:t xml:space="preserve"> have been taken </w:t>
      </w:r>
      <w:r w:rsidR="001737F2" w:rsidRPr="001C60D9">
        <w:rPr>
          <w:bCs/>
          <w:sz w:val="22"/>
          <w:szCs w:val="22"/>
          <w:u w:val="single"/>
        </w:rPr>
        <w:t>in response to the ‘major’ risks</w:t>
      </w:r>
      <w:r w:rsidR="0001691C" w:rsidRPr="001C60D9">
        <w:rPr>
          <w:bCs/>
          <w:sz w:val="22"/>
          <w:szCs w:val="22"/>
          <w:u w:val="single"/>
        </w:rPr>
        <w:t xml:space="preserve"> identified throughout the review period:</w:t>
      </w:r>
    </w:p>
    <w:p w14:paraId="5DD7543A" w14:textId="74D9309E" w:rsidR="0001691C" w:rsidRDefault="0001691C" w:rsidP="00F40CDB">
      <w:pPr>
        <w:spacing w:before="120" w:after="120" w:line="276" w:lineRule="auto"/>
        <w:jc w:val="both"/>
        <w:rPr>
          <w:bCs/>
          <w:sz w:val="22"/>
          <w:szCs w:val="22"/>
        </w:rPr>
      </w:pPr>
      <w:r>
        <w:rPr>
          <w:b/>
          <w:sz w:val="22"/>
          <w:szCs w:val="22"/>
        </w:rPr>
        <w:t xml:space="preserve">Risk 1: </w:t>
      </w:r>
      <w:r w:rsidR="0039426F">
        <w:rPr>
          <w:bCs/>
          <w:sz w:val="22"/>
          <w:szCs w:val="22"/>
        </w:rPr>
        <w:t xml:space="preserve">Steps have been taken by </w:t>
      </w:r>
      <w:r w:rsidR="00D12787">
        <w:rPr>
          <w:bCs/>
          <w:sz w:val="22"/>
          <w:szCs w:val="22"/>
        </w:rPr>
        <w:t>IDB</w:t>
      </w:r>
      <w:r w:rsidR="0039426F">
        <w:rPr>
          <w:bCs/>
          <w:sz w:val="22"/>
          <w:szCs w:val="22"/>
        </w:rPr>
        <w:t xml:space="preserve"> to develop a robust pipeline </w:t>
      </w:r>
      <w:r w:rsidR="000A27AD">
        <w:rPr>
          <w:bCs/>
          <w:sz w:val="22"/>
          <w:szCs w:val="22"/>
        </w:rPr>
        <w:t xml:space="preserve">which should result in the frequent delivery of investment proposals to BEIS. </w:t>
      </w:r>
      <w:r w:rsidR="008C77B2">
        <w:rPr>
          <w:bCs/>
          <w:sz w:val="22"/>
          <w:szCs w:val="22"/>
        </w:rPr>
        <w:t>Technical assistance</w:t>
      </w:r>
      <w:r w:rsidR="009826F9">
        <w:rPr>
          <w:bCs/>
          <w:sz w:val="22"/>
          <w:szCs w:val="22"/>
        </w:rPr>
        <w:t xml:space="preserve"> activities have surpassed expectations for 2019. </w:t>
      </w:r>
    </w:p>
    <w:p w14:paraId="298B69D5" w14:textId="394F2F9C" w:rsidR="009826F9" w:rsidRDefault="00F05367" w:rsidP="00F40CDB">
      <w:pPr>
        <w:spacing w:before="120" w:after="120" w:line="276" w:lineRule="auto"/>
        <w:jc w:val="both"/>
        <w:rPr>
          <w:bCs/>
          <w:sz w:val="22"/>
          <w:szCs w:val="22"/>
        </w:rPr>
      </w:pPr>
      <w:r>
        <w:rPr>
          <w:b/>
          <w:sz w:val="22"/>
          <w:szCs w:val="22"/>
        </w:rPr>
        <w:t xml:space="preserve">Risk 2: </w:t>
      </w:r>
      <w:r w:rsidRPr="00F05367">
        <w:rPr>
          <w:bCs/>
          <w:sz w:val="22"/>
          <w:szCs w:val="22"/>
        </w:rPr>
        <w:t xml:space="preserve">BEIS and IDB have formally discussed the status and direction of the </w:t>
      </w:r>
      <w:r w:rsidR="00844C3D">
        <w:rPr>
          <w:bCs/>
          <w:sz w:val="22"/>
          <w:szCs w:val="22"/>
        </w:rPr>
        <w:t>blended finance</w:t>
      </w:r>
      <w:r w:rsidRPr="00F05367">
        <w:rPr>
          <w:bCs/>
          <w:sz w:val="22"/>
          <w:szCs w:val="22"/>
        </w:rPr>
        <w:t xml:space="preserve"> pipeline at least biannually to ensure additionality and transformative potential.</w:t>
      </w:r>
    </w:p>
    <w:p w14:paraId="7C46FAE2" w14:textId="0114EAC1" w:rsidR="00EE3695" w:rsidRPr="00607D09" w:rsidRDefault="005C3873" w:rsidP="00F40CDB">
      <w:pPr>
        <w:spacing w:before="120" w:after="120" w:line="276" w:lineRule="auto"/>
        <w:jc w:val="both"/>
        <w:rPr>
          <w:bCs/>
          <w:sz w:val="22"/>
          <w:szCs w:val="22"/>
          <w:u w:val="single"/>
        </w:rPr>
      </w:pPr>
      <w:r w:rsidRPr="00607D09">
        <w:rPr>
          <w:bCs/>
          <w:sz w:val="22"/>
          <w:szCs w:val="22"/>
          <w:u w:val="single"/>
        </w:rPr>
        <w:t>The following risks have been</w:t>
      </w:r>
      <w:r w:rsidR="00C57B48" w:rsidRPr="00607D09">
        <w:rPr>
          <w:bCs/>
          <w:sz w:val="22"/>
          <w:szCs w:val="22"/>
          <w:u w:val="single"/>
        </w:rPr>
        <w:t xml:space="preserve"> added identified in 2020:</w:t>
      </w:r>
    </w:p>
    <w:tbl>
      <w:tblPr>
        <w:tblStyle w:val="TableGrid"/>
        <w:tblW w:w="5000" w:type="pct"/>
        <w:jc w:val="center"/>
        <w:tblLook w:val="04A0" w:firstRow="1" w:lastRow="0" w:firstColumn="1" w:lastColumn="0" w:noHBand="0" w:noVBand="1"/>
      </w:tblPr>
      <w:tblGrid>
        <w:gridCol w:w="1487"/>
        <w:gridCol w:w="3101"/>
        <w:gridCol w:w="3948"/>
        <w:gridCol w:w="1920"/>
      </w:tblGrid>
      <w:tr w:rsidR="00C57B48" w:rsidRPr="00E752D3" w14:paraId="0A95D572" w14:textId="77777777" w:rsidTr="00BC7506">
        <w:trPr>
          <w:trHeight w:val="712"/>
          <w:jc w:val="center"/>
        </w:trPr>
        <w:tc>
          <w:tcPr>
            <w:tcW w:w="711" w:type="pct"/>
            <w:shd w:val="clear" w:color="auto" w:fill="D9E2F3" w:themeFill="accent1" w:themeFillTint="33"/>
          </w:tcPr>
          <w:p w14:paraId="32E68A54" w14:textId="77777777" w:rsidR="00C57B48" w:rsidRPr="00E752D3" w:rsidRDefault="00C57B48" w:rsidP="00AC6416">
            <w:pPr>
              <w:spacing w:before="120" w:after="120" w:line="276" w:lineRule="auto"/>
              <w:contextualSpacing/>
              <w:rPr>
                <w:rFonts w:cs="Arial"/>
                <w:b/>
                <w:bCs/>
                <w:sz w:val="20"/>
                <w:szCs w:val="20"/>
              </w:rPr>
            </w:pPr>
            <w:r>
              <w:rPr>
                <w:rFonts w:cs="Arial"/>
                <w:b/>
                <w:bCs/>
                <w:sz w:val="20"/>
                <w:szCs w:val="20"/>
              </w:rPr>
              <w:t>ID</w:t>
            </w:r>
          </w:p>
        </w:tc>
        <w:tc>
          <w:tcPr>
            <w:tcW w:w="1483" w:type="pct"/>
            <w:shd w:val="clear" w:color="auto" w:fill="D9E2F3" w:themeFill="accent1" w:themeFillTint="33"/>
          </w:tcPr>
          <w:p w14:paraId="51558EAF" w14:textId="77777777" w:rsidR="00C57B48" w:rsidRPr="00E752D3" w:rsidRDefault="00C57B48" w:rsidP="00AC6416">
            <w:pPr>
              <w:spacing w:before="120" w:after="120" w:line="276" w:lineRule="auto"/>
              <w:contextualSpacing/>
              <w:rPr>
                <w:rFonts w:cs="Arial"/>
                <w:b/>
                <w:bCs/>
                <w:sz w:val="20"/>
                <w:szCs w:val="20"/>
              </w:rPr>
            </w:pPr>
            <w:r w:rsidRPr="00E752D3">
              <w:rPr>
                <w:rFonts w:cs="Arial"/>
                <w:b/>
                <w:bCs/>
                <w:sz w:val="20"/>
                <w:szCs w:val="20"/>
              </w:rPr>
              <w:t xml:space="preserve">Risk description </w:t>
            </w:r>
          </w:p>
        </w:tc>
        <w:tc>
          <w:tcPr>
            <w:tcW w:w="1888" w:type="pct"/>
            <w:shd w:val="clear" w:color="auto" w:fill="D9E2F3" w:themeFill="accent1" w:themeFillTint="33"/>
          </w:tcPr>
          <w:p w14:paraId="5A4FA511" w14:textId="77777777" w:rsidR="00C57B48" w:rsidRPr="00E752D3" w:rsidRDefault="00C57B48" w:rsidP="00AC6416">
            <w:pPr>
              <w:spacing w:before="120" w:after="120" w:line="276" w:lineRule="auto"/>
              <w:contextualSpacing/>
              <w:rPr>
                <w:rFonts w:cs="Arial"/>
                <w:b/>
                <w:bCs/>
                <w:sz w:val="20"/>
                <w:szCs w:val="20"/>
              </w:rPr>
            </w:pPr>
            <w:r w:rsidRPr="00E752D3">
              <w:rPr>
                <w:rFonts w:cs="Arial"/>
                <w:b/>
                <w:bCs/>
                <w:sz w:val="20"/>
                <w:szCs w:val="20"/>
              </w:rPr>
              <w:t>Risk response description</w:t>
            </w:r>
          </w:p>
        </w:tc>
        <w:tc>
          <w:tcPr>
            <w:tcW w:w="918" w:type="pct"/>
            <w:shd w:val="clear" w:color="auto" w:fill="D9E2F3" w:themeFill="accent1" w:themeFillTint="33"/>
          </w:tcPr>
          <w:p w14:paraId="3C7C60AE" w14:textId="77777777" w:rsidR="00C57B48" w:rsidRPr="00E752D3" w:rsidRDefault="00C57B48" w:rsidP="00AC6416">
            <w:pPr>
              <w:spacing w:before="120" w:after="120" w:line="276" w:lineRule="auto"/>
              <w:contextualSpacing/>
              <w:rPr>
                <w:rFonts w:cs="Arial"/>
                <w:b/>
                <w:bCs/>
                <w:sz w:val="20"/>
                <w:szCs w:val="20"/>
              </w:rPr>
            </w:pPr>
            <w:r w:rsidRPr="00E752D3">
              <w:rPr>
                <w:rFonts w:cs="Arial"/>
                <w:b/>
                <w:bCs/>
                <w:sz w:val="20"/>
                <w:szCs w:val="20"/>
              </w:rPr>
              <w:t>Residual Risk rating</w:t>
            </w:r>
          </w:p>
        </w:tc>
      </w:tr>
      <w:tr w:rsidR="00C57B48" w:rsidRPr="00E752D3" w14:paraId="64DCA9DC" w14:textId="77777777" w:rsidTr="00E07005">
        <w:trPr>
          <w:trHeight w:val="1847"/>
          <w:jc w:val="center"/>
        </w:trPr>
        <w:tc>
          <w:tcPr>
            <w:tcW w:w="711" w:type="pct"/>
          </w:tcPr>
          <w:p w14:paraId="312A2EE9" w14:textId="2C10C466" w:rsidR="00C57B48" w:rsidRPr="00E752D3" w:rsidRDefault="00C57B48" w:rsidP="00AC6416">
            <w:pPr>
              <w:spacing w:before="120" w:after="120" w:line="276" w:lineRule="auto"/>
              <w:rPr>
                <w:rFonts w:cs="Arial"/>
                <w:b/>
                <w:bCs/>
                <w:color w:val="000000"/>
                <w:sz w:val="20"/>
                <w:szCs w:val="20"/>
                <w:shd w:val="clear" w:color="auto" w:fill="FFFFFF"/>
              </w:rPr>
            </w:pPr>
            <w:r>
              <w:rPr>
                <w:rFonts w:cs="Arial"/>
                <w:b/>
                <w:bCs/>
                <w:color w:val="000000"/>
                <w:sz w:val="20"/>
                <w:szCs w:val="20"/>
                <w:shd w:val="clear" w:color="auto" w:fill="FFFFFF"/>
              </w:rPr>
              <w:t xml:space="preserve">Risk </w:t>
            </w:r>
            <w:r w:rsidR="00607D09">
              <w:rPr>
                <w:rFonts w:cs="Arial"/>
                <w:b/>
                <w:bCs/>
                <w:color w:val="000000"/>
                <w:sz w:val="20"/>
                <w:szCs w:val="20"/>
                <w:shd w:val="clear" w:color="auto" w:fill="FFFFFF"/>
              </w:rPr>
              <w:t>8</w:t>
            </w:r>
          </w:p>
        </w:tc>
        <w:tc>
          <w:tcPr>
            <w:tcW w:w="1483" w:type="pct"/>
          </w:tcPr>
          <w:p w14:paraId="3A5678D6" w14:textId="77777777" w:rsidR="00C57B48" w:rsidRPr="00E752D3" w:rsidRDefault="00C57B48" w:rsidP="00AC6416">
            <w:pPr>
              <w:spacing w:before="120" w:after="120" w:line="276" w:lineRule="auto"/>
              <w:rPr>
                <w:rFonts w:cs="Arial"/>
                <w:b/>
                <w:bCs/>
                <w:color w:val="000000"/>
                <w:sz w:val="20"/>
                <w:szCs w:val="20"/>
                <w:shd w:val="clear" w:color="auto" w:fill="FFFFFF"/>
              </w:rPr>
            </w:pPr>
            <w:r w:rsidRPr="00E752D3">
              <w:rPr>
                <w:rFonts w:cs="Arial"/>
                <w:b/>
                <w:bCs/>
                <w:color w:val="000000"/>
                <w:sz w:val="20"/>
                <w:szCs w:val="20"/>
                <w:shd w:val="clear" w:color="auto" w:fill="FFFFFF"/>
              </w:rPr>
              <w:t xml:space="preserve">Delivery Risk: </w:t>
            </w:r>
          </w:p>
          <w:p w14:paraId="22667B91" w14:textId="4D2D3085" w:rsidR="00C57B48" w:rsidRPr="00383BBE" w:rsidRDefault="009F5EFD" w:rsidP="00AC6416">
            <w:pPr>
              <w:spacing w:before="120" w:after="120" w:line="276" w:lineRule="auto"/>
              <w:rPr>
                <w:rFonts w:cs="Arial"/>
                <w:color w:val="000000"/>
                <w:sz w:val="20"/>
                <w:szCs w:val="20"/>
                <w:shd w:val="clear" w:color="auto" w:fill="FFFFFF"/>
              </w:rPr>
            </w:pPr>
            <w:r w:rsidRPr="00383BBE">
              <w:rPr>
                <w:rFonts w:cs="Arial"/>
                <w:color w:val="000000"/>
                <w:sz w:val="20"/>
                <w:szCs w:val="20"/>
                <w:shd w:val="clear" w:color="auto" w:fill="FFFFFF"/>
              </w:rPr>
              <w:t xml:space="preserve">There is a risk that the impacts of </w:t>
            </w:r>
            <w:r w:rsidR="008669F2" w:rsidRPr="00383BBE">
              <w:rPr>
                <w:rFonts w:cs="Arial"/>
                <w:color w:val="000000"/>
                <w:sz w:val="20"/>
                <w:szCs w:val="20"/>
                <w:shd w:val="clear" w:color="auto" w:fill="FFFFFF"/>
              </w:rPr>
              <w:t xml:space="preserve">the </w:t>
            </w:r>
            <w:r w:rsidR="00844C3D">
              <w:rPr>
                <w:rFonts w:cs="Arial"/>
                <w:color w:val="000000"/>
                <w:sz w:val="20"/>
                <w:szCs w:val="20"/>
                <w:shd w:val="clear" w:color="auto" w:fill="FFFFFF"/>
              </w:rPr>
              <w:t>COVID-19</w:t>
            </w:r>
            <w:r w:rsidRPr="00383BBE">
              <w:rPr>
                <w:rFonts w:cs="Arial"/>
                <w:color w:val="000000"/>
                <w:sz w:val="20"/>
                <w:szCs w:val="20"/>
                <w:shd w:val="clear" w:color="auto" w:fill="FFFFFF"/>
              </w:rPr>
              <w:t xml:space="preserve"> </w:t>
            </w:r>
            <w:r w:rsidR="008669F2" w:rsidRPr="00383BBE">
              <w:rPr>
                <w:rFonts w:cs="Arial"/>
                <w:color w:val="000000"/>
                <w:sz w:val="20"/>
                <w:szCs w:val="20"/>
                <w:shd w:val="clear" w:color="auto" w:fill="FFFFFF"/>
              </w:rPr>
              <w:t xml:space="preserve">lockdown could affect </w:t>
            </w:r>
            <w:r w:rsidR="00383BBE" w:rsidRPr="00383BBE">
              <w:rPr>
                <w:rFonts w:cs="Arial"/>
                <w:color w:val="000000"/>
                <w:sz w:val="20"/>
                <w:szCs w:val="20"/>
                <w:shd w:val="clear" w:color="auto" w:fill="FFFFFF"/>
              </w:rPr>
              <w:t>the</w:t>
            </w:r>
            <w:r w:rsidR="001E305A">
              <w:rPr>
                <w:rFonts w:cs="Arial"/>
                <w:color w:val="000000"/>
                <w:sz w:val="20"/>
                <w:szCs w:val="20"/>
                <w:shd w:val="clear" w:color="auto" w:fill="FFFFFF"/>
              </w:rPr>
              <w:t xml:space="preserve"> quality and quantity</w:t>
            </w:r>
            <w:r w:rsidR="00383BBE" w:rsidRPr="00383BBE">
              <w:rPr>
                <w:rFonts w:cs="Arial"/>
                <w:color w:val="000000"/>
                <w:sz w:val="20"/>
                <w:szCs w:val="20"/>
                <w:shd w:val="clear" w:color="auto" w:fill="FFFFFF"/>
              </w:rPr>
              <w:t xml:space="preserve"> of </w:t>
            </w:r>
            <w:r w:rsidR="008C77B2">
              <w:rPr>
                <w:rFonts w:cs="Arial"/>
                <w:color w:val="000000"/>
                <w:sz w:val="20"/>
                <w:szCs w:val="20"/>
                <w:shd w:val="clear" w:color="auto" w:fill="FFFFFF"/>
              </w:rPr>
              <w:t>technical assistance</w:t>
            </w:r>
            <w:r w:rsidR="004A6953">
              <w:rPr>
                <w:rFonts w:cs="Arial"/>
                <w:color w:val="000000"/>
                <w:sz w:val="20"/>
                <w:szCs w:val="20"/>
                <w:shd w:val="clear" w:color="auto" w:fill="FFFFFF"/>
              </w:rPr>
              <w:t xml:space="preserve"> delivered</w:t>
            </w:r>
            <w:r w:rsidR="008E51D1">
              <w:rPr>
                <w:rFonts w:cs="Arial"/>
                <w:color w:val="000000"/>
                <w:sz w:val="20"/>
                <w:szCs w:val="20"/>
                <w:shd w:val="clear" w:color="auto" w:fill="FFFFFF"/>
              </w:rPr>
              <w:t xml:space="preserve">. </w:t>
            </w:r>
          </w:p>
        </w:tc>
        <w:tc>
          <w:tcPr>
            <w:tcW w:w="1888" w:type="pct"/>
          </w:tcPr>
          <w:p w14:paraId="05339B91" w14:textId="1AD22E78" w:rsidR="00C57B48" w:rsidRPr="00DC3760" w:rsidRDefault="00DC3760" w:rsidP="00DC3760">
            <w:pPr>
              <w:spacing w:before="120" w:after="120" w:line="276" w:lineRule="auto"/>
              <w:rPr>
                <w:rFonts w:cs="Arial"/>
                <w:sz w:val="20"/>
              </w:rPr>
            </w:pPr>
            <w:r>
              <w:rPr>
                <w:rFonts w:cs="Arial"/>
                <w:sz w:val="20"/>
              </w:rPr>
              <w:t xml:space="preserve">Accept – IDB are adapting the delivery of </w:t>
            </w:r>
            <w:r w:rsidR="008C77B2">
              <w:rPr>
                <w:rFonts w:cs="Arial"/>
                <w:sz w:val="20"/>
              </w:rPr>
              <w:t>technical assistance</w:t>
            </w:r>
            <w:r>
              <w:rPr>
                <w:rFonts w:cs="Arial"/>
                <w:sz w:val="20"/>
              </w:rPr>
              <w:t xml:space="preserve"> to a virtual approach</w:t>
            </w:r>
            <w:r w:rsidR="008E51D1">
              <w:rPr>
                <w:rFonts w:cs="Arial"/>
                <w:sz w:val="20"/>
              </w:rPr>
              <w:t xml:space="preserve">. </w:t>
            </w:r>
            <w:r w:rsidR="00A55070">
              <w:rPr>
                <w:rFonts w:cs="Arial"/>
                <w:sz w:val="20"/>
              </w:rPr>
              <w:t>IDB do not anticipate this will have any significant impacts to programme delivery,</w:t>
            </w:r>
          </w:p>
        </w:tc>
        <w:tc>
          <w:tcPr>
            <w:tcW w:w="918" w:type="pct"/>
          </w:tcPr>
          <w:p w14:paraId="27E3AFD1" w14:textId="77777777" w:rsidR="00C57B48" w:rsidRPr="00E752D3" w:rsidRDefault="00C57B48" w:rsidP="00AC6416">
            <w:pPr>
              <w:spacing w:before="120" w:after="120" w:line="276" w:lineRule="auto"/>
              <w:contextualSpacing/>
              <w:rPr>
                <w:rFonts w:cs="Arial"/>
                <w:sz w:val="20"/>
                <w:szCs w:val="20"/>
              </w:rPr>
            </w:pPr>
            <w:r w:rsidRPr="00E752D3">
              <w:rPr>
                <w:rFonts w:cs="Arial"/>
                <w:sz w:val="20"/>
                <w:szCs w:val="20"/>
              </w:rPr>
              <w:t>Major</w:t>
            </w:r>
          </w:p>
        </w:tc>
      </w:tr>
      <w:tr w:rsidR="00173D1F" w:rsidRPr="00E752D3" w14:paraId="44B33140" w14:textId="77777777" w:rsidTr="00E07005">
        <w:trPr>
          <w:trHeight w:val="1875"/>
          <w:jc w:val="center"/>
        </w:trPr>
        <w:tc>
          <w:tcPr>
            <w:tcW w:w="711" w:type="pct"/>
          </w:tcPr>
          <w:p w14:paraId="2280A408" w14:textId="53FD76E7" w:rsidR="00173D1F" w:rsidRDefault="00173D1F" w:rsidP="00AC6416">
            <w:pPr>
              <w:spacing w:before="120" w:after="120" w:line="276" w:lineRule="auto"/>
              <w:rPr>
                <w:rFonts w:cs="Arial"/>
                <w:b/>
                <w:bCs/>
                <w:color w:val="000000"/>
                <w:sz w:val="20"/>
                <w:szCs w:val="20"/>
                <w:shd w:val="clear" w:color="auto" w:fill="FFFFFF"/>
              </w:rPr>
            </w:pPr>
            <w:r>
              <w:rPr>
                <w:rFonts w:cs="Arial"/>
                <w:b/>
                <w:bCs/>
                <w:color w:val="000000"/>
                <w:sz w:val="20"/>
                <w:szCs w:val="20"/>
                <w:shd w:val="clear" w:color="auto" w:fill="FFFFFF"/>
              </w:rPr>
              <w:t>Risk 9</w:t>
            </w:r>
          </w:p>
        </w:tc>
        <w:tc>
          <w:tcPr>
            <w:tcW w:w="1483" w:type="pct"/>
          </w:tcPr>
          <w:p w14:paraId="2FEA9F55" w14:textId="77777777" w:rsidR="00173D1F" w:rsidRDefault="00173D1F" w:rsidP="00AC6416">
            <w:pPr>
              <w:spacing w:before="120" w:after="120" w:line="276" w:lineRule="auto"/>
              <w:rPr>
                <w:rFonts w:cs="Arial"/>
                <w:b/>
                <w:bCs/>
                <w:color w:val="000000"/>
                <w:sz w:val="20"/>
                <w:szCs w:val="20"/>
                <w:shd w:val="clear" w:color="auto" w:fill="FFFFFF"/>
              </w:rPr>
            </w:pPr>
            <w:r>
              <w:rPr>
                <w:rFonts w:cs="Arial"/>
                <w:b/>
                <w:bCs/>
                <w:color w:val="000000"/>
                <w:sz w:val="20"/>
                <w:szCs w:val="20"/>
                <w:shd w:val="clear" w:color="auto" w:fill="FFFFFF"/>
              </w:rPr>
              <w:t>Delivery Risk:</w:t>
            </w:r>
          </w:p>
          <w:p w14:paraId="3C2186D2" w14:textId="6BD41082" w:rsidR="00173D1F" w:rsidRPr="006923C7" w:rsidRDefault="00173D1F" w:rsidP="00AC6416">
            <w:pPr>
              <w:spacing w:before="120" w:after="120" w:line="276" w:lineRule="auto"/>
              <w:rPr>
                <w:rFonts w:cs="Arial"/>
                <w:color w:val="000000"/>
                <w:sz w:val="20"/>
                <w:szCs w:val="20"/>
                <w:shd w:val="clear" w:color="auto" w:fill="FFFFFF"/>
              </w:rPr>
            </w:pPr>
            <w:r w:rsidRPr="006923C7">
              <w:rPr>
                <w:rFonts w:cs="Arial"/>
                <w:color w:val="000000"/>
                <w:sz w:val="20"/>
                <w:szCs w:val="20"/>
                <w:shd w:val="clear" w:color="auto" w:fill="FFFFFF"/>
              </w:rPr>
              <w:t xml:space="preserve">There is a risk that SIP-LA will not </w:t>
            </w:r>
            <w:r w:rsidR="00006E1E">
              <w:rPr>
                <w:rFonts w:cs="Arial"/>
                <w:color w:val="000000"/>
                <w:sz w:val="20"/>
                <w:szCs w:val="20"/>
                <w:shd w:val="clear" w:color="auto" w:fill="FFFFFF"/>
              </w:rPr>
              <w:t>be able to identify suitable investments in all four partner countries</w:t>
            </w:r>
            <w:r w:rsidRPr="006923C7">
              <w:rPr>
                <w:rFonts w:cs="Arial"/>
                <w:color w:val="000000"/>
                <w:sz w:val="20"/>
                <w:szCs w:val="20"/>
                <w:shd w:val="clear" w:color="auto" w:fill="FFFFFF"/>
              </w:rPr>
              <w:t xml:space="preserve">. </w:t>
            </w:r>
          </w:p>
        </w:tc>
        <w:tc>
          <w:tcPr>
            <w:tcW w:w="1888" w:type="pct"/>
          </w:tcPr>
          <w:p w14:paraId="0499A52D" w14:textId="768BA7F7" w:rsidR="00E5550E" w:rsidRDefault="00892D5E" w:rsidP="009406B5">
            <w:pPr>
              <w:spacing w:before="120" w:after="120" w:line="276" w:lineRule="auto"/>
              <w:rPr>
                <w:rFonts w:cs="Arial"/>
                <w:sz w:val="20"/>
              </w:rPr>
            </w:pPr>
            <w:r>
              <w:rPr>
                <w:rFonts w:cs="Arial"/>
                <w:sz w:val="20"/>
              </w:rPr>
              <w:t xml:space="preserve">Mitigate – BEIS and </w:t>
            </w:r>
            <w:r w:rsidR="00D12787">
              <w:rPr>
                <w:rFonts w:cs="Arial"/>
                <w:sz w:val="20"/>
              </w:rPr>
              <w:t>IDB</w:t>
            </w:r>
            <w:r>
              <w:rPr>
                <w:rFonts w:cs="Arial"/>
                <w:sz w:val="20"/>
              </w:rPr>
              <w:t xml:space="preserve"> </w:t>
            </w:r>
            <w:r w:rsidR="009406B5">
              <w:rPr>
                <w:rFonts w:cs="Arial"/>
                <w:sz w:val="20"/>
              </w:rPr>
              <w:t xml:space="preserve">will define a strategic </w:t>
            </w:r>
            <w:r w:rsidR="00343BD7">
              <w:rPr>
                <w:rFonts w:cs="Arial"/>
                <w:sz w:val="20"/>
              </w:rPr>
              <w:t xml:space="preserve">framework </w:t>
            </w:r>
            <w:r w:rsidR="009406B5">
              <w:rPr>
                <w:rFonts w:cs="Arial"/>
                <w:sz w:val="20"/>
              </w:rPr>
              <w:t xml:space="preserve">for what </w:t>
            </w:r>
            <w:r w:rsidR="00645A6D">
              <w:rPr>
                <w:rFonts w:cs="Arial"/>
                <w:sz w:val="20"/>
              </w:rPr>
              <w:t>SIP-LA</w:t>
            </w:r>
            <w:r w:rsidR="009406B5">
              <w:rPr>
                <w:rFonts w:cs="Arial"/>
                <w:sz w:val="20"/>
              </w:rPr>
              <w:t xml:space="preserve"> will achieve in each partner country. </w:t>
            </w:r>
          </w:p>
          <w:p w14:paraId="70C299F2" w14:textId="4E4CD9A5" w:rsidR="00A640C6" w:rsidRDefault="00A640C6" w:rsidP="009406B5">
            <w:pPr>
              <w:spacing w:before="120" w:after="120" w:line="276" w:lineRule="auto"/>
              <w:rPr>
                <w:rFonts w:cs="Arial"/>
                <w:sz w:val="20"/>
              </w:rPr>
            </w:pPr>
            <w:r>
              <w:rPr>
                <w:rFonts w:cs="Arial"/>
                <w:sz w:val="20"/>
              </w:rPr>
              <w:t xml:space="preserve">Mitigate – BEIS and IDB will </w:t>
            </w:r>
            <w:r w:rsidR="001F15FC">
              <w:rPr>
                <w:rFonts w:cs="Arial"/>
                <w:sz w:val="20"/>
              </w:rPr>
              <w:t>draw upon UK</w:t>
            </w:r>
            <w:r>
              <w:rPr>
                <w:rFonts w:cs="Arial"/>
                <w:sz w:val="20"/>
              </w:rPr>
              <w:t xml:space="preserve"> diplomatic networks </w:t>
            </w:r>
            <w:r w:rsidR="009923F9">
              <w:rPr>
                <w:rFonts w:cs="Arial"/>
                <w:sz w:val="20"/>
              </w:rPr>
              <w:t>to support investment identification</w:t>
            </w:r>
            <w:r w:rsidR="00343BD7">
              <w:rPr>
                <w:rFonts w:cs="Arial"/>
                <w:sz w:val="20"/>
              </w:rPr>
              <w:t>.</w:t>
            </w:r>
            <w:r w:rsidR="009923F9">
              <w:rPr>
                <w:rFonts w:cs="Arial"/>
                <w:sz w:val="20"/>
              </w:rPr>
              <w:t xml:space="preserve"> </w:t>
            </w:r>
          </w:p>
          <w:p w14:paraId="6D3DFDCE" w14:textId="50295C47" w:rsidR="00B90E79" w:rsidRDefault="00B90E79" w:rsidP="009406B5">
            <w:pPr>
              <w:spacing w:before="120" w:after="120" w:line="276" w:lineRule="auto"/>
              <w:rPr>
                <w:rFonts w:cs="Arial"/>
                <w:sz w:val="20"/>
              </w:rPr>
            </w:pPr>
          </w:p>
        </w:tc>
        <w:tc>
          <w:tcPr>
            <w:tcW w:w="918" w:type="pct"/>
          </w:tcPr>
          <w:p w14:paraId="7E3EA7AA" w14:textId="07306A75" w:rsidR="00173D1F" w:rsidRPr="00E752D3" w:rsidRDefault="009406B5" w:rsidP="00AC6416">
            <w:pPr>
              <w:spacing w:before="120" w:after="120" w:line="276" w:lineRule="auto"/>
              <w:contextualSpacing/>
              <w:rPr>
                <w:rFonts w:cs="Arial"/>
                <w:sz w:val="20"/>
                <w:szCs w:val="20"/>
              </w:rPr>
            </w:pPr>
            <w:r>
              <w:rPr>
                <w:rFonts w:cs="Arial"/>
                <w:sz w:val="20"/>
                <w:szCs w:val="20"/>
              </w:rPr>
              <w:t>Major</w:t>
            </w:r>
          </w:p>
        </w:tc>
      </w:tr>
    </w:tbl>
    <w:p w14:paraId="2C838687" w14:textId="77777777" w:rsidR="003A1F18" w:rsidRDefault="003A1F18" w:rsidP="007429DE">
      <w:pPr>
        <w:spacing w:before="120" w:after="120" w:line="276" w:lineRule="auto"/>
        <w:jc w:val="both"/>
        <w:rPr>
          <w:b/>
          <w:sz w:val="22"/>
          <w:szCs w:val="22"/>
        </w:rPr>
      </w:pPr>
    </w:p>
    <w:p w14:paraId="1886044D" w14:textId="38CA546B" w:rsidR="007429DE" w:rsidRPr="007429DE" w:rsidRDefault="00C22873" w:rsidP="007429DE">
      <w:pPr>
        <w:spacing w:before="120" w:after="120" w:line="276" w:lineRule="auto"/>
        <w:jc w:val="both"/>
        <w:rPr>
          <w:bCs/>
          <w:sz w:val="22"/>
          <w:szCs w:val="22"/>
        </w:rPr>
      </w:pPr>
      <w:r>
        <w:rPr>
          <w:b/>
          <w:sz w:val="22"/>
          <w:szCs w:val="22"/>
        </w:rPr>
        <w:t xml:space="preserve">Update on </w:t>
      </w:r>
      <w:r w:rsidR="00844C3D">
        <w:rPr>
          <w:b/>
          <w:sz w:val="22"/>
          <w:szCs w:val="22"/>
        </w:rPr>
        <w:t>COVID-19</w:t>
      </w:r>
      <w:r w:rsidR="007429DE">
        <w:rPr>
          <w:b/>
          <w:sz w:val="22"/>
          <w:szCs w:val="22"/>
        </w:rPr>
        <w:t xml:space="preserve"> </w:t>
      </w:r>
      <w:r w:rsidR="003A1F18">
        <w:rPr>
          <w:b/>
          <w:sz w:val="22"/>
          <w:szCs w:val="22"/>
        </w:rPr>
        <w:t xml:space="preserve">risk </w:t>
      </w:r>
      <w:r w:rsidR="007429DE">
        <w:rPr>
          <w:b/>
          <w:sz w:val="22"/>
          <w:szCs w:val="22"/>
        </w:rPr>
        <w:t xml:space="preserve">- </w:t>
      </w:r>
      <w:r w:rsidR="007429DE" w:rsidRPr="007429DE">
        <w:rPr>
          <w:bCs/>
          <w:sz w:val="22"/>
          <w:szCs w:val="22"/>
        </w:rPr>
        <w:t xml:space="preserve">SIP-LA has been affected by the impacts of the </w:t>
      </w:r>
      <w:r w:rsidR="00844C3D">
        <w:rPr>
          <w:bCs/>
          <w:sz w:val="22"/>
          <w:szCs w:val="22"/>
        </w:rPr>
        <w:t>COVID-19</w:t>
      </w:r>
      <w:r w:rsidR="007429DE" w:rsidRPr="007429DE">
        <w:rPr>
          <w:bCs/>
          <w:sz w:val="22"/>
          <w:szCs w:val="22"/>
        </w:rPr>
        <w:t xml:space="preserve"> lockdown from Q1 2020. With regards to programming, initial analysis conducted by </w:t>
      </w:r>
      <w:r w:rsidR="00D12787">
        <w:rPr>
          <w:bCs/>
          <w:sz w:val="22"/>
          <w:szCs w:val="22"/>
        </w:rPr>
        <w:t>IDB</w:t>
      </w:r>
      <w:r w:rsidR="007429DE" w:rsidRPr="007429DE">
        <w:rPr>
          <w:bCs/>
          <w:sz w:val="22"/>
          <w:szCs w:val="22"/>
        </w:rPr>
        <w:t xml:space="preserve"> has suggested that </w:t>
      </w:r>
      <w:r w:rsidR="008C77B2">
        <w:rPr>
          <w:bCs/>
          <w:sz w:val="22"/>
          <w:szCs w:val="22"/>
        </w:rPr>
        <w:t>technical assistance</w:t>
      </w:r>
      <w:r w:rsidR="007429DE" w:rsidRPr="007429DE">
        <w:rPr>
          <w:bCs/>
          <w:sz w:val="22"/>
          <w:szCs w:val="22"/>
        </w:rPr>
        <w:t xml:space="preserve"> delivery will be adaptable to a virtual approach. There is a risk that this could impact the quality and quantity of </w:t>
      </w:r>
      <w:r w:rsidR="008C77B2">
        <w:rPr>
          <w:bCs/>
          <w:sz w:val="22"/>
          <w:szCs w:val="22"/>
        </w:rPr>
        <w:t>technical assistance</w:t>
      </w:r>
      <w:r w:rsidR="007429DE" w:rsidRPr="007429DE">
        <w:rPr>
          <w:bCs/>
          <w:sz w:val="22"/>
          <w:szCs w:val="22"/>
        </w:rPr>
        <w:t xml:space="preserve"> delivered. </w:t>
      </w:r>
    </w:p>
    <w:p w14:paraId="685FB86A" w14:textId="045419A3" w:rsidR="007429DE" w:rsidRPr="007429DE" w:rsidRDefault="00D12787" w:rsidP="007429DE">
      <w:pPr>
        <w:spacing w:before="120" w:after="120" w:line="276" w:lineRule="auto"/>
        <w:jc w:val="both"/>
        <w:rPr>
          <w:bCs/>
          <w:sz w:val="22"/>
          <w:szCs w:val="22"/>
        </w:rPr>
      </w:pPr>
      <w:r>
        <w:rPr>
          <w:bCs/>
          <w:sz w:val="22"/>
          <w:szCs w:val="22"/>
        </w:rPr>
        <w:lastRenderedPageBreak/>
        <w:t>IDB</w:t>
      </w:r>
      <w:r w:rsidR="007429DE" w:rsidRPr="007429DE">
        <w:rPr>
          <w:bCs/>
          <w:sz w:val="22"/>
          <w:szCs w:val="22"/>
        </w:rPr>
        <w:t xml:space="preserve"> have also noted that the impact of </w:t>
      </w:r>
      <w:r w:rsidR="00844C3D">
        <w:rPr>
          <w:bCs/>
          <w:sz w:val="22"/>
          <w:szCs w:val="22"/>
        </w:rPr>
        <w:t>COVID-19</w:t>
      </w:r>
      <w:r w:rsidR="007429DE" w:rsidRPr="007429DE">
        <w:rPr>
          <w:bCs/>
          <w:sz w:val="22"/>
          <w:szCs w:val="22"/>
        </w:rPr>
        <w:t xml:space="preserve"> on global markets has not been determined to negatively affect the ability to identify suitable investments for </w:t>
      </w:r>
      <w:r w:rsidR="00645A6D">
        <w:rPr>
          <w:bCs/>
          <w:sz w:val="22"/>
          <w:szCs w:val="22"/>
        </w:rPr>
        <w:t>SIP-LA</w:t>
      </w:r>
      <w:r w:rsidR="007429DE" w:rsidRPr="007429DE">
        <w:rPr>
          <w:bCs/>
          <w:sz w:val="22"/>
          <w:szCs w:val="22"/>
        </w:rPr>
        <w:t xml:space="preserve"> portfolio. There is a strong likelihood that there will be increased demand across Latin America for concessional finance in the sustainable infrastructure sectors as part of the ‘green recovery’ focus.</w:t>
      </w:r>
    </w:p>
    <w:p w14:paraId="615ED8A3" w14:textId="1FCF02BB" w:rsidR="00B506BA" w:rsidRDefault="00645A6D" w:rsidP="007429DE">
      <w:pPr>
        <w:spacing w:before="120" w:after="120" w:line="276" w:lineRule="auto"/>
        <w:jc w:val="both"/>
        <w:rPr>
          <w:bCs/>
          <w:sz w:val="22"/>
          <w:szCs w:val="22"/>
        </w:rPr>
      </w:pPr>
      <w:r>
        <w:rPr>
          <w:bCs/>
          <w:sz w:val="22"/>
          <w:szCs w:val="22"/>
        </w:rPr>
        <w:t>SIP-LA</w:t>
      </w:r>
      <w:r w:rsidR="007429DE" w:rsidRPr="007429DE">
        <w:rPr>
          <w:bCs/>
          <w:sz w:val="22"/>
          <w:szCs w:val="22"/>
        </w:rPr>
        <w:t xml:space="preserve"> teams in IDB and BEIS have also been impacted by the change to working arrangements because of the </w:t>
      </w:r>
      <w:r w:rsidR="00844C3D">
        <w:rPr>
          <w:bCs/>
          <w:sz w:val="22"/>
          <w:szCs w:val="22"/>
        </w:rPr>
        <w:t>COVID-19</w:t>
      </w:r>
      <w:r w:rsidR="007429DE" w:rsidRPr="007429DE">
        <w:rPr>
          <w:bCs/>
          <w:sz w:val="22"/>
          <w:szCs w:val="22"/>
        </w:rPr>
        <w:t xml:space="preserve"> lockdown. Both teams are now based remotely </w:t>
      </w:r>
      <w:r w:rsidR="00343BD7">
        <w:rPr>
          <w:bCs/>
          <w:sz w:val="22"/>
          <w:szCs w:val="22"/>
        </w:rPr>
        <w:t xml:space="preserve">and </w:t>
      </w:r>
      <w:r w:rsidR="007429DE" w:rsidRPr="007429DE">
        <w:rPr>
          <w:bCs/>
          <w:sz w:val="22"/>
          <w:szCs w:val="22"/>
        </w:rPr>
        <w:t>have conducted all meetings virtually. Demand for resource within BEIS and changing working patterns has impacted efficiency of procedures.</w:t>
      </w:r>
      <w:r w:rsidR="00B506BA">
        <w:rPr>
          <w:bCs/>
          <w:sz w:val="22"/>
          <w:szCs w:val="22"/>
        </w:rPr>
        <w:t xml:space="preserve"> Despite this, IDB </w:t>
      </w:r>
      <w:r w:rsidR="003A1F18">
        <w:rPr>
          <w:bCs/>
          <w:sz w:val="22"/>
          <w:szCs w:val="22"/>
        </w:rPr>
        <w:t>do not anticipate there will be any significant impacts to programme delivery.</w:t>
      </w:r>
    </w:p>
    <w:p w14:paraId="703DA080" w14:textId="77777777" w:rsidR="003A1F18" w:rsidRPr="005C3873" w:rsidRDefault="003A1F18" w:rsidP="007429DE">
      <w:pPr>
        <w:spacing w:before="120" w:after="120" w:line="276" w:lineRule="auto"/>
        <w:jc w:val="both"/>
        <w:rPr>
          <w:bCs/>
          <w:sz w:val="22"/>
          <w:szCs w:val="22"/>
        </w:rPr>
      </w:pPr>
    </w:p>
    <w:p w14:paraId="507B8DA5" w14:textId="5E42D88E" w:rsidR="00F40CDB" w:rsidRPr="00373026" w:rsidRDefault="00F40CDB" w:rsidP="00F40CDB">
      <w:pPr>
        <w:pBdr>
          <w:top w:val="single" w:sz="4" w:space="1" w:color="auto"/>
          <w:left w:val="single" w:sz="4" w:space="4" w:color="auto"/>
          <w:bottom w:val="single" w:sz="4" w:space="1" w:color="auto"/>
          <w:right w:val="single" w:sz="4" w:space="4" w:color="auto"/>
        </w:pBdr>
        <w:shd w:val="clear" w:color="auto" w:fill="D9E2F3" w:themeFill="accent1" w:themeFillTint="33"/>
        <w:spacing w:before="120" w:after="120" w:line="276" w:lineRule="auto"/>
        <w:rPr>
          <w:rFonts w:cs="Arial"/>
          <w:sz w:val="22"/>
          <w:szCs w:val="22"/>
        </w:rPr>
      </w:pPr>
      <w:r w:rsidRPr="00373026">
        <w:rPr>
          <w:b/>
          <w:sz w:val="22"/>
          <w:szCs w:val="22"/>
        </w:rPr>
        <w:t xml:space="preserve">F: PROGRAMME MANAGEMENT: </w:t>
      </w:r>
      <w:bookmarkStart w:id="0" w:name="_Hlk21353049"/>
      <w:r w:rsidRPr="00373026">
        <w:rPr>
          <w:b/>
          <w:sz w:val="22"/>
          <w:szCs w:val="22"/>
        </w:rPr>
        <w:t xml:space="preserve">DELIVERY, COMMERCIAL &amp; FINANCIAL PERFORMANCE </w:t>
      </w:r>
      <w:bookmarkEnd w:id="0"/>
    </w:p>
    <w:p w14:paraId="1688C9FC" w14:textId="77777777" w:rsidR="00210EB5" w:rsidRDefault="00F40CDB" w:rsidP="00F34DBF">
      <w:pPr>
        <w:spacing w:before="120" w:after="120" w:line="276" w:lineRule="auto"/>
        <w:jc w:val="both"/>
        <w:rPr>
          <w:rFonts w:cs="Arial"/>
          <w:b/>
          <w:bCs/>
          <w:sz w:val="22"/>
          <w:szCs w:val="22"/>
        </w:rPr>
      </w:pPr>
      <w:r w:rsidRPr="00373026">
        <w:rPr>
          <w:rFonts w:cs="Arial"/>
          <w:b/>
          <w:bCs/>
          <w:sz w:val="22"/>
          <w:szCs w:val="22"/>
        </w:rPr>
        <w:t xml:space="preserve">Summarise the performance of partners and BEIS, notably on commercial and financial issues, and including consideration of VfM measures of economy and efficiency. </w:t>
      </w:r>
    </w:p>
    <w:p w14:paraId="0034A786" w14:textId="58036D66" w:rsidR="00F34DBF" w:rsidRPr="00F34DBF" w:rsidRDefault="00F34DBF" w:rsidP="00F34DBF">
      <w:pPr>
        <w:spacing w:before="120" w:after="120" w:line="276" w:lineRule="auto"/>
        <w:jc w:val="both"/>
        <w:rPr>
          <w:rFonts w:cs="Arial"/>
          <w:b/>
          <w:sz w:val="22"/>
          <w:szCs w:val="22"/>
        </w:rPr>
      </w:pPr>
      <w:r w:rsidRPr="00F34DBF">
        <w:rPr>
          <w:rFonts w:cs="Arial"/>
          <w:b/>
          <w:sz w:val="22"/>
          <w:szCs w:val="22"/>
        </w:rPr>
        <w:t>Programme Development:</w:t>
      </w:r>
    </w:p>
    <w:p w14:paraId="7E09D74B" w14:textId="607F8C62" w:rsidR="00C16853" w:rsidRDefault="00C16853" w:rsidP="00C16853">
      <w:pPr>
        <w:spacing w:before="120" w:after="120" w:line="276" w:lineRule="auto"/>
        <w:jc w:val="both"/>
        <w:rPr>
          <w:rFonts w:cs="Arial"/>
          <w:bCs/>
          <w:sz w:val="22"/>
          <w:szCs w:val="22"/>
        </w:rPr>
      </w:pPr>
      <w:r w:rsidRPr="00C16853">
        <w:rPr>
          <w:bCs/>
          <w:sz w:val="22"/>
          <w:szCs w:val="22"/>
        </w:rPr>
        <w:t>Over the review period</w:t>
      </w:r>
      <w:r w:rsidR="00425D59">
        <w:rPr>
          <w:bCs/>
          <w:sz w:val="22"/>
          <w:szCs w:val="22"/>
        </w:rPr>
        <w:t>,</w:t>
      </w:r>
      <w:r w:rsidRPr="00C16853">
        <w:rPr>
          <w:bCs/>
          <w:sz w:val="22"/>
          <w:szCs w:val="22"/>
        </w:rPr>
        <w:t xml:space="preserve"> BEIS and IDB have worked to ensure that SIP-LA delivers a holistic portfolio of compl</w:t>
      </w:r>
      <w:r w:rsidR="00425D59">
        <w:rPr>
          <w:bCs/>
          <w:sz w:val="22"/>
          <w:szCs w:val="22"/>
        </w:rPr>
        <w:t>e</w:t>
      </w:r>
      <w:r w:rsidRPr="00C16853">
        <w:rPr>
          <w:bCs/>
          <w:sz w:val="22"/>
          <w:szCs w:val="22"/>
        </w:rPr>
        <w:t xml:space="preserve">mentary </w:t>
      </w:r>
      <w:r w:rsidR="008C77B2">
        <w:rPr>
          <w:bCs/>
          <w:sz w:val="22"/>
          <w:szCs w:val="22"/>
        </w:rPr>
        <w:t>technical assistance</w:t>
      </w:r>
      <w:r w:rsidRPr="00C16853">
        <w:rPr>
          <w:bCs/>
          <w:sz w:val="22"/>
          <w:szCs w:val="22"/>
        </w:rPr>
        <w:t xml:space="preserve"> and </w:t>
      </w:r>
      <w:r w:rsidR="00844C3D">
        <w:rPr>
          <w:bCs/>
          <w:sz w:val="22"/>
          <w:szCs w:val="22"/>
        </w:rPr>
        <w:t>blended finance</w:t>
      </w:r>
      <w:r w:rsidRPr="00C16853">
        <w:rPr>
          <w:bCs/>
          <w:sz w:val="22"/>
          <w:szCs w:val="22"/>
        </w:rPr>
        <w:t xml:space="preserve"> interventions across the region. </w:t>
      </w:r>
      <w:r w:rsidRPr="00C16853">
        <w:rPr>
          <w:rFonts w:cs="Arial"/>
          <w:bCs/>
          <w:sz w:val="22"/>
          <w:szCs w:val="22"/>
        </w:rPr>
        <w:t>This has encompassed three key components</w:t>
      </w:r>
      <w:r w:rsidR="00425D59">
        <w:rPr>
          <w:rFonts w:cs="Arial"/>
          <w:bCs/>
          <w:sz w:val="22"/>
          <w:szCs w:val="22"/>
        </w:rPr>
        <w:t>:</w:t>
      </w:r>
      <w:r w:rsidRPr="00C16853">
        <w:rPr>
          <w:rFonts w:cs="Arial"/>
          <w:bCs/>
          <w:sz w:val="22"/>
          <w:szCs w:val="22"/>
        </w:rPr>
        <w:t xml:space="preserve"> Monitoring and Evaluation, Project Governance and translating strategy to country context. In addition to improving IDB and BEIS’ understanding of respective internal processes, communication between the teams has improved significantly and productive working relationships have been developed.</w:t>
      </w:r>
      <w:r w:rsidR="00E15A63">
        <w:rPr>
          <w:rFonts w:cs="Arial"/>
          <w:bCs/>
          <w:sz w:val="22"/>
          <w:szCs w:val="22"/>
        </w:rPr>
        <w:t xml:space="preserve"> The finalisation of the </w:t>
      </w:r>
      <w:r w:rsidR="00844C3D">
        <w:rPr>
          <w:rFonts w:cs="Arial"/>
          <w:bCs/>
          <w:sz w:val="22"/>
          <w:szCs w:val="22"/>
        </w:rPr>
        <w:t>log frame</w:t>
      </w:r>
      <w:r w:rsidR="00E15A63">
        <w:rPr>
          <w:rFonts w:cs="Arial"/>
          <w:bCs/>
          <w:sz w:val="22"/>
          <w:szCs w:val="22"/>
        </w:rPr>
        <w:t xml:space="preserve">, VfM indicators and strategic country frameworks </w:t>
      </w:r>
      <w:r w:rsidR="006903A7">
        <w:rPr>
          <w:rFonts w:cs="Arial"/>
          <w:bCs/>
          <w:sz w:val="22"/>
          <w:szCs w:val="22"/>
        </w:rPr>
        <w:t>are still to be completed.</w:t>
      </w:r>
      <w:r w:rsidRPr="00C16853">
        <w:rPr>
          <w:rFonts w:cs="Arial"/>
          <w:bCs/>
          <w:sz w:val="22"/>
          <w:szCs w:val="22"/>
        </w:rPr>
        <w:t xml:space="preserve"> </w:t>
      </w:r>
    </w:p>
    <w:p w14:paraId="643764FB" w14:textId="77777777" w:rsidR="006F0BB4" w:rsidRDefault="006F0BB4" w:rsidP="00F34DBF">
      <w:pPr>
        <w:spacing w:before="120" w:after="120" w:line="276" w:lineRule="auto"/>
        <w:jc w:val="both"/>
        <w:rPr>
          <w:rFonts w:cs="Arial"/>
          <w:bCs/>
          <w:sz w:val="22"/>
          <w:szCs w:val="22"/>
        </w:rPr>
      </w:pPr>
      <w:r w:rsidRPr="006F0BB4">
        <w:rPr>
          <w:rFonts w:cs="Arial"/>
          <w:b/>
          <w:sz w:val="22"/>
          <w:szCs w:val="22"/>
        </w:rPr>
        <w:t>Programme Monitoring and Evaluation</w:t>
      </w:r>
      <w:r w:rsidRPr="006F0BB4">
        <w:rPr>
          <w:rFonts w:cs="Arial"/>
          <w:bCs/>
          <w:sz w:val="22"/>
          <w:szCs w:val="22"/>
        </w:rPr>
        <w:t xml:space="preserve"> </w:t>
      </w:r>
    </w:p>
    <w:p w14:paraId="732E1947" w14:textId="62923054" w:rsidR="006F0BB4" w:rsidRDefault="006F0BB4" w:rsidP="002D0195">
      <w:pPr>
        <w:spacing w:before="120" w:after="120" w:line="276" w:lineRule="auto"/>
        <w:jc w:val="both"/>
        <w:rPr>
          <w:rFonts w:cs="Arial"/>
          <w:bCs/>
          <w:sz w:val="22"/>
          <w:szCs w:val="22"/>
        </w:rPr>
      </w:pPr>
      <w:r>
        <w:rPr>
          <w:rFonts w:cs="Arial"/>
          <w:bCs/>
          <w:sz w:val="22"/>
          <w:szCs w:val="22"/>
        </w:rPr>
        <w:t>I</w:t>
      </w:r>
      <w:r w:rsidRPr="006F0BB4">
        <w:rPr>
          <w:rFonts w:cs="Arial"/>
          <w:bCs/>
          <w:sz w:val="22"/>
          <w:szCs w:val="22"/>
        </w:rPr>
        <w:t>n 2019</w:t>
      </w:r>
      <w:r w:rsidR="00425D59">
        <w:rPr>
          <w:rFonts w:cs="Arial"/>
          <w:bCs/>
          <w:sz w:val="22"/>
          <w:szCs w:val="22"/>
        </w:rPr>
        <w:t>,</w:t>
      </w:r>
      <w:r w:rsidRPr="006F0BB4">
        <w:rPr>
          <w:rFonts w:cs="Arial"/>
          <w:bCs/>
          <w:sz w:val="22"/>
          <w:szCs w:val="22"/>
        </w:rPr>
        <w:t xml:space="preserve"> IDB commissioned Accenture to undertake a baseline study of SIP</w:t>
      </w:r>
      <w:r w:rsidR="008C77B2">
        <w:rPr>
          <w:rFonts w:cs="Arial"/>
          <w:bCs/>
          <w:sz w:val="22"/>
          <w:szCs w:val="22"/>
        </w:rPr>
        <w:t>-LA to</w:t>
      </w:r>
      <w:r w:rsidRPr="006F0BB4">
        <w:rPr>
          <w:rFonts w:cs="Arial"/>
          <w:bCs/>
          <w:sz w:val="22"/>
          <w:szCs w:val="22"/>
        </w:rPr>
        <w:t xml:space="preserve"> assess the likely impact of the programme and provide insights on potential opportunity areas. This study was received as a comprehensive scoping report rather than a full baseline study as it determined that there is ample opportunity for Mexico, Brazil, Colombia, and Peru to improve their sustainable infrastructure landscape to support the achievement of their respective NDCs commitments. There are large investment gaps across sectors and sustainable infrastructure can help increase their competitiveness while also respecting key climate change concerns. The study identified opportunities for transformational change in each of the countries with a need to diversify energy bases away from large hydropower. In each of these countries, there are opportunities to integrate sustainability concerns into national infrastructure planning arrangements. Generally, opportunities in the energy sector are perceived as </w:t>
      </w:r>
      <w:r w:rsidR="00425D59">
        <w:rPr>
          <w:rFonts w:cs="Arial"/>
          <w:bCs/>
          <w:sz w:val="22"/>
          <w:szCs w:val="22"/>
        </w:rPr>
        <w:t xml:space="preserve">the </w:t>
      </w:r>
      <w:r w:rsidRPr="006F0BB4">
        <w:rPr>
          <w:rFonts w:cs="Arial"/>
          <w:bCs/>
          <w:sz w:val="22"/>
          <w:szCs w:val="22"/>
        </w:rPr>
        <w:t xml:space="preserve">most bankable, followed by transportation. IDB considered the baseline progress report and findings in 2019 programming. The report has been formally applied to the 2020 programming work and has been a key resource to frame the scope of </w:t>
      </w:r>
      <w:r w:rsidR="00D12787">
        <w:rPr>
          <w:rFonts w:cs="Arial"/>
          <w:bCs/>
          <w:sz w:val="22"/>
          <w:szCs w:val="22"/>
        </w:rPr>
        <w:t>IDB</w:t>
      </w:r>
      <w:r w:rsidRPr="006F0BB4">
        <w:rPr>
          <w:rFonts w:cs="Arial"/>
          <w:bCs/>
          <w:sz w:val="22"/>
          <w:szCs w:val="22"/>
        </w:rPr>
        <w:t>s alignment of programming to the programme.</w:t>
      </w:r>
    </w:p>
    <w:p w14:paraId="3499B234" w14:textId="77777777" w:rsidR="002D0195" w:rsidRDefault="002D0195" w:rsidP="002D0195">
      <w:pPr>
        <w:spacing w:line="276" w:lineRule="auto"/>
        <w:jc w:val="both"/>
        <w:rPr>
          <w:rFonts w:cs="Arial"/>
          <w:b/>
          <w:sz w:val="22"/>
          <w:szCs w:val="22"/>
        </w:rPr>
      </w:pPr>
      <w:r w:rsidRPr="002D0195">
        <w:rPr>
          <w:rFonts w:cs="Arial"/>
          <w:b/>
          <w:sz w:val="22"/>
          <w:szCs w:val="22"/>
        </w:rPr>
        <w:t>Communications and wider visibility</w:t>
      </w:r>
    </w:p>
    <w:p w14:paraId="6E6D9CCB" w14:textId="49C2BE17" w:rsidR="002D0195" w:rsidRPr="002D0195" w:rsidRDefault="00D12787" w:rsidP="002D0195">
      <w:pPr>
        <w:spacing w:line="276" w:lineRule="auto"/>
        <w:jc w:val="both"/>
        <w:rPr>
          <w:rFonts w:cs="Arial"/>
          <w:bCs/>
          <w:sz w:val="22"/>
          <w:szCs w:val="22"/>
        </w:rPr>
      </w:pPr>
      <w:r>
        <w:rPr>
          <w:rFonts w:cs="Arial"/>
          <w:bCs/>
          <w:sz w:val="22"/>
          <w:szCs w:val="22"/>
        </w:rPr>
        <w:t>IDB</w:t>
      </w:r>
      <w:r w:rsidR="002D0195" w:rsidRPr="002D0195">
        <w:rPr>
          <w:rFonts w:cs="Arial"/>
          <w:bCs/>
          <w:sz w:val="22"/>
          <w:szCs w:val="22"/>
        </w:rPr>
        <w:t xml:space="preserve"> were expected to deliver a Communication Strategy within six months of the programme’s management agreement entering into effect. This did not happen within this timeframe, partly due to a lack of bids to the initial request for proposals. The strategic review has impacted the delivery of this communication strategy in Year 2. The communication strategy should be continued in 2020, it will provide a plan for increasing UK visibility and engaging public and private sector actors in the region, ensuring a high-level of recognition for programme results across stakeholders, and recommending effective means of learning and knowledge dissemination. </w:t>
      </w:r>
    </w:p>
    <w:p w14:paraId="3A417961" w14:textId="0AA2597D" w:rsidR="002B0971" w:rsidRPr="002B0971" w:rsidRDefault="002B0971" w:rsidP="002D0195">
      <w:pPr>
        <w:spacing w:before="120" w:after="120" w:line="276" w:lineRule="auto"/>
        <w:jc w:val="both"/>
        <w:rPr>
          <w:rFonts w:cs="Arial"/>
          <w:b/>
          <w:sz w:val="22"/>
          <w:szCs w:val="22"/>
        </w:rPr>
      </w:pPr>
      <w:r w:rsidRPr="002B0971">
        <w:rPr>
          <w:rFonts w:cs="Arial"/>
          <w:b/>
          <w:sz w:val="22"/>
          <w:szCs w:val="22"/>
        </w:rPr>
        <w:t>Finances</w:t>
      </w:r>
    </w:p>
    <w:p w14:paraId="6D874CE9" w14:textId="0F9671C7" w:rsidR="00B250D8" w:rsidRDefault="00B250D8" w:rsidP="00B250D8">
      <w:pPr>
        <w:spacing w:before="120" w:after="120" w:line="276" w:lineRule="auto"/>
        <w:jc w:val="both"/>
        <w:rPr>
          <w:rFonts w:cs="Arial"/>
          <w:sz w:val="22"/>
          <w:szCs w:val="22"/>
        </w:rPr>
      </w:pPr>
      <w:r>
        <w:rPr>
          <w:rFonts w:cs="Arial"/>
          <w:bCs/>
          <w:sz w:val="22"/>
          <w:szCs w:val="22"/>
        </w:rPr>
        <w:t xml:space="preserve">SIP-LA did not receive any contributions in 2019 due to the lack of </w:t>
      </w:r>
      <w:r w:rsidR="00844C3D">
        <w:rPr>
          <w:rFonts w:cs="Arial"/>
          <w:bCs/>
          <w:sz w:val="22"/>
          <w:szCs w:val="22"/>
        </w:rPr>
        <w:t>blended finance</w:t>
      </w:r>
      <w:r>
        <w:rPr>
          <w:rFonts w:cs="Arial"/>
          <w:bCs/>
          <w:sz w:val="22"/>
          <w:szCs w:val="22"/>
        </w:rPr>
        <w:t xml:space="preserve"> investments. </w:t>
      </w:r>
      <w:r w:rsidRPr="00373026">
        <w:rPr>
          <w:rFonts w:cs="Arial"/>
          <w:sz w:val="22"/>
          <w:szCs w:val="22"/>
        </w:rPr>
        <w:t>SIP</w:t>
      </w:r>
      <w:r>
        <w:rPr>
          <w:rFonts w:cs="Arial"/>
          <w:sz w:val="22"/>
          <w:szCs w:val="22"/>
        </w:rPr>
        <w:t>-LA</w:t>
      </w:r>
      <w:r w:rsidRPr="00373026">
        <w:rPr>
          <w:rFonts w:cs="Arial"/>
          <w:sz w:val="22"/>
          <w:szCs w:val="22"/>
        </w:rPr>
        <w:t xml:space="preserve"> received contributions for £52 million in 2018, which converted into $68,932,963. After fees and expenses, </w:t>
      </w:r>
      <w:r w:rsidRPr="00373026">
        <w:rPr>
          <w:rFonts w:cs="Arial"/>
          <w:sz w:val="22"/>
          <w:szCs w:val="22"/>
        </w:rPr>
        <w:lastRenderedPageBreak/>
        <w:t xml:space="preserve">as indicated in the administrative agreement of the program, $66,174,365 </w:t>
      </w:r>
      <w:r>
        <w:rPr>
          <w:rFonts w:cs="Arial"/>
          <w:sz w:val="22"/>
          <w:szCs w:val="22"/>
        </w:rPr>
        <w:t>was</w:t>
      </w:r>
      <w:r w:rsidRPr="00373026">
        <w:rPr>
          <w:rFonts w:cs="Arial"/>
          <w:sz w:val="22"/>
          <w:szCs w:val="22"/>
        </w:rPr>
        <w:t xml:space="preserve"> available for financing SIP</w:t>
      </w:r>
      <w:r>
        <w:rPr>
          <w:rFonts w:cs="Arial"/>
          <w:sz w:val="22"/>
          <w:szCs w:val="22"/>
        </w:rPr>
        <w:t>-LA</w:t>
      </w:r>
      <w:r w:rsidRPr="00373026">
        <w:rPr>
          <w:rFonts w:cs="Arial"/>
          <w:sz w:val="22"/>
          <w:szCs w:val="22"/>
        </w:rPr>
        <w:t xml:space="preserve"> operations. </w:t>
      </w:r>
    </w:p>
    <w:p w14:paraId="594E45F2" w14:textId="5D0C1742" w:rsidR="00F40CDB" w:rsidRPr="00373026" w:rsidRDefault="00F40CDB" w:rsidP="00F40CDB">
      <w:pPr>
        <w:spacing w:before="120" w:after="120" w:line="276" w:lineRule="auto"/>
        <w:contextualSpacing/>
        <w:jc w:val="both"/>
        <w:rPr>
          <w:rFonts w:cs="Arial"/>
          <w:b/>
          <w:bCs/>
          <w:sz w:val="22"/>
          <w:szCs w:val="22"/>
        </w:rPr>
      </w:pPr>
      <w:r w:rsidRPr="00373026">
        <w:rPr>
          <w:rFonts w:cs="Arial"/>
          <w:b/>
          <w:bCs/>
          <w:sz w:val="22"/>
          <w:szCs w:val="22"/>
        </w:rPr>
        <w:t>Delivery against planned timeframe</w:t>
      </w:r>
    </w:p>
    <w:p w14:paraId="4A48AABF" w14:textId="2C445142" w:rsidR="00A54DE1" w:rsidRDefault="00A54DE1" w:rsidP="00A54DE1">
      <w:pPr>
        <w:spacing w:before="120" w:after="120" w:line="276" w:lineRule="auto"/>
        <w:contextualSpacing/>
        <w:jc w:val="both"/>
        <w:rPr>
          <w:rFonts w:cs="Arial"/>
          <w:bCs/>
          <w:sz w:val="22"/>
          <w:szCs w:val="22"/>
        </w:rPr>
      </w:pPr>
      <w:r>
        <w:rPr>
          <w:rFonts w:cs="Arial"/>
          <w:bCs/>
          <w:sz w:val="22"/>
          <w:szCs w:val="22"/>
        </w:rPr>
        <w:t>The d</w:t>
      </w:r>
      <w:r w:rsidRPr="00373026">
        <w:rPr>
          <w:rFonts w:cs="Arial"/>
          <w:bCs/>
          <w:sz w:val="22"/>
          <w:szCs w:val="22"/>
        </w:rPr>
        <w:t xml:space="preserve">elivery </w:t>
      </w:r>
      <w:r>
        <w:rPr>
          <w:rFonts w:cs="Arial"/>
          <w:bCs/>
          <w:sz w:val="22"/>
          <w:szCs w:val="22"/>
        </w:rPr>
        <w:t xml:space="preserve">of </w:t>
      </w:r>
      <w:r w:rsidR="008C77B2">
        <w:rPr>
          <w:rFonts w:cs="Arial"/>
          <w:bCs/>
          <w:sz w:val="22"/>
          <w:szCs w:val="22"/>
        </w:rPr>
        <w:t>technical assistance</w:t>
      </w:r>
      <w:r>
        <w:rPr>
          <w:rFonts w:cs="Arial"/>
          <w:bCs/>
          <w:sz w:val="22"/>
          <w:szCs w:val="22"/>
        </w:rPr>
        <w:t xml:space="preserve"> has surpassed expectations for this review period. However, the delivery of </w:t>
      </w:r>
      <w:r w:rsidR="00844C3D">
        <w:rPr>
          <w:rFonts w:cs="Arial"/>
          <w:bCs/>
          <w:sz w:val="22"/>
          <w:szCs w:val="22"/>
        </w:rPr>
        <w:t>blended finance</w:t>
      </w:r>
      <w:r>
        <w:rPr>
          <w:rFonts w:cs="Arial"/>
          <w:bCs/>
          <w:sz w:val="22"/>
          <w:szCs w:val="22"/>
        </w:rPr>
        <w:t xml:space="preserve"> </w:t>
      </w:r>
      <w:r w:rsidRPr="00373026">
        <w:rPr>
          <w:rFonts w:cs="Arial"/>
          <w:bCs/>
          <w:sz w:val="22"/>
          <w:szCs w:val="22"/>
        </w:rPr>
        <w:t>has been slower than expected over this reporting period</w:t>
      </w:r>
      <w:r>
        <w:rPr>
          <w:rFonts w:cs="Arial"/>
          <w:bCs/>
          <w:sz w:val="22"/>
          <w:szCs w:val="22"/>
        </w:rPr>
        <w:t xml:space="preserve"> as described in earlier sections.</w:t>
      </w:r>
    </w:p>
    <w:p w14:paraId="383EBB01" w14:textId="77777777" w:rsidR="00AF1612" w:rsidRDefault="00AF1612" w:rsidP="00F40CDB">
      <w:pPr>
        <w:spacing w:before="120" w:after="120" w:line="276" w:lineRule="auto"/>
        <w:contextualSpacing/>
        <w:jc w:val="both"/>
        <w:rPr>
          <w:rFonts w:cs="Arial"/>
          <w:bCs/>
          <w:sz w:val="22"/>
          <w:szCs w:val="22"/>
        </w:rPr>
      </w:pPr>
    </w:p>
    <w:p w14:paraId="41889B95" w14:textId="0BF088A8" w:rsidR="00F40CDB" w:rsidRPr="00373026" w:rsidRDefault="00F40CDB" w:rsidP="00F40CDB">
      <w:pPr>
        <w:spacing w:before="120" w:after="120" w:line="276" w:lineRule="auto"/>
        <w:contextualSpacing/>
        <w:jc w:val="both"/>
        <w:rPr>
          <w:rFonts w:cs="Arial"/>
          <w:b/>
          <w:bCs/>
          <w:sz w:val="22"/>
          <w:szCs w:val="22"/>
        </w:rPr>
      </w:pPr>
      <w:r w:rsidRPr="00373026">
        <w:rPr>
          <w:rFonts w:cs="Arial"/>
          <w:b/>
          <w:bCs/>
          <w:sz w:val="22"/>
          <w:szCs w:val="22"/>
        </w:rPr>
        <w:t>Performance of partnership</w:t>
      </w:r>
    </w:p>
    <w:p w14:paraId="0D8B2433" w14:textId="4D075767" w:rsidR="0067392E" w:rsidRDefault="00F40CDB" w:rsidP="00F40CDB">
      <w:pPr>
        <w:spacing w:before="120" w:after="120" w:line="276" w:lineRule="auto"/>
        <w:jc w:val="both"/>
        <w:rPr>
          <w:rFonts w:cs="Arial"/>
          <w:bCs/>
          <w:sz w:val="22"/>
          <w:szCs w:val="22"/>
        </w:rPr>
      </w:pPr>
      <w:r w:rsidRPr="00373026">
        <w:rPr>
          <w:rFonts w:cs="Arial"/>
          <w:bCs/>
          <w:sz w:val="22"/>
          <w:szCs w:val="22"/>
        </w:rPr>
        <w:t>The UK is a key partner for IDB. In addition to SIP</w:t>
      </w:r>
      <w:r w:rsidR="00F33353">
        <w:rPr>
          <w:rFonts w:cs="Arial"/>
          <w:bCs/>
          <w:sz w:val="22"/>
          <w:szCs w:val="22"/>
        </w:rPr>
        <w:t>-LA</w:t>
      </w:r>
      <w:r w:rsidRPr="00373026">
        <w:rPr>
          <w:rFonts w:cs="Arial"/>
          <w:bCs/>
          <w:sz w:val="22"/>
          <w:szCs w:val="22"/>
        </w:rPr>
        <w:t>, the UK Department for Environment</w:t>
      </w:r>
      <w:r>
        <w:rPr>
          <w:rFonts w:cs="Arial"/>
          <w:bCs/>
          <w:sz w:val="22"/>
          <w:szCs w:val="22"/>
        </w:rPr>
        <w:t>,</w:t>
      </w:r>
      <w:r w:rsidRPr="00373026">
        <w:rPr>
          <w:rFonts w:cs="Arial"/>
          <w:bCs/>
          <w:sz w:val="22"/>
          <w:szCs w:val="22"/>
        </w:rPr>
        <w:t xml:space="preserve"> Food and Rural Affairs (DEFRA) partners with</w:t>
      </w:r>
      <w:r w:rsidR="00F33353">
        <w:rPr>
          <w:rFonts w:cs="Arial"/>
          <w:bCs/>
          <w:sz w:val="22"/>
          <w:szCs w:val="22"/>
        </w:rPr>
        <w:t xml:space="preserve"> </w:t>
      </w:r>
      <w:r w:rsidR="00D12787">
        <w:rPr>
          <w:rFonts w:cs="Arial"/>
          <w:bCs/>
          <w:sz w:val="22"/>
          <w:szCs w:val="22"/>
        </w:rPr>
        <w:t>IDB</w:t>
      </w:r>
      <w:r w:rsidRPr="00373026">
        <w:rPr>
          <w:rFonts w:cs="Arial"/>
          <w:bCs/>
          <w:sz w:val="22"/>
          <w:szCs w:val="22"/>
        </w:rPr>
        <w:t xml:space="preserve"> on ICF funded programmes </w:t>
      </w:r>
      <w:r w:rsidR="00F33353">
        <w:rPr>
          <w:rFonts w:cs="Arial"/>
          <w:bCs/>
          <w:sz w:val="22"/>
          <w:szCs w:val="22"/>
        </w:rPr>
        <w:t>which support</w:t>
      </w:r>
      <w:r w:rsidRPr="00373026">
        <w:rPr>
          <w:rFonts w:cs="Arial"/>
          <w:bCs/>
          <w:sz w:val="22"/>
          <w:szCs w:val="22"/>
        </w:rPr>
        <w:t xml:space="preserve"> sustainable agriculture in Brazil and a Blue Carbon initiative in Central America and the Caribbean. This support helps reinforce the UK’s climate ambition and expectation for IDB to continue to demonstrate its international climate leadership. SIP</w:t>
      </w:r>
      <w:r>
        <w:rPr>
          <w:rFonts w:cs="Arial"/>
          <w:bCs/>
          <w:sz w:val="22"/>
          <w:szCs w:val="22"/>
        </w:rPr>
        <w:t>-LA</w:t>
      </w:r>
      <w:r w:rsidRPr="00373026" w:rsidDel="00DE7EF1">
        <w:rPr>
          <w:rFonts w:cs="Arial"/>
          <w:bCs/>
          <w:sz w:val="22"/>
          <w:szCs w:val="22"/>
        </w:rPr>
        <w:t xml:space="preserve"> </w:t>
      </w:r>
      <w:r w:rsidRPr="00373026">
        <w:rPr>
          <w:rFonts w:cs="Arial"/>
          <w:bCs/>
          <w:sz w:val="22"/>
          <w:szCs w:val="22"/>
        </w:rPr>
        <w:t>gives policy leads within IDB greater space to advocate for climate interventions and demonstrate the need to mobilise greater sources of climate finance. The intention is that this is replicated and scaled by IDB and other donors.</w:t>
      </w:r>
      <w:r w:rsidR="002A5510">
        <w:rPr>
          <w:rFonts w:cs="Arial"/>
          <w:bCs/>
          <w:sz w:val="22"/>
          <w:szCs w:val="22"/>
        </w:rPr>
        <w:t xml:space="preserve"> </w:t>
      </w:r>
    </w:p>
    <w:p w14:paraId="7D892244" w14:textId="41BDC296" w:rsidR="00154FF3" w:rsidRDefault="00154FF3" w:rsidP="00F40CDB">
      <w:pPr>
        <w:spacing w:before="120" w:after="120" w:line="276" w:lineRule="auto"/>
        <w:jc w:val="both"/>
        <w:rPr>
          <w:rFonts w:cs="Arial"/>
          <w:bCs/>
          <w:sz w:val="22"/>
          <w:szCs w:val="22"/>
        </w:rPr>
      </w:pPr>
      <w:r w:rsidRPr="00154FF3">
        <w:rPr>
          <w:rFonts w:cs="Arial"/>
          <w:bCs/>
          <w:sz w:val="22"/>
          <w:szCs w:val="22"/>
        </w:rPr>
        <w:t>The UK, though a small shareholder, has a permanent UK representative on the Board who is part of a constituency led by Japan. The Board oversees a well-developed system of internal control, which complies with international best practice and has been tested exhaustively through years of operations.</w:t>
      </w:r>
      <w:r w:rsidR="00904EFB">
        <w:rPr>
          <w:rFonts w:cs="Arial"/>
          <w:bCs/>
          <w:sz w:val="22"/>
          <w:szCs w:val="22"/>
        </w:rPr>
        <w:t xml:space="preserve"> </w:t>
      </w:r>
      <w:r w:rsidR="00904EFB" w:rsidRPr="00904EFB">
        <w:rPr>
          <w:rFonts w:cs="Arial"/>
          <w:bCs/>
          <w:sz w:val="22"/>
          <w:szCs w:val="22"/>
        </w:rPr>
        <w:t>The UK Representative is currently the Alternate Executive Director (and will rotate in 2026 to Senior Counsellor for 3 years) in the Board constituency</w:t>
      </w:r>
      <w:r w:rsidR="00904EFB">
        <w:rPr>
          <w:rFonts w:cs="Arial"/>
          <w:bCs/>
          <w:sz w:val="22"/>
          <w:szCs w:val="22"/>
        </w:rPr>
        <w:t xml:space="preserve">. </w:t>
      </w:r>
      <w:r w:rsidR="00645A6D">
        <w:rPr>
          <w:rFonts w:cs="Arial"/>
          <w:bCs/>
          <w:sz w:val="22"/>
          <w:szCs w:val="22"/>
        </w:rPr>
        <w:t>SIP-LA</w:t>
      </w:r>
      <w:r w:rsidR="00904EFB">
        <w:rPr>
          <w:rFonts w:cs="Arial"/>
          <w:bCs/>
          <w:sz w:val="22"/>
          <w:szCs w:val="22"/>
        </w:rPr>
        <w:t xml:space="preserve"> team holds a relationship with the Alternate Executive Director </w:t>
      </w:r>
      <w:r w:rsidR="00A47C61">
        <w:rPr>
          <w:rFonts w:cs="Arial"/>
          <w:bCs/>
          <w:sz w:val="22"/>
          <w:szCs w:val="22"/>
        </w:rPr>
        <w:t xml:space="preserve">which assists in leveraging </w:t>
      </w:r>
      <w:r w:rsidR="00D12787">
        <w:rPr>
          <w:rFonts w:cs="Arial"/>
          <w:bCs/>
          <w:sz w:val="22"/>
          <w:szCs w:val="22"/>
        </w:rPr>
        <w:t>IDB</w:t>
      </w:r>
      <w:r w:rsidR="00A47C61">
        <w:rPr>
          <w:rFonts w:cs="Arial"/>
          <w:bCs/>
          <w:sz w:val="22"/>
          <w:szCs w:val="22"/>
        </w:rPr>
        <w:t xml:space="preserve"> on priority climate objectives and ensuring </w:t>
      </w:r>
      <w:r w:rsidR="00645A6D">
        <w:rPr>
          <w:rFonts w:cs="Arial"/>
          <w:bCs/>
          <w:sz w:val="22"/>
          <w:szCs w:val="22"/>
        </w:rPr>
        <w:t>SIP-LA</w:t>
      </w:r>
      <w:r w:rsidR="00A47C61">
        <w:rPr>
          <w:rFonts w:cs="Arial"/>
          <w:bCs/>
          <w:sz w:val="22"/>
          <w:szCs w:val="22"/>
        </w:rPr>
        <w:t xml:space="preserve"> maintains sufficient senior visibility within </w:t>
      </w:r>
      <w:r w:rsidR="00D12787">
        <w:rPr>
          <w:rFonts w:cs="Arial"/>
          <w:bCs/>
          <w:sz w:val="22"/>
          <w:szCs w:val="22"/>
        </w:rPr>
        <w:t>IDB</w:t>
      </w:r>
      <w:r w:rsidR="00A47C61">
        <w:rPr>
          <w:rFonts w:cs="Arial"/>
          <w:bCs/>
          <w:sz w:val="22"/>
          <w:szCs w:val="22"/>
        </w:rPr>
        <w:t>.</w:t>
      </w:r>
    </w:p>
    <w:p w14:paraId="44C1E6E5" w14:textId="7E54B931" w:rsidR="00F40CDB" w:rsidRPr="00373026" w:rsidRDefault="00F40CDB" w:rsidP="00F40CDB">
      <w:pPr>
        <w:spacing w:before="120" w:after="120" w:line="276" w:lineRule="auto"/>
        <w:jc w:val="both"/>
        <w:rPr>
          <w:rFonts w:cs="Arial"/>
          <w:bCs/>
          <w:sz w:val="22"/>
          <w:szCs w:val="22"/>
        </w:rPr>
      </w:pPr>
      <w:r>
        <w:rPr>
          <w:rFonts w:cs="Arial"/>
          <w:bCs/>
          <w:sz w:val="22"/>
          <w:szCs w:val="22"/>
        </w:rPr>
        <w:t>In July 2017 DFID</w:t>
      </w:r>
      <w:r w:rsidR="00806FAF">
        <w:rPr>
          <w:rFonts w:cs="Arial"/>
          <w:bCs/>
          <w:sz w:val="22"/>
          <w:szCs w:val="22"/>
        </w:rPr>
        <w:t>,</w:t>
      </w:r>
      <w:r>
        <w:rPr>
          <w:rFonts w:cs="Arial"/>
          <w:bCs/>
          <w:sz w:val="22"/>
          <w:szCs w:val="22"/>
        </w:rPr>
        <w:t xml:space="preserve"> as a shareholder of </w:t>
      </w:r>
      <w:r w:rsidR="00D12787">
        <w:rPr>
          <w:rFonts w:cs="Arial"/>
          <w:bCs/>
          <w:sz w:val="22"/>
          <w:szCs w:val="22"/>
        </w:rPr>
        <w:t>IDB</w:t>
      </w:r>
      <w:r w:rsidR="00806FAF">
        <w:rPr>
          <w:rFonts w:cs="Arial"/>
          <w:bCs/>
          <w:sz w:val="22"/>
          <w:szCs w:val="22"/>
        </w:rPr>
        <w:t>,</w:t>
      </w:r>
      <w:r>
        <w:rPr>
          <w:rFonts w:cs="Arial"/>
          <w:bCs/>
          <w:sz w:val="22"/>
          <w:szCs w:val="22"/>
        </w:rPr>
        <w:t xml:space="preserve"> undertook a Central Assurance Assessment (CAA, Due Diligence) of </w:t>
      </w:r>
      <w:r w:rsidR="00D12787">
        <w:rPr>
          <w:rFonts w:cs="Arial"/>
          <w:bCs/>
          <w:sz w:val="22"/>
          <w:szCs w:val="22"/>
        </w:rPr>
        <w:t>IDB</w:t>
      </w:r>
      <w:r>
        <w:rPr>
          <w:rFonts w:cs="Arial"/>
          <w:bCs/>
          <w:sz w:val="22"/>
          <w:szCs w:val="22"/>
        </w:rPr>
        <w:t>. The report found that</w:t>
      </w:r>
      <w:r w:rsidRPr="000E2481">
        <w:rPr>
          <w:rFonts w:cs="Arial"/>
          <w:bCs/>
          <w:sz w:val="22"/>
          <w:szCs w:val="22"/>
        </w:rPr>
        <w:t xml:space="preserve"> IDB is a minor risk partner for the UK, in terms of central systems and processes. It has robust systems that minimise operational, fiduciary, and reputational risks to the UK’s investments in the organisation.</w:t>
      </w:r>
      <w:r>
        <w:rPr>
          <w:rFonts w:cs="Arial"/>
          <w:bCs/>
          <w:sz w:val="22"/>
          <w:szCs w:val="22"/>
        </w:rPr>
        <w:t xml:space="preserve"> BEIS has an existing call down contract with Management consultant KPMG to undertake full delivery partner reviews (DPR), </w:t>
      </w:r>
      <w:r w:rsidR="00D162C4">
        <w:rPr>
          <w:rFonts w:cs="Arial"/>
          <w:bCs/>
          <w:sz w:val="22"/>
          <w:szCs w:val="22"/>
        </w:rPr>
        <w:t>should t</w:t>
      </w:r>
      <w:r>
        <w:rPr>
          <w:rFonts w:cs="Arial"/>
          <w:bCs/>
          <w:sz w:val="22"/>
          <w:szCs w:val="22"/>
        </w:rPr>
        <w:t xml:space="preserve">he BEIS SIP-LA team </w:t>
      </w:r>
      <w:r w:rsidR="00D162C4">
        <w:rPr>
          <w:rFonts w:cs="Arial"/>
          <w:bCs/>
          <w:sz w:val="22"/>
          <w:szCs w:val="22"/>
        </w:rPr>
        <w:t>wish to factor a DPR</w:t>
      </w:r>
      <w:r w:rsidR="00A23592">
        <w:rPr>
          <w:rFonts w:cs="Arial"/>
          <w:bCs/>
          <w:sz w:val="22"/>
          <w:szCs w:val="22"/>
        </w:rPr>
        <w:t xml:space="preserve"> into the lifetime of the </w:t>
      </w:r>
      <w:r w:rsidR="00E75503">
        <w:rPr>
          <w:rFonts w:cs="Arial"/>
          <w:bCs/>
          <w:sz w:val="22"/>
          <w:szCs w:val="22"/>
        </w:rPr>
        <w:t>programme</w:t>
      </w:r>
      <w:r>
        <w:rPr>
          <w:rFonts w:cs="Arial"/>
          <w:bCs/>
          <w:sz w:val="22"/>
          <w:szCs w:val="22"/>
        </w:rPr>
        <w:t>.</w:t>
      </w:r>
    </w:p>
    <w:p w14:paraId="4944B358" w14:textId="7215CF4B" w:rsidR="00F40CDB" w:rsidRDefault="00F40CDB" w:rsidP="00F40CDB">
      <w:pPr>
        <w:spacing w:before="120" w:after="120" w:line="276" w:lineRule="auto"/>
        <w:jc w:val="both"/>
        <w:rPr>
          <w:rFonts w:cs="Arial"/>
          <w:bCs/>
          <w:sz w:val="22"/>
          <w:szCs w:val="22"/>
        </w:rPr>
      </w:pPr>
      <w:r w:rsidRPr="00373026">
        <w:rPr>
          <w:rFonts w:cs="Arial"/>
          <w:bCs/>
          <w:sz w:val="22"/>
          <w:szCs w:val="22"/>
        </w:rPr>
        <w:t xml:space="preserve">BEIS and IDB have also worked together to deliver other organisational objectives. For example, IDB is working with the UK Department for International Trade (DIT) to identify opportunities to promote secondary commercial benefits arising through the programme to UK companies. </w:t>
      </w:r>
      <w:r w:rsidR="00D12787">
        <w:rPr>
          <w:rFonts w:cs="Arial"/>
          <w:bCs/>
          <w:sz w:val="22"/>
          <w:szCs w:val="22"/>
        </w:rPr>
        <w:t>IDB</w:t>
      </w:r>
      <w:r w:rsidRPr="00373026">
        <w:rPr>
          <w:rFonts w:cs="Arial"/>
          <w:bCs/>
          <w:sz w:val="22"/>
          <w:szCs w:val="22"/>
        </w:rPr>
        <w:t xml:space="preserve"> has also signed an MOU with BEIS and DIT to promote Building Information Modelling (BIM). This will be complemented through SIP</w:t>
      </w:r>
      <w:r>
        <w:rPr>
          <w:rFonts w:cs="Arial"/>
          <w:bCs/>
          <w:sz w:val="22"/>
          <w:szCs w:val="22"/>
        </w:rPr>
        <w:t>-LA</w:t>
      </w:r>
      <w:r w:rsidRPr="00373026">
        <w:rPr>
          <w:rFonts w:cs="Arial"/>
          <w:bCs/>
          <w:sz w:val="22"/>
          <w:szCs w:val="22"/>
        </w:rPr>
        <w:t xml:space="preserve"> funded </w:t>
      </w:r>
      <w:r w:rsidR="008C77B2">
        <w:rPr>
          <w:rFonts w:cs="Arial"/>
          <w:bCs/>
          <w:sz w:val="22"/>
          <w:szCs w:val="22"/>
        </w:rPr>
        <w:t>technical assistance</w:t>
      </w:r>
      <w:r w:rsidRPr="00373026">
        <w:rPr>
          <w:rFonts w:cs="Arial"/>
          <w:bCs/>
          <w:sz w:val="22"/>
          <w:szCs w:val="22"/>
        </w:rPr>
        <w:t xml:space="preserve"> activities promoting BIM adoption. </w:t>
      </w:r>
    </w:p>
    <w:p w14:paraId="1F1427FC" w14:textId="58626DF6" w:rsidR="00F40CDB" w:rsidRDefault="00D12787" w:rsidP="00F40CDB">
      <w:pPr>
        <w:spacing w:before="120" w:after="120" w:line="276" w:lineRule="auto"/>
        <w:contextualSpacing/>
        <w:jc w:val="both"/>
        <w:rPr>
          <w:rFonts w:cs="Arial"/>
          <w:bCs/>
          <w:sz w:val="22"/>
          <w:szCs w:val="22"/>
        </w:rPr>
      </w:pPr>
      <w:r>
        <w:rPr>
          <w:rFonts w:cs="Arial"/>
          <w:bCs/>
          <w:sz w:val="22"/>
          <w:szCs w:val="22"/>
        </w:rPr>
        <w:t>IDB</w:t>
      </w:r>
      <w:r w:rsidR="00F40CDB">
        <w:rPr>
          <w:rFonts w:cs="Arial"/>
          <w:bCs/>
          <w:sz w:val="22"/>
          <w:szCs w:val="22"/>
        </w:rPr>
        <w:t xml:space="preserve"> team have worked efficiently with the BEIS team to communicate programme updates and delays in a timely manner, </w:t>
      </w:r>
      <w:r>
        <w:rPr>
          <w:rFonts w:cs="Arial"/>
          <w:bCs/>
          <w:sz w:val="22"/>
          <w:szCs w:val="22"/>
        </w:rPr>
        <w:t>IDB</w:t>
      </w:r>
      <w:r w:rsidR="00F40CDB">
        <w:rPr>
          <w:rFonts w:cs="Arial"/>
          <w:bCs/>
          <w:sz w:val="22"/>
          <w:szCs w:val="22"/>
        </w:rPr>
        <w:t xml:space="preserve"> have engaged in senior and working level discussions to ensure collaborative risk management and mitigation is developed. As mentioned, the focus on programme development through the strategic review has fostered strong working relationships between </w:t>
      </w:r>
      <w:r>
        <w:rPr>
          <w:rFonts w:cs="Arial"/>
          <w:bCs/>
          <w:sz w:val="22"/>
          <w:szCs w:val="22"/>
        </w:rPr>
        <w:t>IDB</w:t>
      </w:r>
      <w:r w:rsidR="00F40CDB">
        <w:rPr>
          <w:rFonts w:cs="Arial"/>
          <w:bCs/>
          <w:sz w:val="22"/>
          <w:szCs w:val="22"/>
        </w:rPr>
        <w:t xml:space="preserve"> and BEIS.</w:t>
      </w:r>
    </w:p>
    <w:p w14:paraId="57695EF9" w14:textId="789F30A9" w:rsidR="00006703" w:rsidRDefault="00006703" w:rsidP="00F40CDB">
      <w:pPr>
        <w:spacing w:before="120" w:after="120" w:line="276" w:lineRule="auto"/>
        <w:contextualSpacing/>
        <w:jc w:val="both"/>
        <w:rPr>
          <w:rFonts w:cs="Arial"/>
          <w:bCs/>
          <w:sz w:val="22"/>
          <w:szCs w:val="22"/>
        </w:rPr>
      </w:pPr>
    </w:p>
    <w:p w14:paraId="7356C3BF" w14:textId="77777777" w:rsidR="00F40CDB" w:rsidRPr="00373026" w:rsidRDefault="00F40CDB" w:rsidP="00F40CDB">
      <w:pPr>
        <w:spacing w:before="120" w:after="120" w:line="276" w:lineRule="auto"/>
        <w:contextualSpacing/>
        <w:jc w:val="both"/>
        <w:rPr>
          <w:rFonts w:cs="Arial"/>
          <w:b/>
          <w:bCs/>
          <w:sz w:val="22"/>
          <w:szCs w:val="22"/>
        </w:rPr>
      </w:pPr>
      <w:r w:rsidRPr="00373026">
        <w:rPr>
          <w:rFonts w:cs="Arial"/>
          <w:b/>
          <w:bCs/>
          <w:sz w:val="22"/>
          <w:szCs w:val="22"/>
        </w:rPr>
        <w:t xml:space="preserve">Asset monitoring and control </w:t>
      </w:r>
    </w:p>
    <w:p w14:paraId="414B6CAB" w14:textId="447A49A6" w:rsidR="00F40CDB" w:rsidRDefault="00F40CDB" w:rsidP="00F40CDB">
      <w:pPr>
        <w:spacing w:before="120" w:after="120" w:line="276" w:lineRule="auto"/>
        <w:jc w:val="both"/>
        <w:rPr>
          <w:rFonts w:cs="Arial"/>
          <w:bCs/>
          <w:sz w:val="22"/>
          <w:szCs w:val="22"/>
        </w:rPr>
      </w:pPr>
      <w:r w:rsidRPr="00373026">
        <w:rPr>
          <w:rFonts w:cs="Arial"/>
          <w:bCs/>
          <w:sz w:val="22"/>
          <w:szCs w:val="22"/>
        </w:rPr>
        <w:t xml:space="preserve">All physical assets </w:t>
      </w:r>
      <w:r>
        <w:rPr>
          <w:rFonts w:cs="Arial"/>
          <w:bCs/>
          <w:sz w:val="22"/>
          <w:szCs w:val="22"/>
        </w:rPr>
        <w:t>are</w:t>
      </w:r>
      <w:r w:rsidRPr="00373026">
        <w:rPr>
          <w:rFonts w:cs="Arial"/>
          <w:bCs/>
          <w:sz w:val="22"/>
          <w:szCs w:val="22"/>
        </w:rPr>
        <w:t xml:space="preserve"> subject to IDB’s asset management policy and services. </w:t>
      </w:r>
      <w:r w:rsidR="00844C3D">
        <w:rPr>
          <w:rFonts w:cs="Arial"/>
          <w:bCs/>
          <w:sz w:val="22"/>
          <w:szCs w:val="22"/>
        </w:rPr>
        <w:t>Blended finance</w:t>
      </w:r>
      <w:r>
        <w:rPr>
          <w:rFonts w:cs="Arial"/>
          <w:bCs/>
          <w:sz w:val="22"/>
          <w:szCs w:val="22"/>
        </w:rPr>
        <w:t xml:space="preserve"> operations which reach eligibility</w:t>
      </w:r>
      <w:r w:rsidR="005478D1">
        <w:rPr>
          <w:rFonts w:cs="Arial"/>
          <w:bCs/>
          <w:sz w:val="22"/>
          <w:szCs w:val="22"/>
        </w:rPr>
        <w:t xml:space="preserve"> are presented to BEIS</w:t>
      </w:r>
      <w:r w:rsidR="00F77D46">
        <w:rPr>
          <w:rFonts w:cs="Arial"/>
          <w:bCs/>
          <w:sz w:val="22"/>
          <w:szCs w:val="22"/>
        </w:rPr>
        <w:t>,</w:t>
      </w:r>
      <w:r w:rsidR="005478D1">
        <w:rPr>
          <w:rFonts w:cs="Arial"/>
          <w:bCs/>
          <w:sz w:val="22"/>
          <w:szCs w:val="22"/>
        </w:rPr>
        <w:t xml:space="preserve"> who have a ten day ‘</w:t>
      </w:r>
      <w:r w:rsidR="00645A6D">
        <w:rPr>
          <w:rFonts w:cs="Arial"/>
          <w:bCs/>
          <w:sz w:val="22"/>
          <w:szCs w:val="22"/>
        </w:rPr>
        <w:t>‘no-objection’</w:t>
      </w:r>
      <w:r w:rsidR="005478D1">
        <w:rPr>
          <w:rFonts w:cs="Arial"/>
          <w:bCs/>
          <w:sz w:val="22"/>
          <w:szCs w:val="22"/>
        </w:rPr>
        <w:t xml:space="preserve">’ period in which they can approve or object to an investment proceeding </w:t>
      </w:r>
      <w:r w:rsidRPr="00373026">
        <w:rPr>
          <w:rFonts w:cs="Arial"/>
          <w:bCs/>
          <w:sz w:val="22"/>
          <w:szCs w:val="22"/>
        </w:rPr>
        <w:t>to further due diligence before being considered for final approval</w:t>
      </w:r>
      <w:r w:rsidR="005478D1">
        <w:rPr>
          <w:rFonts w:cs="Arial"/>
          <w:bCs/>
          <w:sz w:val="22"/>
          <w:szCs w:val="22"/>
        </w:rPr>
        <w:t xml:space="preserve"> within </w:t>
      </w:r>
      <w:r w:rsidR="00D12787">
        <w:rPr>
          <w:rFonts w:cs="Arial"/>
          <w:bCs/>
          <w:sz w:val="22"/>
          <w:szCs w:val="22"/>
        </w:rPr>
        <w:t>IDB</w:t>
      </w:r>
      <w:r w:rsidRPr="00373026">
        <w:rPr>
          <w:rFonts w:cs="Arial"/>
          <w:bCs/>
          <w:sz w:val="22"/>
          <w:szCs w:val="22"/>
        </w:rPr>
        <w:t>. Asset monitoring, control and management will become a more regular item for discussion at SIP</w:t>
      </w:r>
      <w:r>
        <w:rPr>
          <w:rFonts w:cs="Arial"/>
          <w:bCs/>
          <w:sz w:val="22"/>
          <w:szCs w:val="22"/>
        </w:rPr>
        <w:t>-LA</w:t>
      </w:r>
      <w:r w:rsidRPr="00373026">
        <w:rPr>
          <w:rFonts w:cs="Arial"/>
          <w:bCs/>
          <w:sz w:val="22"/>
          <w:szCs w:val="22"/>
        </w:rPr>
        <w:t xml:space="preserve"> mid-year and annual meetings as soon as investments become operational. </w:t>
      </w:r>
    </w:p>
    <w:p w14:paraId="7E14B6E6" w14:textId="3D9C5AA8" w:rsidR="00F40CDB" w:rsidRDefault="00F40CDB" w:rsidP="00F40CDB">
      <w:pPr>
        <w:spacing w:before="120" w:after="120" w:line="276" w:lineRule="auto"/>
        <w:contextualSpacing/>
        <w:jc w:val="both"/>
        <w:rPr>
          <w:rFonts w:cs="Arial"/>
          <w:b/>
          <w:sz w:val="22"/>
          <w:szCs w:val="22"/>
          <w:lang w:val="en" w:eastAsia="en-GB"/>
        </w:rPr>
      </w:pPr>
      <w:r w:rsidRPr="00373026">
        <w:rPr>
          <w:rFonts w:cs="Arial"/>
          <w:b/>
          <w:sz w:val="22"/>
          <w:szCs w:val="22"/>
          <w:lang w:val="en" w:eastAsia="en-GB"/>
        </w:rPr>
        <w:t xml:space="preserve">VfM performance compared to the original VfM proposition in the business case </w:t>
      </w:r>
    </w:p>
    <w:p w14:paraId="441AEF64" w14:textId="11B61DDD" w:rsidR="008B2AEF" w:rsidRDefault="00F40CDB" w:rsidP="00F40CDB">
      <w:pPr>
        <w:spacing w:before="120" w:after="120" w:line="276" w:lineRule="auto"/>
        <w:contextualSpacing/>
        <w:jc w:val="both"/>
        <w:rPr>
          <w:sz w:val="22"/>
          <w:szCs w:val="22"/>
        </w:rPr>
      </w:pPr>
      <w:r w:rsidRPr="00BB0DF5">
        <w:rPr>
          <w:sz w:val="22"/>
          <w:szCs w:val="22"/>
        </w:rPr>
        <w:t>Against the expectations laid out in the Business Case</w:t>
      </w:r>
      <w:r w:rsidR="00F77D46">
        <w:rPr>
          <w:sz w:val="22"/>
          <w:szCs w:val="22"/>
        </w:rPr>
        <w:t>,</w:t>
      </w:r>
      <w:r w:rsidRPr="00BB0DF5">
        <w:rPr>
          <w:sz w:val="22"/>
          <w:szCs w:val="22"/>
        </w:rPr>
        <w:t xml:space="preserve"> </w:t>
      </w:r>
      <w:r w:rsidR="00645A6D">
        <w:rPr>
          <w:sz w:val="22"/>
          <w:szCs w:val="22"/>
        </w:rPr>
        <w:t>SIP-LA</w:t>
      </w:r>
      <w:r>
        <w:rPr>
          <w:sz w:val="22"/>
          <w:szCs w:val="22"/>
        </w:rPr>
        <w:t xml:space="preserve"> </w:t>
      </w:r>
      <w:r w:rsidRPr="00BB0DF5">
        <w:rPr>
          <w:sz w:val="22"/>
          <w:szCs w:val="22"/>
        </w:rPr>
        <w:t xml:space="preserve">is not </w:t>
      </w:r>
      <w:r w:rsidR="00D12787">
        <w:rPr>
          <w:sz w:val="22"/>
          <w:szCs w:val="22"/>
        </w:rPr>
        <w:t xml:space="preserve">currently </w:t>
      </w:r>
      <w:r w:rsidRPr="00BB0DF5">
        <w:rPr>
          <w:sz w:val="22"/>
          <w:szCs w:val="22"/>
        </w:rPr>
        <w:t>delivering VfM though</w:t>
      </w:r>
      <w:r w:rsidR="007700C1">
        <w:rPr>
          <w:sz w:val="22"/>
          <w:szCs w:val="22"/>
        </w:rPr>
        <w:t>,</w:t>
      </w:r>
      <w:r w:rsidRPr="00BB0DF5">
        <w:rPr>
          <w:sz w:val="22"/>
          <w:szCs w:val="22"/>
        </w:rPr>
        <w:t xml:space="preserve"> as this review details</w:t>
      </w:r>
      <w:r w:rsidR="007700C1">
        <w:rPr>
          <w:sz w:val="22"/>
          <w:szCs w:val="22"/>
        </w:rPr>
        <w:t>,</w:t>
      </w:r>
      <w:r w:rsidRPr="00BB0DF5">
        <w:rPr>
          <w:sz w:val="22"/>
          <w:szCs w:val="22"/>
        </w:rPr>
        <w:t xml:space="preserve"> these expectations are to be revised. </w:t>
      </w:r>
      <w:r w:rsidR="00032ABE" w:rsidRPr="00BB0DF5">
        <w:rPr>
          <w:sz w:val="22"/>
          <w:szCs w:val="22"/>
        </w:rPr>
        <w:t xml:space="preserve">The programme’s key cost driver is the allocation for </w:t>
      </w:r>
      <w:r w:rsidR="00844C3D">
        <w:rPr>
          <w:sz w:val="22"/>
          <w:szCs w:val="22"/>
        </w:rPr>
        <w:lastRenderedPageBreak/>
        <w:t>blended finance</w:t>
      </w:r>
      <w:r w:rsidR="00032ABE" w:rsidRPr="00BB0DF5">
        <w:rPr>
          <w:sz w:val="22"/>
          <w:szCs w:val="22"/>
        </w:rPr>
        <w:t xml:space="preserve"> investments, due to the lack of investments thus far in the programme the </w:t>
      </w:r>
      <w:r w:rsidR="00032ABE">
        <w:rPr>
          <w:bCs/>
          <w:sz w:val="22"/>
          <w:szCs w:val="22"/>
        </w:rPr>
        <w:t>VfM</w:t>
      </w:r>
      <w:r w:rsidR="00032ABE" w:rsidRPr="00BB0DF5">
        <w:rPr>
          <w:sz w:val="22"/>
          <w:szCs w:val="22"/>
        </w:rPr>
        <w:t xml:space="preserve"> case for 2019 is weakened.</w:t>
      </w:r>
    </w:p>
    <w:p w14:paraId="08B3BB87" w14:textId="77777777" w:rsidR="002F2D5C" w:rsidRDefault="002F2D5C" w:rsidP="00F40CDB">
      <w:pPr>
        <w:spacing w:before="120" w:after="120" w:line="276" w:lineRule="auto"/>
        <w:contextualSpacing/>
        <w:jc w:val="both"/>
        <w:rPr>
          <w:sz w:val="22"/>
          <w:szCs w:val="22"/>
        </w:rPr>
      </w:pPr>
    </w:p>
    <w:p w14:paraId="7225426E" w14:textId="447A50B0" w:rsidR="00E33C26" w:rsidRDefault="000502C9" w:rsidP="00F40CDB">
      <w:pPr>
        <w:spacing w:before="120" w:after="120" w:line="276" w:lineRule="auto"/>
        <w:contextualSpacing/>
        <w:jc w:val="both"/>
        <w:rPr>
          <w:sz w:val="22"/>
          <w:szCs w:val="22"/>
        </w:rPr>
      </w:pPr>
      <w:r>
        <w:rPr>
          <w:sz w:val="22"/>
          <w:szCs w:val="22"/>
        </w:rPr>
        <w:t xml:space="preserve">There </w:t>
      </w:r>
      <w:r w:rsidR="00C81312">
        <w:rPr>
          <w:sz w:val="22"/>
          <w:szCs w:val="22"/>
        </w:rPr>
        <w:t>is</w:t>
      </w:r>
      <w:r>
        <w:rPr>
          <w:sz w:val="22"/>
          <w:szCs w:val="22"/>
        </w:rPr>
        <w:t xml:space="preserve"> a potential risk related to administration fees being </w:t>
      </w:r>
      <w:r w:rsidR="004A598E">
        <w:rPr>
          <w:sz w:val="22"/>
          <w:szCs w:val="22"/>
        </w:rPr>
        <w:t>spent</w:t>
      </w:r>
      <w:r>
        <w:rPr>
          <w:sz w:val="22"/>
          <w:szCs w:val="22"/>
        </w:rPr>
        <w:t xml:space="preserve"> despite a lack of investments. T</w:t>
      </w:r>
      <w:r w:rsidR="00E33C26">
        <w:rPr>
          <w:sz w:val="22"/>
          <w:szCs w:val="22"/>
        </w:rPr>
        <w:t xml:space="preserve">here is a concern that although funds are allocated for future investments, annual fees have been drawn down by </w:t>
      </w:r>
      <w:r w:rsidR="00D12787">
        <w:rPr>
          <w:sz w:val="22"/>
          <w:szCs w:val="22"/>
        </w:rPr>
        <w:t>IDB</w:t>
      </w:r>
      <w:r w:rsidR="00DB57E0">
        <w:rPr>
          <w:sz w:val="22"/>
          <w:szCs w:val="22"/>
        </w:rPr>
        <w:t xml:space="preserve"> </w:t>
      </w:r>
      <w:r w:rsidR="00EE44D4">
        <w:rPr>
          <w:sz w:val="22"/>
          <w:szCs w:val="22"/>
        </w:rPr>
        <w:t xml:space="preserve">during 2019 despite </w:t>
      </w:r>
      <w:r w:rsidR="007411E8">
        <w:rPr>
          <w:sz w:val="22"/>
          <w:szCs w:val="22"/>
        </w:rPr>
        <w:t xml:space="preserve">a lack of </w:t>
      </w:r>
      <w:r w:rsidR="00844C3D">
        <w:rPr>
          <w:sz w:val="22"/>
          <w:szCs w:val="22"/>
        </w:rPr>
        <w:t>blended finance</w:t>
      </w:r>
      <w:r w:rsidR="007411E8">
        <w:rPr>
          <w:sz w:val="22"/>
          <w:szCs w:val="22"/>
        </w:rPr>
        <w:t xml:space="preserve"> investment. </w:t>
      </w:r>
      <w:r w:rsidR="00D168C2">
        <w:rPr>
          <w:sz w:val="22"/>
          <w:szCs w:val="22"/>
        </w:rPr>
        <w:t xml:space="preserve">As outlined in section C under </w:t>
      </w:r>
      <w:r w:rsidR="00844C3D">
        <w:rPr>
          <w:sz w:val="22"/>
          <w:szCs w:val="22"/>
        </w:rPr>
        <w:t>Output</w:t>
      </w:r>
      <w:r w:rsidR="00D168C2">
        <w:rPr>
          <w:sz w:val="22"/>
          <w:szCs w:val="22"/>
        </w:rPr>
        <w:t xml:space="preserve"> 2</w:t>
      </w:r>
      <w:r w:rsidR="00572E37">
        <w:rPr>
          <w:sz w:val="22"/>
          <w:szCs w:val="22"/>
        </w:rPr>
        <w:t xml:space="preserve">, there has been considerable work undertaken in </w:t>
      </w:r>
      <w:r w:rsidR="002D6D99">
        <w:rPr>
          <w:sz w:val="22"/>
          <w:szCs w:val="22"/>
        </w:rPr>
        <w:t>developing</w:t>
      </w:r>
      <w:r w:rsidR="00572E37">
        <w:rPr>
          <w:sz w:val="22"/>
          <w:szCs w:val="22"/>
        </w:rPr>
        <w:t xml:space="preserve"> investments in </w:t>
      </w:r>
      <w:r w:rsidR="002D6D99">
        <w:rPr>
          <w:sz w:val="22"/>
          <w:szCs w:val="22"/>
        </w:rPr>
        <w:t xml:space="preserve">Mexico and Brazil </w:t>
      </w:r>
      <w:r w:rsidR="00ED4D9B">
        <w:rPr>
          <w:sz w:val="22"/>
          <w:szCs w:val="22"/>
        </w:rPr>
        <w:t xml:space="preserve">whilst </w:t>
      </w:r>
      <w:r w:rsidR="00B04781">
        <w:rPr>
          <w:sz w:val="22"/>
          <w:szCs w:val="22"/>
        </w:rPr>
        <w:t xml:space="preserve">building a </w:t>
      </w:r>
      <w:r w:rsidR="00E448BF">
        <w:rPr>
          <w:sz w:val="22"/>
          <w:szCs w:val="22"/>
        </w:rPr>
        <w:t>regional pipeline of investments</w:t>
      </w:r>
      <w:r w:rsidR="00D60C08">
        <w:rPr>
          <w:sz w:val="22"/>
          <w:szCs w:val="22"/>
        </w:rPr>
        <w:t>.</w:t>
      </w:r>
      <w:r w:rsidR="00071D73">
        <w:rPr>
          <w:sz w:val="22"/>
          <w:szCs w:val="22"/>
        </w:rPr>
        <w:t xml:space="preserve"> </w:t>
      </w:r>
      <w:r w:rsidR="00D60C08">
        <w:rPr>
          <w:sz w:val="22"/>
          <w:szCs w:val="22"/>
        </w:rPr>
        <w:t xml:space="preserve">These preparatory </w:t>
      </w:r>
      <w:r w:rsidR="00012853">
        <w:rPr>
          <w:sz w:val="22"/>
          <w:szCs w:val="22"/>
        </w:rPr>
        <w:t xml:space="preserve">activities are included in the </w:t>
      </w:r>
      <w:r w:rsidR="006854DD">
        <w:rPr>
          <w:sz w:val="22"/>
          <w:szCs w:val="22"/>
        </w:rPr>
        <w:t xml:space="preserve">scope of </w:t>
      </w:r>
      <w:r w:rsidR="00D60C08">
        <w:rPr>
          <w:sz w:val="22"/>
          <w:szCs w:val="22"/>
        </w:rPr>
        <w:t>administration fees according to the Management Agreement</w:t>
      </w:r>
      <w:r w:rsidR="00E448BF">
        <w:rPr>
          <w:sz w:val="22"/>
          <w:szCs w:val="22"/>
        </w:rPr>
        <w:t xml:space="preserve">. </w:t>
      </w:r>
      <w:r w:rsidR="00506AAE">
        <w:rPr>
          <w:sz w:val="22"/>
          <w:szCs w:val="22"/>
        </w:rPr>
        <w:t xml:space="preserve">These preparatory activities have the potential to bring results to </w:t>
      </w:r>
      <w:r w:rsidR="00645A6D">
        <w:rPr>
          <w:sz w:val="22"/>
          <w:szCs w:val="22"/>
        </w:rPr>
        <w:t>SIP-LA</w:t>
      </w:r>
      <w:r w:rsidR="00506AAE">
        <w:rPr>
          <w:sz w:val="22"/>
          <w:szCs w:val="22"/>
        </w:rPr>
        <w:t xml:space="preserve"> portfolio. </w:t>
      </w:r>
    </w:p>
    <w:p w14:paraId="4B6F5AA1" w14:textId="77777777" w:rsidR="00842CC2" w:rsidRDefault="00842CC2" w:rsidP="00F40CDB">
      <w:pPr>
        <w:spacing w:before="120" w:after="120" w:line="276" w:lineRule="auto"/>
        <w:contextualSpacing/>
        <w:jc w:val="both"/>
        <w:rPr>
          <w:sz w:val="22"/>
          <w:szCs w:val="22"/>
        </w:rPr>
      </w:pPr>
    </w:p>
    <w:p w14:paraId="7BB9844C" w14:textId="0454ED62" w:rsidR="00F40CDB" w:rsidRDefault="00F40CDB" w:rsidP="00F40CDB">
      <w:pPr>
        <w:spacing w:before="120" w:after="120" w:line="276" w:lineRule="auto"/>
        <w:contextualSpacing/>
        <w:jc w:val="both"/>
        <w:rPr>
          <w:sz w:val="22"/>
          <w:szCs w:val="22"/>
        </w:rPr>
      </w:pPr>
      <w:r w:rsidRPr="00BB0DF5">
        <w:rPr>
          <w:sz w:val="22"/>
          <w:szCs w:val="22"/>
        </w:rPr>
        <w:t xml:space="preserve">The second cost driver is </w:t>
      </w:r>
      <w:r w:rsidR="008C77B2">
        <w:rPr>
          <w:sz w:val="22"/>
          <w:szCs w:val="22"/>
        </w:rPr>
        <w:t>technical assistance</w:t>
      </w:r>
      <w:r w:rsidRPr="00BB0DF5">
        <w:rPr>
          <w:sz w:val="22"/>
          <w:szCs w:val="22"/>
        </w:rPr>
        <w:t xml:space="preserve"> </w:t>
      </w:r>
      <w:r w:rsidR="00020672">
        <w:rPr>
          <w:sz w:val="22"/>
          <w:szCs w:val="22"/>
        </w:rPr>
        <w:t>activities</w:t>
      </w:r>
      <w:r w:rsidR="007700C1">
        <w:rPr>
          <w:sz w:val="22"/>
          <w:szCs w:val="22"/>
        </w:rPr>
        <w:t>,</w:t>
      </w:r>
      <w:r w:rsidR="00020672">
        <w:rPr>
          <w:sz w:val="22"/>
          <w:szCs w:val="22"/>
        </w:rPr>
        <w:t xml:space="preserve"> </w:t>
      </w:r>
      <w:r w:rsidRPr="00BB0DF5">
        <w:rPr>
          <w:sz w:val="22"/>
          <w:szCs w:val="22"/>
        </w:rPr>
        <w:t>which ha</w:t>
      </w:r>
      <w:r w:rsidR="00020672">
        <w:rPr>
          <w:sz w:val="22"/>
          <w:szCs w:val="22"/>
        </w:rPr>
        <w:t>ve</w:t>
      </w:r>
      <w:r w:rsidRPr="00BB0DF5">
        <w:rPr>
          <w:sz w:val="22"/>
          <w:szCs w:val="22"/>
        </w:rPr>
        <w:t xml:space="preserve"> performed well in 2019. The average value of public sector </w:t>
      </w:r>
      <w:r w:rsidR="008C77B2">
        <w:rPr>
          <w:sz w:val="22"/>
          <w:szCs w:val="22"/>
        </w:rPr>
        <w:t>technical assistance</w:t>
      </w:r>
      <w:r w:rsidRPr="00BB0DF5">
        <w:rPr>
          <w:sz w:val="22"/>
          <w:szCs w:val="22"/>
        </w:rPr>
        <w:t xml:space="preserve"> projects across </w:t>
      </w:r>
      <w:r w:rsidR="00645A6D">
        <w:rPr>
          <w:sz w:val="22"/>
          <w:szCs w:val="22"/>
        </w:rPr>
        <w:t>SIP-LA</w:t>
      </w:r>
      <w:r>
        <w:rPr>
          <w:sz w:val="22"/>
          <w:szCs w:val="22"/>
        </w:rPr>
        <w:t xml:space="preserve"> </w:t>
      </w:r>
      <w:r w:rsidRPr="00BB0DF5">
        <w:rPr>
          <w:sz w:val="22"/>
          <w:szCs w:val="22"/>
        </w:rPr>
        <w:t>portfolio ranges from $500,000 to $1m</w:t>
      </w:r>
      <w:r w:rsidR="007700C1">
        <w:rPr>
          <w:sz w:val="22"/>
          <w:szCs w:val="22"/>
        </w:rPr>
        <w:t>,</w:t>
      </w:r>
      <w:r w:rsidR="002342FB">
        <w:rPr>
          <w:sz w:val="22"/>
          <w:szCs w:val="22"/>
        </w:rPr>
        <w:t xml:space="preserve"> which is aligned with other </w:t>
      </w:r>
      <w:r w:rsidR="008C77B2">
        <w:rPr>
          <w:sz w:val="22"/>
          <w:szCs w:val="22"/>
        </w:rPr>
        <w:t>technical assistance</w:t>
      </w:r>
      <w:r w:rsidR="002342FB">
        <w:rPr>
          <w:sz w:val="22"/>
          <w:szCs w:val="22"/>
        </w:rPr>
        <w:t xml:space="preserve"> programmes delivered by ICF</w:t>
      </w:r>
      <w:r w:rsidR="002342FB">
        <w:rPr>
          <w:rStyle w:val="FootnoteReference"/>
          <w:sz w:val="22"/>
          <w:szCs w:val="22"/>
        </w:rPr>
        <w:footnoteReference w:id="2"/>
      </w:r>
      <w:r w:rsidR="002342FB">
        <w:rPr>
          <w:sz w:val="22"/>
          <w:szCs w:val="22"/>
        </w:rPr>
        <w:t xml:space="preserve">. </w:t>
      </w:r>
      <w:r w:rsidRPr="00BB0DF5">
        <w:rPr>
          <w:sz w:val="22"/>
          <w:szCs w:val="22"/>
        </w:rPr>
        <w:t>VfM indicators</w:t>
      </w:r>
      <w:r w:rsidR="007700C1">
        <w:rPr>
          <w:sz w:val="22"/>
          <w:szCs w:val="22"/>
        </w:rPr>
        <w:t>,</w:t>
      </w:r>
      <w:r w:rsidRPr="00BB0DF5">
        <w:rPr>
          <w:sz w:val="22"/>
          <w:szCs w:val="22"/>
        </w:rPr>
        <w:t xml:space="preserve"> which are due to be completed in 2020</w:t>
      </w:r>
      <w:r w:rsidR="007700C1">
        <w:rPr>
          <w:sz w:val="22"/>
          <w:szCs w:val="22"/>
        </w:rPr>
        <w:t>,</w:t>
      </w:r>
      <w:r w:rsidRPr="00BB0DF5">
        <w:rPr>
          <w:sz w:val="22"/>
          <w:szCs w:val="22"/>
        </w:rPr>
        <w:t xml:space="preserve"> will assist in assessing the qualitative aspects of the </w:t>
      </w:r>
      <w:r w:rsidR="009E2EA9" w:rsidRPr="00BB0DF5">
        <w:rPr>
          <w:sz w:val="22"/>
          <w:szCs w:val="22"/>
        </w:rPr>
        <w:t>programme’s</w:t>
      </w:r>
      <w:r w:rsidRPr="00BB0DF5">
        <w:rPr>
          <w:sz w:val="22"/>
          <w:szCs w:val="22"/>
        </w:rPr>
        <w:t xml:space="preserve"> </w:t>
      </w:r>
      <w:r w:rsidR="008C77B2">
        <w:rPr>
          <w:sz w:val="22"/>
          <w:szCs w:val="22"/>
        </w:rPr>
        <w:t>technical assistance</w:t>
      </w:r>
      <w:r w:rsidRPr="00BB0DF5">
        <w:rPr>
          <w:sz w:val="22"/>
          <w:szCs w:val="22"/>
        </w:rPr>
        <w:t xml:space="preserve"> VfM. </w:t>
      </w:r>
    </w:p>
    <w:p w14:paraId="0B2A83DB" w14:textId="3F8D78BF" w:rsidR="00F40CDB" w:rsidRDefault="00F40CDB" w:rsidP="00F40CDB">
      <w:pPr>
        <w:pStyle w:val="NormalWeb"/>
        <w:spacing w:before="120" w:beforeAutospacing="0" w:after="120" w:afterAutospacing="0" w:line="276" w:lineRule="auto"/>
        <w:jc w:val="both"/>
        <w:rPr>
          <w:rFonts w:ascii="Arial" w:hAnsi="Arial" w:cs="Arial"/>
          <w:color w:val="000000"/>
          <w:sz w:val="22"/>
          <w:szCs w:val="22"/>
        </w:rPr>
      </w:pPr>
      <w:r>
        <w:rPr>
          <w:rFonts w:ascii="Arial" w:hAnsi="Arial" w:cs="Arial"/>
          <w:bCs/>
          <w:sz w:val="22"/>
          <w:szCs w:val="22"/>
        </w:rPr>
        <w:t>Through increased engagement with the UK PACT team</w:t>
      </w:r>
      <w:r w:rsidR="007700C1">
        <w:rPr>
          <w:rFonts w:ascii="Arial" w:hAnsi="Arial" w:cs="Arial"/>
          <w:bCs/>
          <w:sz w:val="22"/>
          <w:szCs w:val="22"/>
        </w:rPr>
        <w:t>,</w:t>
      </w:r>
      <w:r>
        <w:rPr>
          <w:rFonts w:ascii="Arial" w:hAnsi="Arial" w:cs="Arial"/>
          <w:bCs/>
          <w:sz w:val="22"/>
          <w:szCs w:val="22"/>
        </w:rPr>
        <w:t xml:space="preserve"> and other </w:t>
      </w:r>
      <w:r w:rsidR="008C77B2">
        <w:rPr>
          <w:rFonts w:ascii="Arial" w:hAnsi="Arial" w:cs="Arial"/>
          <w:bCs/>
          <w:sz w:val="22"/>
          <w:szCs w:val="22"/>
        </w:rPr>
        <w:t>technical assistance</w:t>
      </w:r>
      <w:r w:rsidR="001E29A7">
        <w:rPr>
          <w:rFonts w:ascii="Arial" w:hAnsi="Arial" w:cs="Arial"/>
          <w:bCs/>
          <w:sz w:val="22"/>
          <w:szCs w:val="22"/>
        </w:rPr>
        <w:t xml:space="preserve"> </w:t>
      </w:r>
      <w:r>
        <w:rPr>
          <w:rFonts w:ascii="Arial" w:hAnsi="Arial" w:cs="Arial"/>
          <w:bCs/>
          <w:sz w:val="22"/>
          <w:szCs w:val="22"/>
        </w:rPr>
        <w:t xml:space="preserve">delivery programmes across the ICF, the BEIS SIP-LA team has sufficient confidence that </w:t>
      </w:r>
      <w:r w:rsidR="008C77B2">
        <w:rPr>
          <w:rFonts w:ascii="Arial" w:hAnsi="Arial" w:cs="Arial"/>
          <w:bCs/>
          <w:sz w:val="22"/>
          <w:szCs w:val="22"/>
        </w:rPr>
        <w:t>technical assistance</w:t>
      </w:r>
      <w:r>
        <w:rPr>
          <w:rFonts w:ascii="Arial" w:hAnsi="Arial" w:cs="Arial"/>
          <w:bCs/>
          <w:sz w:val="22"/>
          <w:szCs w:val="22"/>
        </w:rPr>
        <w:t xml:space="preserve"> delivered in 2019 is not duplicative. There has been positive feedback from colleagues in Colombian and Mexican embassies that the</w:t>
      </w:r>
      <w:r w:rsidR="009D3F86">
        <w:rPr>
          <w:rFonts w:ascii="Arial" w:hAnsi="Arial" w:cs="Arial"/>
          <w:bCs/>
          <w:sz w:val="22"/>
          <w:szCs w:val="22"/>
        </w:rPr>
        <w:t xml:space="preserve"> </w:t>
      </w:r>
      <w:r w:rsidR="008C77B2">
        <w:rPr>
          <w:rFonts w:ascii="Arial" w:hAnsi="Arial" w:cs="Arial"/>
          <w:bCs/>
          <w:sz w:val="22"/>
          <w:szCs w:val="22"/>
        </w:rPr>
        <w:t>technical assistance</w:t>
      </w:r>
      <w:r>
        <w:rPr>
          <w:rFonts w:ascii="Arial" w:hAnsi="Arial" w:cs="Arial"/>
          <w:bCs/>
          <w:sz w:val="22"/>
          <w:szCs w:val="22"/>
        </w:rPr>
        <w:t xml:space="preserve"> delivered has made positive change and contribution towards formalising sustainable infrastructure objectives within key government ministries.</w:t>
      </w:r>
    </w:p>
    <w:p w14:paraId="264775B3" w14:textId="4DBFB4BA" w:rsidR="00F40CDB" w:rsidRPr="002F2D5C" w:rsidRDefault="00F40CDB" w:rsidP="00F40CDB">
      <w:pPr>
        <w:pStyle w:val="NormalWeb"/>
        <w:spacing w:before="120" w:beforeAutospacing="0" w:after="120" w:afterAutospacing="0" w:line="276" w:lineRule="auto"/>
        <w:jc w:val="both"/>
        <w:rPr>
          <w:rFonts w:ascii="Arial" w:hAnsi="Arial" w:cs="Arial"/>
          <w:b/>
          <w:bCs/>
          <w:color w:val="000000"/>
          <w:sz w:val="22"/>
          <w:szCs w:val="22"/>
        </w:rPr>
      </w:pPr>
      <w:r w:rsidRPr="002F2D5C">
        <w:rPr>
          <w:rFonts w:ascii="Arial" w:hAnsi="Arial" w:cs="Arial"/>
          <w:b/>
          <w:bCs/>
          <w:color w:val="000000"/>
          <w:sz w:val="22"/>
          <w:szCs w:val="22"/>
        </w:rPr>
        <w:t xml:space="preserve">The approach used in this Annual Review to assess VfM considers economy, efficiency, </w:t>
      </w:r>
      <w:r w:rsidRPr="002F2D5C" w:rsidDel="00475849">
        <w:rPr>
          <w:rFonts w:ascii="Arial" w:hAnsi="Arial" w:cs="Arial"/>
          <w:b/>
          <w:bCs/>
          <w:color w:val="000000"/>
          <w:sz w:val="22"/>
          <w:szCs w:val="22"/>
        </w:rPr>
        <w:t>effectiveness</w:t>
      </w:r>
      <w:r w:rsidRPr="002F2D5C">
        <w:rPr>
          <w:rFonts w:ascii="Arial" w:hAnsi="Arial" w:cs="Arial"/>
          <w:b/>
          <w:bCs/>
          <w:color w:val="000000"/>
          <w:sz w:val="22"/>
          <w:szCs w:val="22"/>
        </w:rPr>
        <w:t>, and equity. </w:t>
      </w:r>
    </w:p>
    <w:p w14:paraId="751D2085" w14:textId="77777777" w:rsidR="00F40CDB" w:rsidRPr="00373026" w:rsidRDefault="00F40CDB" w:rsidP="00F40CDB">
      <w:pPr>
        <w:spacing w:before="120" w:after="120" w:line="276" w:lineRule="auto"/>
        <w:jc w:val="both"/>
        <w:rPr>
          <w:rFonts w:cs="Arial"/>
          <w:i/>
          <w:sz w:val="22"/>
          <w:szCs w:val="22"/>
          <w:lang w:val="en" w:eastAsia="en-GB"/>
        </w:rPr>
      </w:pPr>
      <w:r w:rsidRPr="00373026">
        <w:rPr>
          <w:rFonts w:cs="Arial"/>
          <w:iCs/>
          <w:sz w:val="22"/>
          <w:szCs w:val="22"/>
          <w:u w:val="single"/>
          <w:lang w:val="en" w:eastAsia="en-GB"/>
        </w:rPr>
        <w:t>Economy</w:t>
      </w:r>
      <w:r w:rsidRPr="00373026">
        <w:rPr>
          <w:rFonts w:cs="Arial"/>
          <w:iCs/>
          <w:sz w:val="22"/>
          <w:szCs w:val="22"/>
          <w:lang w:val="en" w:eastAsia="en-GB"/>
        </w:rPr>
        <w:t xml:space="preserve">: </w:t>
      </w:r>
      <w:r w:rsidRPr="00373026">
        <w:rPr>
          <w:rFonts w:cs="Arial"/>
          <w:i/>
          <w:sz w:val="22"/>
          <w:szCs w:val="22"/>
          <w:lang w:val="en" w:eastAsia="en-GB"/>
        </w:rPr>
        <w:t>Are we or our partners buying inputs of the appropriate quality at the right price?   </w:t>
      </w:r>
    </w:p>
    <w:p w14:paraId="29BEE5F8" w14:textId="5ED58D9C" w:rsidR="00F40CDB" w:rsidRPr="00373026" w:rsidRDefault="00F40CDB" w:rsidP="00F40CDB">
      <w:pPr>
        <w:spacing w:before="120" w:after="120" w:line="276" w:lineRule="auto"/>
        <w:jc w:val="both"/>
        <w:rPr>
          <w:rFonts w:cs="Arial"/>
          <w:bCs/>
          <w:sz w:val="22"/>
          <w:szCs w:val="22"/>
        </w:rPr>
      </w:pPr>
      <w:r w:rsidRPr="00373026">
        <w:rPr>
          <w:rFonts w:cs="Arial"/>
          <w:bCs/>
          <w:sz w:val="22"/>
          <w:szCs w:val="22"/>
        </w:rPr>
        <w:t xml:space="preserve">IDB charge a 5% fee for the management of </w:t>
      </w:r>
      <w:r>
        <w:rPr>
          <w:rFonts w:cs="Arial"/>
          <w:bCs/>
          <w:sz w:val="22"/>
          <w:szCs w:val="22"/>
        </w:rPr>
        <w:t>TA</w:t>
      </w:r>
      <w:r w:rsidRPr="00373026">
        <w:rPr>
          <w:rFonts w:cs="Arial"/>
          <w:bCs/>
          <w:sz w:val="22"/>
          <w:szCs w:val="22"/>
        </w:rPr>
        <w:t xml:space="preserve"> activities and 2.5% for </w:t>
      </w:r>
      <w:r w:rsidR="00844C3D">
        <w:rPr>
          <w:rFonts w:cs="Arial"/>
          <w:bCs/>
          <w:sz w:val="22"/>
          <w:szCs w:val="22"/>
        </w:rPr>
        <w:t>blended finance</w:t>
      </w:r>
      <w:r w:rsidRPr="00373026">
        <w:rPr>
          <w:rFonts w:cs="Arial"/>
          <w:bCs/>
          <w:sz w:val="22"/>
          <w:szCs w:val="22"/>
        </w:rPr>
        <w:t xml:space="preserve"> activities. This fee is charged against the amounts allocated to the technical cooperation and </w:t>
      </w:r>
      <w:r w:rsidR="00844C3D">
        <w:rPr>
          <w:rFonts w:cs="Arial"/>
          <w:bCs/>
          <w:sz w:val="22"/>
          <w:szCs w:val="22"/>
        </w:rPr>
        <w:t>blended finance</w:t>
      </w:r>
      <w:r w:rsidRPr="00373026">
        <w:rPr>
          <w:rFonts w:cs="Arial"/>
          <w:bCs/>
          <w:sz w:val="22"/>
          <w:szCs w:val="22"/>
        </w:rPr>
        <w:t xml:space="preserve"> windows from each BEIS contribution. </w:t>
      </w:r>
      <w:r w:rsidRPr="00EA5942">
        <w:rPr>
          <w:rFonts w:cs="Arial"/>
          <w:bCs/>
          <w:sz w:val="22"/>
          <w:szCs w:val="22"/>
        </w:rPr>
        <w:t>The combined expected fees for administrative costs are comparable with that charged in similar programmes for other ICF infrastructure programmes BEIS contributes to.</w:t>
      </w:r>
    </w:p>
    <w:p w14:paraId="78DA90D7" w14:textId="5CE33F80" w:rsidR="00F40CDB" w:rsidRDefault="00F40CDB" w:rsidP="00F40CDB">
      <w:pPr>
        <w:spacing w:before="120" w:after="120" w:line="276" w:lineRule="auto"/>
        <w:jc w:val="both"/>
        <w:rPr>
          <w:rFonts w:cs="Arial"/>
          <w:bCs/>
          <w:sz w:val="22"/>
          <w:szCs w:val="22"/>
        </w:rPr>
      </w:pPr>
      <w:r w:rsidRPr="00373026">
        <w:rPr>
          <w:rFonts w:cs="Arial"/>
          <w:bCs/>
          <w:sz w:val="22"/>
          <w:szCs w:val="22"/>
        </w:rPr>
        <w:t xml:space="preserve">For </w:t>
      </w:r>
      <w:r>
        <w:rPr>
          <w:rFonts w:cs="Arial"/>
          <w:bCs/>
          <w:sz w:val="22"/>
          <w:szCs w:val="22"/>
        </w:rPr>
        <w:t>TA</w:t>
      </w:r>
      <w:r w:rsidRPr="00373026">
        <w:rPr>
          <w:rFonts w:cs="Arial"/>
          <w:bCs/>
          <w:sz w:val="22"/>
          <w:szCs w:val="22"/>
        </w:rPr>
        <w:t>, this covers the costs of operation origination, design, due diligence</w:t>
      </w:r>
      <w:r>
        <w:rPr>
          <w:rFonts w:cs="Arial"/>
          <w:bCs/>
          <w:sz w:val="22"/>
          <w:szCs w:val="22"/>
        </w:rPr>
        <w:t>,</w:t>
      </w:r>
      <w:r w:rsidRPr="00373026">
        <w:rPr>
          <w:rFonts w:cs="Arial"/>
          <w:bCs/>
          <w:sz w:val="22"/>
          <w:szCs w:val="22"/>
        </w:rPr>
        <w:t xml:space="preserve"> and administration. For </w:t>
      </w:r>
      <w:r w:rsidR="00844C3D">
        <w:rPr>
          <w:rFonts w:cs="Arial"/>
          <w:bCs/>
          <w:sz w:val="22"/>
          <w:szCs w:val="22"/>
        </w:rPr>
        <w:t>blended finance</w:t>
      </w:r>
      <w:r w:rsidRPr="00373026">
        <w:rPr>
          <w:rFonts w:cs="Arial"/>
          <w:bCs/>
          <w:sz w:val="22"/>
          <w:szCs w:val="22"/>
        </w:rPr>
        <w:t>, this covers origination, portfolio management, due diligence, risk</w:t>
      </w:r>
      <w:r>
        <w:rPr>
          <w:rFonts w:cs="Arial"/>
          <w:bCs/>
          <w:sz w:val="22"/>
          <w:szCs w:val="22"/>
        </w:rPr>
        <w:t>,</w:t>
      </w:r>
      <w:r w:rsidRPr="00373026">
        <w:rPr>
          <w:rFonts w:cs="Arial"/>
          <w:bCs/>
          <w:sz w:val="22"/>
          <w:szCs w:val="22"/>
        </w:rPr>
        <w:t xml:space="preserve"> and commercial appraisal costs. These fee levels are priced competitively against similar ICF programmes. </w:t>
      </w:r>
    </w:p>
    <w:p w14:paraId="49766701" w14:textId="0935D0FD" w:rsidR="00F40CDB" w:rsidRDefault="00F40CDB" w:rsidP="00F40CDB">
      <w:pPr>
        <w:spacing w:before="120" w:after="120" w:line="276" w:lineRule="auto"/>
        <w:jc w:val="both"/>
        <w:rPr>
          <w:rFonts w:cs="Arial"/>
          <w:bCs/>
          <w:sz w:val="22"/>
          <w:szCs w:val="22"/>
        </w:rPr>
      </w:pPr>
      <w:r>
        <w:rPr>
          <w:rFonts w:cs="Arial"/>
          <w:bCs/>
          <w:sz w:val="22"/>
          <w:szCs w:val="22"/>
        </w:rPr>
        <w:t>Direct fund expenses</w:t>
      </w:r>
      <w:r w:rsidRPr="00CF4133">
        <w:rPr>
          <w:rFonts w:cs="Arial"/>
          <w:bCs/>
          <w:sz w:val="22"/>
          <w:szCs w:val="22"/>
        </w:rPr>
        <w:t xml:space="preserve"> cover costs for Technical Advisor</w:t>
      </w:r>
      <w:r>
        <w:rPr>
          <w:rFonts w:cs="Arial"/>
          <w:bCs/>
          <w:sz w:val="22"/>
          <w:szCs w:val="22"/>
        </w:rPr>
        <w:t>s</w:t>
      </w:r>
      <w:r w:rsidRPr="00CF4133">
        <w:rPr>
          <w:rFonts w:cs="Arial"/>
          <w:bCs/>
          <w:sz w:val="22"/>
          <w:szCs w:val="22"/>
        </w:rPr>
        <w:t xml:space="preserve"> to act as a link between </w:t>
      </w:r>
      <w:r w:rsidR="00D12787">
        <w:rPr>
          <w:rFonts w:cs="Arial"/>
          <w:bCs/>
          <w:sz w:val="22"/>
          <w:szCs w:val="22"/>
        </w:rPr>
        <w:t>IDB</w:t>
      </w:r>
      <w:r w:rsidRPr="00CF4133">
        <w:rPr>
          <w:rFonts w:cs="Arial"/>
          <w:bCs/>
          <w:sz w:val="22"/>
          <w:szCs w:val="22"/>
        </w:rPr>
        <w:t xml:space="preserve"> and BEIS</w:t>
      </w:r>
      <w:r>
        <w:rPr>
          <w:rFonts w:cs="Arial"/>
          <w:bCs/>
          <w:sz w:val="22"/>
          <w:szCs w:val="22"/>
        </w:rPr>
        <w:t>. In accordance with the Business Case</w:t>
      </w:r>
      <w:r w:rsidR="007700C1">
        <w:rPr>
          <w:rFonts w:cs="Arial"/>
          <w:bCs/>
          <w:sz w:val="22"/>
          <w:szCs w:val="22"/>
        </w:rPr>
        <w:t>,</w:t>
      </w:r>
      <w:r>
        <w:rPr>
          <w:rFonts w:cs="Arial"/>
          <w:bCs/>
          <w:sz w:val="22"/>
          <w:szCs w:val="22"/>
        </w:rPr>
        <w:t xml:space="preserve"> </w:t>
      </w:r>
      <w:r w:rsidRPr="00A96E67">
        <w:rPr>
          <w:rFonts w:cs="Arial"/>
          <w:bCs/>
          <w:sz w:val="22"/>
          <w:szCs w:val="22"/>
        </w:rPr>
        <w:t xml:space="preserve">two full-time independent contractors (“technical advisors”) </w:t>
      </w:r>
      <w:r>
        <w:rPr>
          <w:rFonts w:cs="Arial"/>
          <w:bCs/>
          <w:sz w:val="22"/>
          <w:szCs w:val="22"/>
        </w:rPr>
        <w:t xml:space="preserve">were </w:t>
      </w:r>
      <w:r w:rsidRPr="00A96E67">
        <w:rPr>
          <w:rFonts w:cs="Arial"/>
          <w:bCs/>
          <w:sz w:val="22"/>
          <w:szCs w:val="22"/>
        </w:rPr>
        <w:t xml:space="preserve">hired into the bank </w:t>
      </w:r>
      <w:r>
        <w:rPr>
          <w:rFonts w:cs="Arial"/>
          <w:bCs/>
          <w:sz w:val="22"/>
          <w:szCs w:val="22"/>
        </w:rPr>
        <w:t xml:space="preserve">in 2018/19 </w:t>
      </w:r>
      <w:r w:rsidRPr="00A96E67">
        <w:rPr>
          <w:rFonts w:cs="Arial"/>
          <w:bCs/>
          <w:sz w:val="22"/>
          <w:szCs w:val="22"/>
        </w:rPr>
        <w:t xml:space="preserve">to represent BEIS’s interests and ensure that </w:t>
      </w:r>
      <w:r w:rsidR="00D12787">
        <w:rPr>
          <w:rFonts w:cs="Arial"/>
          <w:bCs/>
          <w:sz w:val="22"/>
          <w:szCs w:val="22"/>
        </w:rPr>
        <w:t xml:space="preserve">VfM </w:t>
      </w:r>
      <w:r w:rsidRPr="00A96E67">
        <w:rPr>
          <w:rFonts w:cs="Arial"/>
          <w:bCs/>
          <w:sz w:val="22"/>
          <w:szCs w:val="22"/>
        </w:rPr>
        <w:t xml:space="preserve">is achieved for both the grant and capital investment. </w:t>
      </w:r>
      <w:r>
        <w:rPr>
          <w:rFonts w:cs="Arial"/>
          <w:bCs/>
          <w:sz w:val="22"/>
          <w:szCs w:val="22"/>
        </w:rPr>
        <w:t>In 2019</w:t>
      </w:r>
      <w:r w:rsidR="007700C1">
        <w:rPr>
          <w:rFonts w:cs="Arial"/>
          <w:bCs/>
          <w:sz w:val="22"/>
          <w:szCs w:val="22"/>
        </w:rPr>
        <w:t>,</w:t>
      </w:r>
      <w:r>
        <w:rPr>
          <w:rFonts w:cs="Arial"/>
          <w:bCs/>
          <w:sz w:val="22"/>
          <w:szCs w:val="22"/>
        </w:rPr>
        <w:t xml:space="preserve"> </w:t>
      </w:r>
      <w:r w:rsidR="00D12787">
        <w:rPr>
          <w:rFonts w:cs="Arial"/>
          <w:bCs/>
          <w:sz w:val="22"/>
          <w:szCs w:val="22"/>
        </w:rPr>
        <w:t>IDB</w:t>
      </w:r>
      <w:r>
        <w:rPr>
          <w:rFonts w:cs="Arial"/>
          <w:bCs/>
          <w:sz w:val="22"/>
          <w:szCs w:val="22"/>
        </w:rPr>
        <w:t xml:space="preserve"> requested that the Technical Advisor model evolved to a multi-advisor approach to allow the two dedicated advisors to lead a team who would work on SIP</w:t>
      </w:r>
      <w:r w:rsidR="007700C1">
        <w:rPr>
          <w:rFonts w:cs="Arial"/>
          <w:bCs/>
          <w:sz w:val="22"/>
          <w:szCs w:val="22"/>
        </w:rPr>
        <w:t>-LA</w:t>
      </w:r>
      <w:r>
        <w:rPr>
          <w:rFonts w:cs="Arial"/>
          <w:bCs/>
          <w:sz w:val="22"/>
          <w:szCs w:val="22"/>
        </w:rPr>
        <w:t xml:space="preserve">. The </w:t>
      </w:r>
      <w:r w:rsidRPr="00081E60">
        <w:rPr>
          <w:rFonts w:cs="Arial"/>
          <w:bCs/>
          <w:sz w:val="22"/>
          <w:szCs w:val="22"/>
        </w:rPr>
        <w:t>principle of a single point of contact (also responsible for the objectives of the fund)</w:t>
      </w:r>
      <w:r>
        <w:rPr>
          <w:rFonts w:cs="Arial"/>
          <w:bCs/>
          <w:sz w:val="22"/>
          <w:szCs w:val="22"/>
        </w:rPr>
        <w:t xml:space="preserve"> was maintained</w:t>
      </w:r>
      <w:r w:rsidRPr="00081E60">
        <w:rPr>
          <w:rFonts w:cs="Arial"/>
          <w:bCs/>
          <w:sz w:val="22"/>
          <w:szCs w:val="22"/>
        </w:rPr>
        <w:t xml:space="preserve">, </w:t>
      </w:r>
      <w:r>
        <w:rPr>
          <w:rFonts w:cs="Arial"/>
          <w:bCs/>
          <w:sz w:val="22"/>
          <w:szCs w:val="22"/>
        </w:rPr>
        <w:t>however BEIS</w:t>
      </w:r>
      <w:r w:rsidRPr="00081E60">
        <w:rPr>
          <w:rFonts w:cs="Arial"/>
          <w:bCs/>
          <w:sz w:val="22"/>
          <w:szCs w:val="22"/>
        </w:rPr>
        <w:t xml:space="preserve"> can now rely on a dedicated team with different expertise (sector, financial instrument, etc.) as opposed to a single individual.</w:t>
      </w:r>
      <w:r>
        <w:rPr>
          <w:rFonts w:cs="Arial"/>
          <w:bCs/>
          <w:sz w:val="22"/>
          <w:szCs w:val="22"/>
        </w:rPr>
        <w:t xml:space="preserve"> The service provided through the advisor model remains compliant with </w:t>
      </w:r>
      <w:r w:rsidR="00645A6D">
        <w:rPr>
          <w:rFonts w:cs="Arial"/>
          <w:bCs/>
          <w:sz w:val="22"/>
          <w:szCs w:val="22"/>
        </w:rPr>
        <w:t>SIP-LA</w:t>
      </w:r>
      <w:r>
        <w:rPr>
          <w:rFonts w:cs="Arial"/>
          <w:bCs/>
          <w:sz w:val="22"/>
          <w:szCs w:val="22"/>
        </w:rPr>
        <w:t xml:space="preserve"> Management Agreement and administration fees have not changed. In the year ahead BEIS will assess whether this change impacts the VfM case as set out in the Business Case which assumed fee’s would be used for two dedicated staff members. </w:t>
      </w:r>
    </w:p>
    <w:p w14:paraId="71860319" w14:textId="27F2E5BD" w:rsidR="00F40CDB" w:rsidRDefault="00F40CDB" w:rsidP="00F40CDB">
      <w:pPr>
        <w:spacing w:before="120" w:after="120" w:line="276" w:lineRule="auto"/>
        <w:jc w:val="both"/>
        <w:rPr>
          <w:rFonts w:cs="Arial"/>
          <w:bCs/>
          <w:sz w:val="22"/>
          <w:szCs w:val="22"/>
        </w:rPr>
      </w:pPr>
      <w:r>
        <w:rPr>
          <w:rFonts w:cs="Arial"/>
          <w:bCs/>
          <w:sz w:val="22"/>
          <w:szCs w:val="22"/>
        </w:rPr>
        <w:t xml:space="preserve">In addition, </w:t>
      </w:r>
      <w:r w:rsidR="00D12787">
        <w:rPr>
          <w:rFonts w:cs="Arial"/>
          <w:bCs/>
          <w:sz w:val="22"/>
          <w:szCs w:val="22"/>
        </w:rPr>
        <w:t>IDB</w:t>
      </w:r>
      <w:r>
        <w:rPr>
          <w:rFonts w:cs="Arial"/>
          <w:bCs/>
          <w:sz w:val="22"/>
          <w:szCs w:val="22"/>
        </w:rPr>
        <w:t xml:space="preserve"> have requested that on account of this change, the cost of Technical Advisors is deducted from Administration fees rather than as direct expenses from the programme budget. BEIS will conduct the relevant due diligence to understand if this could improve the programmes VfM.</w:t>
      </w:r>
    </w:p>
    <w:p w14:paraId="67EEFA7C" w14:textId="794A28AA" w:rsidR="00F40CDB" w:rsidRDefault="00F40CDB" w:rsidP="00F40CDB">
      <w:pPr>
        <w:spacing w:before="120" w:after="120" w:line="276" w:lineRule="auto"/>
        <w:jc w:val="both"/>
        <w:rPr>
          <w:rFonts w:cs="Arial"/>
          <w:bCs/>
          <w:sz w:val="22"/>
          <w:szCs w:val="22"/>
        </w:rPr>
      </w:pPr>
      <w:r w:rsidRPr="00F83752">
        <w:rPr>
          <w:rFonts w:cs="Arial"/>
          <w:bCs/>
          <w:sz w:val="22"/>
          <w:szCs w:val="22"/>
        </w:rPr>
        <w:lastRenderedPageBreak/>
        <w:t xml:space="preserve">Analysis of the cost of inputs for </w:t>
      </w:r>
      <w:r w:rsidR="008C77B2">
        <w:rPr>
          <w:rFonts w:cs="Arial"/>
          <w:bCs/>
          <w:sz w:val="22"/>
          <w:szCs w:val="22"/>
        </w:rPr>
        <w:t>technical assistance</w:t>
      </w:r>
      <w:r w:rsidRPr="00F83752">
        <w:rPr>
          <w:rFonts w:cs="Arial"/>
          <w:bCs/>
          <w:sz w:val="22"/>
          <w:szCs w:val="22"/>
        </w:rPr>
        <w:t xml:space="preserve"> has been considered</w:t>
      </w:r>
      <w:r w:rsidRPr="00412047">
        <w:rPr>
          <w:rFonts w:cs="Arial"/>
          <w:bCs/>
          <w:sz w:val="22"/>
          <w:szCs w:val="22"/>
        </w:rPr>
        <w:t xml:space="preserve">, </w:t>
      </w:r>
      <w:r w:rsidR="007700C1">
        <w:rPr>
          <w:rFonts w:cs="Arial"/>
          <w:bCs/>
          <w:sz w:val="22"/>
          <w:szCs w:val="22"/>
        </w:rPr>
        <w:t xml:space="preserve">however </w:t>
      </w:r>
      <w:r w:rsidRPr="00412047">
        <w:rPr>
          <w:rFonts w:cs="Arial"/>
          <w:bCs/>
          <w:sz w:val="22"/>
          <w:szCs w:val="22"/>
        </w:rPr>
        <w:t>t</w:t>
      </w:r>
      <w:r>
        <w:rPr>
          <w:rFonts w:cs="Arial"/>
          <w:bCs/>
          <w:sz w:val="22"/>
          <w:szCs w:val="22"/>
        </w:rPr>
        <w:t xml:space="preserve">he level of information provided within </w:t>
      </w:r>
      <w:r w:rsidR="00D40E3C">
        <w:rPr>
          <w:rFonts w:cs="Arial"/>
          <w:bCs/>
          <w:sz w:val="22"/>
          <w:szCs w:val="22"/>
        </w:rPr>
        <w:t>technical</w:t>
      </w:r>
      <w:r>
        <w:rPr>
          <w:rFonts w:cs="Arial"/>
          <w:bCs/>
          <w:sz w:val="22"/>
          <w:szCs w:val="22"/>
        </w:rPr>
        <w:t xml:space="preserve"> consultation documents does not allow a comprehensive portfolio review of input costs such as consultancy fees and field trips. In the year ahead</w:t>
      </w:r>
      <w:r w:rsidR="007700C1">
        <w:rPr>
          <w:rFonts w:cs="Arial"/>
          <w:bCs/>
          <w:sz w:val="22"/>
          <w:szCs w:val="22"/>
        </w:rPr>
        <w:t>,</w:t>
      </w:r>
      <w:r>
        <w:rPr>
          <w:rFonts w:cs="Arial"/>
          <w:bCs/>
          <w:sz w:val="22"/>
          <w:szCs w:val="22"/>
        </w:rPr>
        <w:t xml:space="preserve"> the agreed VfM </w:t>
      </w:r>
      <w:r w:rsidR="00024876">
        <w:rPr>
          <w:rFonts w:cs="Arial"/>
          <w:bCs/>
          <w:sz w:val="22"/>
          <w:szCs w:val="22"/>
        </w:rPr>
        <w:t>indicators</w:t>
      </w:r>
      <w:r>
        <w:rPr>
          <w:rFonts w:cs="Arial"/>
          <w:bCs/>
          <w:sz w:val="22"/>
          <w:szCs w:val="22"/>
        </w:rPr>
        <w:t xml:space="preserve"> will provide both qualitative and quantitative information to assess the economy of </w:t>
      </w:r>
      <w:r w:rsidR="008C77B2">
        <w:rPr>
          <w:rFonts w:cs="Arial"/>
          <w:bCs/>
          <w:sz w:val="22"/>
          <w:szCs w:val="22"/>
        </w:rPr>
        <w:t>technical assistance</w:t>
      </w:r>
      <w:r>
        <w:rPr>
          <w:rFonts w:cs="Arial"/>
          <w:bCs/>
          <w:sz w:val="22"/>
          <w:szCs w:val="22"/>
        </w:rPr>
        <w:t xml:space="preserve"> within </w:t>
      </w:r>
      <w:r w:rsidR="00645A6D">
        <w:rPr>
          <w:rFonts w:cs="Arial"/>
          <w:bCs/>
          <w:sz w:val="22"/>
          <w:szCs w:val="22"/>
        </w:rPr>
        <w:t>SIP-LA</w:t>
      </w:r>
      <w:r>
        <w:rPr>
          <w:rFonts w:cs="Arial"/>
          <w:bCs/>
          <w:sz w:val="22"/>
          <w:szCs w:val="22"/>
        </w:rPr>
        <w:t xml:space="preserve"> such as</w:t>
      </w:r>
    </w:p>
    <w:p w14:paraId="009920A1" w14:textId="681274E7" w:rsidR="00F40CDB" w:rsidRPr="00805B69" w:rsidRDefault="00F40CDB" w:rsidP="00F40CDB">
      <w:pPr>
        <w:pStyle w:val="ListParagraph"/>
        <w:numPr>
          <w:ilvl w:val="0"/>
          <w:numId w:val="27"/>
        </w:numPr>
        <w:spacing w:before="120" w:after="120" w:line="276" w:lineRule="auto"/>
        <w:jc w:val="both"/>
        <w:rPr>
          <w:rFonts w:cs="Arial"/>
          <w:bCs/>
          <w:sz w:val="22"/>
          <w:szCs w:val="22"/>
        </w:rPr>
      </w:pPr>
      <w:r w:rsidRPr="00805B69">
        <w:rPr>
          <w:rFonts w:cs="Arial"/>
          <w:bCs/>
          <w:sz w:val="22"/>
          <w:szCs w:val="22"/>
        </w:rPr>
        <w:t>High-level breakdown of costs incurred throughout the year (as appropriate).</w:t>
      </w:r>
    </w:p>
    <w:p w14:paraId="22864679" w14:textId="71F1CA7C" w:rsidR="00F40CDB" w:rsidRPr="00805B69" w:rsidRDefault="00F40CDB" w:rsidP="00F40CDB">
      <w:pPr>
        <w:pStyle w:val="ListParagraph"/>
        <w:numPr>
          <w:ilvl w:val="0"/>
          <w:numId w:val="27"/>
        </w:numPr>
        <w:spacing w:before="120" w:after="120" w:line="276" w:lineRule="auto"/>
        <w:jc w:val="both"/>
        <w:rPr>
          <w:rFonts w:cs="Arial"/>
          <w:bCs/>
          <w:sz w:val="22"/>
          <w:szCs w:val="22"/>
        </w:rPr>
      </w:pPr>
      <w:r w:rsidRPr="00805B69">
        <w:rPr>
          <w:rFonts w:cs="Arial"/>
          <w:bCs/>
          <w:sz w:val="22"/>
          <w:szCs w:val="22"/>
        </w:rPr>
        <w:t>Qualitative representation that SIP</w:t>
      </w:r>
      <w:r>
        <w:rPr>
          <w:rFonts w:cs="Arial"/>
          <w:bCs/>
          <w:sz w:val="22"/>
          <w:szCs w:val="22"/>
        </w:rPr>
        <w:t>-LA</w:t>
      </w:r>
      <w:r w:rsidRPr="00805B69">
        <w:rPr>
          <w:rFonts w:cs="Arial"/>
          <w:bCs/>
          <w:sz w:val="22"/>
          <w:szCs w:val="22"/>
        </w:rPr>
        <w:t xml:space="preserve"> consultancies will be granted according to IDB’s policies and procedures for complementary workforce including international fee matrices  </w:t>
      </w:r>
    </w:p>
    <w:p w14:paraId="5E59EC1F" w14:textId="6D322386" w:rsidR="00F40CDB" w:rsidRDefault="00F40CDB" w:rsidP="00F40CDB">
      <w:pPr>
        <w:spacing w:before="120" w:after="120" w:line="276" w:lineRule="auto"/>
        <w:contextualSpacing/>
        <w:jc w:val="both"/>
        <w:rPr>
          <w:rFonts w:cs="Arial"/>
          <w:bCs/>
          <w:sz w:val="22"/>
          <w:szCs w:val="22"/>
        </w:rPr>
      </w:pPr>
      <w:r w:rsidRPr="00373026">
        <w:rPr>
          <w:rFonts w:cs="Arial"/>
          <w:bCs/>
          <w:sz w:val="22"/>
          <w:szCs w:val="22"/>
        </w:rPr>
        <w:t xml:space="preserve">IDB is responsible for the award and administration of contracts under the programme. The programme therefore adheres to international standards for the procurement of goods, works and services provided by firms and individuals. IDB applies policies for transparency, competition and equality, and principles of economy, efficiency, and integrity to all procurement activities. </w:t>
      </w:r>
    </w:p>
    <w:p w14:paraId="3789B57B" w14:textId="3903F571" w:rsidR="00040AF5" w:rsidRDefault="00040AF5" w:rsidP="00F40CDB">
      <w:pPr>
        <w:spacing w:before="120" w:after="120" w:line="276" w:lineRule="auto"/>
        <w:contextualSpacing/>
        <w:jc w:val="both"/>
        <w:rPr>
          <w:rFonts w:cs="Arial"/>
          <w:bCs/>
          <w:sz w:val="22"/>
          <w:szCs w:val="22"/>
        </w:rPr>
      </w:pPr>
    </w:p>
    <w:p w14:paraId="1607DB84" w14:textId="41769DC5" w:rsidR="00F40CDB" w:rsidRDefault="00F40CDB" w:rsidP="00F40CDB">
      <w:pPr>
        <w:spacing w:before="120" w:after="120" w:line="276" w:lineRule="auto"/>
        <w:contextualSpacing/>
        <w:jc w:val="both"/>
        <w:rPr>
          <w:rFonts w:cs="Arial"/>
          <w:iCs/>
          <w:sz w:val="22"/>
          <w:szCs w:val="22"/>
          <w:lang w:val="en" w:eastAsia="en-GB"/>
        </w:rPr>
      </w:pPr>
      <w:r w:rsidRPr="00373026">
        <w:rPr>
          <w:rFonts w:cs="Arial"/>
          <w:iCs/>
          <w:sz w:val="22"/>
          <w:szCs w:val="22"/>
          <w:u w:val="single"/>
          <w:lang w:val="en" w:eastAsia="en-GB"/>
        </w:rPr>
        <w:t>Efficiency</w:t>
      </w:r>
      <w:r w:rsidRPr="00373026">
        <w:rPr>
          <w:rFonts w:cs="Arial"/>
          <w:iCs/>
          <w:sz w:val="22"/>
          <w:szCs w:val="22"/>
          <w:lang w:val="en" w:eastAsia="en-GB"/>
        </w:rPr>
        <w:t xml:space="preserve">: </w:t>
      </w:r>
      <w:r w:rsidRPr="00373026">
        <w:rPr>
          <w:rFonts w:cs="Arial"/>
          <w:i/>
          <w:sz w:val="22"/>
          <w:szCs w:val="22"/>
          <w:lang w:val="en" w:eastAsia="en-GB"/>
        </w:rPr>
        <w:t xml:space="preserve">How well are we or our partner converting inputs into </w:t>
      </w:r>
      <w:r w:rsidR="00844C3D">
        <w:rPr>
          <w:rFonts w:cs="Arial"/>
          <w:i/>
          <w:sz w:val="22"/>
          <w:szCs w:val="22"/>
          <w:lang w:val="en" w:eastAsia="en-GB"/>
        </w:rPr>
        <w:t>Output</w:t>
      </w:r>
      <w:r w:rsidRPr="00373026">
        <w:rPr>
          <w:rFonts w:cs="Arial"/>
          <w:i/>
          <w:sz w:val="22"/>
          <w:szCs w:val="22"/>
          <w:lang w:val="en" w:eastAsia="en-GB"/>
        </w:rPr>
        <w:t>s?</w:t>
      </w:r>
      <w:r w:rsidRPr="00373026">
        <w:rPr>
          <w:rFonts w:cs="Arial"/>
          <w:iCs/>
          <w:sz w:val="22"/>
          <w:szCs w:val="22"/>
          <w:lang w:val="en" w:eastAsia="en-GB"/>
        </w:rPr>
        <w:t>  </w:t>
      </w:r>
    </w:p>
    <w:p w14:paraId="511D2322" w14:textId="61995D6A" w:rsidR="00040AF5" w:rsidRDefault="00040AF5" w:rsidP="00F40CDB">
      <w:pPr>
        <w:spacing w:before="120" w:after="120" w:line="276" w:lineRule="auto"/>
        <w:contextualSpacing/>
        <w:jc w:val="both"/>
        <w:rPr>
          <w:rFonts w:cs="Arial"/>
          <w:iCs/>
          <w:sz w:val="22"/>
          <w:szCs w:val="22"/>
          <w:lang w:val="en" w:eastAsia="en-GB"/>
        </w:rPr>
      </w:pPr>
    </w:p>
    <w:p w14:paraId="1E5979CC" w14:textId="51DAAB66" w:rsidR="00032ABE" w:rsidRDefault="002168BE" w:rsidP="00F40CDB">
      <w:pPr>
        <w:spacing w:before="120" w:after="120" w:line="276" w:lineRule="auto"/>
        <w:contextualSpacing/>
        <w:jc w:val="both"/>
        <w:rPr>
          <w:sz w:val="22"/>
          <w:szCs w:val="22"/>
        </w:rPr>
      </w:pPr>
      <w:r w:rsidRPr="002168BE">
        <w:rPr>
          <w:rFonts w:cs="Arial"/>
          <w:b/>
          <w:bCs/>
          <w:iCs/>
          <w:sz w:val="22"/>
          <w:szCs w:val="22"/>
          <w:lang w:val="en" w:eastAsia="en-GB"/>
        </w:rPr>
        <w:t>Undisbursed funds:</w:t>
      </w:r>
      <w:r>
        <w:rPr>
          <w:rFonts w:cs="Arial"/>
          <w:iCs/>
          <w:sz w:val="22"/>
          <w:szCs w:val="22"/>
          <w:lang w:val="en" w:eastAsia="en-GB"/>
        </w:rPr>
        <w:t xml:space="preserve"> </w:t>
      </w:r>
      <w:r w:rsidR="000A1A9C">
        <w:rPr>
          <w:rFonts w:cs="Arial"/>
          <w:iCs/>
          <w:sz w:val="22"/>
          <w:szCs w:val="22"/>
          <w:lang w:val="en" w:eastAsia="en-GB"/>
        </w:rPr>
        <w:t xml:space="preserve">Across 2019 </w:t>
      </w:r>
      <w:r w:rsidR="00D71DED">
        <w:rPr>
          <w:rFonts w:cs="Arial"/>
          <w:iCs/>
          <w:sz w:val="22"/>
          <w:szCs w:val="22"/>
          <w:lang w:val="en" w:eastAsia="en-GB"/>
        </w:rPr>
        <w:t xml:space="preserve">there has been </w:t>
      </w:r>
      <w:r w:rsidR="009D3F86">
        <w:rPr>
          <w:rFonts w:cs="Arial"/>
          <w:iCs/>
          <w:sz w:val="22"/>
          <w:szCs w:val="22"/>
          <w:lang w:val="en" w:eastAsia="en-GB"/>
        </w:rPr>
        <w:t>c</w:t>
      </w:r>
      <w:r w:rsidR="00930A3F">
        <w:rPr>
          <w:rFonts w:cs="Arial"/>
          <w:iCs/>
          <w:sz w:val="22"/>
          <w:szCs w:val="22"/>
          <w:lang w:val="en" w:eastAsia="en-GB"/>
        </w:rPr>
        <w:t>.£</w:t>
      </w:r>
      <w:r w:rsidR="009070AE">
        <w:rPr>
          <w:rFonts w:cs="Arial"/>
          <w:iCs/>
          <w:sz w:val="22"/>
          <w:szCs w:val="22"/>
          <w:lang w:val="en" w:eastAsia="en-GB"/>
        </w:rPr>
        <w:t>61,994,645.00</w:t>
      </w:r>
      <w:r w:rsidR="00930A3F">
        <w:rPr>
          <w:rFonts w:cs="Arial"/>
          <w:iCs/>
          <w:sz w:val="22"/>
          <w:szCs w:val="22"/>
          <w:lang w:val="en" w:eastAsia="en-GB"/>
        </w:rPr>
        <w:t xml:space="preserve"> of unallocated funds drawn down by </w:t>
      </w:r>
      <w:r w:rsidR="00D12787">
        <w:rPr>
          <w:rFonts w:cs="Arial"/>
          <w:iCs/>
          <w:sz w:val="22"/>
          <w:szCs w:val="22"/>
          <w:lang w:val="en" w:eastAsia="en-GB"/>
        </w:rPr>
        <w:t>IDB</w:t>
      </w:r>
      <w:r w:rsidR="00930A3F">
        <w:rPr>
          <w:rFonts w:cs="Arial"/>
          <w:iCs/>
          <w:sz w:val="22"/>
          <w:szCs w:val="22"/>
          <w:lang w:val="en" w:eastAsia="en-GB"/>
        </w:rPr>
        <w:t>, however in 2020</w:t>
      </w:r>
      <w:r w:rsidR="00795957">
        <w:rPr>
          <w:rFonts w:cs="Arial"/>
          <w:iCs/>
          <w:sz w:val="22"/>
          <w:szCs w:val="22"/>
          <w:lang w:val="en" w:eastAsia="en-GB"/>
        </w:rPr>
        <w:t xml:space="preserve"> a portion of this</w:t>
      </w:r>
      <w:r w:rsidR="00930A3F">
        <w:rPr>
          <w:rFonts w:cs="Arial"/>
          <w:iCs/>
          <w:sz w:val="22"/>
          <w:szCs w:val="22"/>
          <w:lang w:val="en" w:eastAsia="en-GB"/>
        </w:rPr>
        <w:t xml:space="preserve"> this was allocated to </w:t>
      </w:r>
      <w:r w:rsidR="001524A5">
        <w:rPr>
          <w:rFonts w:cs="Arial"/>
          <w:iCs/>
          <w:sz w:val="22"/>
          <w:szCs w:val="22"/>
          <w:lang w:val="en" w:eastAsia="en-GB"/>
        </w:rPr>
        <w:t xml:space="preserve">two </w:t>
      </w:r>
      <w:r w:rsidR="00844C3D">
        <w:rPr>
          <w:rFonts w:cs="Arial"/>
          <w:iCs/>
          <w:sz w:val="22"/>
          <w:szCs w:val="22"/>
          <w:lang w:val="en" w:eastAsia="en-GB"/>
        </w:rPr>
        <w:t>blended finance</w:t>
      </w:r>
      <w:r w:rsidR="001524A5">
        <w:rPr>
          <w:rFonts w:cs="Arial"/>
          <w:iCs/>
          <w:sz w:val="22"/>
          <w:szCs w:val="22"/>
          <w:lang w:val="en" w:eastAsia="en-GB"/>
        </w:rPr>
        <w:t xml:space="preserve"> investments approved by BEIS. </w:t>
      </w:r>
      <w:r w:rsidR="00032ABE">
        <w:rPr>
          <w:sz w:val="22"/>
          <w:szCs w:val="22"/>
        </w:rPr>
        <w:t xml:space="preserve">There is a potential opportunity cost related to undisbursed funds. However, funds are required by </w:t>
      </w:r>
      <w:r w:rsidR="00D12787">
        <w:rPr>
          <w:sz w:val="22"/>
          <w:szCs w:val="22"/>
        </w:rPr>
        <w:t>IDB</w:t>
      </w:r>
      <w:r w:rsidR="00032ABE">
        <w:rPr>
          <w:sz w:val="22"/>
          <w:szCs w:val="22"/>
        </w:rPr>
        <w:t xml:space="preserve"> during the scoping stage of investments to ensure they pass eligibility checks. Evidence of funds is required by </w:t>
      </w:r>
      <w:r w:rsidR="00D12787">
        <w:rPr>
          <w:sz w:val="22"/>
          <w:szCs w:val="22"/>
        </w:rPr>
        <w:t>IDB</w:t>
      </w:r>
      <w:r w:rsidR="00032ABE">
        <w:rPr>
          <w:sz w:val="22"/>
          <w:szCs w:val="22"/>
        </w:rPr>
        <w:t xml:space="preserve"> to proceed in negotiations with project developers. The funds were previously allocated </w:t>
      </w:r>
      <w:r w:rsidR="00D162C4">
        <w:rPr>
          <w:sz w:val="22"/>
          <w:szCs w:val="22"/>
        </w:rPr>
        <w:t xml:space="preserve">to </w:t>
      </w:r>
      <w:r w:rsidR="00032ABE">
        <w:rPr>
          <w:sz w:val="22"/>
          <w:szCs w:val="22"/>
        </w:rPr>
        <w:t>the Mexican Bifacial Investment and Brazilian Green FIDC investment in 2019</w:t>
      </w:r>
      <w:r w:rsidR="007700C1">
        <w:rPr>
          <w:sz w:val="22"/>
          <w:szCs w:val="22"/>
        </w:rPr>
        <w:t xml:space="preserve"> -</w:t>
      </w:r>
      <w:r w:rsidR="00032ABE">
        <w:rPr>
          <w:sz w:val="22"/>
          <w:szCs w:val="22"/>
        </w:rPr>
        <w:t xml:space="preserve"> as noted</w:t>
      </w:r>
      <w:r w:rsidR="007700C1">
        <w:rPr>
          <w:sz w:val="22"/>
          <w:szCs w:val="22"/>
        </w:rPr>
        <w:t>,</w:t>
      </w:r>
      <w:r w:rsidR="00032ABE">
        <w:rPr>
          <w:sz w:val="22"/>
          <w:szCs w:val="22"/>
        </w:rPr>
        <w:t xml:space="preserve"> these have been paused and dropped from the portfolio. In 2020</w:t>
      </w:r>
      <w:r w:rsidR="007700C1">
        <w:rPr>
          <w:sz w:val="22"/>
          <w:szCs w:val="22"/>
        </w:rPr>
        <w:t>,</w:t>
      </w:r>
      <w:r w:rsidR="00032ABE">
        <w:rPr>
          <w:sz w:val="22"/>
          <w:szCs w:val="22"/>
        </w:rPr>
        <w:t xml:space="preserve"> these funds were allocated to the two investments in Colombia</w:t>
      </w:r>
      <w:r w:rsidR="00145DC3">
        <w:rPr>
          <w:sz w:val="22"/>
          <w:szCs w:val="22"/>
        </w:rPr>
        <w:t xml:space="preserve"> of which BEIS has provided </w:t>
      </w:r>
      <w:r w:rsidR="00E07005">
        <w:rPr>
          <w:sz w:val="22"/>
          <w:szCs w:val="22"/>
        </w:rPr>
        <w:t>‘</w:t>
      </w:r>
      <w:r w:rsidR="00645A6D">
        <w:rPr>
          <w:sz w:val="22"/>
          <w:szCs w:val="22"/>
        </w:rPr>
        <w:t>no-objection’</w:t>
      </w:r>
      <w:r w:rsidR="00E85340">
        <w:rPr>
          <w:sz w:val="22"/>
          <w:szCs w:val="22"/>
        </w:rPr>
        <w:t>. Funds</w:t>
      </w:r>
      <w:r w:rsidR="00032ABE">
        <w:rPr>
          <w:sz w:val="22"/>
          <w:szCs w:val="22"/>
        </w:rPr>
        <w:t xml:space="preserve"> will be disbursed pending final IDB due diligence and approval.</w:t>
      </w:r>
      <w:r w:rsidR="00B25E0F">
        <w:rPr>
          <w:sz w:val="22"/>
          <w:szCs w:val="22"/>
        </w:rPr>
        <w:t xml:space="preserve"> </w:t>
      </w:r>
      <w:r w:rsidR="00D12787">
        <w:rPr>
          <w:sz w:val="22"/>
          <w:szCs w:val="22"/>
        </w:rPr>
        <w:t>IDB</w:t>
      </w:r>
      <w:r w:rsidR="00B25E0F">
        <w:rPr>
          <w:sz w:val="22"/>
          <w:szCs w:val="22"/>
        </w:rPr>
        <w:t xml:space="preserve"> and BEIS have discussed revising the payment schedule to ensure it is aligned with </w:t>
      </w:r>
      <w:r w:rsidR="001E377A">
        <w:rPr>
          <w:sz w:val="22"/>
          <w:szCs w:val="22"/>
        </w:rPr>
        <w:t xml:space="preserve">the </w:t>
      </w:r>
      <w:r w:rsidR="008C77B2">
        <w:rPr>
          <w:sz w:val="22"/>
          <w:szCs w:val="22"/>
        </w:rPr>
        <w:t>technical assistance</w:t>
      </w:r>
      <w:r w:rsidR="001E377A">
        <w:rPr>
          <w:sz w:val="22"/>
          <w:szCs w:val="22"/>
        </w:rPr>
        <w:t xml:space="preserve"> and </w:t>
      </w:r>
      <w:r w:rsidR="00844C3D">
        <w:rPr>
          <w:sz w:val="22"/>
          <w:szCs w:val="22"/>
        </w:rPr>
        <w:t>blended finance</w:t>
      </w:r>
      <w:r w:rsidR="001E377A">
        <w:rPr>
          <w:sz w:val="22"/>
          <w:szCs w:val="22"/>
        </w:rPr>
        <w:t xml:space="preserve"> pipeline.</w:t>
      </w:r>
    </w:p>
    <w:p w14:paraId="40EA096D" w14:textId="77777777" w:rsidR="003F3DA5" w:rsidRDefault="003F3DA5" w:rsidP="00F40CDB">
      <w:pPr>
        <w:spacing w:before="120" w:after="120" w:line="276" w:lineRule="auto"/>
        <w:contextualSpacing/>
        <w:jc w:val="both"/>
        <w:rPr>
          <w:rFonts w:cs="Arial"/>
          <w:iCs/>
          <w:sz w:val="22"/>
          <w:szCs w:val="22"/>
          <w:lang w:val="en" w:eastAsia="en-GB"/>
        </w:rPr>
      </w:pPr>
    </w:p>
    <w:p w14:paraId="42DDD360" w14:textId="115C4BDF" w:rsidR="00F40CDB" w:rsidRDefault="002168BE" w:rsidP="00F40CDB">
      <w:pPr>
        <w:pStyle w:val="NormalWeb"/>
        <w:spacing w:before="120" w:beforeAutospacing="0" w:after="120" w:afterAutospacing="0" w:line="276" w:lineRule="auto"/>
        <w:jc w:val="both"/>
        <w:rPr>
          <w:rFonts w:ascii="Arial" w:hAnsi="Arial" w:cs="Arial"/>
          <w:iCs/>
          <w:sz w:val="22"/>
          <w:szCs w:val="22"/>
          <w:lang w:val="en" w:eastAsia="en-GB"/>
        </w:rPr>
      </w:pPr>
      <w:r w:rsidRPr="00040AF5">
        <w:rPr>
          <w:rFonts w:ascii="Arial" w:hAnsi="Arial" w:cs="Arial"/>
          <w:b/>
          <w:bCs/>
          <w:iCs/>
          <w:sz w:val="22"/>
          <w:szCs w:val="22"/>
          <w:lang w:val="en" w:eastAsia="en-GB"/>
        </w:rPr>
        <w:t xml:space="preserve">Efficiency of </w:t>
      </w:r>
      <w:r w:rsidR="00D12787">
        <w:rPr>
          <w:rFonts w:ascii="Arial" w:hAnsi="Arial" w:cs="Arial"/>
          <w:b/>
          <w:bCs/>
          <w:iCs/>
          <w:sz w:val="22"/>
          <w:szCs w:val="22"/>
          <w:lang w:val="en" w:eastAsia="en-GB"/>
        </w:rPr>
        <w:t>IDB</w:t>
      </w:r>
      <w:r w:rsidR="006134D1" w:rsidRPr="00040AF5">
        <w:rPr>
          <w:rFonts w:ascii="Arial" w:hAnsi="Arial" w:cs="Arial"/>
          <w:b/>
          <w:bCs/>
          <w:iCs/>
          <w:sz w:val="22"/>
          <w:szCs w:val="22"/>
          <w:lang w:val="en" w:eastAsia="en-GB"/>
        </w:rPr>
        <w:t>’s delivery</w:t>
      </w:r>
      <w:r w:rsidR="006134D1" w:rsidRPr="00C72D3A">
        <w:rPr>
          <w:rFonts w:ascii="Arial" w:hAnsi="Arial" w:cs="Arial"/>
          <w:b/>
          <w:bCs/>
          <w:iCs/>
          <w:sz w:val="22"/>
          <w:szCs w:val="22"/>
          <w:lang w:val="en" w:eastAsia="en-GB"/>
        </w:rPr>
        <w:t>:</w:t>
      </w:r>
      <w:r w:rsidR="006134D1" w:rsidRPr="00C72D3A">
        <w:rPr>
          <w:rFonts w:ascii="Arial" w:hAnsi="Arial" w:cs="Arial"/>
          <w:iCs/>
          <w:sz w:val="22"/>
          <w:szCs w:val="22"/>
          <w:lang w:val="en" w:eastAsia="en-GB"/>
        </w:rPr>
        <w:t xml:space="preserve"> </w:t>
      </w:r>
      <w:r w:rsidR="00C72D3A" w:rsidRPr="00C72D3A">
        <w:rPr>
          <w:rFonts w:ascii="Arial" w:hAnsi="Arial" w:cs="Arial"/>
          <w:iCs/>
          <w:sz w:val="22"/>
          <w:szCs w:val="22"/>
          <w:lang w:val="en" w:eastAsia="en-GB"/>
        </w:rPr>
        <w:t>As described in earlier sections, IDB needed more time than was originally anticipated to develop an investment pipeline capable of meeting SIP-LA’s transformational objectives across all four SIP-LA countries. BEIS and IDB have worked to ensure project origination is led by a coherent strategic approach for the programme. Further work</w:t>
      </w:r>
      <w:r w:rsidR="00A44B42">
        <w:rPr>
          <w:rFonts w:ascii="Arial" w:hAnsi="Arial" w:cs="Arial"/>
          <w:iCs/>
          <w:sz w:val="22"/>
          <w:szCs w:val="22"/>
          <w:lang w:val="en" w:eastAsia="en-GB"/>
        </w:rPr>
        <w:t xml:space="preserve"> is</w:t>
      </w:r>
      <w:r w:rsidR="00C72D3A" w:rsidRPr="00C72D3A">
        <w:rPr>
          <w:rFonts w:ascii="Arial" w:hAnsi="Arial" w:cs="Arial"/>
          <w:iCs/>
          <w:sz w:val="22"/>
          <w:szCs w:val="22"/>
          <w:lang w:val="en" w:eastAsia="en-GB"/>
        </w:rPr>
        <w:t xml:space="preserve"> taking place to formalise these arrangements and is expected to be completed in Autumn 2020.</w:t>
      </w:r>
      <w:r w:rsidR="00C72D3A">
        <w:rPr>
          <w:rFonts w:ascii="Arial" w:hAnsi="Arial" w:cs="Arial"/>
          <w:iCs/>
          <w:sz w:val="22"/>
          <w:szCs w:val="22"/>
          <w:lang w:val="en" w:eastAsia="en-GB"/>
        </w:rPr>
        <w:t xml:space="preserve"> </w:t>
      </w:r>
      <w:r w:rsidR="00F40CDB" w:rsidRPr="00040AF5">
        <w:rPr>
          <w:rFonts w:ascii="Arial" w:hAnsi="Arial" w:cs="Arial"/>
          <w:iCs/>
          <w:sz w:val="22"/>
          <w:szCs w:val="22"/>
          <w:lang w:val="en" w:eastAsia="en-GB"/>
        </w:rPr>
        <w:t xml:space="preserve">The development of overarching principles for project identification and holistic approaches for delivering </w:t>
      </w:r>
      <w:r w:rsidR="008C77B2">
        <w:rPr>
          <w:rFonts w:ascii="Arial" w:hAnsi="Arial" w:cs="Arial"/>
          <w:iCs/>
          <w:sz w:val="22"/>
          <w:szCs w:val="22"/>
          <w:lang w:val="en" w:eastAsia="en-GB"/>
        </w:rPr>
        <w:t>technical assistance</w:t>
      </w:r>
      <w:r w:rsidR="00F40CDB" w:rsidRPr="00040AF5">
        <w:rPr>
          <w:rFonts w:ascii="Arial" w:hAnsi="Arial" w:cs="Arial"/>
          <w:iCs/>
          <w:sz w:val="22"/>
          <w:szCs w:val="22"/>
          <w:lang w:val="en" w:eastAsia="en-GB"/>
        </w:rPr>
        <w:t xml:space="preserve"> and </w:t>
      </w:r>
      <w:r w:rsidR="00844C3D">
        <w:rPr>
          <w:rFonts w:ascii="Arial" w:hAnsi="Arial" w:cs="Arial"/>
          <w:iCs/>
          <w:sz w:val="22"/>
          <w:szCs w:val="22"/>
          <w:lang w:val="en" w:eastAsia="en-GB"/>
        </w:rPr>
        <w:t>blended finance</w:t>
      </w:r>
      <w:r w:rsidR="00F40CDB" w:rsidRPr="00040AF5">
        <w:rPr>
          <w:rFonts w:ascii="Arial" w:hAnsi="Arial" w:cs="Arial"/>
          <w:iCs/>
          <w:sz w:val="22"/>
          <w:szCs w:val="22"/>
          <w:lang w:val="en" w:eastAsia="en-GB"/>
        </w:rPr>
        <w:t xml:space="preserve"> in each country will improve the efficiency of approvals and align programme progress with reprofiled milestones. </w:t>
      </w:r>
    </w:p>
    <w:p w14:paraId="4F79A46A" w14:textId="59DE12DC" w:rsidR="000813F7" w:rsidRDefault="00F40CDB" w:rsidP="00F40CDB">
      <w:pPr>
        <w:pStyle w:val="NormalWeb"/>
        <w:spacing w:before="120" w:beforeAutospacing="0" w:after="120" w:afterAutospacing="0" w:line="276" w:lineRule="auto"/>
        <w:jc w:val="both"/>
        <w:rPr>
          <w:rFonts w:ascii="Arial" w:hAnsi="Arial" w:cs="Arial"/>
          <w:iCs/>
          <w:sz w:val="22"/>
          <w:szCs w:val="22"/>
          <w:lang w:val="en" w:eastAsia="en-GB"/>
        </w:rPr>
      </w:pPr>
      <w:r w:rsidRPr="002F2D5C">
        <w:rPr>
          <w:rFonts w:ascii="Arial" w:hAnsi="Arial" w:cs="Arial"/>
          <w:bCs/>
          <w:sz w:val="22"/>
          <w:szCs w:val="22"/>
        </w:rPr>
        <w:t xml:space="preserve">Internally, IDB has strong governance processes to ensure the efficient delivery of project </w:t>
      </w:r>
      <w:r w:rsidR="00844C3D">
        <w:rPr>
          <w:rFonts w:ascii="Arial" w:hAnsi="Arial" w:cs="Arial"/>
          <w:bCs/>
          <w:sz w:val="22"/>
          <w:szCs w:val="22"/>
        </w:rPr>
        <w:t>Output</w:t>
      </w:r>
      <w:r w:rsidRPr="002F2D5C">
        <w:rPr>
          <w:rFonts w:ascii="Arial" w:hAnsi="Arial" w:cs="Arial"/>
          <w:bCs/>
          <w:sz w:val="22"/>
          <w:szCs w:val="22"/>
        </w:rPr>
        <w:t xml:space="preserve">s. For example, </w:t>
      </w:r>
      <w:r w:rsidR="00844C3D">
        <w:rPr>
          <w:rFonts w:ascii="Arial" w:hAnsi="Arial" w:cs="Arial"/>
          <w:bCs/>
          <w:sz w:val="22"/>
          <w:szCs w:val="22"/>
        </w:rPr>
        <w:t>blended finance</w:t>
      </w:r>
      <w:r w:rsidRPr="002F2D5C">
        <w:rPr>
          <w:rFonts w:ascii="Arial" w:hAnsi="Arial" w:cs="Arial"/>
          <w:bCs/>
          <w:sz w:val="22"/>
          <w:szCs w:val="22"/>
        </w:rPr>
        <w:t xml:space="preserve"> investments are subject to a robust scrutiny process. This includes an early-stage eligibility committee, due diligence, credit approval, and final consideration by </w:t>
      </w:r>
      <w:r w:rsidR="00D12787">
        <w:rPr>
          <w:rFonts w:ascii="Arial" w:hAnsi="Arial" w:cs="Arial"/>
          <w:bCs/>
          <w:sz w:val="22"/>
          <w:szCs w:val="22"/>
        </w:rPr>
        <w:t>IDB</w:t>
      </w:r>
      <w:r w:rsidRPr="002F2D5C">
        <w:rPr>
          <w:rFonts w:ascii="Arial" w:hAnsi="Arial" w:cs="Arial"/>
          <w:bCs/>
          <w:sz w:val="22"/>
          <w:szCs w:val="22"/>
        </w:rPr>
        <w:t xml:space="preserve"> Invest Board. All investments are required to present a strong case for additionality and minimum concessionality. BEIS commercial advisers, policy advisers and British Embassy teams conduct a detailed review of each proposal to review the deal terms, structure, and alignment with programme mandate and national country plans and policies. This review point takes place after IDB has determined that the operation aligns with SIP-LA investment criteria, IDB country strategy and can be delivered in line with time and resource requirements. The improvements being made through the strategic review should ensure the BEIS teams have adequate foresight of incoming proposals and buy-in of sectoral approach prior to proposal development. </w:t>
      </w:r>
      <w:r w:rsidR="00844C3D">
        <w:rPr>
          <w:rFonts w:ascii="Arial" w:hAnsi="Arial" w:cs="Arial"/>
          <w:bCs/>
          <w:sz w:val="22"/>
          <w:szCs w:val="22"/>
        </w:rPr>
        <w:t>Blended finance</w:t>
      </w:r>
      <w:r w:rsidRPr="002F2D5C">
        <w:rPr>
          <w:rFonts w:ascii="Arial" w:hAnsi="Arial" w:cs="Arial"/>
          <w:bCs/>
          <w:sz w:val="22"/>
          <w:szCs w:val="22"/>
        </w:rPr>
        <w:t xml:space="preserve"> proposals are subject to a ten-day approval window, the improvements to programme governance should increase the efficiency of </w:t>
      </w:r>
      <w:r w:rsidR="008C77B2">
        <w:rPr>
          <w:rFonts w:ascii="Arial" w:hAnsi="Arial" w:cs="Arial"/>
          <w:bCs/>
          <w:sz w:val="22"/>
          <w:szCs w:val="22"/>
        </w:rPr>
        <w:t>technical assistance</w:t>
      </w:r>
      <w:r w:rsidRPr="002F2D5C">
        <w:rPr>
          <w:rFonts w:ascii="Arial" w:hAnsi="Arial" w:cs="Arial"/>
          <w:bCs/>
          <w:sz w:val="22"/>
          <w:szCs w:val="22"/>
        </w:rPr>
        <w:t xml:space="preserve"> approvals particularly.</w:t>
      </w:r>
      <w:r w:rsidRPr="00040AF5">
        <w:rPr>
          <w:rFonts w:cs="Arial"/>
          <w:bCs/>
          <w:sz w:val="22"/>
          <w:szCs w:val="22"/>
        </w:rPr>
        <w:t xml:space="preserve"> </w:t>
      </w:r>
    </w:p>
    <w:p w14:paraId="070C1F6F" w14:textId="16F1A5FD" w:rsidR="00F40CDB" w:rsidRDefault="00F40CDB" w:rsidP="00F40CDB">
      <w:pPr>
        <w:pStyle w:val="NormalWeb"/>
        <w:spacing w:before="120" w:beforeAutospacing="0" w:after="120" w:afterAutospacing="0" w:line="276" w:lineRule="auto"/>
        <w:jc w:val="both"/>
        <w:rPr>
          <w:rFonts w:ascii="Arial" w:hAnsi="Arial" w:cs="Arial"/>
          <w:bCs/>
          <w:sz w:val="22"/>
          <w:szCs w:val="22"/>
        </w:rPr>
      </w:pPr>
      <w:r w:rsidRPr="00040AF5">
        <w:rPr>
          <w:rFonts w:ascii="Arial" w:hAnsi="Arial" w:cs="Arial"/>
          <w:iCs/>
          <w:sz w:val="22"/>
          <w:szCs w:val="22"/>
          <w:lang w:val="en" w:eastAsia="en-GB"/>
        </w:rPr>
        <w:t>SIP-LA</w:t>
      </w:r>
      <w:r w:rsidRPr="00040AF5" w:rsidDel="004D5D88">
        <w:rPr>
          <w:rFonts w:ascii="Arial" w:hAnsi="Arial" w:cs="Arial"/>
          <w:iCs/>
          <w:sz w:val="22"/>
          <w:szCs w:val="22"/>
          <w:lang w:val="en" w:eastAsia="en-GB"/>
        </w:rPr>
        <w:t xml:space="preserve"> </w:t>
      </w:r>
      <w:r w:rsidRPr="00040AF5">
        <w:rPr>
          <w:rFonts w:ascii="Arial" w:hAnsi="Arial" w:cs="Arial"/>
          <w:iCs/>
          <w:sz w:val="22"/>
          <w:szCs w:val="22"/>
          <w:lang w:val="en" w:eastAsia="en-GB"/>
        </w:rPr>
        <w:t xml:space="preserve">benefits from economies of scale by its ability to deliver through IDB’s existing structures, </w:t>
      </w:r>
      <w:r w:rsidRPr="00040AF5" w:rsidDel="00F37425">
        <w:rPr>
          <w:rFonts w:ascii="Arial" w:hAnsi="Arial" w:cs="Arial"/>
          <w:iCs/>
          <w:sz w:val="22"/>
          <w:szCs w:val="22"/>
          <w:lang w:val="en" w:eastAsia="en-GB"/>
        </w:rPr>
        <w:t>systems</w:t>
      </w:r>
      <w:r w:rsidRPr="00040AF5">
        <w:rPr>
          <w:rFonts w:ascii="Arial" w:hAnsi="Arial" w:cs="Arial"/>
          <w:iCs/>
          <w:sz w:val="22"/>
          <w:szCs w:val="22"/>
          <w:lang w:val="en" w:eastAsia="en-GB"/>
        </w:rPr>
        <w:t xml:space="preserve">, and in-country presence. IDB technical advisers can draw upon specialist resources from across the organisation according to need. A core feature of the programme is the delivery partnership between the </w:t>
      </w:r>
      <w:r w:rsidRPr="00040AF5">
        <w:rPr>
          <w:rFonts w:ascii="Arial" w:hAnsi="Arial" w:cs="Arial"/>
          <w:bCs/>
          <w:sz w:val="22"/>
          <w:szCs w:val="22"/>
        </w:rPr>
        <w:lastRenderedPageBreak/>
        <w:t xml:space="preserve">public sector and private investment arms of IDB. Maximising the capacity of both arms and ensuring the efficient alignment of activities will require continued oversight. </w:t>
      </w:r>
    </w:p>
    <w:p w14:paraId="044EE67F" w14:textId="3347F4DC" w:rsidR="00F40CDB" w:rsidRDefault="008800A4" w:rsidP="00F40CDB">
      <w:pPr>
        <w:pStyle w:val="NormalWeb"/>
        <w:spacing w:before="120" w:beforeAutospacing="0" w:after="120" w:afterAutospacing="0" w:line="276" w:lineRule="auto"/>
        <w:jc w:val="both"/>
        <w:rPr>
          <w:rFonts w:ascii="Arial" w:hAnsi="Arial" w:cs="Arial"/>
          <w:i/>
          <w:sz w:val="22"/>
          <w:szCs w:val="22"/>
          <w:lang w:val="en" w:eastAsia="en-GB"/>
        </w:rPr>
      </w:pPr>
      <w:r>
        <w:rPr>
          <w:rFonts w:ascii="Arial" w:hAnsi="Arial" w:cs="Arial"/>
          <w:iCs/>
          <w:sz w:val="22"/>
          <w:szCs w:val="22"/>
          <w:u w:val="single"/>
          <w:lang w:val="en" w:eastAsia="en-GB"/>
        </w:rPr>
        <w:t>E</w:t>
      </w:r>
      <w:r w:rsidR="00F40CDB" w:rsidRPr="00040AF5">
        <w:rPr>
          <w:rFonts w:ascii="Arial" w:hAnsi="Arial" w:cs="Arial"/>
          <w:iCs/>
          <w:sz w:val="22"/>
          <w:szCs w:val="22"/>
          <w:u w:val="single"/>
          <w:lang w:val="en" w:eastAsia="en-GB"/>
        </w:rPr>
        <w:t>ffectiveness</w:t>
      </w:r>
      <w:r w:rsidR="00F40CDB" w:rsidRPr="00040AF5">
        <w:rPr>
          <w:rFonts w:ascii="Arial" w:hAnsi="Arial" w:cs="Arial"/>
          <w:i/>
          <w:sz w:val="22"/>
          <w:szCs w:val="22"/>
          <w:lang w:val="en" w:eastAsia="en-GB"/>
        </w:rPr>
        <w:t xml:space="preserve">: Are </w:t>
      </w:r>
      <w:r w:rsidR="00844C3D">
        <w:rPr>
          <w:rFonts w:ascii="Arial" w:hAnsi="Arial" w:cs="Arial"/>
          <w:bCs/>
          <w:i/>
          <w:sz w:val="22"/>
          <w:szCs w:val="22"/>
        </w:rPr>
        <w:t>Output</w:t>
      </w:r>
      <w:r w:rsidR="00F40CDB" w:rsidRPr="00040AF5">
        <w:rPr>
          <w:rFonts w:ascii="Arial" w:hAnsi="Arial" w:cs="Arial"/>
          <w:bCs/>
          <w:i/>
          <w:sz w:val="22"/>
          <w:szCs w:val="22"/>
        </w:rPr>
        <w:t>s achieving outcomes?</w:t>
      </w:r>
      <w:r w:rsidR="00F40CDB" w:rsidRPr="00040AF5">
        <w:rPr>
          <w:rFonts w:ascii="Arial" w:hAnsi="Arial" w:cs="Arial"/>
          <w:bCs/>
          <w:sz w:val="22"/>
          <w:szCs w:val="22"/>
        </w:rPr>
        <w:t xml:space="preserve"> </w:t>
      </w:r>
      <w:r w:rsidR="00F40CDB" w:rsidRPr="00040AF5">
        <w:rPr>
          <w:rFonts w:ascii="Arial" w:hAnsi="Arial" w:cs="Arial"/>
          <w:bCs/>
          <w:sz w:val="22"/>
          <w:szCs w:val="22"/>
        </w:rPr>
        <w:tab/>
      </w:r>
      <w:r w:rsidR="00F40CDB" w:rsidRPr="00040AF5">
        <w:rPr>
          <w:rFonts w:ascii="Arial" w:hAnsi="Arial" w:cs="Arial"/>
          <w:i/>
          <w:sz w:val="22"/>
          <w:szCs w:val="22"/>
          <w:lang w:val="en" w:eastAsia="en-GB"/>
        </w:rPr>
        <w:t xml:space="preserve"> </w:t>
      </w:r>
    </w:p>
    <w:p w14:paraId="68DD0A4E" w14:textId="0613032F" w:rsidR="00F40CDB" w:rsidRPr="00040AF5" w:rsidRDefault="00F40CDB" w:rsidP="00F40CDB">
      <w:pPr>
        <w:pStyle w:val="NormalWeb"/>
        <w:spacing w:before="120" w:beforeAutospacing="0" w:after="120" w:afterAutospacing="0" w:line="276" w:lineRule="auto"/>
        <w:jc w:val="both"/>
        <w:rPr>
          <w:rFonts w:ascii="Arial" w:hAnsi="Arial" w:cs="Arial"/>
          <w:bCs/>
          <w:color w:val="000000"/>
          <w:sz w:val="22"/>
          <w:szCs w:val="22"/>
        </w:rPr>
      </w:pPr>
      <w:r w:rsidRPr="00040AF5">
        <w:rPr>
          <w:rFonts w:ascii="Arial" w:hAnsi="Arial" w:cs="Arial"/>
          <w:color w:val="000000" w:themeColor="text1"/>
          <w:sz w:val="22"/>
          <w:szCs w:val="22"/>
        </w:rPr>
        <w:t xml:space="preserve">Due to the lack of </w:t>
      </w:r>
      <w:r w:rsidR="00844C3D">
        <w:rPr>
          <w:rFonts w:ascii="Arial" w:hAnsi="Arial" w:cs="Arial"/>
          <w:color w:val="000000" w:themeColor="text1"/>
          <w:sz w:val="22"/>
          <w:szCs w:val="22"/>
        </w:rPr>
        <w:t>blended finance</w:t>
      </w:r>
      <w:r w:rsidRPr="00040AF5">
        <w:rPr>
          <w:rFonts w:ascii="Arial" w:hAnsi="Arial" w:cs="Arial"/>
          <w:color w:val="000000" w:themeColor="text1"/>
          <w:sz w:val="22"/>
          <w:szCs w:val="22"/>
        </w:rPr>
        <w:t xml:space="preserve"> investments made and the requirement to reprofile milestones</w:t>
      </w:r>
      <w:r w:rsidR="00A44B42">
        <w:rPr>
          <w:rFonts w:ascii="Arial" w:hAnsi="Arial" w:cs="Arial"/>
          <w:color w:val="000000" w:themeColor="text1"/>
          <w:sz w:val="22"/>
          <w:szCs w:val="22"/>
        </w:rPr>
        <w:t>,</w:t>
      </w:r>
      <w:r w:rsidRPr="00040AF5">
        <w:rPr>
          <w:rFonts w:ascii="Arial" w:hAnsi="Arial" w:cs="Arial"/>
          <w:color w:val="000000" w:themeColor="text1"/>
          <w:sz w:val="22"/>
          <w:szCs w:val="22"/>
        </w:rPr>
        <w:t xml:space="preserve"> it is too early to evaluate performance against outcomes at this stage. The delays to pipeline establishment and those incurred by the region’s political transitions have contributed to this. The exercise to reprofile the </w:t>
      </w:r>
      <w:r w:rsidR="00844C3D">
        <w:rPr>
          <w:rFonts w:ascii="Arial" w:hAnsi="Arial" w:cs="Arial"/>
          <w:color w:val="000000" w:themeColor="text1"/>
          <w:sz w:val="22"/>
          <w:szCs w:val="22"/>
        </w:rPr>
        <w:t>Blended finance</w:t>
      </w:r>
      <w:r w:rsidRPr="00040AF5">
        <w:rPr>
          <w:rFonts w:ascii="Arial" w:hAnsi="Arial" w:cs="Arial"/>
          <w:color w:val="000000" w:themeColor="text1"/>
          <w:sz w:val="22"/>
          <w:szCs w:val="22"/>
        </w:rPr>
        <w:t xml:space="preserve"> milestones includes a consideration as to whether achievement will extend beyond the original programme completion date of November 2022. Until such time</w:t>
      </w:r>
      <w:r w:rsidR="00A44B42">
        <w:rPr>
          <w:rFonts w:ascii="Arial" w:hAnsi="Arial" w:cs="Arial"/>
          <w:color w:val="000000" w:themeColor="text1"/>
          <w:sz w:val="22"/>
          <w:szCs w:val="22"/>
        </w:rPr>
        <w:t>,</w:t>
      </w:r>
      <w:r w:rsidRPr="00040AF5">
        <w:rPr>
          <w:rFonts w:ascii="Arial" w:hAnsi="Arial" w:cs="Arial"/>
          <w:color w:val="000000" w:themeColor="text1"/>
          <w:sz w:val="22"/>
          <w:szCs w:val="22"/>
        </w:rPr>
        <w:t xml:space="preserve"> an assessment of performance against Business Case expectations cannot be complete</w:t>
      </w:r>
      <w:r w:rsidR="2664F8A0" w:rsidRPr="00040AF5">
        <w:rPr>
          <w:rFonts w:ascii="Arial" w:hAnsi="Arial" w:cs="Arial"/>
          <w:color w:val="000000" w:themeColor="text1"/>
          <w:sz w:val="22"/>
          <w:szCs w:val="22"/>
        </w:rPr>
        <w:t>d</w:t>
      </w:r>
      <w:r w:rsidRPr="00040AF5">
        <w:rPr>
          <w:rFonts w:ascii="Arial" w:hAnsi="Arial" w:cs="Arial"/>
          <w:color w:val="000000" w:themeColor="text1"/>
          <w:sz w:val="22"/>
          <w:szCs w:val="22"/>
        </w:rPr>
        <w:t xml:space="preserve">. </w:t>
      </w:r>
    </w:p>
    <w:p w14:paraId="19B9B253" w14:textId="77777777" w:rsidR="00F40CDB" w:rsidRPr="00040AF5" w:rsidRDefault="00F40CDB" w:rsidP="00F40CDB">
      <w:pPr>
        <w:pStyle w:val="NormalWeb"/>
        <w:spacing w:before="120" w:beforeAutospacing="0" w:after="120" w:afterAutospacing="0" w:line="276" w:lineRule="auto"/>
        <w:jc w:val="both"/>
        <w:rPr>
          <w:rFonts w:ascii="Arial" w:hAnsi="Arial" w:cs="Arial"/>
          <w:sz w:val="22"/>
          <w:szCs w:val="22"/>
          <w:lang w:val="en" w:eastAsia="en-GB"/>
        </w:rPr>
      </w:pPr>
      <w:r w:rsidRPr="00040AF5">
        <w:rPr>
          <w:rFonts w:ascii="Arial" w:hAnsi="Arial" w:cs="Arial"/>
          <w:bCs/>
          <w:color w:val="000000"/>
          <w:sz w:val="22"/>
          <w:szCs w:val="22"/>
          <w:u w:val="single"/>
        </w:rPr>
        <w:t>Equity</w:t>
      </w:r>
      <w:r w:rsidRPr="00040AF5">
        <w:rPr>
          <w:rFonts w:ascii="Arial" w:hAnsi="Arial" w:cs="Arial"/>
          <w:bCs/>
          <w:color w:val="000000"/>
          <w:sz w:val="22"/>
          <w:szCs w:val="22"/>
        </w:rPr>
        <w:t>: </w:t>
      </w:r>
      <w:r w:rsidRPr="00040AF5">
        <w:rPr>
          <w:rFonts w:ascii="Arial" w:hAnsi="Arial" w:cs="Arial"/>
          <w:bCs/>
          <w:i/>
          <w:iCs/>
          <w:color w:val="000000"/>
          <w:sz w:val="22"/>
          <w:szCs w:val="22"/>
        </w:rPr>
        <w:t xml:space="preserve">Are </w:t>
      </w:r>
      <w:r w:rsidRPr="00040AF5">
        <w:rPr>
          <w:rFonts w:ascii="Arial" w:hAnsi="Arial" w:cs="Arial"/>
          <w:i/>
          <w:iCs/>
          <w:color w:val="000000"/>
          <w:sz w:val="22"/>
          <w:szCs w:val="22"/>
        </w:rPr>
        <w:t xml:space="preserve">results equitably distributed? </w:t>
      </w:r>
    </w:p>
    <w:p w14:paraId="493EF92F" w14:textId="37866521" w:rsidR="00F40CDB" w:rsidRDefault="00F40CDB" w:rsidP="00F40CDB">
      <w:pPr>
        <w:spacing w:before="120" w:after="120" w:line="276" w:lineRule="auto"/>
        <w:jc w:val="both"/>
        <w:rPr>
          <w:rFonts w:cs="Arial"/>
          <w:bCs/>
          <w:sz w:val="22"/>
          <w:szCs w:val="22"/>
        </w:rPr>
      </w:pPr>
      <w:r w:rsidRPr="00373026">
        <w:rPr>
          <w:rFonts w:cs="Arial"/>
          <w:bCs/>
          <w:sz w:val="22"/>
          <w:szCs w:val="22"/>
        </w:rPr>
        <w:t xml:space="preserve">IDB delivers activities against robust environmental and social safeguard policies, standards, and guidelines. IDB has a clear mandate to consider climate and poverty alleviation, with particular regard to gender equality. BEIS expects the fair distribution of developmental benefits, such as improved employment and job creation, to be addressed in an all relevant technical cooperation and </w:t>
      </w:r>
      <w:r w:rsidR="00844C3D">
        <w:rPr>
          <w:rFonts w:cs="Arial"/>
          <w:bCs/>
          <w:sz w:val="22"/>
          <w:szCs w:val="22"/>
        </w:rPr>
        <w:t>blended finance</w:t>
      </w:r>
      <w:r w:rsidRPr="00373026">
        <w:rPr>
          <w:rFonts w:cs="Arial"/>
          <w:bCs/>
          <w:sz w:val="22"/>
          <w:szCs w:val="22"/>
        </w:rPr>
        <w:t xml:space="preserve"> activities. BEIS will closely monitor how SIP</w:t>
      </w:r>
      <w:r>
        <w:rPr>
          <w:rFonts w:cs="Arial"/>
          <w:bCs/>
          <w:sz w:val="22"/>
          <w:szCs w:val="22"/>
        </w:rPr>
        <w:t>-LA</w:t>
      </w:r>
      <w:r w:rsidRPr="00373026">
        <w:rPr>
          <w:rFonts w:cs="Arial"/>
          <w:bCs/>
          <w:sz w:val="22"/>
          <w:szCs w:val="22"/>
        </w:rPr>
        <w:t xml:space="preserve"> programming is contributing to reductions in inequality as activities proceed to implementation. </w:t>
      </w:r>
    </w:p>
    <w:p w14:paraId="55CC4F5D" w14:textId="2B9AC7D7" w:rsidR="00F40CDB" w:rsidRDefault="00F40CDB" w:rsidP="00F40CDB">
      <w:pPr>
        <w:spacing w:before="120" w:after="120" w:line="276" w:lineRule="auto"/>
        <w:contextualSpacing/>
        <w:jc w:val="both"/>
        <w:rPr>
          <w:rFonts w:cs="Arial"/>
          <w:bCs/>
          <w:sz w:val="22"/>
          <w:szCs w:val="22"/>
        </w:rPr>
      </w:pPr>
      <w:r>
        <w:rPr>
          <w:rFonts w:cs="Arial"/>
          <w:bCs/>
          <w:sz w:val="22"/>
          <w:szCs w:val="22"/>
        </w:rPr>
        <w:t xml:space="preserve">As noted, a key aspect of the improvements being made to SIP-LA governance arrangements is ensuring that IDB and BEIS have a holistic approach to delivering programme objectives across the four geographies. </w:t>
      </w:r>
      <w:r w:rsidR="00D12787">
        <w:rPr>
          <w:rFonts w:cs="Arial"/>
          <w:bCs/>
          <w:sz w:val="22"/>
          <w:szCs w:val="22"/>
        </w:rPr>
        <w:t>IDB</w:t>
      </w:r>
      <w:r>
        <w:rPr>
          <w:rFonts w:cs="Arial"/>
          <w:bCs/>
          <w:sz w:val="22"/>
          <w:szCs w:val="22"/>
        </w:rPr>
        <w:t xml:space="preserve"> have presented a risk to delivering investments in all four countries over the past year. Particularly in Peru</w:t>
      </w:r>
      <w:r w:rsidR="00A44B42">
        <w:rPr>
          <w:rFonts w:cs="Arial"/>
          <w:bCs/>
          <w:sz w:val="22"/>
          <w:szCs w:val="22"/>
        </w:rPr>
        <w:t>,</w:t>
      </w:r>
      <w:r w:rsidR="001E29A7">
        <w:rPr>
          <w:rFonts w:cs="Arial"/>
          <w:bCs/>
          <w:sz w:val="22"/>
          <w:szCs w:val="22"/>
        </w:rPr>
        <w:t xml:space="preserve"> </w:t>
      </w:r>
      <w:r>
        <w:rPr>
          <w:rFonts w:cs="Arial"/>
          <w:bCs/>
          <w:sz w:val="22"/>
          <w:szCs w:val="22"/>
        </w:rPr>
        <w:t>political transition</w:t>
      </w:r>
      <w:r w:rsidR="00A44B42">
        <w:rPr>
          <w:rFonts w:cs="Arial"/>
          <w:bCs/>
          <w:sz w:val="22"/>
          <w:szCs w:val="22"/>
        </w:rPr>
        <w:t>s</w:t>
      </w:r>
      <w:r>
        <w:rPr>
          <w:rFonts w:cs="Arial"/>
          <w:bCs/>
          <w:sz w:val="22"/>
          <w:szCs w:val="22"/>
        </w:rPr>
        <w:t xml:space="preserve"> ha</w:t>
      </w:r>
      <w:r w:rsidR="00A44B42">
        <w:rPr>
          <w:rFonts w:cs="Arial"/>
          <w:bCs/>
          <w:sz w:val="22"/>
          <w:szCs w:val="22"/>
        </w:rPr>
        <w:t>ve</w:t>
      </w:r>
      <w:r>
        <w:rPr>
          <w:rFonts w:cs="Arial"/>
          <w:bCs/>
          <w:sz w:val="22"/>
          <w:szCs w:val="22"/>
        </w:rPr>
        <w:t xml:space="preserve"> directly impacted the markets in which SIP-LA operates and had an adverse effect on identifying suitable investments. BEIS and IDB teams should continue to draw upon the diplomatic networks holding strong relationships with government stakeholders in the partner countries. Relationship development through these networks and the establishment of successful </w:t>
      </w:r>
      <w:r w:rsidR="008C77B2">
        <w:rPr>
          <w:rFonts w:cs="Arial"/>
          <w:bCs/>
          <w:sz w:val="22"/>
          <w:szCs w:val="22"/>
        </w:rPr>
        <w:t>technical assistance</w:t>
      </w:r>
      <w:r>
        <w:rPr>
          <w:rFonts w:cs="Arial"/>
          <w:bCs/>
          <w:sz w:val="22"/>
          <w:szCs w:val="22"/>
        </w:rPr>
        <w:t xml:space="preserve"> should be drawn upon to ensure that the SIP</w:t>
      </w:r>
      <w:r w:rsidR="001E29A7">
        <w:rPr>
          <w:rFonts w:cs="Arial"/>
          <w:bCs/>
          <w:sz w:val="22"/>
          <w:szCs w:val="22"/>
        </w:rPr>
        <w:t>-LA</w:t>
      </w:r>
      <w:r>
        <w:rPr>
          <w:rFonts w:cs="Arial"/>
          <w:bCs/>
          <w:sz w:val="22"/>
          <w:szCs w:val="22"/>
        </w:rPr>
        <w:t xml:space="preserve"> results are equitably distributed across the region. </w:t>
      </w:r>
    </w:p>
    <w:p w14:paraId="4F268D10" w14:textId="3D49AC5F" w:rsidR="006861FC" w:rsidRDefault="006861FC" w:rsidP="00F40CDB">
      <w:pPr>
        <w:spacing w:before="120" w:after="120" w:line="276" w:lineRule="auto"/>
        <w:contextualSpacing/>
        <w:jc w:val="both"/>
        <w:rPr>
          <w:rFonts w:cs="Arial"/>
          <w:bCs/>
          <w:sz w:val="22"/>
          <w:szCs w:val="22"/>
        </w:rPr>
      </w:pPr>
    </w:p>
    <w:p w14:paraId="2CDB93EE" w14:textId="4D0435B8" w:rsidR="00F40CDB" w:rsidRDefault="00F40CDB" w:rsidP="00F40CDB">
      <w:pPr>
        <w:spacing w:before="120" w:after="120" w:line="276" w:lineRule="auto"/>
        <w:contextualSpacing/>
        <w:jc w:val="both"/>
        <w:rPr>
          <w:rFonts w:cs="Arial"/>
          <w:b/>
          <w:sz w:val="22"/>
          <w:szCs w:val="22"/>
          <w:lang w:val="en" w:eastAsia="en-GB"/>
        </w:rPr>
      </w:pPr>
      <w:r w:rsidRPr="00373026">
        <w:rPr>
          <w:rFonts w:cs="Arial"/>
          <w:b/>
          <w:sz w:val="22"/>
          <w:szCs w:val="22"/>
          <w:lang w:val="en" w:eastAsia="en-GB"/>
        </w:rPr>
        <w:t xml:space="preserve">Assessment of whether the programme continues to represent </w:t>
      </w:r>
      <w:r w:rsidR="00D12787">
        <w:rPr>
          <w:rFonts w:cs="Arial"/>
          <w:b/>
          <w:sz w:val="22"/>
          <w:szCs w:val="22"/>
          <w:lang w:val="en" w:eastAsia="en-GB"/>
        </w:rPr>
        <w:t>VfM</w:t>
      </w:r>
    </w:p>
    <w:p w14:paraId="6E36F1DD" w14:textId="63C88361" w:rsidR="00A654EA" w:rsidRDefault="00560F52" w:rsidP="00F40CDB">
      <w:pPr>
        <w:spacing w:before="120" w:after="120" w:line="276" w:lineRule="auto"/>
        <w:contextualSpacing/>
        <w:jc w:val="both"/>
        <w:rPr>
          <w:rFonts w:cs="Arial"/>
          <w:bCs/>
          <w:sz w:val="22"/>
          <w:szCs w:val="22"/>
        </w:rPr>
      </w:pPr>
      <w:r>
        <w:rPr>
          <w:rFonts w:cs="Arial"/>
          <w:bCs/>
          <w:sz w:val="22"/>
          <w:szCs w:val="22"/>
        </w:rPr>
        <w:t>SIP-LA is not</w:t>
      </w:r>
      <w:r w:rsidR="00E07005">
        <w:rPr>
          <w:rFonts w:cs="Arial"/>
          <w:bCs/>
          <w:sz w:val="22"/>
          <w:szCs w:val="22"/>
        </w:rPr>
        <w:t xml:space="preserve"> currently</w:t>
      </w:r>
      <w:r>
        <w:rPr>
          <w:rFonts w:cs="Arial"/>
          <w:bCs/>
          <w:sz w:val="22"/>
          <w:szCs w:val="22"/>
        </w:rPr>
        <w:t xml:space="preserve"> performing against Business Case expectations</w:t>
      </w:r>
      <w:r w:rsidR="00A44B42">
        <w:rPr>
          <w:rFonts w:cs="Arial"/>
          <w:bCs/>
          <w:sz w:val="22"/>
          <w:szCs w:val="22"/>
        </w:rPr>
        <w:t>.</w:t>
      </w:r>
      <w:r w:rsidR="00C07599">
        <w:rPr>
          <w:rFonts w:cs="Arial"/>
          <w:bCs/>
          <w:sz w:val="22"/>
          <w:szCs w:val="22"/>
        </w:rPr>
        <w:t xml:space="preserve"> </w:t>
      </w:r>
      <w:r w:rsidR="00A44B42">
        <w:rPr>
          <w:rFonts w:cs="Arial"/>
          <w:bCs/>
          <w:sz w:val="22"/>
          <w:szCs w:val="22"/>
        </w:rPr>
        <w:t>H</w:t>
      </w:r>
      <w:r w:rsidR="00C07599">
        <w:rPr>
          <w:rFonts w:cs="Arial"/>
          <w:bCs/>
          <w:sz w:val="22"/>
          <w:szCs w:val="22"/>
        </w:rPr>
        <w:t>owever</w:t>
      </w:r>
      <w:r w:rsidR="00A44B42">
        <w:rPr>
          <w:rFonts w:cs="Arial"/>
          <w:bCs/>
          <w:sz w:val="22"/>
          <w:szCs w:val="22"/>
        </w:rPr>
        <w:t>,</w:t>
      </w:r>
      <w:r w:rsidR="00C07599">
        <w:rPr>
          <w:rFonts w:cs="Arial"/>
          <w:bCs/>
          <w:sz w:val="22"/>
          <w:szCs w:val="22"/>
        </w:rPr>
        <w:t xml:space="preserve"> as</w:t>
      </w:r>
      <w:r w:rsidR="009A5810">
        <w:rPr>
          <w:rFonts w:cs="Arial"/>
          <w:bCs/>
          <w:sz w:val="22"/>
          <w:szCs w:val="22"/>
        </w:rPr>
        <w:t xml:space="preserve"> this review has recognised</w:t>
      </w:r>
      <w:r w:rsidR="00A44B42">
        <w:rPr>
          <w:rFonts w:cs="Arial"/>
          <w:bCs/>
          <w:sz w:val="22"/>
          <w:szCs w:val="22"/>
        </w:rPr>
        <w:t>,</w:t>
      </w:r>
      <w:r w:rsidR="009A5810">
        <w:rPr>
          <w:rFonts w:cs="Arial"/>
          <w:bCs/>
          <w:sz w:val="22"/>
          <w:szCs w:val="22"/>
        </w:rPr>
        <w:t xml:space="preserve"> these are to be revised in the year ahead. </w:t>
      </w:r>
      <w:r w:rsidR="001F2568">
        <w:rPr>
          <w:rFonts w:cs="Arial"/>
          <w:bCs/>
          <w:sz w:val="22"/>
          <w:szCs w:val="22"/>
        </w:rPr>
        <w:t>Despite this</w:t>
      </w:r>
      <w:r w:rsidR="00A44B42">
        <w:rPr>
          <w:rFonts w:cs="Arial"/>
          <w:bCs/>
          <w:sz w:val="22"/>
          <w:szCs w:val="22"/>
        </w:rPr>
        <w:t>,</w:t>
      </w:r>
      <w:r w:rsidR="00476EC8">
        <w:rPr>
          <w:rFonts w:cs="Arial"/>
          <w:bCs/>
          <w:sz w:val="22"/>
          <w:szCs w:val="22"/>
        </w:rPr>
        <w:t xml:space="preserve"> the expected</w:t>
      </w:r>
      <w:r w:rsidR="0064748E">
        <w:rPr>
          <w:rFonts w:cs="Arial"/>
          <w:bCs/>
          <w:sz w:val="22"/>
          <w:szCs w:val="22"/>
        </w:rPr>
        <w:t xml:space="preserve"> VfM </w:t>
      </w:r>
      <w:r w:rsidR="00476EC8">
        <w:rPr>
          <w:rFonts w:cs="Arial"/>
          <w:bCs/>
          <w:sz w:val="22"/>
          <w:szCs w:val="22"/>
        </w:rPr>
        <w:t>of</w:t>
      </w:r>
      <w:r w:rsidR="0064748E">
        <w:rPr>
          <w:rFonts w:cs="Arial"/>
          <w:bCs/>
          <w:sz w:val="22"/>
          <w:szCs w:val="22"/>
        </w:rPr>
        <w:t xml:space="preserve"> the programme </w:t>
      </w:r>
      <w:r w:rsidR="00A654EA">
        <w:rPr>
          <w:rFonts w:cs="Arial"/>
          <w:bCs/>
          <w:sz w:val="22"/>
          <w:szCs w:val="22"/>
        </w:rPr>
        <w:t xml:space="preserve">has </w:t>
      </w:r>
      <w:r w:rsidR="00476EC8">
        <w:rPr>
          <w:rFonts w:cs="Arial"/>
          <w:bCs/>
          <w:sz w:val="22"/>
          <w:szCs w:val="22"/>
        </w:rPr>
        <w:t xml:space="preserve">still been </w:t>
      </w:r>
      <w:r w:rsidR="00A17E44">
        <w:rPr>
          <w:rFonts w:cs="Arial"/>
          <w:bCs/>
          <w:sz w:val="22"/>
          <w:szCs w:val="22"/>
        </w:rPr>
        <w:t xml:space="preserve">reduced </w:t>
      </w:r>
      <w:r w:rsidR="00A654EA">
        <w:rPr>
          <w:rFonts w:cs="Arial"/>
          <w:bCs/>
          <w:sz w:val="22"/>
          <w:szCs w:val="22"/>
        </w:rPr>
        <w:t>by</w:t>
      </w:r>
      <w:r w:rsidR="003642CC">
        <w:rPr>
          <w:rFonts w:cs="Arial"/>
          <w:bCs/>
          <w:sz w:val="22"/>
          <w:szCs w:val="22"/>
        </w:rPr>
        <w:t xml:space="preserve"> </w:t>
      </w:r>
      <w:r w:rsidR="00476EC8">
        <w:rPr>
          <w:rFonts w:cs="Arial"/>
          <w:bCs/>
          <w:sz w:val="22"/>
          <w:szCs w:val="22"/>
        </w:rPr>
        <w:t xml:space="preserve">delays in </w:t>
      </w:r>
      <w:r w:rsidR="00844C3D">
        <w:rPr>
          <w:rFonts w:cs="Arial"/>
          <w:bCs/>
          <w:sz w:val="22"/>
          <w:szCs w:val="22"/>
        </w:rPr>
        <w:t>blended finance</w:t>
      </w:r>
      <w:r w:rsidR="00644BD7">
        <w:rPr>
          <w:rFonts w:cs="Arial"/>
          <w:bCs/>
          <w:sz w:val="22"/>
          <w:szCs w:val="22"/>
        </w:rPr>
        <w:t xml:space="preserve"> </w:t>
      </w:r>
      <w:r w:rsidR="00AD69FB">
        <w:rPr>
          <w:rFonts w:cs="Arial"/>
          <w:bCs/>
          <w:sz w:val="22"/>
          <w:szCs w:val="22"/>
        </w:rPr>
        <w:t>delivery</w:t>
      </w:r>
      <w:r w:rsidR="00F61944">
        <w:rPr>
          <w:rFonts w:cs="Arial"/>
          <w:bCs/>
          <w:sz w:val="22"/>
          <w:szCs w:val="22"/>
        </w:rPr>
        <w:t xml:space="preserve">. Potential impacts to VfM associated with administrative fees </w:t>
      </w:r>
      <w:r w:rsidR="000370E9">
        <w:rPr>
          <w:rFonts w:cs="Arial"/>
          <w:bCs/>
          <w:sz w:val="22"/>
          <w:szCs w:val="22"/>
        </w:rPr>
        <w:t xml:space="preserve">are justified </w:t>
      </w:r>
      <w:r w:rsidR="006D5712">
        <w:rPr>
          <w:rFonts w:cs="Arial"/>
          <w:bCs/>
          <w:sz w:val="22"/>
          <w:szCs w:val="22"/>
        </w:rPr>
        <w:t xml:space="preserve">by the </w:t>
      </w:r>
      <w:r w:rsidR="00AE4A6C">
        <w:rPr>
          <w:rFonts w:cs="Arial"/>
          <w:bCs/>
          <w:sz w:val="22"/>
          <w:szCs w:val="22"/>
        </w:rPr>
        <w:t>scoping and due diligence undertaken for the planned investments in Brazil and Mexico in 2019 – political and market factors resulted in delays in</w:t>
      </w:r>
      <w:r w:rsidR="00A35FBA">
        <w:rPr>
          <w:rFonts w:cs="Arial"/>
          <w:bCs/>
          <w:sz w:val="22"/>
          <w:szCs w:val="22"/>
        </w:rPr>
        <w:t xml:space="preserve"> their</w:t>
      </w:r>
      <w:r w:rsidR="00AE4A6C">
        <w:rPr>
          <w:rFonts w:cs="Arial"/>
          <w:bCs/>
          <w:sz w:val="22"/>
          <w:szCs w:val="22"/>
        </w:rPr>
        <w:t xml:space="preserve"> delivery</w:t>
      </w:r>
      <w:r w:rsidR="0063071A">
        <w:rPr>
          <w:rFonts w:cs="Arial"/>
          <w:bCs/>
          <w:sz w:val="22"/>
          <w:szCs w:val="22"/>
        </w:rPr>
        <w:t>.</w:t>
      </w:r>
      <w:r w:rsidR="005C3261">
        <w:rPr>
          <w:rFonts w:cs="Arial"/>
          <w:bCs/>
          <w:sz w:val="22"/>
          <w:szCs w:val="22"/>
        </w:rPr>
        <w:t xml:space="preserve"> </w:t>
      </w:r>
      <w:r w:rsidR="0063071A">
        <w:rPr>
          <w:rFonts w:cs="Arial"/>
          <w:bCs/>
          <w:sz w:val="22"/>
          <w:szCs w:val="22"/>
        </w:rPr>
        <w:t xml:space="preserve">IDB have developed a pipeline of regional </w:t>
      </w:r>
      <w:r w:rsidR="00844C3D">
        <w:rPr>
          <w:rFonts w:cs="Arial"/>
          <w:bCs/>
          <w:sz w:val="22"/>
          <w:szCs w:val="22"/>
        </w:rPr>
        <w:t>blended finance</w:t>
      </w:r>
      <w:r w:rsidR="0063071A">
        <w:rPr>
          <w:rFonts w:cs="Arial"/>
          <w:bCs/>
          <w:sz w:val="22"/>
          <w:szCs w:val="22"/>
        </w:rPr>
        <w:t xml:space="preserve"> investments which should</w:t>
      </w:r>
      <w:r w:rsidR="003C2790">
        <w:rPr>
          <w:rFonts w:cs="Arial"/>
          <w:bCs/>
          <w:sz w:val="22"/>
          <w:szCs w:val="22"/>
        </w:rPr>
        <w:t xml:space="preserve"> thus increase the flow of</w:t>
      </w:r>
      <w:r w:rsidR="0063071A">
        <w:rPr>
          <w:rFonts w:cs="Arial"/>
          <w:bCs/>
          <w:sz w:val="22"/>
          <w:szCs w:val="22"/>
        </w:rPr>
        <w:t xml:space="preserve"> </w:t>
      </w:r>
      <w:r w:rsidR="003C2790">
        <w:rPr>
          <w:rFonts w:cs="Arial"/>
          <w:bCs/>
          <w:sz w:val="22"/>
          <w:szCs w:val="22"/>
        </w:rPr>
        <w:t xml:space="preserve">investments </w:t>
      </w:r>
      <w:r w:rsidR="00622156">
        <w:rPr>
          <w:rFonts w:cs="Arial"/>
          <w:bCs/>
          <w:sz w:val="22"/>
          <w:szCs w:val="22"/>
        </w:rPr>
        <w:t>presented to and approved by BEIS, consequently improving the VfM of the programme.</w:t>
      </w:r>
    </w:p>
    <w:p w14:paraId="14D4D72A" w14:textId="77777777" w:rsidR="00954E2B" w:rsidRDefault="00954E2B" w:rsidP="00F40CDB">
      <w:pPr>
        <w:spacing w:before="120" w:after="120" w:line="276" w:lineRule="auto"/>
        <w:contextualSpacing/>
        <w:jc w:val="both"/>
        <w:rPr>
          <w:rFonts w:cs="Arial"/>
          <w:b/>
          <w:bCs/>
          <w:sz w:val="22"/>
          <w:szCs w:val="22"/>
        </w:rPr>
      </w:pPr>
    </w:p>
    <w:p w14:paraId="6DFD7ECB" w14:textId="58000BE3" w:rsidR="00F40CDB" w:rsidRPr="00373026" w:rsidRDefault="00F40CDB" w:rsidP="00F40CDB">
      <w:pPr>
        <w:spacing w:before="120" w:after="120" w:line="276" w:lineRule="auto"/>
        <w:contextualSpacing/>
        <w:jc w:val="both"/>
        <w:rPr>
          <w:rFonts w:cs="Arial"/>
          <w:b/>
          <w:bCs/>
          <w:sz w:val="22"/>
          <w:szCs w:val="22"/>
        </w:rPr>
      </w:pPr>
      <w:r w:rsidRPr="00373026">
        <w:rPr>
          <w:rFonts w:cs="Arial"/>
          <w:b/>
          <w:bCs/>
          <w:sz w:val="22"/>
          <w:szCs w:val="22"/>
        </w:rPr>
        <w:t>Quality of financial management</w:t>
      </w:r>
    </w:p>
    <w:p w14:paraId="25DAC1A3" w14:textId="0E9D0D82" w:rsidR="00954E2B" w:rsidRDefault="00F40CDB" w:rsidP="00F40CDB">
      <w:pPr>
        <w:spacing w:before="120" w:after="120" w:line="276" w:lineRule="auto"/>
        <w:jc w:val="both"/>
        <w:rPr>
          <w:rFonts w:cs="Arial"/>
          <w:bCs/>
          <w:sz w:val="22"/>
          <w:szCs w:val="22"/>
        </w:rPr>
      </w:pPr>
      <w:r w:rsidRPr="00373026">
        <w:rPr>
          <w:rFonts w:cs="Arial"/>
          <w:bCs/>
          <w:sz w:val="22"/>
          <w:szCs w:val="22"/>
        </w:rPr>
        <w:t xml:space="preserve">IDB administer and account for the programme resources in accordance with its financial regulations. IDB provides unaudited financial statements of programme activity as of December 31 of the previous year. IDB </w:t>
      </w:r>
      <w:r w:rsidR="001E29A7">
        <w:rPr>
          <w:rFonts w:cs="Arial"/>
          <w:bCs/>
          <w:sz w:val="22"/>
          <w:szCs w:val="22"/>
        </w:rPr>
        <w:t>are</w:t>
      </w:r>
      <w:r w:rsidRPr="00373026">
        <w:rPr>
          <w:rFonts w:cs="Arial"/>
          <w:bCs/>
          <w:sz w:val="22"/>
          <w:szCs w:val="22"/>
        </w:rPr>
        <w:t xml:space="preserve"> expected to provide audited financial statements every three years starting in 2018</w:t>
      </w:r>
      <w:r>
        <w:rPr>
          <w:rFonts w:cs="Arial"/>
          <w:bCs/>
          <w:sz w:val="22"/>
          <w:szCs w:val="22"/>
        </w:rPr>
        <w:t>.</w:t>
      </w:r>
      <w:r w:rsidRPr="00373026">
        <w:rPr>
          <w:rFonts w:cs="Arial"/>
          <w:bCs/>
          <w:sz w:val="22"/>
          <w:szCs w:val="22"/>
        </w:rPr>
        <w:t xml:space="preserve"> These audited financial statements will be prepared by IDB external auditors. IDB is well resourced and has a proven track record in this area. The 2016 DFID Multilateral Development Review judged IDB to have good cost controls and transparency measures. BEIS makes payments to IDB in line with an agreed a profile of tranche payments outlined in the Contribution Arrangement, subject to compelling evidence of need. This ensure payments are only made when they are essential to allow the programme to proceed and not before. BEIS has worked closely with IDB to establish a common understanding of what constitutes sufficient evidence of need and what information to include in each disbursement request</w:t>
      </w:r>
      <w:r w:rsidR="00ED6C56">
        <w:rPr>
          <w:rFonts w:cs="Arial"/>
          <w:bCs/>
          <w:sz w:val="22"/>
          <w:szCs w:val="22"/>
        </w:rPr>
        <w:t xml:space="preserve">. </w:t>
      </w:r>
    </w:p>
    <w:tbl>
      <w:tblPr>
        <w:tblStyle w:val="TableGrid"/>
        <w:tblW w:w="9668" w:type="dxa"/>
        <w:tblInd w:w="-5" w:type="dxa"/>
        <w:tblLook w:val="04A0" w:firstRow="1" w:lastRow="0" w:firstColumn="1" w:lastColumn="0" w:noHBand="0" w:noVBand="1"/>
      </w:tblPr>
      <w:tblGrid>
        <w:gridCol w:w="6432"/>
        <w:gridCol w:w="3236"/>
      </w:tblGrid>
      <w:tr w:rsidR="00F40CDB" w:rsidRPr="00373026" w14:paraId="6DEA0C87" w14:textId="77777777" w:rsidTr="00191418">
        <w:trPr>
          <w:trHeight w:val="733"/>
        </w:trPr>
        <w:tc>
          <w:tcPr>
            <w:tcW w:w="643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EF72A8C" w14:textId="77777777" w:rsidR="00F40CDB" w:rsidRPr="00373026" w:rsidRDefault="00F40CDB" w:rsidP="00191418">
            <w:pPr>
              <w:spacing w:before="120" w:after="120" w:line="276" w:lineRule="auto"/>
              <w:jc w:val="both"/>
              <w:rPr>
                <w:rFonts w:cs="Arial"/>
                <w:sz w:val="22"/>
                <w:szCs w:val="22"/>
              </w:rPr>
            </w:pPr>
            <w:r w:rsidRPr="00373026">
              <w:rPr>
                <w:rFonts w:cs="Arial"/>
                <w:sz w:val="22"/>
                <w:szCs w:val="22"/>
              </w:rPr>
              <w:lastRenderedPageBreak/>
              <w:t>Date of last narrative financial report</w:t>
            </w:r>
          </w:p>
        </w:tc>
        <w:tc>
          <w:tcPr>
            <w:tcW w:w="3236" w:type="dxa"/>
            <w:tcBorders>
              <w:top w:val="single" w:sz="4" w:space="0" w:color="auto"/>
              <w:left w:val="single" w:sz="4" w:space="0" w:color="auto"/>
              <w:bottom w:val="single" w:sz="4" w:space="0" w:color="auto"/>
              <w:right w:val="single" w:sz="4" w:space="0" w:color="auto"/>
            </w:tcBorders>
          </w:tcPr>
          <w:p w14:paraId="1B282397" w14:textId="36FB191A" w:rsidR="00F40CDB" w:rsidRPr="00373026" w:rsidRDefault="00F40CDB" w:rsidP="00191418">
            <w:pPr>
              <w:spacing w:before="120" w:after="120" w:line="276" w:lineRule="auto"/>
              <w:jc w:val="both"/>
              <w:rPr>
                <w:rFonts w:cs="Arial"/>
                <w:sz w:val="22"/>
                <w:szCs w:val="22"/>
              </w:rPr>
            </w:pPr>
            <w:r>
              <w:rPr>
                <w:rFonts w:cs="Arial"/>
                <w:sz w:val="22"/>
                <w:szCs w:val="22"/>
              </w:rPr>
              <w:t>2019 Annual Report (delivered April 2020)</w:t>
            </w:r>
          </w:p>
        </w:tc>
      </w:tr>
      <w:tr w:rsidR="00F40CDB" w:rsidRPr="00373026" w14:paraId="5C739F3F" w14:textId="77777777" w:rsidTr="00191418">
        <w:trPr>
          <w:trHeight w:val="486"/>
        </w:trPr>
        <w:tc>
          <w:tcPr>
            <w:tcW w:w="643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6EF8B7B" w14:textId="77777777" w:rsidR="00F40CDB" w:rsidRPr="00373026" w:rsidRDefault="00F40CDB" w:rsidP="00191418">
            <w:pPr>
              <w:spacing w:before="120" w:after="120" w:line="276" w:lineRule="auto"/>
              <w:jc w:val="both"/>
              <w:rPr>
                <w:rFonts w:cs="Arial"/>
                <w:sz w:val="22"/>
                <w:szCs w:val="22"/>
              </w:rPr>
            </w:pPr>
            <w:r w:rsidRPr="00373026">
              <w:rPr>
                <w:rFonts w:cs="Arial"/>
                <w:sz w:val="22"/>
                <w:szCs w:val="22"/>
              </w:rPr>
              <w:t>Date of last audited annual statement</w:t>
            </w:r>
          </w:p>
        </w:tc>
        <w:tc>
          <w:tcPr>
            <w:tcW w:w="3236" w:type="dxa"/>
            <w:tcBorders>
              <w:top w:val="single" w:sz="4" w:space="0" w:color="auto"/>
              <w:left w:val="single" w:sz="4" w:space="0" w:color="auto"/>
              <w:bottom w:val="single" w:sz="4" w:space="0" w:color="auto"/>
              <w:right w:val="single" w:sz="4" w:space="0" w:color="auto"/>
            </w:tcBorders>
          </w:tcPr>
          <w:p w14:paraId="6EC6D203" w14:textId="265CF3BC" w:rsidR="00F40CDB" w:rsidRPr="00373026" w:rsidRDefault="00F40CDB" w:rsidP="00191418">
            <w:pPr>
              <w:spacing w:before="120" w:after="120" w:line="276" w:lineRule="auto"/>
              <w:jc w:val="both"/>
              <w:rPr>
                <w:rFonts w:cs="Arial"/>
                <w:sz w:val="22"/>
                <w:szCs w:val="22"/>
              </w:rPr>
            </w:pPr>
            <w:r w:rsidRPr="00F85C2F">
              <w:rPr>
                <w:rFonts w:cs="Arial"/>
                <w:sz w:val="22"/>
                <w:szCs w:val="22"/>
              </w:rPr>
              <w:t xml:space="preserve">N/A </w:t>
            </w:r>
            <w:r w:rsidR="00EF6300">
              <w:rPr>
                <w:rFonts w:cs="Arial"/>
                <w:sz w:val="22"/>
                <w:szCs w:val="22"/>
              </w:rPr>
              <w:t>(</w:t>
            </w:r>
            <w:r>
              <w:rPr>
                <w:rFonts w:cs="Arial"/>
                <w:sz w:val="22"/>
                <w:szCs w:val="22"/>
              </w:rPr>
              <w:t>f</w:t>
            </w:r>
            <w:r w:rsidRPr="00F85C2F">
              <w:rPr>
                <w:rFonts w:cs="Arial"/>
                <w:sz w:val="22"/>
                <w:szCs w:val="22"/>
              </w:rPr>
              <w:t>irst audit is scheduled for 2021</w:t>
            </w:r>
            <w:r w:rsidR="00EF6300">
              <w:rPr>
                <w:rFonts w:cs="Arial"/>
                <w:sz w:val="22"/>
                <w:szCs w:val="22"/>
              </w:rPr>
              <w:t>)</w:t>
            </w:r>
          </w:p>
        </w:tc>
      </w:tr>
    </w:tbl>
    <w:p w14:paraId="50896F3A" w14:textId="77777777" w:rsidR="008800A4" w:rsidRDefault="008800A4" w:rsidP="00F40CDB">
      <w:pPr>
        <w:spacing w:before="120" w:after="120" w:line="276" w:lineRule="auto"/>
        <w:jc w:val="both"/>
        <w:rPr>
          <w:b/>
          <w:bCs/>
          <w:sz w:val="22"/>
          <w:szCs w:val="22"/>
        </w:rPr>
      </w:pPr>
    </w:p>
    <w:p w14:paraId="24FC8894" w14:textId="347CC1C1" w:rsidR="00F40CDB" w:rsidRDefault="00F40CDB" w:rsidP="00F40CDB">
      <w:pPr>
        <w:spacing w:before="120" w:after="120" w:line="276" w:lineRule="auto"/>
        <w:jc w:val="both"/>
        <w:rPr>
          <w:b/>
          <w:bCs/>
          <w:sz w:val="22"/>
          <w:szCs w:val="22"/>
        </w:rPr>
      </w:pPr>
      <w:r>
        <w:rPr>
          <w:b/>
          <w:bCs/>
          <w:sz w:val="22"/>
          <w:szCs w:val="22"/>
        </w:rPr>
        <w:t xml:space="preserve">Annex A: </w:t>
      </w:r>
      <w:r w:rsidR="008C77B2">
        <w:rPr>
          <w:b/>
          <w:bCs/>
          <w:sz w:val="22"/>
          <w:szCs w:val="22"/>
        </w:rPr>
        <w:t>Technical assistance</w:t>
      </w:r>
      <w:r>
        <w:rPr>
          <w:b/>
          <w:bCs/>
          <w:sz w:val="22"/>
          <w:szCs w:val="22"/>
        </w:rPr>
        <w:t xml:space="preserve"> delivered in 2019</w:t>
      </w:r>
    </w:p>
    <w:tbl>
      <w:tblPr>
        <w:tblStyle w:val="PlainTable1"/>
        <w:tblW w:w="10201" w:type="dxa"/>
        <w:tblLayout w:type="fixed"/>
        <w:tblLook w:val="04A0" w:firstRow="1" w:lastRow="0" w:firstColumn="1" w:lastColumn="0" w:noHBand="0" w:noVBand="1"/>
      </w:tblPr>
      <w:tblGrid>
        <w:gridCol w:w="2405"/>
        <w:gridCol w:w="7796"/>
      </w:tblGrid>
      <w:tr w:rsidR="00F40CDB" w:rsidRPr="00EE24D2" w14:paraId="7B903872" w14:textId="77777777" w:rsidTr="00191418">
        <w:trPr>
          <w:cnfStyle w:val="100000000000" w:firstRow="1" w:lastRow="0" w:firstColumn="0" w:lastColumn="0" w:oddVBand="0" w:evenVBand="0" w:oddHBand="0"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2405" w:type="dxa"/>
          </w:tcPr>
          <w:p w14:paraId="29CCDEDC" w14:textId="3D0864A2" w:rsidR="00F40CDB" w:rsidRPr="00EE24D2" w:rsidRDefault="00F40CDB" w:rsidP="00191418">
            <w:pPr>
              <w:spacing w:before="120" w:after="120" w:line="276" w:lineRule="auto"/>
              <w:jc w:val="both"/>
              <w:rPr>
                <w:rFonts w:cs="Arial"/>
                <w:sz w:val="20"/>
                <w:szCs w:val="20"/>
              </w:rPr>
            </w:pPr>
            <w:r w:rsidRPr="00EE24D2">
              <w:rPr>
                <w:rFonts w:cs="Arial"/>
                <w:caps/>
                <w:sz w:val="20"/>
                <w:szCs w:val="20"/>
              </w:rPr>
              <w:t>Indicator</w:t>
            </w:r>
          </w:p>
        </w:tc>
        <w:tc>
          <w:tcPr>
            <w:tcW w:w="7796" w:type="dxa"/>
          </w:tcPr>
          <w:p w14:paraId="6B000A18" w14:textId="1608B0BC" w:rsidR="00F40CDB" w:rsidRPr="00EE24D2" w:rsidRDefault="00F40CDB" w:rsidP="00191418">
            <w:pPr>
              <w:spacing w:before="120" w:after="120" w:line="276" w:lineRule="auto"/>
              <w:jc w:val="both"/>
              <w:cnfStyle w:val="100000000000" w:firstRow="1" w:lastRow="0" w:firstColumn="0" w:lastColumn="0" w:oddVBand="0" w:evenVBand="0" w:oddHBand="0" w:evenHBand="0" w:firstRowFirstColumn="0" w:firstRowLastColumn="0" w:lastRowFirstColumn="0" w:lastRowLastColumn="0"/>
              <w:rPr>
                <w:rFonts w:cs="Arial"/>
                <w:sz w:val="20"/>
                <w:szCs w:val="20"/>
              </w:rPr>
            </w:pPr>
            <w:r w:rsidRPr="00EE24D2">
              <w:rPr>
                <w:rFonts w:cs="Arial"/>
                <w:caps/>
                <w:sz w:val="20"/>
                <w:szCs w:val="20"/>
              </w:rPr>
              <w:t>Description</w:t>
            </w:r>
          </w:p>
        </w:tc>
      </w:tr>
      <w:tr w:rsidR="00F40CDB" w:rsidRPr="00EE24D2" w14:paraId="76D530A5" w14:textId="77777777" w:rsidTr="00191418">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2405" w:type="dxa"/>
          </w:tcPr>
          <w:p w14:paraId="64DDE81A" w14:textId="3278398E" w:rsidR="00F40CDB" w:rsidRPr="00EE24D2" w:rsidRDefault="00844C3D" w:rsidP="00191418">
            <w:pPr>
              <w:spacing w:before="120" w:after="120" w:line="276" w:lineRule="auto"/>
              <w:jc w:val="both"/>
              <w:rPr>
                <w:rFonts w:cs="Arial"/>
                <w:sz w:val="20"/>
                <w:szCs w:val="20"/>
              </w:rPr>
            </w:pPr>
            <w:bookmarkStart w:id="1" w:name="_Hlk44344378"/>
            <w:r>
              <w:rPr>
                <w:rFonts w:cs="Arial"/>
                <w:caps/>
                <w:sz w:val="20"/>
                <w:szCs w:val="20"/>
              </w:rPr>
              <w:t>Output</w:t>
            </w:r>
            <w:r w:rsidR="00F40CDB" w:rsidRPr="00EE24D2">
              <w:rPr>
                <w:rFonts w:cs="Arial"/>
                <w:caps/>
                <w:sz w:val="20"/>
                <w:szCs w:val="20"/>
              </w:rPr>
              <w:t xml:space="preserve"> indicator 1.1</w:t>
            </w:r>
          </w:p>
          <w:p w14:paraId="40E3A099" w14:textId="08AE4FD6" w:rsidR="00F40CDB" w:rsidRPr="00EE24D2" w:rsidRDefault="00F40CDB" w:rsidP="00191418">
            <w:pPr>
              <w:spacing w:before="120" w:after="120" w:line="276" w:lineRule="auto"/>
              <w:jc w:val="both"/>
              <w:rPr>
                <w:rFonts w:cs="Arial"/>
                <w:b w:val="0"/>
                <w:bCs w:val="0"/>
                <w:sz w:val="20"/>
                <w:szCs w:val="20"/>
              </w:rPr>
            </w:pPr>
          </w:p>
        </w:tc>
        <w:tc>
          <w:tcPr>
            <w:tcW w:w="7796" w:type="dxa"/>
          </w:tcPr>
          <w:p w14:paraId="63F6317B" w14:textId="693E2B7C" w:rsidR="00F40CDB" w:rsidRPr="008708E0" w:rsidRDefault="00F40CDB" w:rsidP="00191418">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cs="Arial"/>
                <w:color w:val="FF0000"/>
                <w:sz w:val="20"/>
                <w:szCs w:val="20"/>
              </w:rPr>
            </w:pPr>
            <w:r w:rsidRPr="008708E0">
              <w:rPr>
                <w:rFonts w:cs="Arial"/>
                <w:sz w:val="20"/>
                <w:szCs w:val="20"/>
              </w:rPr>
              <w:t>Four Country Dialogues were developed with the Ministries of Finance in Peru, Colombia, Mexico</w:t>
            </w:r>
            <w:r w:rsidR="000904DE">
              <w:rPr>
                <w:rFonts w:cs="Arial"/>
                <w:sz w:val="20"/>
                <w:szCs w:val="20"/>
              </w:rPr>
              <w:t>,</w:t>
            </w:r>
            <w:r w:rsidRPr="008708E0">
              <w:rPr>
                <w:rFonts w:cs="Arial"/>
                <w:sz w:val="20"/>
                <w:szCs w:val="20"/>
              </w:rPr>
              <w:t xml:space="preserve"> and Brazil. Priorities were identified and targeted interventions were designed.</w:t>
            </w:r>
          </w:p>
        </w:tc>
      </w:tr>
      <w:bookmarkEnd w:id="1"/>
      <w:tr w:rsidR="00F40CDB" w:rsidRPr="00EE24D2" w14:paraId="658F937E" w14:textId="77777777" w:rsidTr="00191418">
        <w:trPr>
          <w:trHeight w:val="248"/>
        </w:trPr>
        <w:tc>
          <w:tcPr>
            <w:cnfStyle w:val="001000000000" w:firstRow="0" w:lastRow="0" w:firstColumn="1" w:lastColumn="0" w:oddVBand="0" w:evenVBand="0" w:oddHBand="0" w:evenHBand="0" w:firstRowFirstColumn="0" w:firstRowLastColumn="0" w:lastRowFirstColumn="0" w:lastRowLastColumn="0"/>
            <w:tcW w:w="2405" w:type="dxa"/>
          </w:tcPr>
          <w:p w14:paraId="10921D82" w14:textId="5F319D6D" w:rsidR="00F40CDB" w:rsidRPr="00C9118F" w:rsidRDefault="00844C3D" w:rsidP="00191418">
            <w:pPr>
              <w:spacing w:before="120" w:after="120" w:line="276" w:lineRule="auto"/>
              <w:jc w:val="both"/>
              <w:rPr>
                <w:rFonts w:cs="Arial"/>
                <w:sz w:val="20"/>
                <w:szCs w:val="20"/>
              </w:rPr>
            </w:pPr>
            <w:r>
              <w:rPr>
                <w:rFonts w:cs="Arial"/>
                <w:caps/>
                <w:sz w:val="20"/>
                <w:szCs w:val="20"/>
              </w:rPr>
              <w:t>Output</w:t>
            </w:r>
            <w:r w:rsidR="00F40CDB" w:rsidRPr="00C9118F">
              <w:rPr>
                <w:rFonts w:cs="Arial"/>
                <w:caps/>
                <w:sz w:val="20"/>
                <w:szCs w:val="20"/>
              </w:rPr>
              <w:t xml:space="preserve"> indicator 1.</w:t>
            </w:r>
            <w:r w:rsidR="00F40CDB">
              <w:rPr>
                <w:rFonts w:cs="Arial"/>
                <w:caps/>
                <w:sz w:val="20"/>
                <w:szCs w:val="20"/>
              </w:rPr>
              <w:t>2</w:t>
            </w:r>
          </w:p>
        </w:tc>
        <w:tc>
          <w:tcPr>
            <w:tcW w:w="7796" w:type="dxa"/>
          </w:tcPr>
          <w:p w14:paraId="2E308411" w14:textId="29D55C28" w:rsidR="00F40CDB" w:rsidRDefault="00F40CDB" w:rsidP="00191418">
            <w:pPr>
              <w:spacing w:before="120" w:after="120" w:line="276" w:lineRule="auto"/>
              <w:suppressOverlap/>
              <w:cnfStyle w:val="000000000000" w:firstRow="0" w:lastRow="0" w:firstColumn="0" w:lastColumn="0" w:oddVBand="0" w:evenVBand="0" w:oddHBand="0" w:evenHBand="0" w:firstRowFirstColumn="0" w:firstRowLastColumn="0" w:lastRowFirstColumn="0" w:lastRowLastColumn="0"/>
              <w:rPr>
                <w:bCs/>
                <w:sz w:val="20"/>
                <w:szCs w:val="22"/>
              </w:rPr>
            </w:pPr>
            <w:r w:rsidRPr="000D7F61">
              <w:rPr>
                <w:b/>
                <w:sz w:val="20"/>
                <w:szCs w:val="22"/>
              </w:rPr>
              <w:t>REGIONAL</w:t>
            </w:r>
            <w:r>
              <w:rPr>
                <w:b/>
                <w:sz w:val="20"/>
                <w:szCs w:val="22"/>
              </w:rPr>
              <w:t>,</w:t>
            </w:r>
            <w:r w:rsidRPr="000D7F61">
              <w:rPr>
                <w:b/>
                <w:sz w:val="20"/>
                <w:szCs w:val="22"/>
              </w:rPr>
              <w:t xml:space="preserve"> COP25</w:t>
            </w:r>
            <w:r>
              <w:rPr>
                <w:b/>
                <w:sz w:val="20"/>
                <w:szCs w:val="22"/>
              </w:rPr>
              <w:t xml:space="preserve"> - </w:t>
            </w:r>
            <w:r w:rsidRPr="000D7F61">
              <w:rPr>
                <w:bCs/>
                <w:sz w:val="20"/>
                <w:szCs w:val="22"/>
              </w:rPr>
              <w:t xml:space="preserve">IDB Invest hosted panels with infrastructure clients to discuss application of sustainable infrastructure for large projects but also for affordable housing and solar energy. </w:t>
            </w:r>
          </w:p>
          <w:p w14:paraId="16475CA4" w14:textId="77777777" w:rsidR="00F40CDB" w:rsidRPr="000D7F61" w:rsidRDefault="00F40CDB" w:rsidP="00191418">
            <w:pPr>
              <w:spacing w:before="120" w:after="120" w:line="276" w:lineRule="auto"/>
              <w:suppressOverlap/>
              <w:cnfStyle w:val="000000000000" w:firstRow="0" w:lastRow="0" w:firstColumn="0" w:lastColumn="0" w:oddVBand="0" w:evenVBand="0" w:oddHBand="0" w:evenHBand="0" w:firstRowFirstColumn="0" w:firstRowLastColumn="0" w:lastRowFirstColumn="0" w:lastRowLastColumn="0"/>
              <w:rPr>
                <w:bCs/>
                <w:sz w:val="20"/>
                <w:szCs w:val="22"/>
              </w:rPr>
            </w:pPr>
          </w:p>
          <w:p w14:paraId="4AB9B899" w14:textId="77777777" w:rsidR="00F40CDB" w:rsidRDefault="00F40CDB" w:rsidP="00191418">
            <w:pPr>
              <w:spacing w:before="120" w:after="120" w:line="276" w:lineRule="auto"/>
              <w:suppressOverlap/>
              <w:cnfStyle w:val="000000000000" w:firstRow="0" w:lastRow="0" w:firstColumn="0" w:lastColumn="0" w:oddVBand="0" w:evenVBand="0" w:oddHBand="0" w:evenHBand="0" w:firstRowFirstColumn="0" w:firstRowLastColumn="0" w:lastRowFirstColumn="0" w:lastRowLastColumn="0"/>
              <w:rPr>
                <w:bCs/>
                <w:sz w:val="20"/>
                <w:szCs w:val="22"/>
              </w:rPr>
            </w:pPr>
            <w:r w:rsidRPr="0068386E">
              <w:rPr>
                <w:b/>
                <w:sz w:val="20"/>
                <w:szCs w:val="22"/>
              </w:rPr>
              <w:t>REGIONAL -</w:t>
            </w:r>
            <w:r w:rsidRPr="000D7F61">
              <w:rPr>
                <w:bCs/>
                <w:sz w:val="20"/>
                <w:szCs w:val="22"/>
              </w:rPr>
              <w:t xml:space="preserve"> Sustainability Week 2019 included sustainable infrastructure as one of the main workshop tracks. The sustainable infrastructure track had over 100 participants from 67 institutions, of which over 70% held senior management roles. </w:t>
            </w:r>
          </w:p>
          <w:p w14:paraId="51EBA830" w14:textId="77777777" w:rsidR="00F40CDB" w:rsidRPr="000D7F61" w:rsidRDefault="00F40CDB" w:rsidP="00191418">
            <w:pPr>
              <w:spacing w:before="120" w:after="120" w:line="276" w:lineRule="auto"/>
              <w:suppressOverlap/>
              <w:cnfStyle w:val="000000000000" w:firstRow="0" w:lastRow="0" w:firstColumn="0" w:lastColumn="0" w:oddVBand="0" w:evenVBand="0" w:oddHBand="0" w:evenHBand="0" w:firstRowFirstColumn="0" w:firstRowLastColumn="0" w:lastRowFirstColumn="0" w:lastRowLastColumn="0"/>
              <w:rPr>
                <w:bCs/>
                <w:sz w:val="20"/>
                <w:szCs w:val="22"/>
              </w:rPr>
            </w:pPr>
          </w:p>
          <w:p w14:paraId="58A014C6" w14:textId="78CAE1D0" w:rsidR="00F40CDB" w:rsidRDefault="00F40CDB" w:rsidP="00191418">
            <w:pPr>
              <w:spacing w:before="120" w:after="120" w:line="276" w:lineRule="auto"/>
              <w:suppressOverlap/>
              <w:cnfStyle w:val="000000000000" w:firstRow="0" w:lastRow="0" w:firstColumn="0" w:lastColumn="0" w:oddVBand="0" w:evenVBand="0" w:oddHBand="0" w:evenHBand="0" w:firstRowFirstColumn="0" w:firstRowLastColumn="0" w:lastRowFirstColumn="0" w:lastRowLastColumn="0"/>
              <w:rPr>
                <w:bCs/>
                <w:sz w:val="20"/>
                <w:szCs w:val="22"/>
              </w:rPr>
            </w:pPr>
            <w:r w:rsidRPr="0068386E">
              <w:rPr>
                <w:b/>
                <w:sz w:val="20"/>
                <w:szCs w:val="22"/>
              </w:rPr>
              <w:t xml:space="preserve">REGIONAL </w:t>
            </w:r>
            <w:r w:rsidR="00CF3401">
              <w:rPr>
                <w:bCs/>
                <w:sz w:val="20"/>
                <w:szCs w:val="22"/>
              </w:rPr>
              <w:t>–</w:t>
            </w:r>
            <w:r w:rsidRPr="000D7F61">
              <w:rPr>
                <w:bCs/>
                <w:sz w:val="20"/>
                <w:szCs w:val="22"/>
              </w:rPr>
              <w:t xml:space="preserve"> </w:t>
            </w:r>
            <w:r w:rsidR="008C77B2">
              <w:rPr>
                <w:bCs/>
                <w:sz w:val="20"/>
                <w:szCs w:val="22"/>
              </w:rPr>
              <w:t>Technical assistance</w:t>
            </w:r>
            <w:r w:rsidRPr="000D7F61">
              <w:rPr>
                <w:bCs/>
                <w:sz w:val="20"/>
                <w:szCs w:val="22"/>
              </w:rPr>
              <w:t xml:space="preserve"> supported the participation of (1)</w:t>
            </w:r>
            <w:r>
              <w:rPr>
                <w:bCs/>
                <w:sz w:val="20"/>
                <w:szCs w:val="22"/>
              </w:rPr>
              <w:t xml:space="preserve"> </w:t>
            </w:r>
            <w:r w:rsidRPr="000D7F61">
              <w:rPr>
                <w:bCs/>
                <w:sz w:val="20"/>
                <w:szCs w:val="22"/>
              </w:rPr>
              <w:t>Colombian Government Representative and (1) Mexican Government Representative for a 6-week program offering academic and practical training for senior-level public-sector officials in emerging markets governments, ministries or agencies responsible for infrastructure planning, development and management.</w:t>
            </w:r>
          </w:p>
          <w:p w14:paraId="1049D9E2" w14:textId="77777777" w:rsidR="00F40CDB" w:rsidRPr="000D7F61" w:rsidRDefault="00F40CDB" w:rsidP="00191418">
            <w:pPr>
              <w:spacing w:before="120" w:after="120" w:line="276" w:lineRule="auto"/>
              <w:suppressOverlap/>
              <w:cnfStyle w:val="000000000000" w:firstRow="0" w:lastRow="0" w:firstColumn="0" w:lastColumn="0" w:oddVBand="0" w:evenVBand="0" w:oddHBand="0" w:evenHBand="0" w:firstRowFirstColumn="0" w:firstRowLastColumn="0" w:lastRowFirstColumn="0" w:lastRowLastColumn="0"/>
              <w:rPr>
                <w:bCs/>
                <w:sz w:val="20"/>
                <w:szCs w:val="22"/>
              </w:rPr>
            </w:pPr>
          </w:p>
          <w:p w14:paraId="7C38606E" w14:textId="77777777" w:rsidR="00F40CDB" w:rsidRPr="000D7F61" w:rsidRDefault="00F40CDB" w:rsidP="00191418">
            <w:pPr>
              <w:spacing w:before="120" w:after="120" w:line="276" w:lineRule="auto"/>
              <w:suppressOverlap/>
              <w:cnfStyle w:val="000000000000" w:firstRow="0" w:lastRow="0" w:firstColumn="0" w:lastColumn="0" w:oddVBand="0" w:evenVBand="0" w:oddHBand="0" w:evenHBand="0" w:firstRowFirstColumn="0" w:firstRowLastColumn="0" w:lastRowFirstColumn="0" w:lastRowLastColumn="0"/>
              <w:rPr>
                <w:bCs/>
                <w:sz w:val="20"/>
                <w:szCs w:val="22"/>
              </w:rPr>
            </w:pPr>
            <w:r w:rsidRPr="0068386E">
              <w:rPr>
                <w:b/>
                <w:sz w:val="20"/>
                <w:szCs w:val="22"/>
              </w:rPr>
              <w:t>MEXICO -</w:t>
            </w:r>
            <w:r w:rsidRPr="000D7F61">
              <w:rPr>
                <w:bCs/>
                <w:sz w:val="20"/>
                <w:szCs w:val="22"/>
              </w:rPr>
              <w:t xml:space="preserve"> A technical workshop with the Mexican Ministry of Finance in Mexico to present the Public Investment prioritization</w:t>
            </w:r>
          </w:p>
          <w:p w14:paraId="19D8580B" w14:textId="77777777" w:rsidR="00F40CDB" w:rsidRDefault="00F40CDB" w:rsidP="00191418">
            <w:pPr>
              <w:spacing w:before="120" w:after="120" w:line="276" w:lineRule="auto"/>
              <w:suppressOverlap/>
              <w:cnfStyle w:val="000000000000" w:firstRow="0" w:lastRow="0" w:firstColumn="0" w:lastColumn="0" w:oddVBand="0" w:evenVBand="0" w:oddHBand="0" w:evenHBand="0" w:firstRowFirstColumn="0" w:firstRowLastColumn="0" w:lastRowFirstColumn="0" w:lastRowLastColumn="0"/>
              <w:rPr>
                <w:bCs/>
                <w:sz w:val="20"/>
                <w:szCs w:val="22"/>
              </w:rPr>
            </w:pPr>
            <w:r w:rsidRPr="000D7F61">
              <w:rPr>
                <w:bCs/>
                <w:sz w:val="20"/>
                <w:szCs w:val="22"/>
              </w:rPr>
              <w:t xml:space="preserve"> </w:t>
            </w:r>
          </w:p>
          <w:p w14:paraId="1BB6700C" w14:textId="77777777" w:rsidR="00F40CDB" w:rsidRDefault="00F40CDB" w:rsidP="00191418">
            <w:pPr>
              <w:spacing w:before="120" w:after="120" w:line="276" w:lineRule="auto"/>
              <w:suppressOverlap/>
              <w:cnfStyle w:val="000000000000" w:firstRow="0" w:lastRow="0" w:firstColumn="0" w:lastColumn="0" w:oddVBand="0" w:evenVBand="0" w:oddHBand="0" w:evenHBand="0" w:firstRowFirstColumn="0" w:firstRowLastColumn="0" w:lastRowFirstColumn="0" w:lastRowLastColumn="0"/>
              <w:rPr>
                <w:bCs/>
                <w:sz w:val="20"/>
                <w:szCs w:val="22"/>
              </w:rPr>
            </w:pPr>
            <w:r w:rsidRPr="0068386E">
              <w:rPr>
                <w:b/>
                <w:sz w:val="20"/>
                <w:szCs w:val="22"/>
              </w:rPr>
              <w:t>MEXICO -</w:t>
            </w:r>
            <w:r w:rsidRPr="000D7F61">
              <w:rPr>
                <w:bCs/>
                <w:sz w:val="20"/>
                <w:szCs w:val="22"/>
              </w:rPr>
              <w:t xml:space="preserve"> A technical workshop with the Mexican National Infrastructure Bank (</w:t>
            </w:r>
            <w:proofErr w:type="spellStart"/>
            <w:r w:rsidRPr="000D7F61">
              <w:rPr>
                <w:bCs/>
                <w:sz w:val="20"/>
                <w:szCs w:val="22"/>
              </w:rPr>
              <w:t>Banobras</w:t>
            </w:r>
            <w:proofErr w:type="spellEnd"/>
            <w:r w:rsidRPr="000D7F61">
              <w:rPr>
                <w:bCs/>
                <w:sz w:val="20"/>
                <w:szCs w:val="22"/>
              </w:rPr>
              <w:t>) to present the sustainable infrastructure evaluation methodology. (</w:t>
            </w:r>
            <w:proofErr w:type="spellStart"/>
            <w:r w:rsidRPr="000D7F61">
              <w:rPr>
                <w:bCs/>
                <w:sz w:val="20"/>
                <w:szCs w:val="22"/>
              </w:rPr>
              <w:t>Proyectos</w:t>
            </w:r>
            <w:proofErr w:type="spellEnd"/>
            <w:r w:rsidRPr="000D7F61">
              <w:rPr>
                <w:bCs/>
                <w:sz w:val="20"/>
                <w:szCs w:val="22"/>
              </w:rPr>
              <w:t xml:space="preserve"> Mexico)</w:t>
            </w:r>
          </w:p>
          <w:p w14:paraId="40F52BDD" w14:textId="77777777" w:rsidR="00F40CDB" w:rsidRPr="000D7F61" w:rsidRDefault="00F40CDB" w:rsidP="00191418">
            <w:pPr>
              <w:spacing w:before="120" w:after="120" w:line="276" w:lineRule="auto"/>
              <w:suppressOverlap/>
              <w:cnfStyle w:val="000000000000" w:firstRow="0" w:lastRow="0" w:firstColumn="0" w:lastColumn="0" w:oddVBand="0" w:evenVBand="0" w:oddHBand="0" w:evenHBand="0" w:firstRowFirstColumn="0" w:firstRowLastColumn="0" w:lastRowFirstColumn="0" w:lastRowLastColumn="0"/>
              <w:rPr>
                <w:bCs/>
                <w:sz w:val="20"/>
                <w:szCs w:val="22"/>
              </w:rPr>
            </w:pPr>
          </w:p>
          <w:p w14:paraId="18A09D45" w14:textId="11171096" w:rsidR="00F40CDB" w:rsidRDefault="00F40CDB" w:rsidP="00191418">
            <w:pPr>
              <w:spacing w:before="120" w:after="120" w:line="276" w:lineRule="auto"/>
              <w:suppressOverlap/>
              <w:cnfStyle w:val="000000000000" w:firstRow="0" w:lastRow="0" w:firstColumn="0" w:lastColumn="0" w:oddVBand="0" w:evenVBand="0" w:oddHBand="0" w:evenHBand="0" w:firstRowFirstColumn="0" w:firstRowLastColumn="0" w:lastRowFirstColumn="0" w:lastRowLastColumn="0"/>
              <w:rPr>
                <w:bCs/>
                <w:sz w:val="20"/>
                <w:szCs w:val="22"/>
              </w:rPr>
            </w:pPr>
            <w:r w:rsidRPr="0068386E">
              <w:rPr>
                <w:b/>
                <w:sz w:val="20"/>
                <w:szCs w:val="22"/>
              </w:rPr>
              <w:t xml:space="preserve">COLOMBIA </w:t>
            </w:r>
            <w:r w:rsidRPr="000D7F61">
              <w:rPr>
                <w:bCs/>
                <w:sz w:val="20"/>
                <w:szCs w:val="22"/>
              </w:rPr>
              <w:t xml:space="preserve">- A Technical Workshop with the Infrastructure and Environment Ministries in Colombia to design a roadmap to deliver Sustainable Infrastructure in the country. </w:t>
            </w:r>
          </w:p>
          <w:p w14:paraId="64BE2DB1" w14:textId="77777777" w:rsidR="00F40CDB" w:rsidRPr="000D7F61" w:rsidRDefault="00F40CDB" w:rsidP="00191418">
            <w:pPr>
              <w:spacing w:before="120" w:after="120" w:line="276" w:lineRule="auto"/>
              <w:suppressOverlap/>
              <w:cnfStyle w:val="000000000000" w:firstRow="0" w:lastRow="0" w:firstColumn="0" w:lastColumn="0" w:oddVBand="0" w:evenVBand="0" w:oddHBand="0" w:evenHBand="0" w:firstRowFirstColumn="0" w:firstRowLastColumn="0" w:lastRowFirstColumn="0" w:lastRowLastColumn="0"/>
              <w:rPr>
                <w:bCs/>
                <w:sz w:val="20"/>
                <w:szCs w:val="22"/>
              </w:rPr>
            </w:pPr>
          </w:p>
          <w:p w14:paraId="6EEBC008" w14:textId="3F8D619D" w:rsidR="00F40CDB" w:rsidRDefault="00F40CDB" w:rsidP="00191418">
            <w:pPr>
              <w:autoSpaceDE w:val="0"/>
              <w:autoSpaceDN w:val="0"/>
              <w:adjustRightInd w:val="0"/>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cs="Arial"/>
                <w:bCs/>
                <w:sz w:val="22"/>
                <w:szCs w:val="22"/>
                <w:lang w:eastAsia="en-GB"/>
              </w:rPr>
            </w:pPr>
            <w:r w:rsidRPr="0068386E">
              <w:rPr>
                <w:b/>
                <w:sz w:val="20"/>
                <w:szCs w:val="22"/>
              </w:rPr>
              <w:t>PERU -</w:t>
            </w:r>
            <w:r w:rsidRPr="000D7F61">
              <w:rPr>
                <w:bCs/>
                <w:sz w:val="20"/>
                <w:szCs w:val="22"/>
              </w:rPr>
              <w:t xml:space="preserve"> A Sustainable Infrastructure Technical Workshop with the </w:t>
            </w:r>
            <w:r w:rsidR="00FE46DA">
              <w:rPr>
                <w:bCs/>
                <w:sz w:val="20"/>
                <w:szCs w:val="22"/>
              </w:rPr>
              <w:t>Ministry of Finance</w:t>
            </w:r>
            <w:r w:rsidRPr="000D7F61">
              <w:rPr>
                <w:bCs/>
                <w:sz w:val="20"/>
                <w:szCs w:val="22"/>
              </w:rPr>
              <w:t xml:space="preserve"> in Peru for the National Infrastructure Plan</w:t>
            </w:r>
          </w:p>
          <w:p w14:paraId="3EDAA8EE" w14:textId="486BD1D6" w:rsidR="00F40CDB" w:rsidRPr="00EE24D2" w:rsidRDefault="00F40CDB" w:rsidP="00191418">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p>
        </w:tc>
      </w:tr>
      <w:tr w:rsidR="00F40CDB" w:rsidRPr="00EE24D2" w14:paraId="724F243E" w14:textId="77777777" w:rsidTr="00191418">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2405" w:type="dxa"/>
          </w:tcPr>
          <w:p w14:paraId="69DEE495" w14:textId="4D74BC81" w:rsidR="00F40CDB" w:rsidRDefault="00844C3D" w:rsidP="00191418">
            <w:pPr>
              <w:spacing w:before="120" w:after="120" w:line="276" w:lineRule="auto"/>
              <w:rPr>
                <w:rFonts w:cs="Arial"/>
                <w:sz w:val="20"/>
                <w:szCs w:val="20"/>
              </w:rPr>
            </w:pPr>
            <w:r>
              <w:rPr>
                <w:rFonts w:cs="Arial"/>
                <w:caps/>
                <w:sz w:val="20"/>
                <w:szCs w:val="20"/>
              </w:rPr>
              <w:t>Output</w:t>
            </w:r>
            <w:r w:rsidR="00F40CDB" w:rsidRPr="00622608">
              <w:rPr>
                <w:rFonts w:cs="Arial"/>
                <w:caps/>
                <w:sz w:val="20"/>
                <w:szCs w:val="20"/>
              </w:rPr>
              <w:t xml:space="preserve"> Indicator 1.3</w:t>
            </w:r>
            <w:r w:rsidR="00F40CDB">
              <w:rPr>
                <w:rFonts w:cs="Arial"/>
                <w:b w:val="0"/>
                <w:bCs w:val="0"/>
                <w:caps/>
                <w:sz w:val="20"/>
                <w:szCs w:val="20"/>
              </w:rPr>
              <w:t xml:space="preserve"> </w:t>
            </w:r>
          </w:p>
          <w:p w14:paraId="6878A76B" w14:textId="77777777" w:rsidR="00F40CDB" w:rsidRPr="00C9118F" w:rsidRDefault="00F40CDB" w:rsidP="00191418">
            <w:pPr>
              <w:spacing w:before="120" w:after="120" w:line="276" w:lineRule="auto"/>
              <w:rPr>
                <w:rFonts w:cs="Arial"/>
                <w:caps/>
                <w:sz w:val="20"/>
                <w:szCs w:val="20"/>
              </w:rPr>
            </w:pPr>
          </w:p>
        </w:tc>
        <w:tc>
          <w:tcPr>
            <w:tcW w:w="7796" w:type="dxa"/>
          </w:tcPr>
          <w:p w14:paraId="77BB94FA" w14:textId="2F65B879" w:rsidR="00F40CDB" w:rsidRPr="00F96CE4" w:rsidRDefault="00F40CDB" w:rsidP="00191418">
            <w:pPr>
              <w:spacing w:before="120" w:after="120" w:line="276" w:lineRule="auto"/>
              <w:suppressOverlap/>
              <w:jc w:val="both"/>
              <w:cnfStyle w:val="000000100000" w:firstRow="0" w:lastRow="0" w:firstColumn="0" w:lastColumn="0" w:oddVBand="0" w:evenVBand="0" w:oddHBand="1" w:evenHBand="0" w:firstRowFirstColumn="0" w:firstRowLastColumn="0" w:lastRowFirstColumn="0" w:lastRowLastColumn="0"/>
              <w:rPr>
                <w:bCs/>
                <w:sz w:val="20"/>
                <w:szCs w:val="22"/>
              </w:rPr>
            </w:pPr>
            <w:r w:rsidRPr="00CA44FF">
              <w:rPr>
                <w:b/>
                <w:sz w:val="20"/>
                <w:szCs w:val="22"/>
              </w:rPr>
              <w:lastRenderedPageBreak/>
              <w:t>COLOMBIA-</w:t>
            </w:r>
            <w:r w:rsidRPr="00F96CE4">
              <w:rPr>
                <w:bCs/>
                <w:sz w:val="20"/>
                <w:szCs w:val="22"/>
              </w:rPr>
              <w:t xml:space="preserve"> Evaluation of the risks that arise from the Long-Term Energy Auction for Power Purchase Agreements from Renewable Energy sources and propose improvements to the mechanism in aspects related to said risk were developed.   As a </w:t>
            </w:r>
            <w:r w:rsidRPr="00F96CE4">
              <w:rPr>
                <w:bCs/>
                <w:sz w:val="20"/>
                <w:szCs w:val="22"/>
              </w:rPr>
              <w:lastRenderedPageBreak/>
              <w:t>result, several recommendations to strengthen the risk mechanism of the Long-Term Energy Auction were designed.</w:t>
            </w:r>
            <w:r>
              <w:rPr>
                <w:bCs/>
                <w:sz w:val="20"/>
                <w:szCs w:val="22"/>
              </w:rPr>
              <w:t xml:space="preserve"> </w:t>
            </w:r>
            <w:r w:rsidRPr="00F96CE4">
              <w:rPr>
                <w:bCs/>
                <w:sz w:val="20"/>
                <w:szCs w:val="22"/>
              </w:rPr>
              <w:t>The Ministry of Mines and Energy, entity in charge of arranging the Long-Term Energy Auctions has expressed its intention of using the proposed design as a basis for future auctions, in case they are arranged.</w:t>
            </w:r>
          </w:p>
        </w:tc>
      </w:tr>
      <w:tr w:rsidR="00F40CDB" w:rsidRPr="00EE24D2" w14:paraId="1C8542BE" w14:textId="77777777" w:rsidTr="00191418">
        <w:trPr>
          <w:trHeight w:val="248"/>
        </w:trPr>
        <w:tc>
          <w:tcPr>
            <w:cnfStyle w:val="001000000000" w:firstRow="0" w:lastRow="0" w:firstColumn="1" w:lastColumn="0" w:oddVBand="0" w:evenVBand="0" w:oddHBand="0" w:evenHBand="0" w:firstRowFirstColumn="0" w:firstRowLastColumn="0" w:lastRowFirstColumn="0" w:lastRowLastColumn="0"/>
            <w:tcW w:w="2405" w:type="dxa"/>
          </w:tcPr>
          <w:p w14:paraId="29968385" w14:textId="7F2BC80D" w:rsidR="00F40CDB" w:rsidRDefault="00844C3D" w:rsidP="00191418">
            <w:pPr>
              <w:spacing w:before="120" w:after="120" w:line="276" w:lineRule="auto"/>
              <w:rPr>
                <w:rFonts w:cs="Arial"/>
                <w:b w:val="0"/>
                <w:bCs w:val="0"/>
                <w:caps/>
                <w:sz w:val="20"/>
                <w:szCs w:val="20"/>
              </w:rPr>
            </w:pPr>
            <w:r>
              <w:rPr>
                <w:rFonts w:cs="Arial"/>
                <w:caps/>
                <w:sz w:val="20"/>
                <w:szCs w:val="20"/>
              </w:rPr>
              <w:lastRenderedPageBreak/>
              <w:t>Output</w:t>
            </w:r>
            <w:r w:rsidR="00F40CDB">
              <w:rPr>
                <w:rFonts w:cs="Arial"/>
                <w:caps/>
                <w:sz w:val="20"/>
                <w:szCs w:val="20"/>
              </w:rPr>
              <w:t xml:space="preserve"> Indicator 1.4</w:t>
            </w:r>
          </w:p>
          <w:p w14:paraId="7F659F46" w14:textId="5FB0E78F" w:rsidR="00F40CDB" w:rsidRPr="002A7203" w:rsidRDefault="00F40CDB" w:rsidP="00191418">
            <w:pPr>
              <w:spacing w:before="120" w:after="120" w:line="276" w:lineRule="auto"/>
              <w:rPr>
                <w:rFonts w:cs="Arial"/>
                <w:b w:val="0"/>
                <w:bCs w:val="0"/>
                <w:caps/>
                <w:sz w:val="20"/>
                <w:szCs w:val="20"/>
              </w:rPr>
            </w:pPr>
          </w:p>
        </w:tc>
        <w:tc>
          <w:tcPr>
            <w:tcW w:w="7796" w:type="dxa"/>
          </w:tcPr>
          <w:p w14:paraId="1BBF78A5" w14:textId="5A6339B8" w:rsidR="00F40CDB" w:rsidRDefault="00F40CDB" w:rsidP="00191418">
            <w:pPr>
              <w:spacing w:before="120" w:after="120" w:line="276" w:lineRule="auto"/>
              <w:suppressOverlap/>
              <w:jc w:val="both"/>
              <w:cnfStyle w:val="000000000000" w:firstRow="0" w:lastRow="0" w:firstColumn="0" w:lastColumn="0" w:oddVBand="0" w:evenVBand="0" w:oddHBand="0" w:evenHBand="0" w:firstRowFirstColumn="0" w:firstRowLastColumn="0" w:lastRowFirstColumn="0" w:lastRowLastColumn="0"/>
              <w:rPr>
                <w:bCs/>
                <w:sz w:val="20"/>
                <w:szCs w:val="22"/>
              </w:rPr>
            </w:pPr>
            <w:r w:rsidRPr="000904DE">
              <w:rPr>
                <w:b/>
                <w:sz w:val="20"/>
                <w:szCs w:val="22"/>
              </w:rPr>
              <w:t>MEXICO</w:t>
            </w:r>
            <w:r w:rsidRPr="00D16715">
              <w:rPr>
                <w:bCs/>
                <w:sz w:val="20"/>
                <w:szCs w:val="22"/>
              </w:rPr>
              <w:t>-</w:t>
            </w:r>
            <w:r>
              <w:rPr>
                <w:bCs/>
                <w:sz w:val="20"/>
                <w:szCs w:val="22"/>
              </w:rPr>
              <w:t xml:space="preserve"> </w:t>
            </w:r>
            <w:r w:rsidRPr="00D16715">
              <w:rPr>
                <w:bCs/>
                <w:sz w:val="20"/>
                <w:szCs w:val="22"/>
              </w:rPr>
              <w:t>A study on the use of technology for Uber-style public transport service was completed. It includes the student manual and the participant manual developed in the following modules: (i) Technology and tools, (ii) Navigation, (iii) Useful applications for the driver and (iv) Safety recommendations.</w:t>
            </w:r>
          </w:p>
          <w:p w14:paraId="2BAA1C4A" w14:textId="77777777" w:rsidR="00F40CDB" w:rsidRPr="00D16715" w:rsidRDefault="00F40CDB" w:rsidP="00191418">
            <w:pPr>
              <w:spacing w:before="120" w:after="120" w:line="276" w:lineRule="auto"/>
              <w:suppressOverlap/>
              <w:jc w:val="both"/>
              <w:cnfStyle w:val="000000000000" w:firstRow="0" w:lastRow="0" w:firstColumn="0" w:lastColumn="0" w:oddVBand="0" w:evenVBand="0" w:oddHBand="0" w:evenHBand="0" w:firstRowFirstColumn="0" w:firstRowLastColumn="0" w:lastRowFirstColumn="0" w:lastRowLastColumn="0"/>
              <w:rPr>
                <w:bCs/>
                <w:sz w:val="20"/>
                <w:szCs w:val="22"/>
              </w:rPr>
            </w:pPr>
          </w:p>
          <w:p w14:paraId="24970D6C" w14:textId="500ED623" w:rsidR="00F40CDB" w:rsidRDefault="00F40CDB" w:rsidP="00191418">
            <w:pPr>
              <w:spacing w:before="120" w:after="120" w:line="276" w:lineRule="auto"/>
              <w:suppressOverlap/>
              <w:jc w:val="both"/>
              <w:cnfStyle w:val="000000000000" w:firstRow="0" w:lastRow="0" w:firstColumn="0" w:lastColumn="0" w:oddVBand="0" w:evenVBand="0" w:oddHBand="0" w:evenHBand="0" w:firstRowFirstColumn="0" w:firstRowLastColumn="0" w:lastRowFirstColumn="0" w:lastRowLastColumn="0"/>
              <w:rPr>
                <w:bCs/>
                <w:sz w:val="20"/>
                <w:szCs w:val="22"/>
              </w:rPr>
            </w:pPr>
            <w:r w:rsidRPr="000904DE">
              <w:rPr>
                <w:b/>
                <w:sz w:val="20"/>
                <w:szCs w:val="22"/>
              </w:rPr>
              <w:t>PERU</w:t>
            </w:r>
            <w:r w:rsidRPr="00D16715">
              <w:rPr>
                <w:bCs/>
                <w:sz w:val="20"/>
                <w:szCs w:val="22"/>
              </w:rPr>
              <w:t>-</w:t>
            </w:r>
            <w:r>
              <w:rPr>
                <w:bCs/>
                <w:sz w:val="20"/>
                <w:szCs w:val="22"/>
              </w:rPr>
              <w:t xml:space="preserve"> </w:t>
            </w:r>
            <w:r w:rsidRPr="00D16715">
              <w:rPr>
                <w:bCs/>
                <w:sz w:val="20"/>
                <w:szCs w:val="22"/>
              </w:rPr>
              <w:t>With the objective of supporting the sustainable economic growth of Peru and designing an infrastructure action plan, through the Ministry of Economy and Finance (MEF), a National Infrastructure Plan 2019 (</w:t>
            </w:r>
            <w:r w:rsidR="009768C4">
              <w:rPr>
                <w:bCs/>
                <w:sz w:val="20"/>
                <w:szCs w:val="22"/>
              </w:rPr>
              <w:t>NIP</w:t>
            </w:r>
            <w:r w:rsidRPr="00D16715">
              <w:rPr>
                <w:bCs/>
                <w:sz w:val="20"/>
                <w:szCs w:val="22"/>
              </w:rPr>
              <w:t xml:space="preserve">). In February 2019, the </w:t>
            </w:r>
          </w:p>
          <w:p w14:paraId="1B8424AA" w14:textId="0149ED32" w:rsidR="00F40CDB" w:rsidRDefault="00F40CDB" w:rsidP="00191418">
            <w:pPr>
              <w:spacing w:before="120" w:after="120" w:line="276" w:lineRule="auto"/>
              <w:suppressOverlap/>
              <w:jc w:val="both"/>
              <w:cnfStyle w:val="000000000000" w:firstRow="0" w:lastRow="0" w:firstColumn="0" w:lastColumn="0" w:oddVBand="0" w:evenVBand="0" w:oddHBand="0" w:evenHBand="0" w:firstRowFirstColumn="0" w:firstRowLastColumn="0" w:lastRowFirstColumn="0" w:lastRowLastColumn="0"/>
              <w:rPr>
                <w:bCs/>
                <w:sz w:val="20"/>
                <w:szCs w:val="22"/>
              </w:rPr>
            </w:pPr>
            <w:r w:rsidRPr="00D16715">
              <w:rPr>
                <w:bCs/>
                <w:sz w:val="20"/>
                <w:szCs w:val="22"/>
              </w:rPr>
              <w:t>MEF - as responsible for preparing the N</w:t>
            </w:r>
            <w:r w:rsidR="009768C4">
              <w:rPr>
                <w:bCs/>
                <w:sz w:val="20"/>
                <w:szCs w:val="22"/>
              </w:rPr>
              <w:t>I</w:t>
            </w:r>
            <w:r w:rsidRPr="00D16715">
              <w:rPr>
                <w:bCs/>
                <w:sz w:val="20"/>
                <w:szCs w:val="22"/>
              </w:rPr>
              <w:t>P - requested Bank support to develop seven strategic action planes for the 7 sectors with the highest investment volumes in infrastructure. Following the request, an action plan comprised of four chapters and seven annexes was developed: 1. the general context of investment in the country; 2. a synthesis of the analysis of basic infrastructure gaps; 3. a summary table of the investment projects for the next five years that the ministries consider to be priorities, as well as the criteria for sectoral prioritization; and 4. recommendations to undertake successive improvements in future infrastructure plans in the country. The seven annexes are Sector Infrastructure Notes on: Transportation; Energy; Water and Sanitation; Telecommunications; Irrigation; Health; and education. These notes contain information and suggestions on how to achieve the sustainability and resilience of each sector, this in order to achieve long-term sustainable economic growth for Peru.</w:t>
            </w:r>
          </w:p>
          <w:p w14:paraId="393F8AC2" w14:textId="77777777" w:rsidR="00F40CDB" w:rsidRPr="00D16715" w:rsidRDefault="00F40CDB" w:rsidP="00191418">
            <w:pPr>
              <w:spacing w:before="120" w:after="120" w:line="276" w:lineRule="auto"/>
              <w:suppressOverlap/>
              <w:jc w:val="both"/>
              <w:cnfStyle w:val="000000000000" w:firstRow="0" w:lastRow="0" w:firstColumn="0" w:lastColumn="0" w:oddVBand="0" w:evenVBand="0" w:oddHBand="0" w:evenHBand="0" w:firstRowFirstColumn="0" w:firstRowLastColumn="0" w:lastRowFirstColumn="0" w:lastRowLastColumn="0"/>
              <w:rPr>
                <w:bCs/>
                <w:sz w:val="20"/>
                <w:szCs w:val="22"/>
              </w:rPr>
            </w:pPr>
          </w:p>
          <w:p w14:paraId="2B04494B" w14:textId="16A38272" w:rsidR="00F40CDB" w:rsidRDefault="00F40CDB" w:rsidP="00191418">
            <w:pPr>
              <w:spacing w:before="120" w:after="120" w:line="276" w:lineRule="auto"/>
              <w:suppressOverlap/>
              <w:jc w:val="both"/>
              <w:cnfStyle w:val="000000000000" w:firstRow="0" w:lastRow="0" w:firstColumn="0" w:lastColumn="0" w:oddVBand="0" w:evenVBand="0" w:oddHBand="0" w:evenHBand="0" w:firstRowFirstColumn="0" w:firstRowLastColumn="0" w:lastRowFirstColumn="0" w:lastRowLastColumn="0"/>
              <w:rPr>
                <w:bCs/>
                <w:sz w:val="20"/>
                <w:szCs w:val="22"/>
              </w:rPr>
            </w:pPr>
            <w:r w:rsidRPr="000904DE">
              <w:rPr>
                <w:b/>
                <w:sz w:val="20"/>
                <w:szCs w:val="22"/>
              </w:rPr>
              <w:t>REGIONAL</w:t>
            </w:r>
            <w:r w:rsidRPr="00D16715">
              <w:rPr>
                <w:bCs/>
                <w:sz w:val="20"/>
                <w:szCs w:val="22"/>
              </w:rPr>
              <w:t xml:space="preserve"> -Between 2015 and 2030, it is estimated that an annual investment of USD 90 billion will be necessary to overcome infrastructure deficiencies and generate a transition to sustainable infrastructure in the world. These investments, due to their magnitudes and the different needs to which countries are exposed, cannot be financed exclusively by the public sector (Inter-American Development Bank, 2019). For the specific case of Latin America and the Caribbean, it is estimated that, to reduce infrastructure deficiencies, an investment of the order of 6% of GDP is required during the period 2012-2020. However, it should be taken into account that for the 2008-2015 period, national governments invested less than 4% of their GDP in infrastructure In a context of fiscal restrictions, the private sector is presented as an alternative source of financing to meet the infrastructure investment needs of countries, especially in Latin America and the Caribbean region, through Public-Private Partnerships (PPP). To verify the business case that the sustainable PPPs present to our region, a Sustainable PPP Assessment was completed. The Assessment corroborated that embedding sustainability elements during the PPP structuring phase leads to cost efficiency and savings in the management of the PPP contract life</w:t>
            </w:r>
            <w:r w:rsidR="008800A4">
              <w:rPr>
                <w:bCs/>
                <w:sz w:val="20"/>
                <w:szCs w:val="22"/>
              </w:rPr>
              <w:t xml:space="preserve"> </w:t>
            </w:r>
            <w:r w:rsidRPr="00D16715">
              <w:rPr>
                <w:bCs/>
                <w:sz w:val="20"/>
                <w:szCs w:val="22"/>
              </w:rPr>
              <w:t>cycle.</w:t>
            </w:r>
          </w:p>
          <w:p w14:paraId="6F73CAD2" w14:textId="77777777" w:rsidR="00F40CDB" w:rsidRPr="00D16715" w:rsidRDefault="00F40CDB" w:rsidP="00191418">
            <w:pPr>
              <w:spacing w:before="120" w:after="120" w:line="276" w:lineRule="auto"/>
              <w:suppressOverlap/>
              <w:jc w:val="both"/>
              <w:cnfStyle w:val="000000000000" w:firstRow="0" w:lastRow="0" w:firstColumn="0" w:lastColumn="0" w:oddVBand="0" w:evenVBand="0" w:oddHBand="0" w:evenHBand="0" w:firstRowFirstColumn="0" w:firstRowLastColumn="0" w:lastRowFirstColumn="0" w:lastRowLastColumn="0"/>
              <w:rPr>
                <w:bCs/>
                <w:sz w:val="20"/>
                <w:szCs w:val="22"/>
              </w:rPr>
            </w:pPr>
          </w:p>
          <w:p w14:paraId="5E7C933E" w14:textId="4838BCBF" w:rsidR="00F40CDB" w:rsidRDefault="00F40CDB" w:rsidP="00191418">
            <w:pPr>
              <w:spacing w:before="120" w:after="120" w:line="276" w:lineRule="auto"/>
              <w:suppressOverlap/>
              <w:jc w:val="both"/>
              <w:cnfStyle w:val="000000000000" w:firstRow="0" w:lastRow="0" w:firstColumn="0" w:lastColumn="0" w:oddVBand="0" w:evenVBand="0" w:oddHBand="0" w:evenHBand="0" w:firstRowFirstColumn="0" w:firstRowLastColumn="0" w:lastRowFirstColumn="0" w:lastRowLastColumn="0"/>
              <w:rPr>
                <w:bCs/>
                <w:sz w:val="20"/>
                <w:szCs w:val="22"/>
              </w:rPr>
            </w:pPr>
            <w:r w:rsidRPr="000904DE">
              <w:rPr>
                <w:b/>
                <w:sz w:val="20"/>
                <w:szCs w:val="22"/>
              </w:rPr>
              <w:t>PERU-</w:t>
            </w:r>
            <w:r w:rsidRPr="00D16715">
              <w:rPr>
                <w:bCs/>
                <w:sz w:val="20"/>
                <w:szCs w:val="22"/>
              </w:rPr>
              <w:t xml:space="preserve">According to the Global Competitiveness Report 2018-2019, prepared by the World Economic Forum, Peru structure sector. This places it practically at the same level of some countries in the region as Brazil and Colombia (positions 81 and 83, respectively); above Paraguay, Bolivia and Venezuela (positions 101, 102 and 118, respectively); although it is still below Chile (position 41), Mexico (position 49), Ecuador (position 59), Uruguay (position 62) and Argentina (position 68); and much further from leading countries in this area such as Singapore, Hong Kong and Switzerland, which are in the top 3 places in the ranking. With the purpose of developing a robust National </w:t>
            </w:r>
            <w:r w:rsidRPr="00D16715">
              <w:rPr>
                <w:bCs/>
                <w:sz w:val="20"/>
                <w:szCs w:val="22"/>
              </w:rPr>
              <w:lastRenderedPageBreak/>
              <w:t>Infrastructure Plan as a way forward, calculations and a diagnosis corresponding to the long-term infrastructure gap (2019- 2028) in Peru were developed as part of the National Infrastructure plan.</w:t>
            </w:r>
          </w:p>
          <w:p w14:paraId="43ADB8F0" w14:textId="77777777" w:rsidR="00F40CDB" w:rsidRPr="00D16715" w:rsidRDefault="00F40CDB" w:rsidP="00191418">
            <w:pPr>
              <w:spacing w:before="120" w:after="120" w:line="276" w:lineRule="auto"/>
              <w:suppressOverlap/>
              <w:jc w:val="both"/>
              <w:cnfStyle w:val="000000000000" w:firstRow="0" w:lastRow="0" w:firstColumn="0" w:lastColumn="0" w:oddVBand="0" w:evenVBand="0" w:oddHBand="0" w:evenHBand="0" w:firstRowFirstColumn="0" w:firstRowLastColumn="0" w:lastRowFirstColumn="0" w:lastRowLastColumn="0"/>
              <w:rPr>
                <w:bCs/>
                <w:sz w:val="20"/>
                <w:szCs w:val="22"/>
              </w:rPr>
            </w:pPr>
          </w:p>
          <w:p w14:paraId="6C2998EC" w14:textId="7A9CA8F3" w:rsidR="00F40CDB" w:rsidRDefault="00F40CDB" w:rsidP="00191418">
            <w:pPr>
              <w:spacing w:before="120" w:after="120" w:line="276" w:lineRule="auto"/>
              <w:suppressOverlap/>
              <w:jc w:val="both"/>
              <w:cnfStyle w:val="000000000000" w:firstRow="0" w:lastRow="0" w:firstColumn="0" w:lastColumn="0" w:oddVBand="0" w:evenVBand="0" w:oddHBand="0" w:evenHBand="0" w:firstRowFirstColumn="0" w:firstRowLastColumn="0" w:lastRowFirstColumn="0" w:lastRowLastColumn="0"/>
              <w:rPr>
                <w:bCs/>
                <w:sz w:val="20"/>
                <w:szCs w:val="22"/>
              </w:rPr>
            </w:pPr>
            <w:r w:rsidRPr="000904DE">
              <w:rPr>
                <w:b/>
                <w:sz w:val="20"/>
                <w:szCs w:val="22"/>
              </w:rPr>
              <w:t>PERU</w:t>
            </w:r>
            <w:r w:rsidRPr="00D16715">
              <w:rPr>
                <w:bCs/>
                <w:sz w:val="20"/>
                <w:szCs w:val="22"/>
              </w:rPr>
              <w:t xml:space="preserve"> - In Peru, steps are being taken to improve the management of urban solid waste. Currently, the Government is planning to concentrate the management of the final disposal of waste in the sanitary landfill of </w:t>
            </w:r>
            <w:proofErr w:type="spellStart"/>
            <w:r w:rsidRPr="00D16715">
              <w:rPr>
                <w:bCs/>
                <w:sz w:val="20"/>
                <w:szCs w:val="22"/>
              </w:rPr>
              <w:t>Zapallal</w:t>
            </w:r>
            <w:proofErr w:type="spellEnd"/>
            <w:r w:rsidRPr="00D16715">
              <w:rPr>
                <w:bCs/>
                <w:sz w:val="20"/>
                <w:szCs w:val="22"/>
              </w:rPr>
              <w:t xml:space="preserve"> and implement a strategy to reduce the amount of solid waste destined for final disposal. In this context, a feasibility study that evaluates and defines the most convenient management alternative as well as its financing mechanisms was developed, to be implemented in the metropolitan area. As a first pilot within the national waste management intervention to facilitate lessons learned and scale-up. </w:t>
            </w:r>
          </w:p>
          <w:p w14:paraId="670A6358" w14:textId="77777777" w:rsidR="00F40CDB" w:rsidRPr="00D16715" w:rsidRDefault="00F40CDB" w:rsidP="00191418">
            <w:pPr>
              <w:spacing w:before="120" w:after="120" w:line="276" w:lineRule="auto"/>
              <w:suppressOverlap/>
              <w:jc w:val="both"/>
              <w:cnfStyle w:val="000000000000" w:firstRow="0" w:lastRow="0" w:firstColumn="0" w:lastColumn="0" w:oddVBand="0" w:evenVBand="0" w:oddHBand="0" w:evenHBand="0" w:firstRowFirstColumn="0" w:firstRowLastColumn="0" w:lastRowFirstColumn="0" w:lastRowLastColumn="0"/>
              <w:rPr>
                <w:bCs/>
                <w:sz w:val="20"/>
                <w:szCs w:val="22"/>
              </w:rPr>
            </w:pPr>
          </w:p>
          <w:p w14:paraId="12DC890D" w14:textId="714B1A55" w:rsidR="00F40CDB" w:rsidRDefault="00F40CDB" w:rsidP="00191418">
            <w:pPr>
              <w:spacing w:before="120" w:after="120" w:line="276" w:lineRule="auto"/>
              <w:suppressOverlap/>
              <w:jc w:val="both"/>
              <w:cnfStyle w:val="000000000000" w:firstRow="0" w:lastRow="0" w:firstColumn="0" w:lastColumn="0" w:oddVBand="0" w:evenVBand="0" w:oddHBand="0" w:evenHBand="0" w:firstRowFirstColumn="0" w:firstRowLastColumn="0" w:lastRowFirstColumn="0" w:lastRowLastColumn="0"/>
              <w:rPr>
                <w:bCs/>
                <w:sz w:val="20"/>
                <w:szCs w:val="22"/>
              </w:rPr>
            </w:pPr>
            <w:r w:rsidRPr="000904DE">
              <w:rPr>
                <w:b/>
                <w:sz w:val="20"/>
                <w:szCs w:val="22"/>
              </w:rPr>
              <w:t>MEXICO</w:t>
            </w:r>
            <w:r w:rsidR="000904DE">
              <w:rPr>
                <w:bCs/>
                <w:sz w:val="20"/>
                <w:szCs w:val="22"/>
              </w:rPr>
              <w:t xml:space="preserve"> </w:t>
            </w:r>
            <w:r w:rsidRPr="00D16715">
              <w:rPr>
                <w:bCs/>
                <w:sz w:val="20"/>
                <w:szCs w:val="22"/>
              </w:rPr>
              <w:t xml:space="preserve">-Assessment of a sustainable project for the Regional Integral Management of Urban Solid Waste and Special Management in the metropolitan area of Mérida was developed; and strengthened methodology to prioritize existing infrastructure projects to include sustainability in Mexico to include them in Green Bond Portfolios. This support is within the efforts in progress with the Municipality of Yucatan in issuing a Municipal green bond. </w:t>
            </w:r>
          </w:p>
          <w:p w14:paraId="40C59068" w14:textId="77777777" w:rsidR="00F40CDB" w:rsidRPr="00D16715" w:rsidRDefault="00F40CDB" w:rsidP="00191418">
            <w:pPr>
              <w:spacing w:before="120" w:after="120" w:line="276" w:lineRule="auto"/>
              <w:suppressOverlap/>
              <w:jc w:val="both"/>
              <w:cnfStyle w:val="000000000000" w:firstRow="0" w:lastRow="0" w:firstColumn="0" w:lastColumn="0" w:oddVBand="0" w:evenVBand="0" w:oddHBand="0" w:evenHBand="0" w:firstRowFirstColumn="0" w:firstRowLastColumn="0" w:lastRowFirstColumn="0" w:lastRowLastColumn="0"/>
              <w:rPr>
                <w:bCs/>
                <w:sz w:val="20"/>
                <w:szCs w:val="22"/>
              </w:rPr>
            </w:pPr>
          </w:p>
          <w:p w14:paraId="3182802E" w14:textId="5602C047" w:rsidR="00F40CDB" w:rsidRDefault="00F40CDB" w:rsidP="00191418">
            <w:pPr>
              <w:spacing w:before="120" w:after="120" w:line="276" w:lineRule="auto"/>
              <w:suppressOverlap/>
              <w:jc w:val="both"/>
              <w:cnfStyle w:val="000000000000" w:firstRow="0" w:lastRow="0" w:firstColumn="0" w:lastColumn="0" w:oddVBand="0" w:evenVBand="0" w:oddHBand="0" w:evenHBand="0" w:firstRowFirstColumn="0" w:firstRowLastColumn="0" w:lastRowFirstColumn="0" w:lastRowLastColumn="0"/>
              <w:rPr>
                <w:bCs/>
                <w:sz w:val="20"/>
                <w:szCs w:val="22"/>
              </w:rPr>
            </w:pPr>
            <w:r w:rsidRPr="00D16715">
              <w:rPr>
                <w:bCs/>
                <w:sz w:val="20"/>
                <w:szCs w:val="22"/>
              </w:rPr>
              <w:t xml:space="preserve">IDB Invest – </w:t>
            </w:r>
            <w:r w:rsidRPr="000904DE">
              <w:rPr>
                <w:b/>
                <w:sz w:val="20"/>
                <w:szCs w:val="22"/>
              </w:rPr>
              <w:t>REGIONAL</w:t>
            </w:r>
            <w:r w:rsidRPr="00D16715">
              <w:rPr>
                <w:bCs/>
                <w:sz w:val="20"/>
                <w:szCs w:val="22"/>
              </w:rPr>
              <w:t xml:space="preserve"> Model to evaluate hedging merchant</w:t>
            </w:r>
            <w:r w:rsidR="00727ECE">
              <w:rPr>
                <w:bCs/>
                <w:sz w:val="20"/>
                <w:szCs w:val="22"/>
              </w:rPr>
              <w:t xml:space="preserve"> r</w:t>
            </w:r>
            <w:r w:rsidRPr="00D16715">
              <w:rPr>
                <w:bCs/>
                <w:sz w:val="20"/>
                <w:szCs w:val="22"/>
              </w:rPr>
              <w:t>isk developed</w:t>
            </w:r>
          </w:p>
          <w:p w14:paraId="512DA1C8" w14:textId="77777777" w:rsidR="00F40CDB" w:rsidRPr="00D16715" w:rsidRDefault="00F40CDB" w:rsidP="00191418">
            <w:pPr>
              <w:spacing w:before="120" w:after="120" w:line="276" w:lineRule="auto"/>
              <w:suppressOverlap/>
              <w:jc w:val="both"/>
              <w:cnfStyle w:val="000000000000" w:firstRow="0" w:lastRow="0" w:firstColumn="0" w:lastColumn="0" w:oddVBand="0" w:evenVBand="0" w:oddHBand="0" w:evenHBand="0" w:firstRowFirstColumn="0" w:firstRowLastColumn="0" w:lastRowFirstColumn="0" w:lastRowLastColumn="0"/>
              <w:rPr>
                <w:bCs/>
                <w:sz w:val="20"/>
                <w:szCs w:val="22"/>
              </w:rPr>
            </w:pPr>
          </w:p>
          <w:p w14:paraId="767C30FC" w14:textId="5EA4514B" w:rsidR="00F40CDB" w:rsidRDefault="00F40CDB" w:rsidP="00191418">
            <w:pPr>
              <w:spacing w:before="120" w:after="120" w:line="276" w:lineRule="auto"/>
              <w:suppressOverlap/>
              <w:jc w:val="both"/>
              <w:cnfStyle w:val="000000000000" w:firstRow="0" w:lastRow="0" w:firstColumn="0" w:lastColumn="0" w:oddVBand="0" w:evenVBand="0" w:oddHBand="0" w:evenHBand="0" w:firstRowFirstColumn="0" w:firstRowLastColumn="0" w:lastRowFirstColumn="0" w:lastRowLastColumn="0"/>
              <w:rPr>
                <w:bCs/>
                <w:sz w:val="20"/>
                <w:szCs w:val="22"/>
              </w:rPr>
            </w:pPr>
            <w:r w:rsidRPr="00D16715">
              <w:rPr>
                <w:bCs/>
                <w:sz w:val="20"/>
                <w:szCs w:val="22"/>
              </w:rPr>
              <w:t xml:space="preserve">IDB Invest – </w:t>
            </w:r>
            <w:r w:rsidRPr="000904DE">
              <w:rPr>
                <w:b/>
                <w:sz w:val="20"/>
                <w:szCs w:val="22"/>
              </w:rPr>
              <w:t>MEXICO</w:t>
            </w:r>
            <w:r w:rsidRPr="00D16715">
              <w:rPr>
                <w:bCs/>
                <w:sz w:val="20"/>
                <w:szCs w:val="22"/>
              </w:rPr>
              <w:t xml:space="preserve"> The operation has allowed for legal and financial reviews to support ECON Group in issuing a green bond</w:t>
            </w:r>
          </w:p>
          <w:p w14:paraId="60CF89B4" w14:textId="77777777" w:rsidR="00F40CDB" w:rsidRPr="00D16715" w:rsidRDefault="00F40CDB" w:rsidP="00191418">
            <w:pPr>
              <w:spacing w:before="120" w:after="120" w:line="276" w:lineRule="auto"/>
              <w:suppressOverlap/>
              <w:jc w:val="both"/>
              <w:cnfStyle w:val="000000000000" w:firstRow="0" w:lastRow="0" w:firstColumn="0" w:lastColumn="0" w:oddVBand="0" w:evenVBand="0" w:oddHBand="0" w:evenHBand="0" w:firstRowFirstColumn="0" w:firstRowLastColumn="0" w:lastRowFirstColumn="0" w:lastRowLastColumn="0"/>
              <w:rPr>
                <w:bCs/>
                <w:sz w:val="20"/>
                <w:szCs w:val="22"/>
              </w:rPr>
            </w:pPr>
          </w:p>
          <w:p w14:paraId="1570304E" w14:textId="14E2A7F8" w:rsidR="00F40CDB" w:rsidRDefault="00F40CDB" w:rsidP="00191418">
            <w:pPr>
              <w:spacing w:before="120" w:after="120" w:line="276" w:lineRule="auto"/>
              <w:suppressOverlap/>
              <w:jc w:val="both"/>
              <w:cnfStyle w:val="000000000000" w:firstRow="0" w:lastRow="0" w:firstColumn="0" w:lastColumn="0" w:oddVBand="0" w:evenVBand="0" w:oddHBand="0" w:evenHBand="0" w:firstRowFirstColumn="0" w:firstRowLastColumn="0" w:lastRowFirstColumn="0" w:lastRowLastColumn="0"/>
              <w:rPr>
                <w:bCs/>
                <w:sz w:val="20"/>
                <w:szCs w:val="22"/>
              </w:rPr>
            </w:pPr>
            <w:r w:rsidRPr="00D16715">
              <w:rPr>
                <w:bCs/>
                <w:sz w:val="20"/>
                <w:szCs w:val="22"/>
              </w:rPr>
              <w:t xml:space="preserve">IDB Invest – </w:t>
            </w:r>
            <w:r w:rsidRPr="000904DE">
              <w:rPr>
                <w:b/>
                <w:sz w:val="20"/>
                <w:szCs w:val="22"/>
              </w:rPr>
              <w:t>BRAZIL</w:t>
            </w:r>
            <w:r w:rsidRPr="00D16715">
              <w:rPr>
                <w:bCs/>
                <w:sz w:val="20"/>
                <w:szCs w:val="22"/>
              </w:rPr>
              <w:t>- The operation supported the legal review of a transaction to finance long-term sales of residential solar rooftop panels in Brazil as part of an issuance of quotas of up to 100M Brazilian Reais</w:t>
            </w:r>
          </w:p>
          <w:p w14:paraId="565285F2" w14:textId="77777777" w:rsidR="00F40CDB" w:rsidRPr="00D16715" w:rsidRDefault="00F40CDB" w:rsidP="00191418">
            <w:pPr>
              <w:spacing w:before="120" w:after="120" w:line="276" w:lineRule="auto"/>
              <w:suppressOverlap/>
              <w:jc w:val="both"/>
              <w:cnfStyle w:val="000000000000" w:firstRow="0" w:lastRow="0" w:firstColumn="0" w:lastColumn="0" w:oddVBand="0" w:evenVBand="0" w:oddHBand="0" w:evenHBand="0" w:firstRowFirstColumn="0" w:firstRowLastColumn="0" w:lastRowFirstColumn="0" w:lastRowLastColumn="0"/>
              <w:rPr>
                <w:bCs/>
                <w:sz w:val="20"/>
                <w:szCs w:val="22"/>
              </w:rPr>
            </w:pPr>
          </w:p>
          <w:p w14:paraId="0CBDC787" w14:textId="42FE352A" w:rsidR="00F40CDB" w:rsidRDefault="00F40CDB" w:rsidP="00191418">
            <w:pPr>
              <w:spacing w:before="120" w:after="120" w:line="276" w:lineRule="auto"/>
              <w:suppressOverlap/>
              <w:jc w:val="both"/>
              <w:cnfStyle w:val="000000000000" w:firstRow="0" w:lastRow="0" w:firstColumn="0" w:lastColumn="0" w:oddVBand="0" w:evenVBand="0" w:oddHBand="0" w:evenHBand="0" w:firstRowFirstColumn="0" w:firstRowLastColumn="0" w:lastRowFirstColumn="0" w:lastRowLastColumn="0"/>
              <w:rPr>
                <w:bCs/>
                <w:sz w:val="20"/>
                <w:szCs w:val="22"/>
              </w:rPr>
            </w:pPr>
            <w:r w:rsidRPr="000904DE">
              <w:rPr>
                <w:b/>
                <w:sz w:val="20"/>
                <w:szCs w:val="22"/>
              </w:rPr>
              <w:t>MEXICO</w:t>
            </w:r>
            <w:r w:rsidRPr="00D16715">
              <w:rPr>
                <w:bCs/>
                <w:sz w:val="20"/>
                <w:szCs w:val="22"/>
              </w:rPr>
              <w:t xml:space="preserve"> - Methodology to integrate Sustainability into the infrastructure</w:t>
            </w:r>
            <w:r>
              <w:rPr>
                <w:bCs/>
                <w:sz w:val="20"/>
                <w:szCs w:val="22"/>
              </w:rPr>
              <w:t xml:space="preserve"> </w:t>
            </w:r>
            <w:r w:rsidRPr="00D16715">
              <w:rPr>
                <w:bCs/>
                <w:sz w:val="20"/>
                <w:szCs w:val="22"/>
              </w:rPr>
              <w:t>lifecycle was developed. Public Investment Prioriti</w:t>
            </w:r>
            <w:r w:rsidR="00727ECE">
              <w:rPr>
                <w:bCs/>
                <w:sz w:val="20"/>
                <w:szCs w:val="22"/>
              </w:rPr>
              <w:t>s</w:t>
            </w:r>
            <w:r w:rsidRPr="00D16715">
              <w:rPr>
                <w:bCs/>
                <w:sz w:val="20"/>
                <w:szCs w:val="22"/>
              </w:rPr>
              <w:t>ation for Sustainable Infrastructure: Hand in hand with the Mexican Ministry of Finance, our team developed a set of social, environmental and institutional indicators to be incorporated into the Cost Benefit Analysis and the process used by the Investment Unit inside the Ministry of Finance. This will enable sustainable infrastructure to be prioritized from the public investment side, ultimately delivering a higher number of sustainable projects</w:t>
            </w:r>
            <w:r>
              <w:rPr>
                <w:bCs/>
                <w:sz w:val="20"/>
                <w:szCs w:val="22"/>
              </w:rPr>
              <w:t>.</w:t>
            </w:r>
          </w:p>
          <w:p w14:paraId="3F870F87" w14:textId="77777777" w:rsidR="00F40CDB" w:rsidRPr="00D16715" w:rsidRDefault="00F40CDB" w:rsidP="00191418">
            <w:pPr>
              <w:spacing w:before="120" w:after="120" w:line="276" w:lineRule="auto"/>
              <w:suppressOverlap/>
              <w:jc w:val="both"/>
              <w:cnfStyle w:val="000000000000" w:firstRow="0" w:lastRow="0" w:firstColumn="0" w:lastColumn="0" w:oddVBand="0" w:evenVBand="0" w:oddHBand="0" w:evenHBand="0" w:firstRowFirstColumn="0" w:firstRowLastColumn="0" w:lastRowFirstColumn="0" w:lastRowLastColumn="0"/>
              <w:rPr>
                <w:bCs/>
                <w:sz w:val="20"/>
                <w:szCs w:val="22"/>
              </w:rPr>
            </w:pPr>
          </w:p>
          <w:p w14:paraId="679C3EE9" w14:textId="3B6B90E0" w:rsidR="00F40CDB" w:rsidRDefault="00F40CDB" w:rsidP="00191418">
            <w:pPr>
              <w:spacing w:before="120" w:after="120" w:line="276" w:lineRule="auto"/>
              <w:suppressOverlap/>
              <w:jc w:val="both"/>
              <w:cnfStyle w:val="000000000000" w:firstRow="0" w:lastRow="0" w:firstColumn="0" w:lastColumn="0" w:oddVBand="0" w:evenVBand="0" w:oddHBand="0" w:evenHBand="0" w:firstRowFirstColumn="0" w:firstRowLastColumn="0" w:lastRowFirstColumn="0" w:lastRowLastColumn="0"/>
              <w:rPr>
                <w:bCs/>
                <w:sz w:val="20"/>
                <w:szCs w:val="22"/>
              </w:rPr>
            </w:pPr>
            <w:r w:rsidRPr="000904DE">
              <w:rPr>
                <w:b/>
                <w:sz w:val="20"/>
                <w:szCs w:val="22"/>
              </w:rPr>
              <w:t>MEXICO</w:t>
            </w:r>
            <w:r w:rsidRPr="00D16715">
              <w:rPr>
                <w:bCs/>
                <w:sz w:val="20"/>
                <w:szCs w:val="22"/>
              </w:rPr>
              <w:t xml:space="preserve"> - Sustainable Infrastructure Project Profiles: As evidenced by the rapid growth in the green bond market, investors’ appetite is growing. The continuity of this growth will depend on bringing to market bankable pipelines of sustainable infrastructure projects that are designed, constructed, </w:t>
            </w:r>
            <w:proofErr w:type="gramStart"/>
            <w:r w:rsidRPr="00D16715">
              <w:rPr>
                <w:bCs/>
                <w:sz w:val="20"/>
                <w:szCs w:val="22"/>
              </w:rPr>
              <w:t>operated</w:t>
            </w:r>
            <w:proofErr w:type="gramEnd"/>
            <w:r w:rsidRPr="00D16715">
              <w:rPr>
                <w:bCs/>
                <w:sz w:val="20"/>
                <w:szCs w:val="22"/>
              </w:rPr>
              <w:t xml:space="preserve"> and maintained following clear and consistent sustainability indicators. The creation of bankable pipelines at scale and corresponding benchmarks will ultimately prove sustainable infrastructure as an asset class. However, in order to achieve this, practical tools and methodologies are required to guide project sponsors on how to embed the four dimensions of Sustainable Infrastructure across the upstream planning and project preparation stages in a consistent manner. An Infrastructure Scorecard to track the sustainability dimensions of an infrastructure asset during each stage of its cycle; from planning &amp; design to the </w:t>
            </w:r>
            <w:r w:rsidRPr="00D16715">
              <w:rPr>
                <w:bCs/>
                <w:sz w:val="20"/>
                <w:szCs w:val="22"/>
              </w:rPr>
              <w:lastRenderedPageBreak/>
              <w:t>procurement &amp; financing stages was created for the “</w:t>
            </w:r>
            <w:proofErr w:type="spellStart"/>
            <w:r w:rsidRPr="00D16715">
              <w:rPr>
                <w:bCs/>
                <w:sz w:val="20"/>
                <w:szCs w:val="22"/>
              </w:rPr>
              <w:t>Proyectos</w:t>
            </w:r>
            <w:proofErr w:type="spellEnd"/>
            <w:r w:rsidRPr="00D16715">
              <w:rPr>
                <w:bCs/>
                <w:sz w:val="20"/>
                <w:szCs w:val="22"/>
              </w:rPr>
              <w:t xml:space="preserve"> Mexico platform”. The Scorecard has been designed considering the specific complexities and data availability of each stage of the Lifecyle, and yet maintained uniformity in all indicators at every stage to be able to monitor the sustainability progress or setback throughout the life of the asset.</w:t>
            </w:r>
          </w:p>
          <w:p w14:paraId="28A1AB42" w14:textId="77777777" w:rsidR="00F40CDB" w:rsidRPr="00D16715" w:rsidRDefault="00F40CDB" w:rsidP="00191418">
            <w:pPr>
              <w:spacing w:before="120" w:after="120" w:line="276" w:lineRule="auto"/>
              <w:suppressOverlap/>
              <w:jc w:val="both"/>
              <w:cnfStyle w:val="000000000000" w:firstRow="0" w:lastRow="0" w:firstColumn="0" w:lastColumn="0" w:oddVBand="0" w:evenVBand="0" w:oddHBand="0" w:evenHBand="0" w:firstRowFirstColumn="0" w:firstRowLastColumn="0" w:lastRowFirstColumn="0" w:lastRowLastColumn="0"/>
              <w:rPr>
                <w:bCs/>
                <w:sz w:val="20"/>
                <w:szCs w:val="22"/>
              </w:rPr>
            </w:pPr>
          </w:p>
          <w:p w14:paraId="70266BAD" w14:textId="5B8D3C30" w:rsidR="00F40CDB" w:rsidRDefault="00F40CDB" w:rsidP="00191418">
            <w:pPr>
              <w:spacing w:before="120" w:after="120" w:line="276" w:lineRule="auto"/>
              <w:suppressOverlap/>
              <w:jc w:val="both"/>
              <w:cnfStyle w:val="000000000000" w:firstRow="0" w:lastRow="0" w:firstColumn="0" w:lastColumn="0" w:oddVBand="0" w:evenVBand="0" w:oddHBand="0" w:evenHBand="0" w:firstRowFirstColumn="0" w:firstRowLastColumn="0" w:lastRowFirstColumn="0" w:lastRowLastColumn="0"/>
              <w:rPr>
                <w:bCs/>
                <w:sz w:val="20"/>
                <w:szCs w:val="22"/>
              </w:rPr>
            </w:pPr>
            <w:r w:rsidRPr="000904DE">
              <w:rPr>
                <w:b/>
                <w:sz w:val="20"/>
                <w:szCs w:val="22"/>
              </w:rPr>
              <w:t>COLOMBIA</w:t>
            </w:r>
            <w:r w:rsidRPr="00D16715">
              <w:rPr>
                <w:bCs/>
                <w:sz w:val="20"/>
                <w:szCs w:val="22"/>
              </w:rPr>
              <w:t xml:space="preserve"> - Studies and assessments to determine the costs, infrastructure, operation and maintenance, per </w:t>
            </w:r>
            <w:r w:rsidR="008800A4" w:rsidRPr="00D16715">
              <w:rPr>
                <w:bCs/>
                <w:sz w:val="20"/>
                <w:szCs w:val="22"/>
              </w:rPr>
              <w:t>kilometre</w:t>
            </w:r>
            <w:r w:rsidRPr="00D16715">
              <w:rPr>
                <w:bCs/>
                <w:sz w:val="20"/>
                <w:szCs w:val="22"/>
              </w:rPr>
              <w:t xml:space="preserve"> remuneration rates for battery electric technology vehicles of the Non-core Phase component III of the Integrated Public Transportation System – SITP of Bogota were developed for the first tender process of electric buses in the Americas that happened in 2019.</w:t>
            </w:r>
          </w:p>
          <w:p w14:paraId="247B0B59" w14:textId="77777777" w:rsidR="00F40CDB" w:rsidRPr="00D16715" w:rsidRDefault="00F40CDB" w:rsidP="00191418">
            <w:pPr>
              <w:spacing w:before="120" w:after="120" w:line="276" w:lineRule="auto"/>
              <w:suppressOverlap/>
              <w:jc w:val="both"/>
              <w:cnfStyle w:val="000000000000" w:firstRow="0" w:lastRow="0" w:firstColumn="0" w:lastColumn="0" w:oddVBand="0" w:evenVBand="0" w:oddHBand="0" w:evenHBand="0" w:firstRowFirstColumn="0" w:firstRowLastColumn="0" w:lastRowFirstColumn="0" w:lastRowLastColumn="0"/>
              <w:rPr>
                <w:bCs/>
                <w:sz w:val="20"/>
                <w:szCs w:val="22"/>
              </w:rPr>
            </w:pPr>
          </w:p>
          <w:p w14:paraId="789C3AB6" w14:textId="0B78E340" w:rsidR="00F40CDB" w:rsidRPr="00D16715" w:rsidRDefault="00F40CDB" w:rsidP="00191418">
            <w:pPr>
              <w:spacing w:before="120" w:after="120" w:line="276" w:lineRule="auto"/>
              <w:suppressOverlap/>
              <w:jc w:val="both"/>
              <w:cnfStyle w:val="000000000000" w:firstRow="0" w:lastRow="0" w:firstColumn="0" w:lastColumn="0" w:oddVBand="0" w:evenVBand="0" w:oddHBand="0" w:evenHBand="0" w:firstRowFirstColumn="0" w:firstRowLastColumn="0" w:lastRowFirstColumn="0" w:lastRowLastColumn="0"/>
              <w:rPr>
                <w:bCs/>
                <w:sz w:val="20"/>
                <w:szCs w:val="22"/>
              </w:rPr>
            </w:pPr>
            <w:r w:rsidRPr="000904DE">
              <w:rPr>
                <w:b/>
                <w:sz w:val="20"/>
                <w:szCs w:val="22"/>
              </w:rPr>
              <w:t>REGIONAL</w:t>
            </w:r>
            <w:r w:rsidRPr="00D16715">
              <w:rPr>
                <w:bCs/>
                <w:sz w:val="20"/>
                <w:szCs w:val="22"/>
              </w:rPr>
              <w:t xml:space="preserve"> - Case studies: package of materials highlighting SIP</w:t>
            </w:r>
            <w:r>
              <w:rPr>
                <w:bCs/>
                <w:sz w:val="20"/>
                <w:szCs w:val="22"/>
              </w:rPr>
              <w:t>-LA</w:t>
            </w:r>
            <w:r w:rsidRPr="00D16715">
              <w:rPr>
                <w:bCs/>
                <w:sz w:val="20"/>
                <w:szCs w:val="22"/>
              </w:rPr>
              <w:t xml:space="preserve"> program activities were completed and dissemination strategy during COP25 was successful delivery.</w:t>
            </w:r>
          </w:p>
        </w:tc>
      </w:tr>
    </w:tbl>
    <w:p w14:paraId="2EB6EE81" w14:textId="3586C134" w:rsidR="00F40CDB" w:rsidRDefault="00F40CDB" w:rsidP="00F40CDB">
      <w:pPr>
        <w:spacing w:before="120" w:after="120" w:line="276" w:lineRule="auto"/>
        <w:jc w:val="both"/>
        <w:rPr>
          <w:sz w:val="20"/>
          <w:szCs w:val="20"/>
        </w:rPr>
      </w:pPr>
    </w:p>
    <w:p w14:paraId="392BFED6" w14:textId="77777777" w:rsidR="00F40CDB" w:rsidRPr="00BB0DF5" w:rsidRDefault="00F40CDB" w:rsidP="00F40CDB">
      <w:pPr>
        <w:spacing w:before="120" w:after="120" w:line="276" w:lineRule="auto"/>
        <w:jc w:val="both"/>
        <w:rPr>
          <w:b/>
          <w:sz w:val="22"/>
          <w:szCs w:val="22"/>
          <w:u w:val="single"/>
        </w:rPr>
      </w:pPr>
      <w:r w:rsidRPr="00BB0DF5">
        <w:rPr>
          <w:b/>
          <w:sz w:val="22"/>
          <w:szCs w:val="22"/>
          <w:u w:val="single"/>
        </w:rPr>
        <w:t>ANNEX B: Theory of Change</w:t>
      </w:r>
    </w:p>
    <w:p w14:paraId="6D83BB7B" w14:textId="63D844C1" w:rsidR="00FE4C94" w:rsidRDefault="00FE4C94" w:rsidP="00F40CDB"/>
    <w:p w14:paraId="1A5142D5" w14:textId="3CD24B33" w:rsidR="00AC6416" w:rsidRDefault="00AC6416" w:rsidP="00F40CDB">
      <w:bookmarkStart w:id="2" w:name="_Toc491443558"/>
      <w:bookmarkStart w:id="3" w:name="_Toc492562896"/>
      <w:bookmarkStart w:id="4" w:name="_Toc493776581"/>
      <w:bookmarkStart w:id="5" w:name="_Toc494357656"/>
      <w:r>
        <w:rPr>
          <w:noProof/>
        </w:rPr>
        <w:drawing>
          <wp:inline distT="0" distB="0" distL="0" distR="0" wp14:anchorId="02351A84" wp14:editId="5FD50F49">
            <wp:extent cx="6645910" cy="5035889"/>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9686" t="697" r="8405"/>
                    <a:stretch/>
                  </pic:blipFill>
                  <pic:spPr bwMode="auto">
                    <a:xfrm>
                      <a:off x="0" y="0"/>
                      <a:ext cx="6645910" cy="5035889"/>
                    </a:xfrm>
                    <a:prstGeom prst="rect">
                      <a:avLst/>
                    </a:prstGeom>
                    <a:ln>
                      <a:noFill/>
                    </a:ln>
                    <a:extLst>
                      <a:ext uri="{53640926-AAD7-44D8-BBD7-CCE9431645EC}">
                        <a14:shadowObscured xmlns:a14="http://schemas.microsoft.com/office/drawing/2010/main"/>
                      </a:ext>
                    </a:extLst>
                  </pic:spPr>
                </pic:pic>
              </a:graphicData>
            </a:graphic>
          </wp:inline>
        </w:drawing>
      </w:r>
      <w:bookmarkEnd w:id="2"/>
      <w:bookmarkEnd w:id="3"/>
      <w:bookmarkEnd w:id="4"/>
      <w:bookmarkEnd w:id="5"/>
    </w:p>
    <w:p w14:paraId="05CBF676" w14:textId="1046902F" w:rsidR="00CE7DCE" w:rsidRPr="00F40CDB" w:rsidRDefault="00CE7DCE" w:rsidP="00F40CDB"/>
    <w:sectPr w:rsidR="00CE7DCE" w:rsidRPr="00F40CDB" w:rsidSect="009156A8">
      <w:headerReference w:type="even" r:id="rId16"/>
      <w:headerReference w:type="default" r:id="rId17"/>
      <w:footerReference w:type="even" r:id="rId18"/>
      <w:footerReference w:type="default" r:id="rId19"/>
      <w:headerReference w:type="first" r:id="rId20"/>
      <w:footerReference w:type="first" r:id="rId2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1761E2" w14:textId="77777777" w:rsidR="00132D23" w:rsidRDefault="00132D23" w:rsidP="00AD61AF">
      <w:r>
        <w:separator/>
      </w:r>
    </w:p>
  </w:endnote>
  <w:endnote w:type="continuationSeparator" w:id="0">
    <w:p w14:paraId="5D343D3C" w14:textId="77777777" w:rsidR="00132D23" w:rsidRDefault="00132D23" w:rsidP="00AD61AF">
      <w:r>
        <w:continuationSeparator/>
      </w:r>
    </w:p>
  </w:endnote>
  <w:endnote w:type="continuationNotice" w:id="1">
    <w:p w14:paraId="76388EC6" w14:textId="77777777" w:rsidR="00132D23" w:rsidRDefault="00132D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Times New Roman">
    <w:altName w:val="Arial"/>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18AE8D" w14:textId="77777777" w:rsidR="00844C3D" w:rsidRDefault="00844C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543687"/>
      <w:docPartObj>
        <w:docPartGallery w:val="Page Numbers (Bottom of Page)"/>
        <w:docPartUnique/>
      </w:docPartObj>
    </w:sdtPr>
    <w:sdtEndPr>
      <w:rPr>
        <w:noProof/>
      </w:rPr>
    </w:sdtEndPr>
    <w:sdtContent>
      <w:p w14:paraId="136BA51B" w14:textId="3F38D990" w:rsidR="00844C3D" w:rsidRDefault="00844C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C95D9F" w14:textId="77777777" w:rsidR="00844C3D" w:rsidRDefault="00844C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A7B6B" w14:textId="77777777" w:rsidR="00844C3D" w:rsidRDefault="00844C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5AA0CE" w14:textId="77777777" w:rsidR="00132D23" w:rsidRDefault="00132D23" w:rsidP="00AD61AF">
      <w:r>
        <w:separator/>
      </w:r>
    </w:p>
  </w:footnote>
  <w:footnote w:type="continuationSeparator" w:id="0">
    <w:p w14:paraId="44A8D622" w14:textId="77777777" w:rsidR="00132D23" w:rsidRDefault="00132D23" w:rsidP="00AD61AF">
      <w:r>
        <w:continuationSeparator/>
      </w:r>
    </w:p>
  </w:footnote>
  <w:footnote w:type="continuationNotice" w:id="1">
    <w:p w14:paraId="51278F96" w14:textId="77777777" w:rsidR="00132D23" w:rsidRDefault="00132D23"/>
  </w:footnote>
  <w:footnote w:id="2">
    <w:p w14:paraId="026CD2E4" w14:textId="0357B1D7" w:rsidR="00844C3D" w:rsidRDefault="00844C3D">
      <w:pPr>
        <w:pStyle w:val="FootnoteText"/>
      </w:pPr>
      <w:r>
        <w:rPr>
          <w:rStyle w:val="FootnoteReference"/>
        </w:rPr>
        <w:footnoteRef/>
      </w:r>
      <w:r>
        <w:t xml:space="preserve"> Comparison undertaken between UK PACT and the Climate Leadership in Cities (CLIC) programme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DF7A66" w14:textId="77777777" w:rsidR="00844C3D" w:rsidRDefault="00844C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A7D83" w14:textId="77777777" w:rsidR="00844C3D" w:rsidRDefault="00844C3D">
    <w:pPr>
      <w:pStyle w:val="Header"/>
    </w:pPr>
    <w:r>
      <w:rPr>
        <w:noProof/>
      </w:rPr>
      <mc:AlternateContent>
        <mc:Choice Requires="wps">
          <w:drawing>
            <wp:anchor distT="0" distB="0" distL="114300" distR="114300" simplePos="0" relativeHeight="251658240" behindDoc="0" locked="0" layoutInCell="0" allowOverlap="1" wp14:anchorId="5BA5CEA6" wp14:editId="02F5940B">
              <wp:simplePos x="0" y="0"/>
              <wp:positionH relativeFrom="page">
                <wp:posOffset>0</wp:posOffset>
              </wp:positionH>
              <wp:positionV relativeFrom="page">
                <wp:posOffset>190500</wp:posOffset>
              </wp:positionV>
              <wp:extent cx="7560310" cy="273050"/>
              <wp:effectExtent l="0" t="0" r="0" b="12700"/>
              <wp:wrapNone/>
              <wp:docPr id="1" name="MSIPCM412f4516a6274136433f2e09" descr="{&quot;HashCode&quot;:-129182459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824B5E" w14:textId="77777777" w:rsidR="00844C3D" w:rsidRPr="006E5785" w:rsidRDefault="00844C3D" w:rsidP="001805AA">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5BA5CEA6" id="_x0000_t202" coordsize="21600,21600" o:spt="202" path="m,l,21600r21600,l21600,xe">
              <v:stroke joinstyle="miter"/>
              <v:path gradientshapeok="t" o:connecttype="rect"/>
            </v:shapetype>
            <v:shape id="MSIPCM412f4516a6274136433f2e09" o:spid="_x0000_s1026" type="#_x0000_t202" alt="{&quot;HashCode&quot;:-1291824593,&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" o:allowincell="f" filled="f" stroked="f" strokeweight=".5pt">
              <v:textbox inset="20pt,0,,0">
                <w:txbxContent>
                  <w:p w14:paraId="27824B5E" w14:textId="77777777" w:rsidR="00844C3D" w:rsidRPr="006E5785" w:rsidRDefault="00844C3D" w:rsidP="001805AA">
                    <w:pPr>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4F5232" w14:textId="77777777" w:rsidR="00844C3D" w:rsidRDefault="00844C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05DA6"/>
    <w:multiLevelType w:val="hybridMultilevel"/>
    <w:tmpl w:val="044C3CDC"/>
    <w:lvl w:ilvl="0" w:tplc="C85CF8AE">
      <w:start w:val="1"/>
      <w:numFmt w:val="decimal"/>
      <w:lvlText w:val="%1)"/>
      <w:lvlJc w:val="left"/>
      <w:pPr>
        <w:ind w:left="4198" w:hanging="360"/>
      </w:pPr>
      <w:rPr>
        <w:rFonts w:hint="default"/>
        <w:u w:val="single"/>
      </w:rPr>
    </w:lvl>
    <w:lvl w:ilvl="1" w:tplc="08090019" w:tentative="1">
      <w:start w:val="1"/>
      <w:numFmt w:val="lowerLetter"/>
      <w:lvlText w:val="%2."/>
      <w:lvlJc w:val="left"/>
      <w:pPr>
        <w:ind w:left="4558" w:hanging="360"/>
      </w:pPr>
    </w:lvl>
    <w:lvl w:ilvl="2" w:tplc="0809001B" w:tentative="1">
      <w:start w:val="1"/>
      <w:numFmt w:val="lowerRoman"/>
      <w:lvlText w:val="%3."/>
      <w:lvlJc w:val="right"/>
      <w:pPr>
        <w:ind w:left="5278" w:hanging="180"/>
      </w:pPr>
    </w:lvl>
    <w:lvl w:ilvl="3" w:tplc="0809000F" w:tentative="1">
      <w:start w:val="1"/>
      <w:numFmt w:val="decimal"/>
      <w:lvlText w:val="%4."/>
      <w:lvlJc w:val="left"/>
      <w:pPr>
        <w:ind w:left="5998" w:hanging="360"/>
      </w:pPr>
    </w:lvl>
    <w:lvl w:ilvl="4" w:tplc="08090019" w:tentative="1">
      <w:start w:val="1"/>
      <w:numFmt w:val="lowerLetter"/>
      <w:lvlText w:val="%5."/>
      <w:lvlJc w:val="left"/>
      <w:pPr>
        <w:ind w:left="6718" w:hanging="360"/>
      </w:pPr>
    </w:lvl>
    <w:lvl w:ilvl="5" w:tplc="0809001B" w:tentative="1">
      <w:start w:val="1"/>
      <w:numFmt w:val="lowerRoman"/>
      <w:lvlText w:val="%6."/>
      <w:lvlJc w:val="right"/>
      <w:pPr>
        <w:ind w:left="7438" w:hanging="180"/>
      </w:pPr>
    </w:lvl>
    <w:lvl w:ilvl="6" w:tplc="0809000F" w:tentative="1">
      <w:start w:val="1"/>
      <w:numFmt w:val="decimal"/>
      <w:lvlText w:val="%7."/>
      <w:lvlJc w:val="left"/>
      <w:pPr>
        <w:ind w:left="8158" w:hanging="360"/>
      </w:pPr>
    </w:lvl>
    <w:lvl w:ilvl="7" w:tplc="08090019" w:tentative="1">
      <w:start w:val="1"/>
      <w:numFmt w:val="lowerLetter"/>
      <w:lvlText w:val="%8."/>
      <w:lvlJc w:val="left"/>
      <w:pPr>
        <w:ind w:left="8878" w:hanging="360"/>
      </w:pPr>
    </w:lvl>
    <w:lvl w:ilvl="8" w:tplc="0809001B" w:tentative="1">
      <w:start w:val="1"/>
      <w:numFmt w:val="lowerRoman"/>
      <w:lvlText w:val="%9."/>
      <w:lvlJc w:val="right"/>
      <w:pPr>
        <w:ind w:left="9598" w:hanging="180"/>
      </w:pPr>
    </w:lvl>
  </w:abstractNum>
  <w:abstractNum w:abstractNumId="1" w15:restartNumberingAfterBreak="0">
    <w:nsid w:val="0B0A1F56"/>
    <w:multiLevelType w:val="hybridMultilevel"/>
    <w:tmpl w:val="60B69342"/>
    <w:lvl w:ilvl="0" w:tplc="4B78B2D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58297A"/>
    <w:multiLevelType w:val="hybridMultilevel"/>
    <w:tmpl w:val="2304B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79670D"/>
    <w:multiLevelType w:val="hybridMultilevel"/>
    <w:tmpl w:val="59A0C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133758"/>
    <w:multiLevelType w:val="hybridMultilevel"/>
    <w:tmpl w:val="09C63C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E00F85"/>
    <w:multiLevelType w:val="hybridMultilevel"/>
    <w:tmpl w:val="020AB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C037CF"/>
    <w:multiLevelType w:val="hybridMultilevel"/>
    <w:tmpl w:val="7A94F5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0B27ED9"/>
    <w:multiLevelType w:val="hybridMultilevel"/>
    <w:tmpl w:val="7CA077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3E348D"/>
    <w:multiLevelType w:val="hybridMultilevel"/>
    <w:tmpl w:val="A37437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59F0BE3"/>
    <w:multiLevelType w:val="hybridMultilevel"/>
    <w:tmpl w:val="05B689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1B6E84"/>
    <w:multiLevelType w:val="hybridMultilevel"/>
    <w:tmpl w:val="353A7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7758C6"/>
    <w:multiLevelType w:val="hybridMultilevel"/>
    <w:tmpl w:val="F4A27FB8"/>
    <w:lvl w:ilvl="0" w:tplc="08090019">
      <w:start w:val="1"/>
      <w:numFmt w:val="lowerLetter"/>
      <w:lvlText w:val="%1."/>
      <w:lvlJc w:val="left"/>
      <w:pPr>
        <w:ind w:left="1014" w:hanging="360"/>
      </w:pPr>
    </w:lvl>
    <w:lvl w:ilvl="1" w:tplc="08090019" w:tentative="1">
      <w:start w:val="1"/>
      <w:numFmt w:val="lowerLetter"/>
      <w:lvlText w:val="%2."/>
      <w:lvlJc w:val="left"/>
      <w:pPr>
        <w:ind w:left="1734" w:hanging="360"/>
      </w:pPr>
    </w:lvl>
    <w:lvl w:ilvl="2" w:tplc="0809001B" w:tentative="1">
      <w:start w:val="1"/>
      <w:numFmt w:val="lowerRoman"/>
      <w:lvlText w:val="%3."/>
      <w:lvlJc w:val="right"/>
      <w:pPr>
        <w:ind w:left="2454" w:hanging="180"/>
      </w:pPr>
    </w:lvl>
    <w:lvl w:ilvl="3" w:tplc="0809000F" w:tentative="1">
      <w:start w:val="1"/>
      <w:numFmt w:val="decimal"/>
      <w:lvlText w:val="%4."/>
      <w:lvlJc w:val="left"/>
      <w:pPr>
        <w:ind w:left="3174" w:hanging="360"/>
      </w:pPr>
    </w:lvl>
    <w:lvl w:ilvl="4" w:tplc="08090019" w:tentative="1">
      <w:start w:val="1"/>
      <w:numFmt w:val="lowerLetter"/>
      <w:lvlText w:val="%5."/>
      <w:lvlJc w:val="left"/>
      <w:pPr>
        <w:ind w:left="3894" w:hanging="360"/>
      </w:pPr>
    </w:lvl>
    <w:lvl w:ilvl="5" w:tplc="0809001B" w:tentative="1">
      <w:start w:val="1"/>
      <w:numFmt w:val="lowerRoman"/>
      <w:lvlText w:val="%6."/>
      <w:lvlJc w:val="right"/>
      <w:pPr>
        <w:ind w:left="4614" w:hanging="180"/>
      </w:pPr>
    </w:lvl>
    <w:lvl w:ilvl="6" w:tplc="0809000F" w:tentative="1">
      <w:start w:val="1"/>
      <w:numFmt w:val="decimal"/>
      <w:lvlText w:val="%7."/>
      <w:lvlJc w:val="left"/>
      <w:pPr>
        <w:ind w:left="5334" w:hanging="360"/>
      </w:pPr>
    </w:lvl>
    <w:lvl w:ilvl="7" w:tplc="08090019" w:tentative="1">
      <w:start w:val="1"/>
      <w:numFmt w:val="lowerLetter"/>
      <w:lvlText w:val="%8."/>
      <w:lvlJc w:val="left"/>
      <w:pPr>
        <w:ind w:left="6054" w:hanging="360"/>
      </w:pPr>
    </w:lvl>
    <w:lvl w:ilvl="8" w:tplc="0809001B" w:tentative="1">
      <w:start w:val="1"/>
      <w:numFmt w:val="lowerRoman"/>
      <w:lvlText w:val="%9."/>
      <w:lvlJc w:val="right"/>
      <w:pPr>
        <w:ind w:left="6774" w:hanging="180"/>
      </w:pPr>
    </w:lvl>
  </w:abstractNum>
  <w:abstractNum w:abstractNumId="12" w15:restartNumberingAfterBreak="0">
    <w:nsid w:val="2BF63C6F"/>
    <w:multiLevelType w:val="hybridMultilevel"/>
    <w:tmpl w:val="18FA8B2E"/>
    <w:lvl w:ilvl="0" w:tplc="4BA42C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A06C71"/>
    <w:multiLevelType w:val="hybridMultilevel"/>
    <w:tmpl w:val="DBEA5BD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F806CA0"/>
    <w:multiLevelType w:val="hybridMultilevel"/>
    <w:tmpl w:val="CC486A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27736A9"/>
    <w:multiLevelType w:val="hybridMultilevel"/>
    <w:tmpl w:val="229635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5426D5"/>
    <w:multiLevelType w:val="hybridMultilevel"/>
    <w:tmpl w:val="6C72A8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A0516E5"/>
    <w:multiLevelType w:val="hybridMultilevel"/>
    <w:tmpl w:val="7D384D04"/>
    <w:lvl w:ilvl="0" w:tplc="7EDE894A">
      <w:start w:val="1"/>
      <w:numFmt w:val="decimal"/>
      <w:lvlText w:val="%1."/>
      <w:lvlJc w:val="left"/>
      <w:pPr>
        <w:ind w:left="720" w:hanging="360"/>
      </w:pPr>
      <w:rPr>
        <w:rFonts w:hint="default"/>
        <w:color w:val="000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934FEC"/>
    <w:multiLevelType w:val="hybridMultilevel"/>
    <w:tmpl w:val="8F0671C2"/>
    <w:lvl w:ilvl="0" w:tplc="850CC4F6">
      <w:start w:val="1"/>
      <w:numFmt w:val="bullet"/>
      <w:lvlText w:val=""/>
      <w:lvlJc w:val="left"/>
      <w:pPr>
        <w:tabs>
          <w:tab w:val="num" w:pos="720"/>
        </w:tabs>
        <w:ind w:left="720" w:hanging="360"/>
      </w:pPr>
      <w:rPr>
        <w:rFonts w:ascii="Symbol" w:hAnsi="Symbol" w:hint="default"/>
        <w:sz w:val="20"/>
      </w:rPr>
    </w:lvl>
    <w:lvl w:ilvl="1" w:tplc="C14898F8">
      <w:start w:val="1"/>
      <w:numFmt w:val="bullet"/>
      <w:lvlText w:val=""/>
      <w:lvlJc w:val="left"/>
      <w:pPr>
        <w:tabs>
          <w:tab w:val="num" w:pos="1440"/>
        </w:tabs>
        <w:ind w:left="1440" w:hanging="360"/>
      </w:pPr>
      <w:rPr>
        <w:rFonts w:ascii="Symbol" w:hAnsi="Symbol" w:hint="default"/>
        <w:sz w:val="20"/>
      </w:rPr>
    </w:lvl>
    <w:lvl w:ilvl="2" w:tplc="D0A6EFD2">
      <w:start w:val="1"/>
      <w:numFmt w:val="bullet"/>
      <w:lvlText w:val=""/>
      <w:lvlJc w:val="left"/>
      <w:pPr>
        <w:tabs>
          <w:tab w:val="num" w:pos="2160"/>
        </w:tabs>
        <w:ind w:left="2160" w:hanging="360"/>
      </w:pPr>
      <w:rPr>
        <w:rFonts w:ascii="Wingdings" w:hAnsi="Wingdings" w:hint="default"/>
        <w:sz w:val="20"/>
      </w:rPr>
    </w:lvl>
    <w:lvl w:ilvl="3" w:tplc="E4AA0666">
      <w:start w:val="1"/>
      <w:numFmt w:val="bullet"/>
      <w:lvlText w:val=""/>
      <w:lvlJc w:val="left"/>
      <w:pPr>
        <w:tabs>
          <w:tab w:val="num" w:pos="2880"/>
        </w:tabs>
        <w:ind w:left="2880" w:hanging="360"/>
      </w:pPr>
      <w:rPr>
        <w:rFonts w:ascii="Wingdings" w:hAnsi="Wingdings" w:hint="default"/>
        <w:sz w:val="20"/>
      </w:rPr>
    </w:lvl>
    <w:lvl w:ilvl="4" w:tplc="D99A6880">
      <w:start w:val="1"/>
      <w:numFmt w:val="bullet"/>
      <w:lvlText w:val=""/>
      <w:lvlJc w:val="left"/>
      <w:pPr>
        <w:tabs>
          <w:tab w:val="num" w:pos="3600"/>
        </w:tabs>
        <w:ind w:left="3600" w:hanging="360"/>
      </w:pPr>
      <w:rPr>
        <w:rFonts w:ascii="Wingdings" w:hAnsi="Wingdings" w:hint="default"/>
        <w:sz w:val="20"/>
      </w:rPr>
    </w:lvl>
    <w:lvl w:ilvl="5" w:tplc="8E443BF2">
      <w:start w:val="1"/>
      <w:numFmt w:val="bullet"/>
      <w:lvlText w:val=""/>
      <w:lvlJc w:val="left"/>
      <w:pPr>
        <w:tabs>
          <w:tab w:val="num" w:pos="4320"/>
        </w:tabs>
        <w:ind w:left="4320" w:hanging="360"/>
      </w:pPr>
      <w:rPr>
        <w:rFonts w:ascii="Wingdings" w:hAnsi="Wingdings" w:hint="default"/>
        <w:sz w:val="20"/>
      </w:rPr>
    </w:lvl>
    <w:lvl w:ilvl="6" w:tplc="FE1CFC74">
      <w:start w:val="1"/>
      <w:numFmt w:val="bullet"/>
      <w:lvlText w:val=""/>
      <w:lvlJc w:val="left"/>
      <w:pPr>
        <w:tabs>
          <w:tab w:val="num" w:pos="5040"/>
        </w:tabs>
        <w:ind w:left="5040" w:hanging="360"/>
      </w:pPr>
      <w:rPr>
        <w:rFonts w:ascii="Wingdings" w:hAnsi="Wingdings" w:hint="default"/>
        <w:sz w:val="20"/>
      </w:rPr>
    </w:lvl>
    <w:lvl w:ilvl="7" w:tplc="7DC099C4">
      <w:start w:val="1"/>
      <w:numFmt w:val="bullet"/>
      <w:lvlText w:val=""/>
      <w:lvlJc w:val="left"/>
      <w:pPr>
        <w:tabs>
          <w:tab w:val="num" w:pos="5760"/>
        </w:tabs>
        <w:ind w:left="5760" w:hanging="360"/>
      </w:pPr>
      <w:rPr>
        <w:rFonts w:ascii="Wingdings" w:hAnsi="Wingdings" w:hint="default"/>
        <w:sz w:val="20"/>
      </w:rPr>
    </w:lvl>
    <w:lvl w:ilvl="8" w:tplc="5F942042">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9F0E6A"/>
    <w:multiLevelType w:val="hybridMultilevel"/>
    <w:tmpl w:val="78BE7EFE"/>
    <w:lvl w:ilvl="0" w:tplc="FDF2BD1E">
      <w:start w:val="1"/>
      <w:numFmt w:val="bullet"/>
      <w:lvlText w:val=""/>
      <w:lvlJc w:val="left"/>
      <w:pPr>
        <w:tabs>
          <w:tab w:val="num" w:pos="720"/>
        </w:tabs>
        <w:ind w:left="720" w:hanging="360"/>
      </w:pPr>
      <w:rPr>
        <w:rFonts w:ascii="Symbol" w:hAnsi="Symbol" w:hint="default"/>
        <w:sz w:val="20"/>
      </w:rPr>
    </w:lvl>
    <w:lvl w:ilvl="1" w:tplc="96BC4E52">
      <w:start w:val="1"/>
      <w:numFmt w:val="bullet"/>
      <w:lvlText w:val=""/>
      <w:lvlJc w:val="left"/>
      <w:pPr>
        <w:tabs>
          <w:tab w:val="num" w:pos="1440"/>
        </w:tabs>
        <w:ind w:left="1440" w:hanging="360"/>
      </w:pPr>
      <w:rPr>
        <w:rFonts w:ascii="Symbol" w:hAnsi="Symbol" w:hint="default"/>
        <w:sz w:val="20"/>
      </w:rPr>
    </w:lvl>
    <w:lvl w:ilvl="2" w:tplc="F956E95A">
      <w:start w:val="1"/>
      <w:numFmt w:val="bullet"/>
      <w:lvlText w:val=""/>
      <w:lvlJc w:val="left"/>
      <w:pPr>
        <w:tabs>
          <w:tab w:val="num" w:pos="2160"/>
        </w:tabs>
        <w:ind w:left="2160" w:hanging="360"/>
      </w:pPr>
      <w:rPr>
        <w:rFonts w:ascii="Wingdings" w:hAnsi="Wingdings" w:hint="default"/>
        <w:sz w:val="20"/>
      </w:rPr>
    </w:lvl>
    <w:lvl w:ilvl="3" w:tplc="A2947280">
      <w:start w:val="1"/>
      <w:numFmt w:val="bullet"/>
      <w:lvlText w:val=""/>
      <w:lvlJc w:val="left"/>
      <w:pPr>
        <w:tabs>
          <w:tab w:val="num" w:pos="2880"/>
        </w:tabs>
        <w:ind w:left="2880" w:hanging="360"/>
      </w:pPr>
      <w:rPr>
        <w:rFonts w:ascii="Wingdings" w:hAnsi="Wingdings" w:hint="default"/>
        <w:sz w:val="20"/>
      </w:rPr>
    </w:lvl>
    <w:lvl w:ilvl="4" w:tplc="2ACEA448">
      <w:start w:val="1"/>
      <w:numFmt w:val="bullet"/>
      <w:lvlText w:val=""/>
      <w:lvlJc w:val="left"/>
      <w:pPr>
        <w:tabs>
          <w:tab w:val="num" w:pos="3600"/>
        </w:tabs>
        <w:ind w:left="3600" w:hanging="360"/>
      </w:pPr>
      <w:rPr>
        <w:rFonts w:ascii="Wingdings" w:hAnsi="Wingdings" w:hint="default"/>
        <w:sz w:val="20"/>
      </w:rPr>
    </w:lvl>
    <w:lvl w:ilvl="5" w:tplc="D1B80C60">
      <w:start w:val="1"/>
      <w:numFmt w:val="bullet"/>
      <w:lvlText w:val=""/>
      <w:lvlJc w:val="left"/>
      <w:pPr>
        <w:tabs>
          <w:tab w:val="num" w:pos="4320"/>
        </w:tabs>
        <w:ind w:left="4320" w:hanging="360"/>
      </w:pPr>
      <w:rPr>
        <w:rFonts w:ascii="Wingdings" w:hAnsi="Wingdings" w:hint="default"/>
        <w:sz w:val="20"/>
      </w:rPr>
    </w:lvl>
    <w:lvl w:ilvl="6" w:tplc="FF96D514">
      <w:start w:val="1"/>
      <w:numFmt w:val="bullet"/>
      <w:lvlText w:val=""/>
      <w:lvlJc w:val="left"/>
      <w:pPr>
        <w:tabs>
          <w:tab w:val="num" w:pos="5040"/>
        </w:tabs>
        <w:ind w:left="5040" w:hanging="360"/>
      </w:pPr>
      <w:rPr>
        <w:rFonts w:ascii="Wingdings" w:hAnsi="Wingdings" w:hint="default"/>
        <w:sz w:val="20"/>
      </w:rPr>
    </w:lvl>
    <w:lvl w:ilvl="7" w:tplc="0390F562">
      <w:start w:val="1"/>
      <w:numFmt w:val="bullet"/>
      <w:lvlText w:val=""/>
      <w:lvlJc w:val="left"/>
      <w:pPr>
        <w:tabs>
          <w:tab w:val="num" w:pos="5760"/>
        </w:tabs>
        <w:ind w:left="5760" w:hanging="360"/>
      </w:pPr>
      <w:rPr>
        <w:rFonts w:ascii="Wingdings" w:hAnsi="Wingdings" w:hint="default"/>
        <w:sz w:val="20"/>
      </w:rPr>
    </w:lvl>
    <w:lvl w:ilvl="8" w:tplc="41001170">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F3687F"/>
    <w:multiLevelType w:val="hybridMultilevel"/>
    <w:tmpl w:val="0854E1A6"/>
    <w:lvl w:ilvl="0" w:tplc="FDC04C56">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3D39FC"/>
    <w:multiLevelType w:val="hybridMultilevel"/>
    <w:tmpl w:val="7CA077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2A4872"/>
    <w:multiLevelType w:val="hybridMultilevel"/>
    <w:tmpl w:val="FA0E8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2001B62"/>
    <w:multiLevelType w:val="hybridMultilevel"/>
    <w:tmpl w:val="735AD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317A7F"/>
    <w:multiLevelType w:val="hybridMultilevel"/>
    <w:tmpl w:val="4484C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FC377D"/>
    <w:multiLevelType w:val="hybridMultilevel"/>
    <w:tmpl w:val="6A98A076"/>
    <w:lvl w:ilvl="0" w:tplc="8E8AB910">
      <w:start w:val="1"/>
      <w:numFmt w:val="decimal"/>
      <w:lvlText w:val="1.%1"/>
      <w:lvlJc w:val="left"/>
      <w:pPr>
        <w:ind w:left="360" w:hanging="360"/>
      </w:pPr>
      <w:rPr>
        <w:rFonts w:hint="default"/>
        <w:b w:val="0"/>
        <w:i w:val="0"/>
        <w:sz w:val="22"/>
        <w:szCs w:val="22"/>
      </w:rPr>
    </w:lvl>
    <w:lvl w:ilvl="1" w:tplc="08090019">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26" w15:restartNumberingAfterBreak="0">
    <w:nsid w:val="5F2C5363"/>
    <w:multiLevelType w:val="hybridMultilevel"/>
    <w:tmpl w:val="8C00559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5E545F4"/>
    <w:multiLevelType w:val="hybridMultilevel"/>
    <w:tmpl w:val="AC78170E"/>
    <w:lvl w:ilvl="0" w:tplc="26C80CAE">
      <w:start w:val="1"/>
      <w:numFmt w:val="decimal"/>
      <w:lvlText w:val="%1."/>
      <w:lvlJc w:val="left"/>
      <w:pPr>
        <w:ind w:left="720" w:hanging="360"/>
      </w:pPr>
      <w:rPr>
        <w:rFonts w:eastAsiaTheme="min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78B0478"/>
    <w:multiLevelType w:val="hybridMultilevel"/>
    <w:tmpl w:val="34F272A6"/>
    <w:lvl w:ilvl="0" w:tplc="955C6748">
      <w:start w:val="1"/>
      <w:numFmt w:val="bullet"/>
      <w:lvlText w:val=""/>
      <w:lvlJc w:val="left"/>
      <w:pPr>
        <w:tabs>
          <w:tab w:val="num" w:pos="720"/>
        </w:tabs>
        <w:ind w:left="720" w:hanging="360"/>
      </w:pPr>
      <w:rPr>
        <w:rFonts w:ascii="Symbol" w:hAnsi="Symbol" w:hint="default"/>
        <w:sz w:val="20"/>
      </w:rPr>
    </w:lvl>
    <w:lvl w:ilvl="1" w:tplc="8B0E28F0">
      <w:start w:val="1"/>
      <w:numFmt w:val="bullet"/>
      <w:lvlText w:val=""/>
      <w:lvlJc w:val="left"/>
      <w:pPr>
        <w:tabs>
          <w:tab w:val="num" w:pos="1440"/>
        </w:tabs>
        <w:ind w:left="1440" w:hanging="360"/>
      </w:pPr>
      <w:rPr>
        <w:rFonts w:ascii="Symbol" w:hAnsi="Symbol" w:hint="default"/>
        <w:sz w:val="20"/>
      </w:rPr>
    </w:lvl>
    <w:lvl w:ilvl="2" w:tplc="DD36DDEA">
      <w:start w:val="1"/>
      <w:numFmt w:val="bullet"/>
      <w:lvlText w:val=""/>
      <w:lvlJc w:val="left"/>
      <w:pPr>
        <w:tabs>
          <w:tab w:val="num" w:pos="2160"/>
        </w:tabs>
        <w:ind w:left="2160" w:hanging="360"/>
      </w:pPr>
      <w:rPr>
        <w:rFonts w:ascii="Wingdings" w:hAnsi="Wingdings" w:hint="default"/>
        <w:sz w:val="20"/>
      </w:rPr>
    </w:lvl>
    <w:lvl w:ilvl="3" w:tplc="109EF4E0">
      <w:start w:val="1"/>
      <w:numFmt w:val="bullet"/>
      <w:lvlText w:val=""/>
      <w:lvlJc w:val="left"/>
      <w:pPr>
        <w:tabs>
          <w:tab w:val="num" w:pos="2880"/>
        </w:tabs>
        <w:ind w:left="2880" w:hanging="360"/>
      </w:pPr>
      <w:rPr>
        <w:rFonts w:ascii="Wingdings" w:hAnsi="Wingdings" w:hint="default"/>
        <w:sz w:val="20"/>
      </w:rPr>
    </w:lvl>
    <w:lvl w:ilvl="4" w:tplc="CB061B50">
      <w:start w:val="1"/>
      <w:numFmt w:val="bullet"/>
      <w:lvlText w:val=""/>
      <w:lvlJc w:val="left"/>
      <w:pPr>
        <w:tabs>
          <w:tab w:val="num" w:pos="3600"/>
        </w:tabs>
        <w:ind w:left="3600" w:hanging="360"/>
      </w:pPr>
      <w:rPr>
        <w:rFonts w:ascii="Wingdings" w:hAnsi="Wingdings" w:hint="default"/>
        <w:sz w:val="20"/>
      </w:rPr>
    </w:lvl>
    <w:lvl w:ilvl="5" w:tplc="1EF4E304">
      <w:start w:val="1"/>
      <w:numFmt w:val="bullet"/>
      <w:lvlText w:val=""/>
      <w:lvlJc w:val="left"/>
      <w:pPr>
        <w:tabs>
          <w:tab w:val="num" w:pos="4320"/>
        </w:tabs>
        <w:ind w:left="4320" w:hanging="360"/>
      </w:pPr>
      <w:rPr>
        <w:rFonts w:ascii="Wingdings" w:hAnsi="Wingdings" w:hint="default"/>
        <w:sz w:val="20"/>
      </w:rPr>
    </w:lvl>
    <w:lvl w:ilvl="6" w:tplc="CAD25548">
      <w:start w:val="1"/>
      <w:numFmt w:val="bullet"/>
      <w:lvlText w:val=""/>
      <w:lvlJc w:val="left"/>
      <w:pPr>
        <w:tabs>
          <w:tab w:val="num" w:pos="5040"/>
        </w:tabs>
        <w:ind w:left="5040" w:hanging="360"/>
      </w:pPr>
      <w:rPr>
        <w:rFonts w:ascii="Wingdings" w:hAnsi="Wingdings" w:hint="default"/>
        <w:sz w:val="20"/>
      </w:rPr>
    </w:lvl>
    <w:lvl w:ilvl="7" w:tplc="FB22002E">
      <w:start w:val="1"/>
      <w:numFmt w:val="bullet"/>
      <w:lvlText w:val=""/>
      <w:lvlJc w:val="left"/>
      <w:pPr>
        <w:tabs>
          <w:tab w:val="num" w:pos="5760"/>
        </w:tabs>
        <w:ind w:left="5760" w:hanging="360"/>
      </w:pPr>
      <w:rPr>
        <w:rFonts w:ascii="Wingdings" w:hAnsi="Wingdings" w:hint="default"/>
        <w:sz w:val="20"/>
      </w:rPr>
    </w:lvl>
    <w:lvl w:ilvl="8" w:tplc="31E0A8C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0D2319"/>
    <w:multiLevelType w:val="hybridMultilevel"/>
    <w:tmpl w:val="A56E1E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D4E1A9C"/>
    <w:multiLevelType w:val="hybridMultilevel"/>
    <w:tmpl w:val="9140E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6442F8"/>
    <w:multiLevelType w:val="hybridMultilevel"/>
    <w:tmpl w:val="C652C0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F2230ED"/>
    <w:multiLevelType w:val="hybridMultilevel"/>
    <w:tmpl w:val="1A4AF6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AA27691"/>
    <w:multiLevelType w:val="hybridMultilevel"/>
    <w:tmpl w:val="E5884EB0"/>
    <w:lvl w:ilvl="0" w:tplc="C85CF8AE">
      <w:start w:val="1"/>
      <w:numFmt w:val="decimal"/>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3"/>
  </w:num>
  <w:num w:numId="2">
    <w:abstractNumId w:val="16"/>
  </w:num>
  <w:num w:numId="3">
    <w:abstractNumId w:val="21"/>
  </w:num>
  <w:num w:numId="4">
    <w:abstractNumId w:val="22"/>
  </w:num>
  <w:num w:numId="5">
    <w:abstractNumId w:val="28"/>
  </w:num>
  <w:num w:numId="6">
    <w:abstractNumId w:val="19"/>
  </w:num>
  <w:num w:numId="7">
    <w:abstractNumId w:val="18"/>
  </w:num>
  <w:num w:numId="8">
    <w:abstractNumId w:val="20"/>
  </w:num>
  <w:num w:numId="9">
    <w:abstractNumId w:val="6"/>
  </w:num>
  <w:num w:numId="10">
    <w:abstractNumId w:val="6"/>
  </w:num>
  <w:num w:numId="11">
    <w:abstractNumId w:val="7"/>
  </w:num>
  <w:num w:numId="12">
    <w:abstractNumId w:val="25"/>
  </w:num>
  <w:num w:numId="13">
    <w:abstractNumId w:val="11"/>
  </w:num>
  <w:num w:numId="14">
    <w:abstractNumId w:val="2"/>
  </w:num>
  <w:num w:numId="15">
    <w:abstractNumId w:val="33"/>
  </w:num>
  <w:num w:numId="16">
    <w:abstractNumId w:val="0"/>
  </w:num>
  <w:num w:numId="17">
    <w:abstractNumId w:val="3"/>
  </w:num>
  <w:num w:numId="18">
    <w:abstractNumId w:val="1"/>
  </w:num>
  <w:num w:numId="19">
    <w:abstractNumId w:val="32"/>
  </w:num>
  <w:num w:numId="20">
    <w:abstractNumId w:val="24"/>
  </w:num>
  <w:num w:numId="21">
    <w:abstractNumId w:val="29"/>
  </w:num>
  <w:num w:numId="22">
    <w:abstractNumId w:val="14"/>
  </w:num>
  <w:num w:numId="23">
    <w:abstractNumId w:val="31"/>
  </w:num>
  <w:num w:numId="24">
    <w:abstractNumId w:val="31"/>
  </w:num>
  <w:num w:numId="25">
    <w:abstractNumId w:val="8"/>
  </w:num>
  <w:num w:numId="26">
    <w:abstractNumId w:val="5"/>
  </w:num>
  <w:num w:numId="27">
    <w:abstractNumId w:val="10"/>
  </w:num>
  <w:num w:numId="28">
    <w:abstractNumId w:val="27"/>
  </w:num>
  <w:num w:numId="29">
    <w:abstractNumId w:val="15"/>
  </w:num>
  <w:num w:numId="30">
    <w:abstractNumId w:val="30"/>
  </w:num>
  <w:num w:numId="31">
    <w:abstractNumId w:val="4"/>
  </w:num>
  <w:num w:numId="32">
    <w:abstractNumId w:val="9"/>
  </w:num>
  <w:num w:numId="33">
    <w:abstractNumId w:val="17"/>
  </w:num>
  <w:num w:numId="34">
    <w:abstractNumId w:val="26"/>
  </w:num>
  <w:num w:numId="35">
    <w:abstractNumId w:val="13"/>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1AF"/>
    <w:rsid w:val="00000FC6"/>
    <w:rsid w:val="0000128A"/>
    <w:rsid w:val="00001DEE"/>
    <w:rsid w:val="00002249"/>
    <w:rsid w:val="00002A01"/>
    <w:rsid w:val="0000372E"/>
    <w:rsid w:val="00005ED3"/>
    <w:rsid w:val="00006703"/>
    <w:rsid w:val="00006E1E"/>
    <w:rsid w:val="000077D8"/>
    <w:rsid w:val="00010953"/>
    <w:rsid w:val="0001106E"/>
    <w:rsid w:val="000120C9"/>
    <w:rsid w:val="00012378"/>
    <w:rsid w:val="00012853"/>
    <w:rsid w:val="00012B1E"/>
    <w:rsid w:val="00014FCF"/>
    <w:rsid w:val="000152EA"/>
    <w:rsid w:val="00015D72"/>
    <w:rsid w:val="00015D7E"/>
    <w:rsid w:val="00015F2C"/>
    <w:rsid w:val="0001661C"/>
    <w:rsid w:val="0001691C"/>
    <w:rsid w:val="00017AB8"/>
    <w:rsid w:val="00017AC9"/>
    <w:rsid w:val="00020672"/>
    <w:rsid w:val="00020686"/>
    <w:rsid w:val="00022A38"/>
    <w:rsid w:val="000235E0"/>
    <w:rsid w:val="000245C7"/>
    <w:rsid w:val="00024876"/>
    <w:rsid w:val="000252B1"/>
    <w:rsid w:val="000261D0"/>
    <w:rsid w:val="000262D7"/>
    <w:rsid w:val="00026EC7"/>
    <w:rsid w:val="0002747E"/>
    <w:rsid w:val="000307CD"/>
    <w:rsid w:val="0003229A"/>
    <w:rsid w:val="00032ABE"/>
    <w:rsid w:val="00032B21"/>
    <w:rsid w:val="0003392A"/>
    <w:rsid w:val="000344F4"/>
    <w:rsid w:val="000356E3"/>
    <w:rsid w:val="0003595B"/>
    <w:rsid w:val="000370E9"/>
    <w:rsid w:val="000371BD"/>
    <w:rsid w:val="00037548"/>
    <w:rsid w:val="00040ACF"/>
    <w:rsid w:val="00040AF5"/>
    <w:rsid w:val="00041146"/>
    <w:rsid w:val="0004195A"/>
    <w:rsid w:val="00041C11"/>
    <w:rsid w:val="000420E8"/>
    <w:rsid w:val="00042D33"/>
    <w:rsid w:val="00042F16"/>
    <w:rsid w:val="00042F24"/>
    <w:rsid w:val="00043610"/>
    <w:rsid w:val="000441AE"/>
    <w:rsid w:val="000442A2"/>
    <w:rsid w:val="0004470F"/>
    <w:rsid w:val="00045E60"/>
    <w:rsid w:val="000500EE"/>
    <w:rsid w:val="000502C9"/>
    <w:rsid w:val="000507F7"/>
    <w:rsid w:val="00050A0F"/>
    <w:rsid w:val="0005253A"/>
    <w:rsid w:val="0005293B"/>
    <w:rsid w:val="000538DD"/>
    <w:rsid w:val="000538EE"/>
    <w:rsid w:val="0005497E"/>
    <w:rsid w:val="0005528B"/>
    <w:rsid w:val="0005533A"/>
    <w:rsid w:val="00055C6A"/>
    <w:rsid w:val="00057314"/>
    <w:rsid w:val="00060366"/>
    <w:rsid w:val="00060A82"/>
    <w:rsid w:val="00060E97"/>
    <w:rsid w:val="00061014"/>
    <w:rsid w:val="0006121D"/>
    <w:rsid w:val="00061E79"/>
    <w:rsid w:val="00062BB2"/>
    <w:rsid w:val="00064072"/>
    <w:rsid w:val="00065ACA"/>
    <w:rsid w:val="00065EC4"/>
    <w:rsid w:val="00066149"/>
    <w:rsid w:val="00066603"/>
    <w:rsid w:val="00066C3E"/>
    <w:rsid w:val="00067834"/>
    <w:rsid w:val="00067AB2"/>
    <w:rsid w:val="0007040E"/>
    <w:rsid w:val="00070FFF"/>
    <w:rsid w:val="0007156D"/>
    <w:rsid w:val="000715AA"/>
    <w:rsid w:val="00071D73"/>
    <w:rsid w:val="000720F2"/>
    <w:rsid w:val="0007290F"/>
    <w:rsid w:val="0007306A"/>
    <w:rsid w:val="00074A18"/>
    <w:rsid w:val="00074D91"/>
    <w:rsid w:val="00075011"/>
    <w:rsid w:val="0007549D"/>
    <w:rsid w:val="0007619F"/>
    <w:rsid w:val="00076E17"/>
    <w:rsid w:val="000802A6"/>
    <w:rsid w:val="00080ECA"/>
    <w:rsid w:val="0008139E"/>
    <w:rsid w:val="000813F7"/>
    <w:rsid w:val="00081838"/>
    <w:rsid w:val="00081915"/>
    <w:rsid w:val="00081C13"/>
    <w:rsid w:val="00081E60"/>
    <w:rsid w:val="000829E4"/>
    <w:rsid w:val="00083C71"/>
    <w:rsid w:val="00084ABC"/>
    <w:rsid w:val="00085FE0"/>
    <w:rsid w:val="0008620B"/>
    <w:rsid w:val="00086B44"/>
    <w:rsid w:val="00087B09"/>
    <w:rsid w:val="00087D77"/>
    <w:rsid w:val="000904DE"/>
    <w:rsid w:val="00090F81"/>
    <w:rsid w:val="000918F8"/>
    <w:rsid w:val="0009195B"/>
    <w:rsid w:val="000932C7"/>
    <w:rsid w:val="00093369"/>
    <w:rsid w:val="0009389A"/>
    <w:rsid w:val="00093D3C"/>
    <w:rsid w:val="00093F52"/>
    <w:rsid w:val="00094787"/>
    <w:rsid w:val="00094796"/>
    <w:rsid w:val="00094A76"/>
    <w:rsid w:val="000950C0"/>
    <w:rsid w:val="00095617"/>
    <w:rsid w:val="00097177"/>
    <w:rsid w:val="000975B4"/>
    <w:rsid w:val="000A0821"/>
    <w:rsid w:val="000A0BBA"/>
    <w:rsid w:val="000A1A2D"/>
    <w:rsid w:val="000A1A9C"/>
    <w:rsid w:val="000A27AD"/>
    <w:rsid w:val="000A2A56"/>
    <w:rsid w:val="000A2BC4"/>
    <w:rsid w:val="000A2E5A"/>
    <w:rsid w:val="000A4314"/>
    <w:rsid w:val="000A515F"/>
    <w:rsid w:val="000A6640"/>
    <w:rsid w:val="000A6930"/>
    <w:rsid w:val="000B06EE"/>
    <w:rsid w:val="000B1B12"/>
    <w:rsid w:val="000B1CBF"/>
    <w:rsid w:val="000B244C"/>
    <w:rsid w:val="000B2B29"/>
    <w:rsid w:val="000B2BA0"/>
    <w:rsid w:val="000B3E96"/>
    <w:rsid w:val="000B406B"/>
    <w:rsid w:val="000B4381"/>
    <w:rsid w:val="000B438F"/>
    <w:rsid w:val="000B458C"/>
    <w:rsid w:val="000B5010"/>
    <w:rsid w:val="000B7515"/>
    <w:rsid w:val="000C03C0"/>
    <w:rsid w:val="000C0DD5"/>
    <w:rsid w:val="000C17AB"/>
    <w:rsid w:val="000C24A8"/>
    <w:rsid w:val="000C24B5"/>
    <w:rsid w:val="000C47D0"/>
    <w:rsid w:val="000C4A87"/>
    <w:rsid w:val="000C5161"/>
    <w:rsid w:val="000C5605"/>
    <w:rsid w:val="000C5778"/>
    <w:rsid w:val="000C58D0"/>
    <w:rsid w:val="000C6728"/>
    <w:rsid w:val="000C69A0"/>
    <w:rsid w:val="000C6E64"/>
    <w:rsid w:val="000C71C6"/>
    <w:rsid w:val="000C7A85"/>
    <w:rsid w:val="000D0DA3"/>
    <w:rsid w:val="000D1B1F"/>
    <w:rsid w:val="000D2E01"/>
    <w:rsid w:val="000D2E91"/>
    <w:rsid w:val="000D4275"/>
    <w:rsid w:val="000D5389"/>
    <w:rsid w:val="000D57FC"/>
    <w:rsid w:val="000D5B22"/>
    <w:rsid w:val="000D62EF"/>
    <w:rsid w:val="000D6373"/>
    <w:rsid w:val="000D6ADF"/>
    <w:rsid w:val="000D7F61"/>
    <w:rsid w:val="000E0BB9"/>
    <w:rsid w:val="000E0CAB"/>
    <w:rsid w:val="000E12BE"/>
    <w:rsid w:val="000E1504"/>
    <w:rsid w:val="000E1939"/>
    <w:rsid w:val="000E221F"/>
    <w:rsid w:val="000E2481"/>
    <w:rsid w:val="000E2DEF"/>
    <w:rsid w:val="000E2EA7"/>
    <w:rsid w:val="000E339D"/>
    <w:rsid w:val="000E3E7A"/>
    <w:rsid w:val="000E4CF0"/>
    <w:rsid w:val="000E4D88"/>
    <w:rsid w:val="000E4E47"/>
    <w:rsid w:val="000E5119"/>
    <w:rsid w:val="000E54E0"/>
    <w:rsid w:val="000E5D52"/>
    <w:rsid w:val="000E5E7E"/>
    <w:rsid w:val="000F0532"/>
    <w:rsid w:val="000F18F7"/>
    <w:rsid w:val="000F19E0"/>
    <w:rsid w:val="000F1AF3"/>
    <w:rsid w:val="000F21EC"/>
    <w:rsid w:val="000F3B5C"/>
    <w:rsid w:val="000F4175"/>
    <w:rsid w:val="000F4F4C"/>
    <w:rsid w:val="000F696C"/>
    <w:rsid w:val="000F7133"/>
    <w:rsid w:val="000F72EC"/>
    <w:rsid w:val="000F7636"/>
    <w:rsid w:val="001002A9"/>
    <w:rsid w:val="0010130E"/>
    <w:rsid w:val="00101657"/>
    <w:rsid w:val="001016ED"/>
    <w:rsid w:val="0010238C"/>
    <w:rsid w:val="00103335"/>
    <w:rsid w:val="001046FB"/>
    <w:rsid w:val="00104BF7"/>
    <w:rsid w:val="00104F78"/>
    <w:rsid w:val="00105317"/>
    <w:rsid w:val="001054D1"/>
    <w:rsid w:val="00105E00"/>
    <w:rsid w:val="00106636"/>
    <w:rsid w:val="00106F21"/>
    <w:rsid w:val="00106F6F"/>
    <w:rsid w:val="001070AC"/>
    <w:rsid w:val="00107528"/>
    <w:rsid w:val="0011240D"/>
    <w:rsid w:val="00113838"/>
    <w:rsid w:val="00114203"/>
    <w:rsid w:val="00114FCB"/>
    <w:rsid w:val="00115262"/>
    <w:rsid w:val="00116F09"/>
    <w:rsid w:val="00117F6B"/>
    <w:rsid w:val="00117FF9"/>
    <w:rsid w:val="00120138"/>
    <w:rsid w:val="00120DBA"/>
    <w:rsid w:val="0012111C"/>
    <w:rsid w:val="00121644"/>
    <w:rsid w:val="0012207A"/>
    <w:rsid w:val="00122675"/>
    <w:rsid w:val="00122713"/>
    <w:rsid w:val="001229BA"/>
    <w:rsid w:val="001230E8"/>
    <w:rsid w:val="00123A00"/>
    <w:rsid w:val="00124BC4"/>
    <w:rsid w:val="0012639C"/>
    <w:rsid w:val="001267CD"/>
    <w:rsid w:val="00127207"/>
    <w:rsid w:val="00130024"/>
    <w:rsid w:val="0013045C"/>
    <w:rsid w:val="00130599"/>
    <w:rsid w:val="001305C3"/>
    <w:rsid w:val="001308C9"/>
    <w:rsid w:val="0013147E"/>
    <w:rsid w:val="0013203F"/>
    <w:rsid w:val="00132399"/>
    <w:rsid w:val="00132D23"/>
    <w:rsid w:val="00133A3D"/>
    <w:rsid w:val="00133C38"/>
    <w:rsid w:val="0013460B"/>
    <w:rsid w:val="00134A04"/>
    <w:rsid w:val="00135231"/>
    <w:rsid w:val="00137846"/>
    <w:rsid w:val="00137A56"/>
    <w:rsid w:val="00137BAB"/>
    <w:rsid w:val="001418DE"/>
    <w:rsid w:val="00141F3B"/>
    <w:rsid w:val="00143605"/>
    <w:rsid w:val="00143BED"/>
    <w:rsid w:val="0014423D"/>
    <w:rsid w:val="00144E87"/>
    <w:rsid w:val="001451F6"/>
    <w:rsid w:val="00145DC3"/>
    <w:rsid w:val="001462BC"/>
    <w:rsid w:val="0014666D"/>
    <w:rsid w:val="00147051"/>
    <w:rsid w:val="00147575"/>
    <w:rsid w:val="00147CD9"/>
    <w:rsid w:val="001502D1"/>
    <w:rsid w:val="001522B8"/>
    <w:rsid w:val="001524A5"/>
    <w:rsid w:val="00152AAF"/>
    <w:rsid w:val="00153BA0"/>
    <w:rsid w:val="00153D6F"/>
    <w:rsid w:val="0015459A"/>
    <w:rsid w:val="00154FF3"/>
    <w:rsid w:val="00156605"/>
    <w:rsid w:val="00156D36"/>
    <w:rsid w:val="00156F21"/>
    <w:rsid w:val="00157C62"/>
    <w:rsid w:val="001612CA"/>
    <w:rsid w:val="0016331F"/>
    <w:rsid w:val="00163DFE"/>
    <w:rsid w:val="00163F7C"/>
    <w:rsid w:val="00164249"/>
    <w:rsid w:val="0016425D"/>
    <w:rsid w:val="001646BF"/>
    <w:rsid w:val="00165977"/>
    <w:rsid w:val="00170496"/>
    <w:rsid w:val="00170F70"/>
    <w:rsid w:val="00171B73"/>
    <w:rsid w:val="00171D74"/>
    <w:rsid w:val="00171D91"/>
    <w:rsid w:val="00171E54"/>
    <w:rsid w:val="00172089"/>
    <w:rsid w:val="00172121"/>
    <w:rsid w:val="00172434"/>
    <w:rsid w:val="00173369"/>
    <w:rsid w:val="001737F2"/>
    <w:rsid w:val="00173CBE"/>
    <w:rsid w:val="00173D1F"/>
    <w:rsid w:val="0017410E"/>
    <w:rsid w:val="00174381"/>
    <w:rsid w:val="0017566D"/>
    <w:rsid w:val="00175765"/>
    <w:rsid w:val="0017618E"/>
    <w:rsid w:val="001769EE"/>
    <w:rsid w:val="00177483"/>
    <w:rsid w:val="001805AA"/>
    <w:rsid w:val="00180868"/>
    <w:rsid w:val="00180B85"/>
    <w:rsid w:val="0018105D"/>
    <w:rsid w:val="00181498"/>
    <w:rsid w:val="001819EE"/>
    <w:rsid w:val="00183CFF"/>
    <w:rsid w:val="00184426"/>
    <w:rsid w:val="0018602B"/>
    <w:rsid w:val="00186C24"/>
    <w:rsid w:val="0018737D"/>
    <w:rsid w:val="001875E1"/>
    <w:rsid w:val="00187D1D"/>
    <w:rsid w:val="00187DEF"/>
    <w:rsid w:val="00190189"/>
    <w:rsid w:val="001912A1"/>
    <w:rsid w:val="0019130F"/>
    <w:rsid w:val="00191418"/>
    <w:rsid w:val="0019207C"/>
    <w:rsid w:val="001923E0"/>
    <w:rsid w:val="00192715"/>
    <w:rsid w:val="00193405"/>
    <w:rsid w:val="001941DD"/>
    <w:rsid w:val="0019448A"/>
    <w:rsid w:val="0019744A"/>
    <w:rsid w:val="001A00AD"/>
    <w:rsid w:val="001A03A2"/>
    <w:rsid w:val="001A0E5E"/>
    <w:rsid w:val="001A3761"/>
    <w:rsid w:val="001A4FB1"/>
    <w:rsid w:val="001A5252"/>
    <w:rsid w:val="001A70E2"/>
    <w:rsid w:val="001A7DFF"/>
    <w:rsid w:val="001B001B"/>
    <w:rsid w:val="001B061A"/>
    <w:rsid w:val="001B0A17"/>
    <w:rsid w:val="001B15EF"/>
    <w:rsid w:val="001B4EC5"/>
    <w:rsid w:val="001B574D"/>
    <w:rsid w:val="001B60B9"/>
    <w:rsid w:val="001B6224"/>
    <w:rsid w:val="001B64E1"/>
    <w:rsid w:val="001B7B26"/>
    <w:rsid w:val="001C029A"/>
    <w:rsid w:val="001C0DBF"/>
    <w:rsid w:val="001C200D"/>
    <w:rsid w:val="001C24B2"/>
    <w:rsid w:val="001C2E32"/>
    <w:rsid w:val="001C3595"/>
    <w:rsid w:val="001C370A"/>
    <w:rsid w:val="001C3F09"/>
    <w:rsid w:val="001C3FC0"/>
    <w:rsid w:val="001C448A"/>
    <w:rsid w:val="001C4C68"/>
    <w:rsid w:val="001C5152"/>
    <w:rsid w:val="001C5286"/>
    <w:rsid w:val="001C5CED"/>
    <w:rsid w:val="001C5FEF"/>
    <w:rsid w:val="001C60D9"/>
    <w:rsid w:val="001C6EE8"/>
    <w:rsid w:val="001C6F0B"/>
    <w:rsid w:val="001C7C8C"/>
    <w:rsid w:val="001D02E8"/>
    <w:rsid w:val="001D12EF"/>
    <w:rsid w:val="001D13DF"/>
    <w:rsid w:val="001D178C"/>
    <w:rsid w:val="001D1CE8"/>
    <w:rsid w:val="001D3128"/>
    <w:rsid w:val="001D462A"/>
    <w:rsid w:val="001D4DB8"/>
    <w:rsid w:val="001D7B77"/>
    <w:rsid w:val="001D7B98"/>
    <w:rsid w:val="001E0A71"/>
    <w:rsid w:val="001E0C98"/>
    <w:rsid w:val="001E19A4"/>
    <w:rsid w:val="001E26E9"/>
    <w:rsid w:val="001E29A7"/>
    <w:rsid w:val="001E305A"/>
    <w:rsid w:val="001E374A"/>
    <w:rsid w:val="001E377A"/>
    <w:rsid w:val="001E400E"/>
    <w:rsid w:val="001E49E8"/>
    <w:rsid w:val="001E5281"/>
    <w:rsid w:val="001E57A7"/>
    <w:rsid w:val="001E5956"/>
    <w:rsid w:val="001E5AE0"/>
    <w:rsid w:val="001E5DA8"/>
    <w:rsid w:val="001E6841"/>
    <w:rsid w:val="001E7165"/>
    <w:rsid w:val="001E7910"/>
    <w:rsid w:val="001F0B79"/>
    <w:rsid w:val="001F15FC"/>
    <w:rsid w:val="001F1E25"/>
    <w:rsid w:val="001F202D"/>
    <w:rsid w:val="001F2568"/>
    <w:rsid w:val="001F261C"/>
    <w:rsid w:val="001F2F05"/>
    <w:rsid w:val="001F3046"/>
    <w:rsid w:val="001F6150"/>
    <w:rsid w:val="002000F5"/>
    <w:rsid w:val="0020039E"/>
    <w:rsid w:val="0020051C"/>
    <w:rsid w:val="002026A8"/>
    <w:rsid w:val="00203103"/>
    <w:rsid w:val="002035EA"/>
    <w:rsid w:val="00204DBA"/>
    <w:rsid w:val="00204E70"/>
    <w:rsid w:val="00204EA1"/>
    <w:rsid w:val="002058BB"/>
    <w:rsid w:val="002059D2"/>
    <w:rsid w:val="002059F0"/>
    <w:rsid w:val="00206C0B"/>
    <w:rsid w:val="00206E47"/>
    <w:rsid w:val="00207296"/>
    <w:rsid w:val="002072E9"/>
    <w:rsid w:val="00207DDE"/>
    <w:rsid w:val="00207E2B"/>
    <w:rsid w:val="002101DF"/>
    <w:rsid w:val="00210780"/>
    <w:rsid w:val="00210EB5"/>
    <w:rsid w:val="002122D9"/>
    <w:rsid w:val="002134FB"/>
    <w:rsid w:val="00213DBC"/>
    <w:rsid w:val="00215555"/>
    <w:rsid w:val="0021564B"/>
    <w:rsid w:val="002168BE"/>
    <w:rsid w:val="002171D3"/>
    <w:rsid w:val="00217E0C"/>
    <w:rsid w:val="0022012D"/>
    <w:rsid w:val="00220AFF"/>
    <w:rsid w:val="002218EF"/>
    <w:rsid w:val="002234CF"/>
    <w:rsid w:val="002236DC"/>
    <w:rsid w:val="00224258"/>
    <w:rsid w:val="00224300"/>
    <w:rsid w:val="002245C9"/>
    <w:rsid w:val="00224903"/>
    <w:rsid w:val="0022584F"/>
    <w:rsid w:val="00225D6A"/>
    <w:rsid w:val="00225E28"/>
    <w:rsid w:val="0022736E"/>
    <w:rsid w:val="002301AC"/>
    <w:rsid w:val="00231195"/>
    <w:rsid w:val="002319FC"/>
    <w:rsid w:val="00232ADE"/>
    <w:rsid w:val="00234053"/>
    <w:rsid w:val="002342FB"/>
    <w:rsid w:val="00234978"/>
    <w:rsid w:val="00234E61"/>
    <w:rsid w:val="00236637"/>
    <w:rsid w:val="00236BE8"/>
    <w:rsid w:val="00240739"/>
    <w:rsid w:val="00240879"/>
    <w:rsid w:val="00241358"/>
    <w:rsid w:val="00242582"/>
    <w:rsid w:val="00243211"/>
    <w:rsid w:val="00243CF0"/>
    <w:rsid w:val="002441C3"/>
    <w:rsid w:val="00244E69"/>
    <w:rsid w:val="00244E99"/>
    <w:rsid w:val="00245158"/>
    <w:rsid w:val="0024678B"/>
    <w:rsid w:val="002467AC"/>
    <w:rsid w:val="00246C01"/>
    <w:rsid w:val="0025023B"/>
    <w:rsid w:val="00250B3D"/>
    <w:rsid w:val="00250D23"/>
    <w:rsid w:val="002529C9"/>
    <w:rsid w:val="002543AA"/>
    <w:rsid w:val="00254B4F"/>
    <w:rsid w:val="00254E5A"/>
    <w:rsid w:val="002553FF"/>
    <w:rsid w:val="00255505"/>
    <w:rsid w:val="00255D61"/>
    <w:rsid w:val="00256016"/>
    <w:rsid w:val="002578C2"/>
    <w:rsid w:val="0026038D"/>
    <w:rsid w:val="00261824"/>
    <w:rsid w:val="002618A9"/>
    <w:rsid w:val="0026211A"/>
    <w:rsid w:val="0026264D"/>
    <w:rsid w:val="002639E8"/>
    <w:rsid w:val="00263AFD"/>
    <w:rsid w:val="002641FD"/>
    <w:rsid w:val="002649BA"/>
    <w:rsid w:val="00264B40"/>
    <w:rsid w:val="002650D6"/>
    <w:rsid w:val="002669AF"/>
    <w:rsid w:val="00267025"/>
    <w:rsid w:val="00267293"/>
    <w:rsid w:val="00267AED"/>
    <w:rsid w:val="0027051F"/>
    <w:rsid w:val="00270CA4"/>
    <w:rsid w:val="002716AF"/>
    <w:rsid w:val="00271D13"/>
    <w:rsid w:val="0027381B"/>
    <w:rsid w:val="00275681"/>
    <w:rsid w:val="00275DBA"/>
    <w:rsid w:val="002760FD"/>
    <w:rsid w:val="00280CBA"/>
    <w:rsid w:val="00281592"/>
    <w:rsid w:val="002817D0"/>
    <w:rsid w:val="00281BC3"/>
    <w:rsid w:val="0028254C"/>
    <w:rsid w:val="00282874"/>
    <w:rsid w:val="00282B8A"/>
    <w:rsid w:val="002838AF"/>
    <w:rsid w:val="00283B11"/>
    <w:rsid w:val="00284594"/>
    <w:rsid w:val="00286067"/>
    <w:rsid w:val="002863EC"/>
    <w:rsid w:val="0028708A"/>
    <w:rsid w:val="0028740E"/>
    <w:rsid w:val="00287A81"/>
    <w:rsid w:val="0029173F"/>
    <w:rsid w:val="00292F05"/>
    <w:rsid w:val="002932E5"/>
    <w:rsid w:val="00293DF4"/>
    <w:rsid w:val="00294C02"/>
    <w:rsid w:val="002957E7"/>
    <w:rsid w:val="00295DA5"/>
    <w:rsid w:val="00295ED6"/>
    <w:rsid w:val="00295F1D"/>
    <w:rsid w:val="00296AC4"/>
    <w:rsid w:val="00297147"/>
    <w:rsid w:val="00297EF7"/>
    <w:rsid w:val="002A02E9"/>
    <w:rsid w:val="002A04E9"/>
    <w:rsid w:val="002A075F"/>
    <w:rsid w:val="002A0781"/>
    <w:rsid w:val="002A0AB7"/>
    <w:rsid w:val="002A1535"/>
    <w:rsid w:val="002A3088"/>
    <w:rsid w:val="002A3F6D"/>
    <w:rsid w:val="002A526F"/>
    <w:rsid w:val="002A5510"/>
    <w:rsid w:val="002A58D6"/>
    <w:rsid w:val="002A69A9"/>
    <w:rsid w:val="002A7203"/>
    <w:rsid w:val="002A7EF9"/>
    <w:rsid w:val="002A7FB8"/>
    <w:rsid w:val="002B0014"/>
    <w:rsid w:val="002B04E4"/>
    <w:rsid w:val="002B0971"/>
    <w:rsid w:val="002B1165"/>
    <w:rsid w:val="002B1308"/>
    <w:rsid w:val="002B3A61"/>
    <w:rsid w:val="002B3AC6"/>
    <w:rsid w:val="002B3E05"/>
    <w:rsid w:val="002B4156"/>
    <w:rsid w:val="002B41CA"/>
    <w:rsid w:val="002B4D2B"/>
    <w:rsid w:val="002B4F58"/>
    <w:rsid w:val="002B78DE"/>
    <w:rsid w:val="002B7974"/>
    <w:rsid w:val="002C0A43"/>
    <w:rsid w:val="002C16A8"/>
    <w:rsid w:val="002C30C6"/>
    <w:rsid w:val="002C3803"/>
    <w:rsid w:val="002C43F1"/>
    <w:rsid w:val="002C44A6"/>
    <w:rsid w:val="002C4E0D"/>
    <w:rsid w:val="002C50F9"/>
    <w:rsid w:val="002C5B8B"/>
    <w:rsid w:val="002C65E5"/>
    <w:rsid w:val="002C725D"/>
    <w:rsid w:val="002D0195"/>
    <w:rsid w:val="002D1014"/>
    <w:rsid w:val="002D1BD1"/>
    <w:rsid w:val="002D1F39"/>
    <w:rsid w:val="002D2172"/>
    <w:rsid w:val="002D27D8"/>
    <w:rsid w:val="002D288C"/>
    <w:rsid w:val="002D2D81"/>
    <w:rsid w:val="002D31B8"/>
    <w:rsid w:val="002D3870"/>
    <w:rsid w:val="002D3881"/>
    <w:rsid w:val="002D3AC9"/>
    <w:rsid w:val="002D4465"/>
    <w:rsid w:val="002D4604"/>
    <w:rsid w:val="002D4BF9"/>
    <w:rsid w:val="002D626D"/>
    <w:rsid w:val="002D6D99"/>
    <w:rsid w:val="002D6DA2"/>
    <w:rsid w:val="002D6F3F"/>
    <w:rsid w:val="002D7B3D"/>
    <w:rsid w:val="002E008B"/>
    <w:rsid w:val="002E01AE"/>
    <w:rsid w:val="002E07D9"/>
    <w:rsid w:val="002E3C7B"/>
    <w:rsid w:val="002E42C6"/>
    <w:rsid w:val="002E4342"/>
    <w:rsid w:val="002E44B6"/>
    <w:rsid w:val="002E4A1A"/>
    <w:rsid w:val="002E5227"/>
    <w:rsid w:val="002E5545"/>
    <w:rsid w:val="002E607F"/>
    <w:rsid w:val="002E664D"/>
    <w:rsid w:val="002E7E4D"/>
    <w:rsid w:val="002F19AD"/>
    <w:rsid w:val="002F1B4B"/>
    <w:rsid w:val="002F1CD1"/>
    <w:rsid w:val="002F2D5C"/>
    <w:rsid w:val="002F3454"/>
    <w:rsid w:val="002F3EA1"/>
    <w:rsid w:val="002F601E"/>
    <w:rsid w:val="002F66B9"/>
    <w:rsid w:val="002F6F5D"/>
    <w:rsid w:val="002F7418"/>
    <w:rsid w:val="002F7827"/>
    <w:rsid w:val="002F7A77"/>
    <w:rsid w:val="003019A2"/>
    <w:rsid w:val="0030264D"/>
    <w:rsid w:val="00304746"/>
    <w:rsid w:val="00304B62"/>
    <w:rsid w:val="003055EA"/>
    <w:rsid w:val="00306525"/>
    <w:rsid w:val="00306C3D"/>
    <w:rsid w:val="00307C7E"/>
    <w:rsid w:val="003125F0"/>
    <w:rsid w:val="00312CAF"/>
    <w:rsid w:val="00312F69"/>
    <w:rsid w:val="003133BC"/>
    <w:rsid w:val="003135FB"/>
    <w:rsid w:val="0031372B"/>
    <w:rsid w:val="00313754"/>
    <w:rsid w:val="00313E50"/>
    <w:rsid w:val="00313F09"/>
    <w:rsid w:val="00314266"/>
    <w:rsid w:val="003143A8"/>
    <w:rsid w:val="0031473C"/>
    <w:rsid w:val="00314BEF"/>
    <w:rsid w:val="003150EF"/>
    <w:rsid w:val="003154C1"/>
    <w:rsid w:val="00315600"/>
    <w:rsid w:val="003168AC"/>
    <w:rsid w:val="00316DB9"/>
    <w:rsid w:val="003174F5"/>
    <w:rsid w:val="00317968"/>
    <w:rsid w:val="00317AD9"/>
    <w:rsid w:val="00320D39"/>
    <w:rsid w:val="003222F0"/>
    <w:rsid w:val="00322386"/>
    <w:rsid w:val="00322B71"/>
    <w:rsid w:val="0032386F"/>
    <w:rsid w:val="0032491B"/>
    <w:rsid w:val="003267B5"/>
    <w:rsid w:val="003272AD"/>
    <w:rsid w:val="003276DF"/>
    <w:rsid w:val="003277C4"/>
    <w:rsid w:val="0032781C"/>
    <w:rsid w:val="003303B4"/>
    <w:rsid w:val="0033053B"/>
    <w:rsid w:val="00331E5A"/>
    <w:rsid w:val="00332425"/>
    <w:rsid w:val="00332641"/>
    <w:rsid w:val="00332D3B"/>
    <w:rsid w:val="00332F9D"/>
    <w:rsid w:val="003330BC"/>
    <w:rsid w:val="0033343B"/>
    <w:rsid w:val="00333B51"/>
    <w:rsid w:val="00334D66"/>
    <w:rsid w:val="0033504E"/>
    <w:rsid w:val="00335358"/>
    <w:rsid w:val="00335C72"/>
    <w:rsid w:val="00335F95"/>
    <w:rsid w:val="0033645C"/>
    <w:rsid w:val="003365F4"/>
    <w:rsid w:val="00336673"/>
    <w:rsid w:val="00336B9F"/>
    <w:rsid w:val="00337797"/>
    <w:rsid w:val="00340088"/>
    <w:rsid w:val="003402FB"/>
    <w:rsid w:val="00340392"/>
    <w:rsid w:val="003408C3"/>
    <w:rsid w:val="003419D6"/>
    <w:rsid w:val="003423B4"/>
    <w:rsid w:val="00342706"/>
    <w:rsid w:val="00342E08"/>
    <w:rsid w:val="00343096"/>
    <w:rsid w:val="00343263"/>
    <w:rsid w:val="0034342D"/>
    <w:rsid w:val="003437C6"/>
    <w:rsid w:val="00343BD7"/>
    <w:rsid w:val="00344FD5"/>
    <w:rsid w:val="00345858"/>
    <w:rsid w:val="00345946"/>
    <w:rsid w:val="00346EEF"/>
    <w:rsid w:val="00347892"/>
    <w:rsid w:val="003505C9"/>
    <w:rsid w:val="00350BAE"/>
    <w:rsid w:val="003512A0"/>
    <w:rsid w:val="0035130D"/>
    <w:rsid w:val="00352A4F"/>
    <w:rsid w:val="00352ED0"/>
    <w:rsid w:val="00353955"/>
    <w:rsid w:val="0035563B"/>
    <w:rsid w:val="00355A9B"/>
    <w:rsid w:val="00355EAC"/>
    <w:rsid w:val="003566D8"/>
    <w:rsid w:val="00356910"/>
    <w:rsid w:val="00356F8F"/>
    <w:rsid w:val="0035796A"/>
    <w:rsid w:val="00361DF0"/>
    <w:rsid w:val="00362FC7"/>
    <w:rsid w:val="003633BF"/>
    <w:rsid w:val="00363A9A"/>
    <w:rsid w:val="003642CC"/>
    <w:rsid w:val="0036452E"/>
    <w:rsid w:val="0036460A"/>
    <w:rsid w:val="00365C0E"/>
    <w:rsid w:val="00367A04"/>
    <w:rsid w:val="00367D40"/>
    <w:rsid w:val="00370274"/>
    <w:rsid w:val="0037137F"/>
    <w:rsid w:val="00371438"/>
    <w:rsid w:val="00371C71"/>
    <w:rsid w:val="003727F9"/>
    <w:rsid w:val="003729DE"/>
    <w:rsid w:val="00372A6F"/>
    <w:rsid w:val="00373026"/>
    <w:rsid w:val="0037354A"/>
    <w:rsid w:val="003755CD"/>
    <w:rsid w:val="003766DC"/>
    <w:rsid w:val="00380184"/>
    <w:rsid w:val="00380723"/>
    <w:rsid w:val="00380EC2"/>
    <w:rsid w:val="00381A34"/>
    <w:rsid w:val="00382B68"/>
    <w:rsid w:val="0038302C"/>
    <w:rsid w:val="00383894"/>
    <w:rsid w:val="00383BBE"/>
    <w:rsid w:val="00384F2A"/>
    <w:rsid w:val="003853B6"/>
    <w:rsid w:val="003855AC"/>
    <w:rsid w:val="00386474"/>
    <w:rsid w:val="003875A6"/>
    <w:rsid w:val="00387F12"/>
    <w:rsid w:val="00390412"/>
    <w:rsid w:val="00390718"/>
    <w:rsid w:val="00390724"/>
    <w:rsid w:val="0039142A"/>
    <w:rsid w:val="00392284"/>
    <w:rsid w:val="00392451"/>
    <w:rsid w:val="00392FB5"/>
    <w:rsid w:val="0039307E"/>
    <w:rsid w:val="00393E44"/>
    <w:rsid w:val="00394239"/>
    <w:rsid w:val="0039426F"/>
    <w:rsid w:val="00394645"/>
    <w:rsid w:val="003947C2"/>
    <w:rsid w:val="003952F9"/>
    <w:rsid w:val="00395318"/>
    <w:rsid w:val="00396186"/>
    <w:rsid w:val="00396657"/>
    <w:rsid w:val="0039710B"/>
    <w:rsid w:val="0039719E"/>
    <w:rsid w:val="003A086F"/>
    <w:rsid w:val="003A0D26"/>
    <w:rsid w:val="003A1F18"/>
    <w:rsid w:val="003A25F2"/>
    <w:rsid w:val="003A2D8C"/>
    <w:rsid w:val="003A3B5C"/>
    <w:rsid w:val="003A3F4E"/>
    <w:rsid w:val="003A476C"/>
    <w:rsid w:val="003A48FE"/>
    <w:rsid w:val="003A4A64"/>
    <w:rsid w:val="003A4C30"/>
    <w:rsid w:val="003A540F"/>
    <w:rsid w:val="003A63BB"/>
    <w:rsid w:val="003A725D"/>
    <w:rsid w:val="003A7621"/>
    <w:rsid w:val="003A7D9C"/>
    <w:rsid w:val="003B0316"/>
    <w:rsid w:val="003B045C"/>
    <w:rsid w:val="003B0CC9"/>
    <w:rsid w:val="003B0DFB"/>
    <w:rsid w:val="003B1E2D"/>
    <w:rsid w:val="003B457C"/>
    <w:rsid w:val="003B4AB9"/>
    <w:rsid w:val="003B7990"/>
    <w:rsid w:val="003C0982"/>
    <w:rsid w:val="003C1520"/>
    <w:rsid w:val="003C1AE8"/>
    <w:rsid w:val="003C26ED"/>
    <w:rsid w:val="003C2790"/>
    <w:rsid w:val="003C2EB1"/>
    <w:rsid w:val="003C31D3"/>
    <w:rsid w:val="003C31E8"/>
    <w:rsid w:val="003C326F"/>
    <w:rsid w:val="003C3621"/>
    <w:rsid w:val="003C36F7"/>
    <w:rsid w:val="003C3CBA"/>
    <w:rsid w:val="003C487B"/>
    <w:rsid w:val="003C49E7"/>
    <w:rsid w:val="003C6081"/>
    <w:rsid w:val="003C687C"/>
    <w:rsid w:val="003C73FB"/>
    <w:rsid w:val="003C7BA6"/>
    <w:rsid w:val="003C7D3B"/>
    <w:rsid w:val="003D03F8"/>
    <w:rsid w:val="003D0600"/>
    <w:rsid w:val="003D0B18"/>
    <w:rsid w:val="003D15AE"/>
    <w:rsid w:val="003D1F86"/>
    <w:rsid w:val="003D26F2"/>
    <w:rsid w:val="003D2827"/>
    <w:rsid w:val="003D45EC"/>
    <w:rsid w:val="003D5C72"/>
    <w:rsid w:val="003D6799"/>
    <w:rsid w:val="003D6AEE"/>
    <w:rsid w:val="003D6DC3"/>
    <w:rsid w:val="003E0409"/>
    <w:rsid w:val="003E0819"/>
    <w:rsid w:val="003E1004"/>
    <w:rsid w:val="003E113C"/>
    <w:rsid w:val="003E2832"/>
    <w:rsid w:val="003E3890"/>
    <w:rsid w:val="003E3BE8"/>
    <w:rsid w:val="003E4213"/>
    <w:rsid w:val="003E53C0"/>
    <w:rsid w:val="003E5816"/>
    <w:rsid w:val="003E5BF0"/>
    <w:rsid w:val="003E6575"/>
    <w:rsid w:val="003E667B"/>
    <w:rsid w:val="003E7B35"/>
    <w:rsid w:val="003F0A1B"/>
    <w:rsid w:val="003F0F79"/>
    <w:rsid w:val="003F115F"/>
    <w:rsid w:val="003F2042"/>
    <w:rsid w:val="003F3790"/>
    <w:rsid w:val="003F3D82"/>
    <w:rsid w:val="003F3DA5"/>
    <w:rsid w:val="003F41AD"/>
    <w:rsid w:val="003F4405"/>
    <w:rsid w:val="003F51D8"/>
    <w:rsid w:val="003F6220"/>
    <w:rsid w:val="003F62A4"/>
    <w:rsid w:val="003F633B"/>
    <w:rsid w:val="003F70AF"/>
    <w:rsid w:val="00400120"/>
    <w:rsid w:val="00400A03"/>
    <w:rsid w:val="00402F3A"/>
    <w:rsid w:val="004043E7"/>
    <w:rsid w:val="0040484E"/>
    <w:rsid w:val="00404F73"/>
    <w:rsid w:val="0040541B"/>
    <w:rsid w:val="004075CD"/>
    <w:rsid w:val="00407765"/>
    <w:rsid w:val="00407CAD"/>
    <w:rsid w:val="00407E13"/>
    <w:rsid w:val="004107F0"/>
    <w:rsid w:val="00411240"/>
    <w:rsid w:val="00411E09"/>
    <w:rsid w:val="00412047"/>
    <w:rsid w:val="00412524"/>
    <w:rsid w:val="00412C84"/>
    <w:rsid w:val="00413C47"/>
    <w:rsid w:val="00414230"/>
    <w:rsid w:val="004148A8"/>
    <w:rsid w:val="00415127"/>
    <w:rsid w:val="00415804"/>
    <w:rsid w:val="00417BAC"/>
    <w:rsid w:val="00420725"/>
    <w:rsid w:val="00421936"/>
    <w:rsid w:val="004227C4"/>
    <w:rsid w:val="00423210"/>
    <w:rsid w:val="0042336B"/>
    <w:rsid w:val="00423AAB"/>
    <w:rsid w:val="004240E3"/>
    <w:rsid w:val="004245BA"/>
    <w:rsid w:val="00424930"/>
    <w:rsid w:val="00424B12"/>
    <w:rsid w:val="00424F1E"/>
    <w:rsid w:val="00425385"/>
    <w:rsid w:val="00425719"/>
    <w:rsid w:val="00425769"/>
    <w:rsid w:val="004259A1"/>
    <w:rsid w:val="00425D59"/>
    <w:rsid w:val="00425EBB"/>
    <w:rsid w:val="004268E1"/>
    <w:rsid w:val="00426B61"/>
    <w:rsid w:val="00426E55"/>
    <w:rsid w:val="00427109"/>
    <w:rsid w:val="0042717C"/>
    <w:rsid w:val="00427189"/>
    <w:rsid w:val="00427590"/>
    <w:rsid w:val="004276FA"/>
    <w:rsid w:val="004278B8"/>
    <w:rsid w:val="00427A8B"/>
    <w:rsid w:val="0043008E"/>
    <w:rsid w:val="00430769"/>
    <w:rsid w:val="00430A90"/>
    <w:rsid w:val="00432EAC"/>
    <w:rsid w:val="00433101"/>
    <w:rsid w:val="004336B3"/>
    <w:rsid w:val="004343FB"/>
    <w:rsid w:val="004351BE"/>
    <w:rsid w:val="004356DA"/>
    <w:rsid w:val="00435A9C"/>
    <w:rsid w:val="00435BD2"/>
    <w:rsid w:val="00436ACC"/>
    <w:rsid w:val="0044020F"/>
    <w:rsid w:val="00440A4B"/>
    <w:rsid w:val="00440ECE"/>
    <w:rsid w:val="00441DAF"/>
    <w:rsid w:val="00442B11"/>
    <w:rsid w:val="00443FEC"/>
    <w:rsid w:val="004448C4"/>
    <w:rsid w:val="00446C95"/>
    <w:rsid w:val="00447ED1"/>
    <w:rsid w:val="00450596"/>
    <w:rsid w:val="00450E39"/>
    <w:rsid w:val="00450E85"/>
    <w:rsid w:val="00451C75"/>
    <w:rsid w:val="004520C2"/>
    <w:rsid w:val="00452188"/>
    <w:rsid w:val="004532E1"/>
    <w:rsid w:val="004542A5"/>
    <w:rsid w:val="0045530F"/>
    <w:rsid w:val="00455917"/>
    <w:rsid w:val="00456842"/>
    <w:rsid w:val="00456AAA"/>
    <w:rsid w:val="0045739C"/>
    <w:rsid w:val="004619E5"/>
    <w:rsid w:val="00462537"/>
    <w:rsid w:val="004628A7"/>
    <w:rsid w:val="0046347F"/>
    <w:rsid w:val="004635F5"/>
    <w:rsid w:val="004639BD"/>
    <w:rsid w:val="00465820"/>
    <w:rsid w:val="004662C0"/>
    <w:rsid w:val="004675DF"/>
    <w:rsid w:val="00467AA0"/>
    <w:rsid w:val="00467CC9"/>
    <w:rsid w:val="00467E48"/>
    <w:rsid w:val="00467F9B"/>
    <w:rsid w:val="0047025A"/>
    <w:rsid w:val="00471467"/>
    <w:rsid w:val="00471556"/>
    <w:rsid w:val="0047185F"/>
    <w:rsid w:val="00471C98"/>
    <w:rsid w:val="004720B2"/>
    <w:rsid w:val="0047239A"/>
    <w:rsid w:val="0047293F"/>
    <w:rsid w:val="004729BC"/>
    <w:rsid w:val="00473A3B"/>
    <w:rsid w:val="00474AEA"/>
    <w:rsid w:val="00475849"/>
    <w:rsid w:val="00476333"/>
    <w:rsid w:val="00476CB5"/>
    <w:rsid w:val="00476EC8"/>
    <w:rsid w:val="0047702D"/>
    <w:rsid w:val="00477725"/>
    <w:rsid w:val="00480C07"/>
    <w:rsid w:val="00480DD3"/>
    <w:rsid w:val="00481567"/>
    <w:rsid w:val="00482127"/>
    <w:rsid w:val="00483586"/>
    <w:rsid w:val="0048434D"/>
    <w:rsid w:val="00485C90"/>
    <w:rsid w:val="00487997"/>
    <w:rsid w:val="00487ADA"/>
    <w:rsid w:val="00490C8D"/>
    <w:rsid w:val="0049222E"/>
    <w:rsid w:val="00492F4D"/>
    <w:rsid w:val="0049353B"/>
    <w:rsid w:val="00493727"/>
    <w:rsid w:val="00493838"/>
    <w:rsid w:val="00494267"/>
    <w:rsid w:val="0049580F"/>
    <w:rsid w:val="004962E5"/>
    <w:rsid w:val="004963BD"/>
    <w:rsid w:val="00497D81"/>
    <w:rsid w:val="004A2090"/>
    <w:rsid w:val="004A2718"/>
    <w:rsid w:val="004A36B3"/>
    <w:rsid w:val="004A36E7"/>
    <w:rsid w:val="004A3D71"/>
    <w:rsid w:val="004A449B"/>
    <w:rsid w:val="004A4728"/>
    <w:rsid w:val="004A5944"/>
    <w:rsid w:val="004A598E"/>
    <w:rsid w:val="004A5ACE"/>
    <w:rsid w:val="004A6953"/>
    <w:rsid w:val="004A6986"/>
    <w:rsid w:val="004A6CCC"/>
    <w:rsid w:val="004A6F42"/>
    <w:rsid w:val="004B08E4"/>
    <w:rsid w:val="004B0CAC"/>
    <w:rsid w:val="004B2D34"/>
    <w:rsid w:val="004B32F4"/>
    <w:rsid w:val="004B39ED"/>
    <w:rsid w:val="004B3CB1"/>
    <w:rsid w:val="004B481F"/>
    <w:rsid w:val="004B495B"/>
    <w:rsid w:val="004B57AA"/>
    <w:rsid w:val="004B5B10"/>
    <w:rsid w:val="004B616A"/>
    <w:rsid w:val="004B7A9E"/>
    <w:rsid w:val="004C0012"/>
    <w:rsid w:val="004C069B"/>
    <w:rsid w:val="004C0CE9"/>
    <w:rsid w:val="004C10FE"/>
    <w:rsid w:val="004C161B"/>
    <w:rsid w:val="004C1D8E"/>
    <w:rsid w:val="004C258F"/>
    <w:rsid w:val="004C2AA7"/>
    <w:rsid w:val="004C3792"/>
    <w:rsid w:val="004C3D2D"/>
    <w:rsid w:val="004C4B17"/>
    <w:rsid w:val="004C5441"/>
    <w:rsid w:val="004C5BD2"/>
    <w:rsid w:val="004C657A"/>
    <w:rsid w:val="004D1C2B"/>
    <w:rsid w:val="004D3D12"/>
    <w:rsid w:val="004D3FD4"/>
    <w:rsid w:val="004D439C"/>
    <w:rsid w:val="004D494F"/>
    <w:rsid w:val="004D4CB5"/>
    <w:rsid w:val="004D4FAB"/>
    <w:rsid w:val="004D5D88"/>
    <w:rsid w:val="004D66D2"/>
    <w:rsid w:val="004D722C"/>
    <w:rsid w:val="004D7EDC"/>
    <w:rsid w:val="004E0562"/>
    <w:rsid w:val="004E0BFD"/>
    <w:rsid w:val="004E1269"/>
    <w:rsid w:val="004E2A5D"/>
    <w:rsid w:val="004E2E63"/>
    <w:rsid w:val="004E2FC5"/>
    <w:rsid w:val="004E399C"/>
    <w:rsid w:val="004E41BA"/>
    <w:rsid w:val="004E5565"/>
    <w:rsid w:val="004E5E25"/>
    <w:rsid w:val="004E5F12"/>
    <w:rsid w:val="004E68B8"/>
    <w:rsid w:val="004E763A"/>
    <w:rsid w:val="004E7687"/>
    <w:rsid w:val="004E7807"/>
    <w:rsid w:val="004F1FF5"/>
    <w:rsid w:val="004F2004"/>
    <w:rsid w:val="004F2410"/>
    <w:rsid w:val="004F256F"/>
    <w:rsid w:val="004F2FFA"/>
    <w:rsid w:val="004F37B4"/>
    <w:rsid w:val="004F37E7"/>
    <w:rsid w:val="004F39FF"/>
    <w:rsid w:val="004F407F"/>
    <w:rsid w:val="004F4F6A"/>
    <w:rsid w:val="004F5712"/>
    <w:rsid w:val="004F5FB8"/>
    <w:rsid w:val="004F674F"/>
    <w:rsid w:val="004F7415"/>
    <w:rsid w:val="004F7D9E"/>
    <w:rsid w:val="005003BB"/>
    <w:rsid w:val="00500B70"/>
    <w:rsid w:val="00501106"/>
    <w:rsid w:val="00502781"/>
    <w:rsid w:val="00502E86"/>
    <w:rsid w:val="00503CF0"/>
    <w:rsid w:val="00503D09"/>
    <w:rsid w:val="00503D85"/>
    <w:rsid w:val="005046B0"/>
    <w:rsid w:val="00505644"/>
    <w:rsid w:val="00506283"/>
    <w:rsid w:val="00506AAE"/>
    <w:rsid w:val="00506D73"/>
    <w:rsid w:val="0050769C"/>
    <w:rsid w:val="00507889"/>
    <w:rsid w:val="00507BA5"/>
    <w:rsid w:val="00507DBF"/>
    <w:rsid w:val="00507DE8"/>
    <w:rsid w:val="00507F80"/>
    <w:rsid w:val="00510672"/>
    <w:rsid w:val="00510AF1"/>
    <w:rsid w:val="005111AA"/>
    <w:rsid w:val="005115CF"/>
    <w:rsid w:val="0051162C"/>
    <w:rsid w:val="005119EC"/>
    <w:rsid w:val="00512034"/>
    <w:rsid w:val="00512334"/>
    <w:rsid w:val="00512A8B"/>
    <w:rsid w:val="005130BC"/>
    <w:rsid w:val="0051544E"/>
    <w:rsid w:val="00516D44"/>
    <w:rsid w:val="005174B6"/>
    <w:rsid w:val="005214C6"/>
    <w:rsid w:val="005214FC"/>
    <w:rsid w:val="00522391"/>
    <w:rsid w:val="00522C92"/>
    <w:rsid w:val="00522F30"/>
    <w:rsid w:val="00524077"/>
    <w:rsid w:val="00524FC9"/>
    <w:rsid w:val="005266E5"/>
    <w:rsid w:val="00526987"/>
    <w:rsid w:val="0052777A"/>
    <w:rsid w:val="0052792A"/>
    <w:rsid w:val="00527D3F"/>
    <w:rsid w:val="005300C2"/>
    <w:rsid w:val="00531CD7"/>
    <w:rsid w:val="00531CE9"/>
    <w:rsid w:val="005330FF"/>
    <w:rsid w:val="00534696"/>
    <w:rsid w:val="005347D1"/>
    <w:rsid w:val="00535D87"/>
    <w:rsid w:val="0053628D"/>
    <w:rsid w:val="005362C8"/>
    <w:rsid w:val="0053636C"/>
    <w:rsid w:val="0053662E"/>
    <w:rsid w:val="005367B2"/>
    <w:rsid w:val="00536DCE"/>
    <w:rsid w:val="00536ECB"/>
    <w:rsid w:val="00536FE2"/>
    <w:rsid w:val="005371FD"/>
    <w:rsid w:val="0053765B"/>
    <w:rsid w:val="005378D2"/>
    <w:rsid w:val="00537B8B"/>
    <w:rsid w:val="00537D45"/>
    <w:rsid w:val="00537DB7"/>
    <w:rsid w:val="00537F7C"/>
    <w:rsid w:val="00540E73"/>
    <w:rsid w:val="00541273"/>
    <w:rsid w:val="0054223A"/>
    <w:rsid w:val="00543D3B"/>
    <w:rsid w:val="005442F4"/>
    <w:rsid w:val="00545C33"/>
    <w:rsid w:val="00545E4A"/>
    <w:rsid w:val="005464BE"/>
    <w:rsid w:val="005478D1"/>
    <w:rsid w:val="005512E3"/>
    <w:rsid w:val="00552ED9"/>
    <w:rsid w:val="005539CF"/>
    <w:rsid w:val="00553A2B"/>
    <w:rsid w:val="005548E8"/>
    <w:rsid w:val="00554A0A"/>
    <w:rsid w:val="00556FA8"/>
    <w:rsid w:val="00560920"/>
    <w:rsid w:val="00560F52"/>
    <w:rsid w:val="005610F3"/>
    <w:rsid w:val="00561B29"/>
    <w:rsid w:val="00561BAF"/>
    <w:rsid w:val="0056233F"/>
    <w:rsid w:val="005628D7"/>
    <w:rsid w:val="00562CED"/>
    <w:rsid w:val="005635D4"/>
    <w:rsid w:val="00563C2F"/>
    <w:rsid w:val="00563F9C"/>
    <w:rsid w:val="00565D87"/>
    <w:rsid w:val="00565DFE"/>
    <w:rsid w:val="00565F9F"/>
    <w:rsid w:val="0057029C"/>
    <w:rsid w:val="00570D25"/>
    <w:rsid w:val="0057155E"/>
    <w:rsid w:val="00571F11"/>
    <w:rsid w:val="005722F2"/>
    <w:rsid w:val="00572DDA"/>
    <w:rsid w:val="00572E37"/>
    <w:rsid w:val="0057321D"/>
    <w:rsid w:val="0057325F"/>
    <w:rsid w:val="00573A04"/>
    <w:rsid w:val="005745CC"/>
    <w:rsid w:val="0057523D"/>
    <w:rsid w:val="0057694F"/>
    <w:rsid w:val="00576E65"/>
    <w:rsid w:val="00577033"/>
    <w:rsid w:val="00577642"/>
    <w:rsid w:val="00577EDA"/>
    <w:rsid w:val="0058037D"/>
    <w:rsid w:val="00580485"/>
    <w:rsid w:val="00580DFA"/>
    <w:rsid w:val="00583338"/>
    <w:rsid w:val="00583597"/>
    <w:rsid w:val="005837D2"/>
    <w:rsid w:val="00583F36"/>
    <w:rsid w:val="005849F5"/>
    <w:rsid w:val="00584D9D"/>
    <w:rsid w:val="0058581E"/>
    <w:rsid w:val="00585849"/>
    <w:rsid w:val="00585C5E"/>
    <w:rsid w:val="00586068"/>
    <w:rsid w:val="0058675E"/>
    <w:rsid w:val="005868A9"/>
    <w:rsid w:val="00586EEE"/>
    <w:rsid w:val="00587A89"/>
    <w:rsid w:val="005905A4"/>
    <w:rsid w:val="00590C71"/>
    <w:rsid w:val="00591E9D"/>
    <w:rsid w:val="00591FEF"/>
    <w:rsid w:val="0059255B"/>
    <w:rsid w:val="00592A1E"/>
    <w:rsid w:val="00593582"/>
    <w:rsid w:val="00593F5D"/>
    <w:rsid w:val="005950AA"/>
    <w:rsid w:val="00595BCE"/>
    <w:rsid w:val="00595CAB"/>
    <w:rsid w:val="005962B5"/>
    <w:rsid w:val="0059732A"/>
    <w:rsid w:val="0059766A"/>
    <w:rsid w:val="005A0758"/>
    <w:rsid w:val="005A09F6"/>
    <w:rsid w:val="005A0D7B"/>
    <w:rsid w:val="005A15BF"/>
    <w:rsid w:val="005A172D"/>
    <w:rsid w:val="005A1E7D"/>
    <w:rsid w:val="005A3002"/>
    <w:rsid w:val="005A3138"/>
    <w:rsid w:val="005A3C32"/>
    <w:rsid w:val="005A3F8A"/>
    <w:rsid w:val="005A4403"/>
    <w:rsid w:val="005A4759"/>
    <w:rsid w:val="005A67B4"/>
    <w:rsid w:val="005A7FCD"/>
    <w:rsid w:val="005B08FF"/>
    <w:rsid w:val="005B0B84"/>
    <w:rsid w:val="005B1015"/>
    <w:rsid w:val="005B14A2"/>
    <w:rsid w:val="005B296B"/>
    <w:rsid w:val="005B346B"/>
    <w:rsid w:val="005B369E"/>
    <w:rsid w:val="005B3721"/>
    <w:rsid w:val="005B47EF"/>
    <w:rsid w:val="005B5F0D"/>
    <w:rsid w:val="005B7547"/>
    <w:rsid w:val="005B782F"/>
    <w:rsid w:val="005C0209"/>
    <w:rsid w:val="005C02B0"/>
    <w:rsid w:val="005C07CF"/>
    <w:rsid w:val="005C1404"/>
    <w:rsid w:val="005C238E"/>
    <w:rsid w:val="005C3261"/>
    <w:rsid w:val="005C3873"/>
    <w:rsid w:val="005C3AF7"/>
    <w:rsid w:val="005C4011"/>
    <w:rsid w:val="005C4302"/>
    <w:rsid w:val="005C463B"/>
    <w:rsid w:val="005C46D1"/>
    <w:rsid w:val="005C4703"/>
    <w:rsid w:val="005C47A2"/>
    <w:rsid w:val="005C47F5"/>
    <w:rsid w:val="005C59F6"/>
    <w:rsid w:val="005C5FC3"/>
    <w:rsid w:val="005C7DF3"/>
    <w:rsid w:val="005D0D87"/>
    <w:rsid w:val="005D156E"/>
    <w:rsid w:val="005D2B06"/>
    <w:rsid w:val="005D32C0"/>
    <w:rsid w:val="005D34EF"/>
    <w:rsid w:val="005D372E"/>
    <w:rsid w:val="005D3D11"/>
    <w:rsid w:val="005D46A9"/>
    <w:rsid w:val="005D5844"/>
    <w:rsid w:val="005D5C06"/>
    <w:rsid w:val="005D63F6"/>
    <w:rsid w:val="005D689E"/>
    <w:rsid w:val="005D7780"/>
    <w:rsid w:val="005E0182"/>
    <w:rsid w:val="005E0184"/>
    <w:rsid w:val="005E09B0"/>
    <w:rsid w:val="005E0C6B"/>
    <w:rsid w:val="005E28DD"/>
    <w:rsid w:val="005E2B28"/>
    <w:rsid w:val="005E5757"/>
    <w:rsid w:val="005E5993"/>
    <w:rsid w:val="005E5E62"/>
    <w:rsid w:val="005E73CB"/>
    <w:rsid w:val="005E77BD"/>
    <w:rsid w:val="005E79F6"/>
    <w:rsid w:val="005F0A4E"/>
    <w:rsid w:val="005F220E"/>
    <w:rsid w:val="005F3F8D"/>
    <w:rsid w:val="005F477E"/>
    <w:rsid w:val="005F5508"/>
    <w:rsid w:val="005F671C"/>
    <w:rsid w:val="005F6730"/>
    <w:rsid w:val="005F6D92"/>
    <w:rsid w:val="005F7001"/>
    <w:rsid w:val="005F7D43"/>
    <w:rsid w:val="006013B2"/>
    <w:rsid w:val="006015DB"/>
    <w:rsid w:val="006018D3"/>
    <w:rsid w:val="006035A2"/>
    <w:rsid w:val="00603A70"/>
    <w:rsid w:val="00603EA2"/>
    <w:rsid w:val="00604117"/>
    <w:rsid w:val="00605AC9"/>
    <w:rsid w:val="006065BE"/>
    <w:rsid w:val="00607BD7"/>
    <w:rsid w:val="00607D09"/>
    <w:rsid w:val="00607F50"/>
    <w:rsid w:val="00610180"/>
    <w:rsid w:val="00611628"/>
    <w:rsid w:val="00611F85"/>
    <w:rsid w:val="0061201A"/>
    <w:rsid w:val="00612980"/>
    <w:rsid w:val="006130E6"/>
    <w:rsid w:val="006134D1"/>
    <w:rsid w:val="006138F0"/>
    <w:rsid w:val="006140A7"/>
    <w:rsid w:val="00614256"/>
    <w:rsid w:val="00614513"/>
    <w:rsid w:val="00614F46"/>
    <w:rsid w:val="006158FB"/>
    <w:rsid w:val="00615EE6"/>
    <w:rsid w:val="006170F0"/>
    <w:rsid w:val="0061752C"/>
    <w:rsid w:val="0062072F"/>
    <w:rsid w:val="00621730"/>
    <w:rsid w:val="00621875"/>
    <w:rsid w:val="00621925"/>
    <w:rsid w:val="00622156"/>
    <w:rsid w:val="006223B3"/>
    <w:rsid w:val="00622608"/>
    <w:rsid w:val="0062260E"/>
    <w:rsid w:val="006236A8"/>
    <w:rsid w:val="006237F2"/>
    <w:rsid w:val="006247C2"/>
    <w:rsid w:val="0062496E"/>
    <w:rsid w:val="00624C30"/>
    <w:rsid w:val="00626097"/>
    <w:rsid w:val="006300EF"/>
    <w:rsid w:val="0063071A"/>
    <w:rsid w:val="006309F4"/>
    <w:rsid w:val="00631C7E"/>
    <w:rsid w:val="00632D82"/>
    <w:rsid w:val="006364A8"/>
    <w:rsid w:val="006368FD"/>
    <w:rsid w:val="00636AFD"/>
    <w:rsid w:val="006408EC"/>
    <w:rsid w:val="00641046"/>
    <w:rsid w:val="006410C1"/>
    <w:rsid w:val="0064138C"/>
    <w:rsid w:val="00641B83"/>
    <w:rsid w:val="00641BB1"/>
    <w:rsid w:val="00641D3C"/>
    <w:rsid w:val="00642260"/>
    <w:rsid w:val="00642A59"/>
    <w:rsid w:val="00642D7A"/>
    <w:rsid w:val="006434A3"/>
    <w:rsid w:val="00643608"/>
    <w:rsid w:val="0064425C"/>
    <w:rsid w:val="00644BD7"/>
    <w:rsid w:val="00645734"/>
    <w:rsid w:val="00645A6D"/>
    <w:rsid w:val="00646680"/>
    <w:rsid w:val="00647065"/>
    <w:rsid w:val="0064748E"/>
    <w:rsid w:val="00650C85"/>
    <w:rsid w:val="00651004"/>
    <w:rsid w:val="006511AA"/>
    <w:rsid w:val="00651250"/>
    <w:rsid w:val="00652267"/>
    <w:rsid w:val="00652ED0"/>
    <w:rsid w:val="006533B4"/>
    <w:rsid w:val="006535FC"/>
    <w:rsid w:val="0065471E"/>
    <w:rsid w:val="00656B3E"/>
    <w:rsid w:val="00657101"/>
    <w:rsid w:val="006572CF"/>
    <w:rsid w:val="006575A6"/>
    <w:rsid w:val="00660444"/>
    <w:rsid w:val="00660C94"/>
    <w:rsid w:val="0066197B"/>
    <w:rsid w:val="0066238B"/>
    <w:rsid w:val="006628E9"/>
    <w:rsid w:val="00662940"/>
    <w:rsid w:val="00662D96"/>
    <w:rsid w:val="0066325E"/>
    <w:rsid w:val="00667AF4"/>
    <w:rsid w:val="00667EC1"/>
    <w:rsid w:val="006707F5"/>
    <w:rsid w:val="00670C58"/>
    <w:rsid w:val="00671CCD"/>
    <w:rsid w:val="00672670"/>
    <w:rsid w:val="0067392E"/>
    <w:rsid w:val="006739DE"/>
    <w:rsid w:val="00673F4B"/>
    <w:rsid w:val="006741EC"/>
    <w:rsid w:val="00675682"/>
    <w:rsid w:val="00676325"/>
    <w:rsid w:val="00676373"/>
    <w:rsid w:val="006773D4"/>
    <w:rsid w:val="00677631"/>
    <w:rsid w:val="0068063E"/>
    <w:rsid w:val="00680CB7"/>
    <w:rsid w:val="0068129F"/>
    <w:rsid w:val="0068151B"/>
    <w:rsid w:val="00681861"/>
    <w:rsid w:val="00681A05"/>
    <w:rsid w:val="00682208"/>
    <w:rsid w:val="00682CE6"/>
    <w:rsid w:val="006834E6"/>
    <w:rsid w:val="0068386E"/>
    <w:rsid w:val="006839D5"/>
    <w:rsid w:val="00683AD5"/>
    <w:rsid w:val="00684947"/>
    <w:rsid w:val="006854DD"/>
    <w:rsid w:val="006861FC"/>
    <w:rsid w:val="00686E13"/>
    <w:rsid w:val="00686FEB"/>
    <w:rsid w:val="00687671"/>
    <w:rsid w:val="006876ED"/>
    <w:rsid w:val="0068773E"/>
    <w:rsid w:val="006877D7"/>
    <w:rsid w:val="00687C56"/>
    <w:rsid w:val="00690219"/>
    <w:rsid w:val="006903A7"/>
    <w:rsid w:val="00690E55"/>
    <w:rsid w:val="006921F7"/>
    <w:rsid w:val="006923C7"/>
    <w:rsid w:val="00692A66"/>
    <w:rsid w:val="006931E8"/>
    <w:rsid w:val="00693CF5"/>
    <w:rsid w:val="00693EDF"/>
    <w:rsid w:val="00695256"/>
    <w:rsid w:val="006958DE"/>
    <w:rsid w:val="006960BF"/>
    <w:rsid w:val="006968CE"/>
    <w:rsid w:val="006971CD"/>
    <w:rsid w:val="006979BB"/>
    <w:rsid w:val="00697B7C"/>
    <w:rsid w:val="00697F4C"/>
    <w:rsid w:val="006A097B"/>
    <w:rsid w:val="006A1EFF"/>
    <w:rsid w:val="006A2A33"/>
    <w:rsid w:val="006A39AF"/>
    <w:rsid w:val="006A530A"/>
    <w:rsid w:val="006A55DA"/>
    <w:rsid w:val="006A55F6"/>
    <w:rsid w:val="006A5849"/>
    <w:rsid w:val="006A6676"/>
    <w:rsid w:val="006A7976"/>
    <w:rsid w:val="006B0895"/>
    <w:rsid w:val="006B0E30"/>
    <w:rsid w:val="006B18A0"/>
    <w:rsid w:val="006B27E1"/>
    <w:rsid w:val="006B2920"/>
    <w:rsid w:val="006B3443"/>
    <w:rsid w:val="006B3AD4"/>
    <w:rsid w:val="006B3EF7"/>
    <w:rsid w:val="006B4247"/>
    <w:rsid w:val="006B46B4"/>
    <w:rsid w:val="006B4F5D"/>
    <w:rsid w:val="006B595B"/>
    <w:rsid w:val="006B5B51"/>
    <w:rsid w:val="006B7195"/>
    <w:rsid w:val="006B7A94"/>
    <w:rsid w:val="006B7CCF"/>
    <w:rsid w:val="006C053B"/>
    <w:rsid w:val="006C277B"/>
    <w:rsid w:val="006C2926"/>
    <w:rsid w:val="006C2E35"/>
    <w:rsid w:val="006C3E16"/>
    <w:rsid w:val="006C3ED1"/>
    <w:rsid w:val="006C475F"/>
    <w:rsid w:val="006C4C26"/>
    <w:rsid w:val="006C54D8"/>
    <w:rsid w:val="006C5F98"/>
    <w:rsid w:val="006C6A65"/>
    <w:rsid w:val="006C6CE1"/>
    <w:rsid w:val="006C798C"/>
    <w:rsid w:val="006D0E5C"/>
    <w:rsid w:val="006D0EDA"/>
    <w:rsid w:val="006D1F51"/>
    <w:rsid w:val="006D2443"/>
    <w:rsid w:val="006D2E37"/>
    <w:rsid w:val="006D30DF"/>
    <w:rsid w:val="006D3A9A"/>
    <w:rsid w:val="006D4DC6"/>
    <w:rsid w:val="006D4EBA"/>
    <w:rsid w:val="006D5712"/>
    <w:rsid w:val="006D60F1"/>
    <w:rsid w:val="006D69ED"/>
    <w:rsid w:val="006D722A"/>
    <w:rsid w:val="006D7732"/>
    <w:rsid w:val="006E0212"/>
    <w:rsid w:val="006E0CD6"/>
    <w:rsid w:val="006E0FB3"/>
    <w:rsid w:val="006E171B"/>
    <w:rsid w:val="006E1C69"/>
    <w:rsid w:val="006E23C2"/>
    <w:rsid w:val="006E2890"/>
    <w:rsid w:val="006E321C"/>
    <w:rsid w:val="006E3D01"/>
    <w:rsid w:val="006E3F07"/>
    <w:rsid w:val="006E45F4"/>
    <w:rsid w:val="006E4EA5"/>
    <w:rsid w:val="006E509A"/>
    <w:rsid w:val="006E5192"/>
    <w:rsid w:val="006E5BB6"/>
    <w:rsid w:val="006E5BF0"/>
    <w:rsid w:val="006E7162"/>
    <w:rsid w:val="006E7986"/>
    <w:rsid w:val="006E7E20"/>
    <w:rsid w:val="006F063A"/>
    <w:rsid w:val="006F0BB4"/>
    <w:rsid w:val="006F11C0"/>
    <w:rsid w:val="006F16F5"/>
    <w:rsid w:val="006F260F"/>
    <w:rsid w:val="006F2FBD"/>
    <w:rsid w:val="006F3070"/>
    <w:rsid w:val="006F3681"/>
    <w:rsid w:val="006F3D03"/>
    <w:rsid w:val="006F4B6B"/>
    <w:rsid w:val="006F60B0"/>
    <w:rsid w:val="006F70FB"/>
    <w:rsid w:val="006F7FD4"/>
    <w:rsid w:val="0070019C"/>
    <w:rsid w:val="007001C7"/>
    <w:rsid w:val="007005BB"/>
    <w:rsid w:val="00700FF4"/>
    <w:rsid w:val="00701218"/>
    <w:rsid w:val="00703AF5"/>
    <w:rsid w:val="00704D12"/>
    <w:rsid w:val="00705374"/>
    <w:rsid w:val="007054F0"/>
    <w:rsid w:val="00705C30"/>
    <w:rsid w:val="00705D4D"/>
    <w:rsid w:val="00706975"/>
    <w:rsid w:val="00706C3F"/>
    <w:rsid w:val="00707620"/>
    <w:rsid w:val="0071013F"/>
    <w:rsid w:val="007103B6"/>
    <w:rsid w:val="00710533"/>
    <w:rsid w:val="00710BA9"/>
    <w:rsid w:val="00710C70"/>
    <w:rsid w:val="007114D7"/>
    <w:rsid w:val="007116F8"/>
    <w:rsid w:val="00711E81"/>
    <w:rsid w:val="00712009"/>
    <w:rsid w:val="0071273B"/>
    <w:rsid w:val="00712AB7"/>
    <w:rsid w:val="00712F99"/>
    <w:rsid w:val="00713786"/>
    <w:rsid w:val="007138A2"/>
    <w:rsid w:val="00713EED"/>
    <w:rsid w:val="00713F54"/>
    <w:rsid w:val="007140C9"/>
    <w:rsid w:val="007142ED"/>
    <w:rsid w:val="007143AB"/>
    <w:rsid w:val="0071580C"/>
    <w:rsid w:val="0071601B"/>
    <w:rsid w:val="0071657D"/>
    <w:rsid w:val="00716E5B"/>
    <w:rsid w:val="00717F8F"/>
    <w:rsid w:val="00721EE6"/>
    <w:rsid w:val="00721FF3"/>
    <w:rsid w:val="00723C07"/>
    <w:rsid w:val="00724918"/>
    <w:rsid w:val="00724CB6"/>
    <w:rsid w:val="00724FE5"/>
    <w:rsid w:val="00727ECE"/>
    <w:rsid w:val="0073082A"/>
    <w:rsid w:val="0073262C"/>
    <w:rsid w:val="00732F86"/>
    <w:rsid w:val="007334D0"/>
    <w:rsid w:val="00733AAD"/>
    <w:rsid w:val="00734F41"/>
    <w:rsid w:val="0073565C"/>
    <w:rsid w:val="00736D7D"/>
    <w:rsid w:val="00736F62"/>
    <w:rsid w:val="00737AC9"/>
    <w:rsid w:val="00737E00"/>
    <w:rsid w:val="00740733"/>
    <w:rsid w:val="007411E8"/>
    <w:rsid w:val="00741E38"/>
    <w:rsid w:val="00741FF4"/>
    <w:rsid w:val="007429DE"/>
    <w:rsid w:val="00742EE2"/>
    <w:rsid w:val="007431D0"/>
    <w:rsid w:val="007434AE"/>
    <w:rsid w:val="007436DC"/>
    <w:rsid w:val="00743C90"/>
    <w:rsid w:val="00744596"/>
    <w:rsid w:val="00744822"/>
    <w:rsid w:val="0074483E"/>
    <w:rsid w:val="00744D1B"/>
    <w:rsid w:val="00745432"/>
    <w:rsid w:val="00745630"/>
    <w:rsid w:val="00745B44"/>
    <w:rsid w:val="00745D06"/>
    <w:rsid w:val="00745ECE"/>
    <w:rsid w:val="007469E4"/>
    <w:rsid w:val="00747BF1"/>
    <w:rsid w:val="00747BF9"/>
    <w:rsid w:val="00747EDC"/>
    <w:rsid w:val="00747F8F"/>
    <w:rsid w:val="00751383"/>
    <w:rsid w:val="0075159C"/>
    <w:rsid w:val="0075203F"/>
    <w:rsid w:val="00752136"/>
    <w:rsid w:val="00752E4A"/>
    <w:rsid w:val="007532A4"/>
    <w:rsid w:val="00753F39"/>
    <w:rsid w:val="00755A83"/>
    <w:rsid w:val="00755CD6"/>
    <w:rsid w:val="00755CE8"/>
    <w:rsid w:val="007571C9"/>
    <w:rsid w:val="007579EF"/>
    <w:rsid w:val="00760E59"/>
    <w:rsid w:val="0076164A"/>
    <w:rsid w:val="00763843"/>
    <w:rsid w:val="00764D30"/>
    <w:rsid w:val="00765C94"/>
    <w:rsid w:val="00766B70"/>
    <w:rsid w:val="00767086"/>
    <w:rsid w:val="007700C1"/>
    <w:rsid w:val="007711C3"/>
    <w:rsid w:val="007712C5"/>
    <w:rsid w:val="0077206D"/>
    <w:rsid w:val="00773733"/>
    <w:rsid w:val="007744F5"/>
    <w:rsid w:val="00774925"/>
    <w:rsid w:val="0077545F"/>
    <w:rsid w:val="007771D8"/>
    <w:rsid w:val="00777D94"/>
    <w:rsid w:val="007811D5"/>
    <w:rsid w:val="00781AC0"/>
    <w:rsid w:val="00782259"/>
    <w:rsid w:val="007829C5"/>
    <w:rsid w:val="00782E9B"/>
    <w:rsid w:val="00783B65"/>
    <w:rsid w:val="00784D12"/>
    <w:rsid w:val="00784E1B"/>
    <w:rsid w:val="0078544A"/>
    <w:rsid w:val="00785689"/>
    <w:rsid w:val="007858C5"/>
    <w:rsid w:val="00785E48"/>
    <w:rsid w:val="007862BB"/>
    <w:rsid w:val="007867FA"/>
    <w:rsid w:val="00790162"/>
    <w:rsid w:val="00790FFB"/>
    <w:rsid w:val="00793AED"/>
    <w:rsid w:val="00794911"/>
    <w:rsid w:val="00795835"/>
    <w:rsid w:val="00795957"/>
    <w:rsid w:val="00796838"/>
    <w:rsid w:val="007A08E8"/>
    <w:rsid w:val="007A0CC2"/>
    <w:rsid w:val="007A0F56"/>
    <w:rsid w:val="007A110C"/>
    <w:rsid w:val="007A15C6"/>
    <w:rsid w:val="007A396F"/>
    <w:rsid w:val="007A3DD3"/>
    <w:rsid w:val="007A3DFE"/>
    <w:rsid w:val="007A4217"/>
    <w:rsid w:val="007A4414"/>
    <w:rsid w:val="007A4F75"/>
    <w:rsid w:val="007A55D9"/>
    <w:rsid w:val="007A5F16"/>
    <w:rsid w:val="007A7272"/>
    <w:rsid w:val="007A732E"/>
    <w:rsid w:val="007A78F0"/>
    <w:rsid w:val="007A7A9B"/>
    <w:rsid w:val="007A7B13"/>
    <w:rsid w:val="007B06EF"/>
    <w:rsid w:val="007B10B0"/>
    <w:rsid w:val="007B1C5B"/>
    <w:rsid w:val="007B25BF"/>
    <w:rsid w:val="007B2E03"/>
    <w:rsid w:val="007B2F71"/>
    <w:rsid w:val="007B3664"/>
    <w:rsid w:val="007B3F9D"/>
    <w:rsid w:val="007B49B8"/>
    <w:rsid w:val="007B52B2"/>
    <w:rsid w:val="007B6D69"/>
    <w:rsid w:val="007B6E00"/>
    <w:rsid w:val="007B749D"/>
    <w:rsid w:val="007C07E3"/>
    <w:rsid w:val="007C1E2F"/>
    <w:rsid w:val="007C22C9"/>
    <w:rsid w:val="007C290D"/>
    <w:rsid w:val="007C4070"/>
    <w:rsid w:val="007C495C"/>
    <w:rsid w:val="007C56B2"/>
    <w:rsid w:val="007C5FCD"/>
    <w:rsid w:val="007C6161"/>
    <w:rsid w:val="007C7DE7"/>
    <w:rsid w:val="007D0ADB"/>
    <w:rsid w:val="007D0E98"/>
    <w:rsid w:val="007D0FAC"/>
    <w:rsid w:val="007D108A"/>
    <w:rsid w:val="007D1229"/>
    <w:rsid w:val="007D13E7"/>
    <w:rsid w:val="007D3407"/>
    <w:rsid w:val="007D3CC6"/>
    <w:rsid w:val="007D3F73"/>
    <w:rsid w:val="007D4253"/>
    <w:rsid w:val="007D5628"/>
    <w:rsid w:val="007D6E86"/>
    <w:rsid w:val="007D7016"/>
    <w:rsid w:val="007D785F"/>
    <w:rsid w:val="007D7F74"/>
    <w:rsid w:val="007E09E6"/>
    <w:rsid w:val="007E12A3"/>
    <w:rsid w:val="007E134A"/>
    <w:rsid w:val="007E2A5B"/>
    <w:rsid w:val="007E2D4D"/>
    <w:rsid w:val="007E2EB2"/>
    <w:rsid w:val="007E2EDB"/>
    <w:rsid w:val="007E2FEB"/>
    <w:rsid w:val="007E4118"/>
    <w:rsid w:val="007E4B71"/>
    <w:rsid w:val="007E5D54"/>
    <w:rsid w:val="007E5F47"/>
    <w:rsid w:val="007E6A91"/>
    <w:rsid w:val="007E71AB"/>
    <w:rsid w:val="007E752A"/>
    <w:rsid w:val="007E77BA"/>
    <w:rsid w:val="007E790D"/>
    <w:rsid w:val="007E79B9"/>
    <w:rsid w:val="007E7BA9"/>
    <w:rsid w:val="007F041F"/>
    <w:rsid w:val="007F0B00"/>
    <w:rsid w:val="007F1E32"/>
    <w:rsid w:val="007F24CA"/>
    <w:rsid w:val="007F2710"/>
    <w:rsid w:val="007F448D"/>
    <w:rsid w:val="007F4D8C"/>
    <w:rsid w:val="007F517F"/>
    <w:rsid w:val="007F5266"/>
    <w:rsid w:val="007F62CD"/>
    <w:rsid w:val="007F6507"/>
    <w:rsid w:val="007F6AEF"/>
    <w:rsid w:val="00801C20"/>
    <w:rsid w:val="00801F25"/>
    <w:rsid w:val="00803866"/>
    <w:rsid w:val="00803925"/>
    <w:rsid w:val="00803EF7"/>
    <w:rsid w:val="00803FDC"/>
    <w:rsid w:val="0080506C"/>
    <w:rsid w:val="00805AF2"/>
    <w:rsid w:val="00805B69"/>
    <w:rsid w:val="00806518"/>
    <w:rsid w:val="00806A3B"/>
    <w:rsid w:val="00806AC0"/>
    <w:rsid w:val="00806F58"/>
    <w:rsid w:val="00806FAF"/>
    <w:rsid w:val="008071BF"/>
    <w:rsid w:val="00807523"/>
    <w:rsid w:val="008108C7"/>
    <w:rsid w:val="008112DB"/>
    <w:rsid w:val="00812E81"/>
    <w:rsid w:val="00813C6A"/>
    <w:rsid w:val="00814AB7"/>
    <w:rsid w:val="008161E0"/>
    <w:rsid w:val="008176C9"/>
    <w:rsid w:val="00817B7B"/>
    <w:rsid w:val="00817FC2"/>
    <w:rsid w:val="00820253"/>
    <w:rsid w:val="00821A6E"/>
    <w:rsid w:val="00821C79"/>
    <w:rsid w:val="008229FA"/>
    <w:rsid w:val="008254CA"/>
    <w:rsid w:val="0082573B"/>
    <w:rsid w:val="008266E8"/>
    <w:rsid w:val="0082683B"/>
    <w:rsid w:val="00826DE9"/>
    <w:rsid w:val="0082716E"/>
    <w:rsid w:val="0082735E"/>
    <w:rsid w:val="00827E65"/>
    <w:rsid w:val="008323BB"/>
    <w:rsid w:val="00832A6E"/>
    <w:rsid w:val="00832D6D"/>
    <w:rsid w:val="00833BE6"/>
    <w:rsid w:val="008348CC"/>
    <w:rsid w:val="0083666F"/>
    <w:rsid w:val="00836679"/>
    <w:rsid w:val="008369CC"/>
    <w:rsid w:val="008404F5"/>
    <w:rsid w:val="00840A57"/>
    <w:rsid w:val="00842CC2"/>
    <w:rsid w:val="00842F51"/>
    <w:rsid w:val="0084322D"/>
    <w:rsid w:val="00844C3D"/>
    <w:rsid w:val="00845148"/>
    <w:rsid w:val="00845720"/>
    <w:rsid w:val="00845768"/>
    <w:rsid w:val="008462C0"/>
    <w:rsid w:val="0084755C"/>
    <w:rsid w:val="0085029F"/>
    <w:rsid w:val="0085033A"/>
    <w:rsid w:val="00850D29"/>
    <w:rsid w:val="0085160B"/>
    <w:rsid w:val="008521DD"/>
    <w:rsid w:val="008526DE"/>
    <w:rsid w:val="00852DFB"/>
    <w:rsid w:val="008531A5"/>
    <w:rsid w:val="0085338A"/>
    <w:rsid w:val="00853A15"/>
    <w:rsid w:val="00854342"/>
    <w:rsid w:val="00854CD7"/>
    <w:rsid w:val="0085529C"/>
    <w:rsid w:val="00856094"/>
    <w:rsid w:val="00856145"/>
    <w:rsid w:val="00856249"/>
    <w:rsid w:val="00856B57"/>
    <w:rsid w:val="008575C0"/>
    <w:rsid w:val="00857888"/>
    <w:rsid w:val="008605F1"/>
    <w:rsid w:val="00861472"/>
    <w:rsid w:val="00861CE0"/>
    <w:rsid w:val="00861E05"/>
    <w:rsid w:val="00862A0A"/>
    <w:rsid w:val="00862D5A"/>
    <w:rsid w:val="0086344D"/>
    <w:rsid w:val="00863DD7"/>
    <w:rsid w:val="00864010"/>
    <w:rsid w:val="00864ADB"/>
    <w:rsid w:val="008663E0"/>
    <w:rsid w:val="00866709"/>
    <w:rsid w:val="008669F2"/>
    <w:rsid w:val="00866EA5"/>
    <w:rsid w:val="00867E0F"/>
    <w:rsid w:val="008708E0"/>
    <w:rsid w:val="00871041"/>
    <w:rsid w:val="00871332"/>
    <w:rsid w:val="00872595"/>
    <w:rsid w:val="00872CE7"/>
    <w:rsid w:val="00872D46"/>
    <w:rsid w:val="008736AA"/>
    <w:rsid w:val="008742B8"/>
    <w:rsid w:val="008748CC"/>
    <w:rsid w:val="008771C5"/>
    <w:rsid w:val="00877573"/>
    <w:rsid w:val="008779F2"/>
    <w:rsid w:val="00877CAC"/>
    <w:rsid w:val="008800A4"/>
    <w:rsid w:val="008800E2"/>
    <w:rsid w:val="0088041E"/>
    <w:rsid w:val="00880862"/>
    <w:rsid w:val="008810F1"/>
    <w:rsid w:val="0088208A"/>
    <w:rsid w:val="0088256B"/>
    <w:rsid w:val="00882E01"/>
    <w:rsid w:val="00883F0A"/>
    <w:rsid w:val="0088550B"/>
    <w:rsid w:val="0088583A"/>
    <w:rsid w:val="0088646F"/>
    <w:rsid w:val="008868F9"/>
    <w:rsid w:val="00886CD2"/>
    <w:rsid w:val="008873B9"/>
    <w:rsid w:val="00887834"/>
    <w:rsid w:val="0089018A"/>
    <w:rsid w:val="008902FE"/>
    <w:rsid w:val="008905C1"/>
    <w:rsid w:val="00890AA5"/>
    <w:rsid w:val="008911AF"/>
    <w:rsid w:val="0089181A"/>
    <w:rsid w:val="00891A8D"/>
    <w:rsid w:val="00891B03"/>
    <w:rsid w:val="00891C30"/>
    <w:rsid w:val="00892201"/>
    <w:rsid w:val="00892D5E"/>
    <w:rsid w:val="008930BF"/>
    <w:rsid w:val="0089346E"/>
    <w:rsid w:val="00893B75"/>
    <w:rsid w:val="008946AE"/>
    <w:rsid w:val="008952E5"/>
    <w:rsid w:val="008954A0"/>
    <w:rsid w:val="0089565C"/>
    <w:rsid w:val="00895905"/>
    <w:rsid w:val="0089676F"/>
    <w:rsid w:val="0089764D"/>
    <w:rsid w:val="008A0A80"/>
    <w:rsid w:val="008A1059"/>
    <w:rsid w:val="008A134A"/>
    <w:rsid w:val="008A2058"/>
    <w:rsid w:val="008A227D"/>
    <w:rsid w:val="008A25B5"/>
    <w:rsid w:val="008A2C6C"/>
    <w:rsid w:val="008A4508"/>
    <w:rsid w:val="008A46A6"/>
    <w:rsid w:val="008A4FD3"/>
    <w:rsid w:val="008A5565"/>
    <w:rsid w:val="008A6B5C"/>
    <w:rsid w:val="008A6B80"/>
    <w:rsid w:val="008A7273"/>
    <w:rsid w:val="008A74F6"/>
    <w:rsid w:val="008A7B2E"/>
    <w:rsid w:val="008A7B3C"/>
    <w:rsid w:val="008B063C"/>
    <w:rsid w:val="008B0F70"/>
    <w:rsid w:val="008B129E"/>
    <w:rsid w:val="008B1DF7"/>
    <w:rsid w:val="008B1E00"/>
    <w:rsid w:val="008B215F"/>
    <w:rsid w:val="008B2AEF"/>
    <w:rsid w:val="008B3CBD"/>
    <w:rsid w:val="008B3FD6"/>
    <w:rsid w:val="008B430D"/>
    <w:rsid w:val="008B54B6"/>
    <w:rsid w:val="008B67FA"/>
    <w:rsid w:val="008B6900"/>
    <w:rsid w:val="008B70E5"/>
    <w:rsid w:val="008B7B6E"/>
    <w:rsid w:val="008C1ECD"/>
    <w:rsid w:val="008C22B0"/>
    <w:rsid w:val="008C2A91"/>
    <w:rsid w:val="008C3756"/>
    <w:rsid w:val="008C45D1"/>
    <w:rsid w:val="008C6A20"/>
    <w:rsid w:val="008C6AF7"/>
    <w:rsid w:val="008C6E02"/>
    <w:rsid w:val="008C77B2"/>
    <w:rsid w:val="008D0735"/>
    <w:rsid w:val="008D0F4B"/>
    <w:rsid w:val="008D14E7"/>
    <w:rsid w:val="008D2466"/>
    <w:rsid w:val="008D27BE"/>
    <w:rsid w:val="008D28EF"/>
    <w:rsid w:val="008D4AEC"/>
    <w:rsid w:val="008D5F25"/>
    <w:rsid w:val="008E03B7"/>
    <w:rsid w:val="008E0A80"/>
    <w:rsid w:val="008E2457"/>
    <w:rsid w:val="008E2F19"/>
    <w:rsid w:val="008E4070"/>
    <w:rsid w:val="008E4FE9"/>
    <w:rsid w:val="008E5133"/>
    <w:rsid w:val="008E51D1"/>
    <w:rsid w:val="008E5ED4"/>
    <w:rsid w:val="008E6E28"/>
    <w:rsid w:val="008E71FF"/>
    <w:rsid w:val="008E7762"/>
    <w:rsid w:val="008F080C"/>
    <w:rsid w:val="008F1D04"/>
    <w:rsid w:val="008F1D11"/>
    <w:rsid w:val="008F2207"/>
    <w:rsid w:val="008F2DB3"/>
    <w:rsid w:val="008F2E7F"/>
    <w:rsid w:val="008F327E"/>
    <w:rsid w:val="008F345B"/>
    <w:rsid w:val="008F40A5"/>
    <w:rsid w:val="008F4C9A"/>
    <w:rsid w:val="008F500C"/>
    <w:rsid w:val="008F5DE9"/>
    <w:rsid w:val="008F7797"/>
    <w:rsid w:val="008F77BB"/>
    <w:rsid w:val="008F7869"/>
    <w:rsid w:val="008F7B91"/>
    <w:rsid w:val="00900540"/>
    <w:rsid w:val="00900689"/>
    <w:rsid w:val="00901232"/>
    <w:rsid w:val="00901664"/>
    <w:rsid w:val="009016C7"/>
    <w:rsid w:val="00901878"/>
    <w:rsid w:val="00901D5D"/>
    <w:rsid w:val="0090200D"/>
    <w:rsid w:val="00902138"/>
    <w:rsid w:val="00902B04"/>
    <w:rsid w:val="00902CC6"/>
    <w:rsid w:val="00903056"/>
    <w:rsid w:val="00903718"/>
    <w:rsid w:val="0090389B"/>
    <w:rsid w:val="00903CFA"/>
    <w:rsid w:val="00904609"/>
    <w:rsid w:val="009047CE"/>
    <w:rsid w:val="00904EFB"/>
    <w:rsid w:val="00905F11"/>
    <w:rsid w:val="00906966"/>
    <w:rsid w:val="00906AD1"/>
    <w:rsid w:val="009070AE"/>
    <w:rsid w:val="009074A1"/>
    <w:rsid w:val="00910697"/>
    <w:rsid w:val="009108DA"/>
    <w:rsid w:val="009119B5"/>
    <w:rsid w:val="00911C00"/>
    <w:rsid w:val="00912345"/>
    <w:rsid w:val="0091246E"/>
    <w:rsid w:val="00913867"/>
    <w:rsid w:val="0091551A"/>
    <w:rsid w:val="00915537"/>
    <w:rsid w:val="00915616"/>
    <w:rsid w:val="009156A8"/>
    <w:rsid w:val="00916704"/>
    <w:rsid w:val="00916844"/>
    <w:rsid w:val="0091710B"/>
    <w:rsid w:val="00917B74"/>
    <w:rsid w:val="0092197D"/>
    <w:rsid w:val="00923489"/>
    <w:rsid w:val="00924A70"/>
    <w:rsid w:val="00924FBC"/>
    <w:rsid w:val="009251A8"/>
    <w:rsid w:val="0092587A"/>
    <w:rsid w:val="009258AE"/>
    <w:rsid w:val="009261A0"/>
    <w:rsid w:val="00926865"/>
    <w:rsid w:val="00930A3F"/>
    <w:rsid w:val="00931C31"/>
    <w:rsid w:val="0093263E"/>
    <w:rsid w:val="009326B9"/>
    <w:rsid w:val="00933837"/>
    <w:rsid w:val="009340E9"/>
    <w:rsid w:val="0093432D"/>
    <w:rsid w:val="00934D4E"/>
    <w:rsid w:val="00936164"/>
    <w:rsid w:val="009364CA"/>
    <w:rsid w:val="00936E7E"/>
    <w:rsid w:val="00937AC4"/>
    <w:rsid w:val="00937EA9"/>
    <w:rsid w:val="009406B5"/>
    <w:rsid w:val="00941566"/>
    <w:rsid w:val="00941861"/>
    <w:rsid w:val="00941EA1"/>
    <w:rsid w:val="0094214A"/>
    <w:rsid w:val="00942BC8"/>
    <w:rsid w:val="00942CD0"/>
    <w:rsid w:val="009435CC"/>
    <w:rsid w:val="009441AA"/>
    <w:rsid w:val="0094432F"/>
    <w:rsid w:val="009455E4"/>
    <w:rsid w:val="0095036E"/>
    <w:rsid w:val="009508C9"/>
    <w:rsid w:val="00952900"/>
    <w:rsid w:val="0095298A"/>
    <w:rsid w:val="00953139"/>
    <w:rsid w:val="0095365E"/>
    <w:rsid w:val="009537B5"/>
    <w:rsid w:val="00954656"/>
    <w:rsid w:val="00954E2B"/>
    <w:rsid w:val="00955E90"/>
    <w:rsid w:val="00957D1E"/>
    <w:rsid w:val="00960708"/>
    <w:rsid w:val="009609F4"/>
    <w:rsid w:val="00960C1F"/>
    <w:rsid w:val="0096291F"/>
    <w:rsid w:val="00963740"/>
    <w:rsid w:val="009639C7"/>
    <w:rsid w:val="00963A4B"/>
    <w:rsid w:val="00964970"/>
    <w:rsid w:val="00965181"/>
    <w:rsid w:val="009651B6"/>
    <w:rsid w:val="00966857"/>
    <w:rsid w:val="0096699F"/>
    <w:rsid w:val="00970133"/>
    <w:rsid w:val="00970C30"/>
    <w:rsid w:val="009716B1"/>
    <w:rsid w:val="00971FBA"/>
    <w:rsid w:val="00972C55"/>
    <w:rsid w:val="00972CF0"/>
    <w:rsid w:val="00972F4A"/>
    <w:rsid w:val="00974D8E"/>
    <w:rsid w:val="00976855"/>
    <w:rsid w:val="00976892"/>
    <w:rsid w:val="009768C4"/>
    <w:rsid w:val="00977AD5"/>
    <w:rsid w:val="009800CB"/>
    <w:rsid w:val="009801A9"/>
    <w:rsid w:val="009802A9"/>
    <w:rsid w:val="009815AC"/>
    <w:rsid w:val="00982373"/>
    <w:rsid w:val="009826B8"/>
    <w:rsid w:val="009826F9"/>
    <w:rsid w:val="009828CB"/>
    <w:rsid w:val="0098297F"/>
    <w:rsid w:val="00983C98"/>
    <w:rsid w:val="00984051"/>
    <w:rsid w:val="00984F20"/>
    <w:rsid w:val="00984FE1"/>
    <w:rsid w:val="009857AB"/>
    <w:rsid w:val="0098658E"/>
    <w:rsid w:val="00986710"/>
    <w:rsid w:val="00987D28"/>
    <w:rsid w:val="00990FD6"/>
    <w:rsid w:val="00991653"/>
    <w:rsid w:val="00991DFB"/>
    <w:rsid w:val="00991EFA"/>
    <w:rsid w:val="009923F9"/>
    <w:rsid w:val="0099249E"/>
    <w:rsid w:val="009928DC"/>
    <w:rsid w:val="009940EA"/>
    <w:rsid w:val="009943C9"/>
    <w:rsid w:val="009948DC"/>
    <w:rsid w:val="009949B1"/>
    <w:rsid w:val="009949BA"/>
    <w:rsid w:val="0099545C"/>
    <w:rsid w:val="009967AC"/>
    <w:rsid w:val="009970C2"/>
    <w:rsid w:val="009A0A62"/>
    <w:rsid w:val="009A0C9A"/>
    <w:rsid w:val="009A0CFC"/>
    <w:rsid w:val="009A0DAB"/>
    <w:rsid w:val="009A1611"/>
    <w:rsid w:val="009A1B1E"/>
    <w:rsid w:val="009A234E"/>
    <w:rsid w:val="009A269D"/>
    <w:rsid w:val="009A31A1"/>
    <w:rsid w:val="009A3342"/>
    <w:rsid w:val="009A341F"/>
    <w:rsid w:val="009A35F9"/>
    <w:rsid w:val="009A3DD9"/>
    <w:rsid w:val="009A3DF3"/>
    <w:rsid w:val="009A4065"/>
    <w:rsid w:val="009A4551"/>
    <w:rsid w:val="009A5810"/>
    <w:rsid w:val="009A591B"/>
    <w:rsid w:val="009A5D2F"/>
    <w:rsid w:val="009A60F4"/>
    <w:rsid w:val="009A6683"/>
    <w:rsid w:val="009A68D4"/>
    <w:rsid w:val="009A7B5D"/>
    <w:rsid w:val="009B050D"/>
    <w:rsid w:val="009B0D05"/>
    <w:rsid w:val="009B0EB7"/>
    <w:rsid w:val="009B10C9"/>
    <w:rsid w:val="009B17B0"/>
    <w:rsid w:val="009B1C84"/>
    <w:rsid w:val="009B1FC4"/>
    <w:rsid w:val="009B36AF"/>
    <w:rsid w:val="009B4E9F"/>
    <w:rsid w:val="009B66C3"/>
    <w:rsid w:val="009B723A"/>
    <w:rsid w:val="009B739C"/>
    <w:rsid w:val="009B7C35"/>
    <w:rsid w:val="009B7E16"/>
    <w:rsid w:val="009B7EDF"/>
    <w:rsid w:val="009C00ED"/>
    <w:rsid w:val="009C0E41"/>
    <w:rsid w:val="009C0F16"/>
    <w:rsid w:val="009C1069"/>
    <w:rsid w:val="009C1E8C"/>
    <w:rsid w:val="009C257F"/>
    <w:rsid w:val="009C29F6"/>
    <w:rsid w:val="009C3456"/>
    <w:rsid w:val="009C4E2B"/>
    <w:rsid w:val="009C62AF"/>
    <w:rsid w:val="009C7861"/>
    <w:rsid w:val="009D2540"/>
    <w:rsid w:val="009D301C"/>
    <w:rsid w:val="009D30BE"/>
    <w:rsid w:val="009D3B9E"/>
    <w:rsid w:val="009D3EFB"/>
    <w:rsid w:val="009D3F86"/>
    <w:rsid w:val="009D3FE8"/>
    <w:rsid w:val="009D492B"/>
    <w:rsid w:val="009D4F0F"/>
    <w:rsid w:val="009D550C"/>
    <w:rsid w:val="009D5547"/>
    <w:rsid w:val="009D5827"/>
    <w:rsid w:val="009D61B3"/>
    <w:rsid w:val="009D6922"/>
    <w:rsid w:val="009D72E6"/>
    <w:rsid w:val="009D7512"/>
    <w:rsid w:val="009D7B03"/>
    <w:rsid w:val="009D7E44"/>
    <w:rsid w:val="009E002E"/>
    <w:rsid w:val="009E087F"/>
    <w:rsid w:val="009E08AB"/>
    <w:rsid w:val="009E1133"/>
    <w:rsid w:val="009E171A"/>
    <w:rsid w:val="009E1BE3"/>
    <w:rsid w:val="009E1DD7"/>
    <w:rsid w:val="009E297B"/>
    <w:rsid w:val="009E2B1C"/>
    <w:rsid w:val="009E2E0B"/>
    <w:rsid w:val="009E2EA9"/>
    <w:rsid w:val="009E33F1"/>
    <w:rsid w:val="009E45B0"/>
    <w:rsid w:val="009E4BB2"/>
    <w:rsid w:val="009E62F7"/>
    <w:rsid w:val="009E68D2"/>
    <w:rsid w:val="009E695F"/>
    <w:rsid w:val="009E71DE"/>
    <w:rsid w:val="009E74BD"/>
    <w:rsid w:val="009E7DE4"/>
    <w:rsid w:val="009F25AD"/>
    <w:rsid w:val="009F2ACE"/>
    <w:rsid w:val="009F2D3D"/>
    <w:rsid w:val="009F585D"/>
    <w:rsid w:val="009F5C0C"/>
    <w:rsid w:val="009F5CA3"/>
    <w:rsid w:val="009F5EFD"/>
    <w:rsid w:val="009F608A"/>
    <w:rsid w:val="009F6B44"/>
    <w:rsid w:val="00A00B7D"/>
    <w:rsid w:val="00A01F3D"/>
    <w:rsid w:val="00A0227E"/>
    <w:rsid w:val="00A0250A"/>
    <w:rsid w:val="00A028D0"/>
    <w:rsid w:val="00A02CD2"/>
    <w:rsid w:val="00A03196"/>
    <w:rsid w:val="00A03290"/>
    <w:rsid w:val="00A04415"/>
    <w:rsid w:val="00A05992"/>
    <w:rsid w:val="00A06087"/>
    <w:rsid w:val="00A0682B"/>
    <w:rsid w:val="00A06B55"/>
    <w:rsid w:val="00A0736C"/>
    <w:rsid w:val="00A075A7"/>
    <w:rsid w:val="00A10066"/>
    <w:rsid w:val="00A10C97"/>
    <w:rsid w:val="00A111BB"/>
    <w:rsid w:val="00A120D6"/>
    <w:rsid w:val="00A123D6"/>
    <w:rsid w:val="00A125DA"/>
    <w:rsid w:val="00A12AE9"/>
    <w:rsid w:val="00A13B36"/>
    <w:rsid w:val="00A14B4C"/>
    <w:rsid w:val="00A14CB3"/>
    <w:rsid w:val="00A162B7"/>
    <w:rsid w:val="00A164D7"/>
    <w:rsid w:val="00A17E44"/>
    <w:rsid w:val="00A20304"/>
    <w:rsid w:val="00A20417"/>
    <w:rsid w:val="00A20441"/>
    <w:rsid w:val="00A20BB4"/>
    <w:rsid w:val="00A21B03"/>
    <w:rsid w:val="00A21D1F"/>
    <w:rsid w:val="00A22648"/>
    <w:rsid w:val="00A228B7"/>
    <w:rsid w:val="00A23592"/>
    <w:rsid w:val="00A2540E"/>
    <w:rsid w:val="00A25F07"/>
    <w:rsid w:val="00A26DD5"/>
    <w:rsid w:val="00A27115"/>
    <w:rsid w:val="00A27184"/>
    <w:rsid w:val="00A27874"/>
    <w:rsid w:val="00A278E0"/>
    <w:rsid w:val="00A3079A"/>
    <w:rsid w:val="00A30FCD"/>
    <w:rsid w:val="00A316A7"/>
    <w:rsid w:val="00A31D4A"/>
    <w:rsid w:val="00A343BC"/>
    <w:rsid w:val="00A34997"/>
    <w:rsid w:val="00A349E6"/>
    <w:rsid w:val="00A3562C"/>
    <w:rsid w:val="00A35F41"/>
    <w:rsid w:val="00A35FBA"/>
    <w:rsid w:val="00A36023"/>
    <w:rsid w:val="00A363DD"/>
    <w:rsid w:val="00A36664"/>
    <w:rsid w:val="00A3711E"/>
    <w:rsid w:val="00A37585"/>
    <w:rsid w:val="00A37F88"/>
    <w:rsid w:val="00A4048C"/>
    <w:rsid w:val="00A41258"/>
    <w:rsid w:val="00A41BE2"/>
    <w:rsid w:val="00A42131"/>
    <w:rsid w:val="00A4275C"/>
    <w:rsid w:val="00A4279D"/>
    <w:rsid w:val="00A42ACF"/>
    <w:rsid w:val="00A4325B"/>
    <w:rsid w:val="00A44430"/>
    <w:rsid w:val="00A448D5"/>
    <w:rsid w:val="00A44B42"/>
    <w:rsid w:val="00A45F19"/>
    <w:rsid w:val="00A46FDE"/>
    <w:rsid w:val="00A478BC"/>
    <w:rsid w:val="00A47C61"/>
    <w:rsid w:val="00A47C81"/>
    <w:rsid w:val="00A50C8B"/>
    <w:rsid w:val="00A516ED"/>
    <w:rsid w:val="00A520DC"/>
    <w:rsid w:val="00A52E9D"/>
    <w:rsid w:val="00A54DE1"/>
    <w:rsid w:val="00A55070"/>
    <w:rsid w:val="00A55706"/>
    <w:rsid w:val="00A56492"/>
    <w:rsid w:val="00A56784"/>
    <w:rsid w:val="00A569A6"/>
    <w:rsid w:val="00A573F9"/>
    <w:rsid w:val="00A57988"/>
    <w:rsid w:val="00A57C8E"/>
    <w:rsid w:val="00A60860"/>
    <w:rsid w:val="00A60F3C"/>
    <w:rsid w:val="00A6100B"/>
    <w:rsid w:val="00A6186D"/>
    <w:rsid w:val="00A62774"/>
    <w:rsid w:val="00A640C6"/>
    <w:rsid w:val="00A64A51"/>
    <w:rsid w:val="00A654EA"/>
    <w:rsid w:val="00A66322"/>
    <w:rsid w:val="00A66E21"/>
    <w:rsid w:val="00A67174"/>
    <w:rsid w:val="00A67200"/>
    <w:rsid w:val="00A67679"/>
    <w:rsid w:val="00A67820"/>
    <w:rsid w:val="00A67958"/>
    <w:rsid w:val="00A7117F"/>
    <w:rsid w:val="00A730FE"/>
    <w:rsid w:val="00A73C27"/>
    <w:rsid w:val="00A73ED0"/>
    <w:rsid w:val="00A74264"/>
    <w:rsid w:val="00A743B7"/>
    <w:rsid w:val="00A74F8F"/>
    <w:rsid w:val="00A75530"/>
    <w:rsid w:val="00A75969"/>
    <w:rsid w:val="00A75E9A"/>
    <w:rsid w:val="00A7605D"/>
    <w:rsid w:val="00A769F9"/>
    <w:rsid w:val="00A76CCC"/>
    <w:rsid w:val="00A8053A"/>
    <w:rsid w:val="00A809B5"/>
    <w:rsid w:val="00A81077"/>
    <w:rsid w:val="00A81C44"/>
    <w:rsid w:val="00A82AA1"/>
    <w:rsid w:val="00A82DE8"/>
    <w:rsid w:val="00A83EE7"/>
    <w:rsid w:val="00A8457A"/>
    <w:rsid w:val="00A857F2"/>
    <w:rsid w:val="00A866B7"/>
    <w:rsid w:val="00A87A4A"/>
    <w:rsid w:val="00A87BAF"/>
    <w:rsid w:val="00A90EB7"/>
    <w:rsid w:val="00A91FFC"/>
    <w:rsid w:val="00A92C66"/>
    <w:rsid w:val="00A94E35"/>
    <w:rsid w:val="00A96368"/>
    <w:rsid w:val="00A96626"/>
    <w:rsid w:val="00A96E67"/>
    <w:rsid w:val="00A9721D"/>
    <w:rsid w:val="00AA1BBF"/>
    <w:rsid w:val="00AA20C3"/>
    <w:rsid w:val="00AA2BBA"/>
    <w:rsid w:val="00AA3728"/>
    <w:rsid w:val="00AA4F92"/>
    <w:rsid w:val="00AA5579"/>
    <w:rsid w:val="00AA5A8F"/>
    <w:rsid w:val="00AA5DC7"/>
    <w:rsid w:val="00AA6535"/>
    <w:rsid w:val="00AA73B8"/>
    <w:rsid w:val="00AB1D4C"/>
    <w:rsid w:val="00AB2057"/>
    <w:rsid w:val="00AB2367"/>
    <w:rsid w:val="00AB2482"/>
    <w:rsid w:val="00AB39E6"/>
    <w:rsid w:val="00AB3E4E"/>
    <w:rsid w:val="00AB44B3"/>
    <w:rsid w:val="00AB64E5"/>
    <w:rsid w:val="00AB6829"/>
    <w:rsid w:val="00AB6854"/>
    <w:rsid w:val="00AB6FF4"/>
    <w:rsid w:val="00AB71AA"/>
    <w:rsid w:val="00AB7603"/>
    <w:rsid w:val="00AC1219"/>
    <w:rsid w:val="00AC18BB"/>
    <w:rsid w:val="00AC2EE1"/>
    <w:rsid w:val="00AC35F1"/>
    <w:rsid w:val="00AC379D"/>
    <w:rsid w:val="00AC37B0"/>
    <w:rsid w:val="00AC451F"/>
    <w:rsid w:val="00AC4AEC"/>
    <w:rsid w:val="00AC4E91"/>
    <w:rsid w:val="00AC5E1E"/>
    <w:rsid w:val="00AC6339"/>
    <w:rsid w:val="00AC6416"/>
    <w:rsid w:val="00AC74B9"/>
    <w:rsid w:val="00AC7729"/>
    <w:rsid w:val="00AC7759"/>
    <w:rsid w:val="00AD21A5"/>
    <w:rsid w:val="00AD21BB"/>
    <w:rsid w:val="00AD2A51"/>
    <w:rsid w:val="00AD3548"/>
    <w:rsid w:val="00AD41BA"/>
    <w:rsid w:val="00AD46DF"/>
    <w:rsid w:val="00AD5F5C"/>
    <w:rsid w:val="00AD61AF"/>
    <w:rsid w:val="00AD662E"/>
    <w:rsid w:val="00AD69FB"/>
    <w:rsid w:val="00AD6CFB"/>
    <w:rsid w:val="00AE0844"/>
    <w:rsid w:val="00AE212D"/>
    <w:rsid w:val="00AE21DF"/>
    <w:rsid w:val="00AE3CEB"/>
    <w:rsid w:val="00AE402A"/>
    <w:rsid w:val="00AE40DE"/>
    <w:rsid w:val="00AE48E8"/>
    <w:rsid w:val="00AE4A6C"/>
    <w:rsid w:val="00AE60FF"/>
    <w:rsid w:val="00AE6DCE"/>
    <w:rsid w:val="00AF0193"/>
    <w:rsid w:val="00AF04C2"/>
    <w:rsid w:val="00AF0685"/>
    <w:rsid w:val="00AF08E8"/>
    <w:rsid w:val="00AF12FC"/>
    <w:rsid w:val="00AF13E2"/>
    <w:rsid w:val="00AF14A1"/>
    <w:rsid w:val="00AF1612"/>
    <w:rsid w:val="00AF1BDB"/>
    <w:rsid w:val="00AF2883"/>
    <w:rsid w:val="00AF2A40"/>
    <w:rsid w:val="00AF3DE1"/>
    <w:rsid w:val="00AF4AF7"/>
    <w:rsid w:val="00AF50B4"/>
    <w:rsid w:val="00AF520B"/>
    <w:rsid w:val="00AF5438"/>
    <w:rsid w:val="00AF5FEF"/>
    <w:rsid w:val="00AF6130"/>
    <w:rsid w:val="00AF6A5D"/>
    <w:rsid w:val="00B006FB"/>
    <w:rsid w:val="00B00908"/>
    <w:rsid w:val="00B010AB"/>
    <w:rsid w:val="00B0123E"/>
    <w:rsid w:val="00B01A03"/>
    <w:rsid w:val="00B01C1F"/>
    <w:rsid w:val="00B01F3E"/>
    <w:rsid w:val="00B02B95"/>
    <w:rsid w:val="00B02F77"/>
    <w:rsid w:val="00B03040"/>
    <w:rsid w:val="00B03434"/>
    <w:rsid w:val="00B04781"/>
    <w:rsid w:val="00B05755"/>
    <w:rsid w:val="00B05FCD"/>
    <w:rsid w:val="00B0671A"/>
    <w:rsid w:val="00B07C9B"/>
    <w:rsid w:val="00B1010B"/>
    <w:rsid w:val="00B1178B"/>
    <w:rsid w:val="00B12FF4"/>
    <w:rsid w:val="00B13232"/>
    <w:rsid w:val="00B1361D"/>
    <w:rsid w:val="00B1388A"/>
    <w:rsid w:val="00B1549A"/>
    <w:rsid w:val="00B1629A"/>
    <w:rsid w:val="00B16882"/>
    <w:rsid w:val="00B16F35"/>
    <w:rsid w:val="00B1703F"/>
    <w:rsid w:val="00B17875"/>
    <w:rsid w:val="00B17D27"/>
    <w:rsid w:val="00B20F32"/>
    <w:rsid w:val="00B2142F"/>
    <w:rsid w:val="00B214E4"/>
    <w:rsid w:val="00B21E1E"/>
    <w:rsid w:val="00B2202F"/>
    <w:rsid w:val="00B22ACB"/>
    <w:rsid w:val="00B23AFD"/>
    <w:rsid w:val="00B246A8"/>
    <w:rsid w:val="00B24FF2"/>
    <w:rsid w:val="00B250D8"/>
    <w:rsid w:val="00B253F1"/>
    <w:rsid w:val="00B25E0F"/>
    <w:rsid w:val="00B25F15"/>
    <w:rsid w:val="00B26B03"/>
    <w:rsid w:val="00B26D7E"/>
    <w:rsid w:val="00B27C8E"/>
    <w:rsid w:val="00B306AD"/>
    <w:rsid w:val="00B30EE5"/>
    <w:rsid w:val="00B33A8E"/>
    <w:rsid w:val="00B33E2C"/>
    <w:rsid w:val="00B3444F"/>
    <w:rsid w:val="00B35091"/>
    <w:rsid w:val="00B377B8"/>
    <w:rsid w:val="00B40248"/>
    <w:rsid w:val="00B40694"/>
    <w:rsid w:val="00B41C22"/>
    <w:rsid w:val="00B42CA5"/>
    <w:rsid w:val="00B4371F"/>
    <w:rsid w:val="00B43945"/>
    <w:rsid w:val="00B43BAB"/>
    <w:rsid w:val="00B44F50"/>
    <w:rsid w:val="00B45264"/>
    <w:rsid w:val="00B45DFA"/>
    <w:rsid w:val="00B4628B"/>
    <w:rsid w:val="00B4785E"/>
    <w:rsid w:val="00B5052E"/>
    <w:rsid w:val="00B506BA"/>
    <w:rsid w:val="00B50F40"/>
    <w:rsid w:val="00B5165E"/>
    <w:rsid w:val="00B528A5"/>
    <w:rsid w:val="00B53F2D"/>
    <w:rsid w:val="00B550F5"/>
    <w:rsid w:val="00B552BC"/>
    <w:rsid w:val="00B555AD"/>
    <w:rsid w:val="00B56709"/>
    <w:rsid w:val="00B56C18"/>
    <w:rsid w:val="00B57D5F"/>
    <w:rsid w:val="00B602D9"/>
    <w:rsid w:val="00B603D3"/>
    <w:rsid w:val="00B60A7A"/>
    <w:rsid w:val="00B61037"/>
    <w:rsid w:val="00B616AC"/>
    <w:rsid w:val="00B61F6F"/>
    <w:rsid w:val="00B624DC"/>
    <w:rsid w:val="00B62B2B"/>
    <w:rsid w:val="00B632E3"/>
    <w:rsid w:val="00B632F0"/>
    <w:rsid w:val="00B63F5A"/>
    <w:rsid w:val="00B64F1B"/>
    <w:rsid w:val="00B65C8C"/>
    <w:rsid w:val="00B66BAC"/>
    <w:rsid w:val="00B66DEF"/>
    <w:rsid w:val="00B678D2"/>
    <w:rsid w:val="00B707D5"/>
    <w:rsid w:val="00B70E0F"/>
    <w:rsid w:val="00B717D2"/>
    <w:rsid w:val="00B71D8D"/>
    <w:rsid w:val="00B72A44"/>
    <w:rsid w:val="00B73157"/>
    <w:rsid w:val="00B739CD"/>
    <w:rsid w:val="00B73A17"/>
    <w:rsid w:val="00B73A81"/>
    <w:rsid w:val="00B74033"/>
    <w:rsid w:val="00B74AC1"/>
    <w:rsid w:val="00B7511B"/>
    <w:rsid w:val="00B76C74"/>
    <w:rsid w:val="00B777C4"/>
    <w:rsid w:val="00B77D68"/>
    <w:rsid w:val="00B8002B"/>
    <w:rsid w:val="00B80989"/>
    <w:rsid w:val="00B82317"/>
    <w:rsid w:val="00B829D4"/>
    <w:rsid w:val="00B82B08"/>
    <w:rsid w:val="00B839A6"/>
    <w:rsid w:val="00B846E4"/>
    <w:rsid w:val="00B85EAF"/>
    <w:rsid w:val="00B8687F"/>
    <w:rsid w:val="00B86BC2"/>
    <w:rsid w:val="00B8777A"/>
    <w:rsid w:val="00B87FD0"/>
    <w:rsid w:val="00B9027E"/>
    <w:rsid w:val="00B90E79"/>
    <w:rsid w:val="00B91F93"/>
    <w:rsid w:val="00B924FF"/>
    <w:rsid w:val="00B9264D"/>
    <w:rsid w:val="00B93224"/>
    <w:rsid w:val="00B9380B"/>
    <w:rsid w:val="00B94053"/>
    <w:rsid w:val="00B94751"/>
    <w:rsid w:val="00B94DCE"/>
    <w:rsid w:val="00B9518B"/>
    <w:rsid w:val="00B961F8"/>
    <w:rsid w:val="00B96699"/>
    <w:rsid w:val="00B971AD"/>
    <w:rsid w:val="00B973BC"/>
    <w:rsid w:val="00B979AF"/>
    <w:rsid w:val="00B979C2"/>
    <w:rsid w:val="00B97ED8"/>
    <w:rsid w:val="00BA0559"/>
    <w:rsid w:val="00BA0788"/>
    <w:rsid w:val="00BA11CB"/>
    <w:rsid w:val="00BA29E9"/>
    <w:rsid w:val="00BA2E82"/>
    <w:rsid w:val="00BA2F28"/>
    <w:rsid w:val="00BA367A"/>
    <w:rsid w:val="00BA3AFF"/>
    <w:rsid w:val="00BA3F95"/>
    <w:rsid w:val="00BA4E10"/>
    <w:rsid w:val="00BA4E20"/>
    <w:rsid w:val="00BA55D4"/>
    <w:rsid w:val="00BA5CC3"/>
    <w:rsid w:val="00BA67D3"/>
    <w:rsid w:val="00BA682B"/>
    <w:rsid w:val="00BA688C"/>
    <w:rsid w:val="00BA7E5F"/>
    <w:rsid w:val="00BB04CC"/>
    <w:rsid w:val="00BB0DF5"/>
    <w:rsid w:val="00BB1BE4"/>
    <w:rsid w:val="00BB43B7"/>
    <w:rsid w:val="00BB4DDF"/>
    <w:rsid w:val="00BB57F9"/>
    <w:rsid w:val="00BB58EA"/>
    <w:rsid w:val="00BB5CFF"/>
    <w:rsid w:val="00BB6230"/>
    <w:rsid w:val="00BB69F3"/>
    <w:rsid w:val="00BB6F78"/>
    <w:rsid w:val="00BB79F7"/>
    <w:rsid w:val="00BC05B7"/>
    <w:rsid w:val="00BC0ABB"/>
    <w:rsid w:val="00BC0EE9"/>
    <w:rsid w:val="00BC104F"/>
    <w:rsid w:val="00BC1169"/>
    <w:rsid w:val="00BC1DC5"/>
    <w:rsid w:val="00BC1ED8"/>
    <w:rsid w:val="00BC27D9"/>
    <w:rsid w:val="00BC2C69"/>
    <w:rsid w:val="00BC484D"/>
    <w:rsid w:val="00BC51DB"/>
    <w:rsid w:val="00BC561A"/>
    <w:rsid w:val="00BC59CF"/>
    <w:rsid w:val="00BC5AD6"/>
    <w:rsid w:val="00BC7296"/>
    <w:rsid w:val="00BC7506"/>
    <w:rsid w:val="00BC7F10"/>
    <w:rsid w:val="00BD27FA"/>
    <w:rsid w:val="00BD3CD8"/>
    <w:rsid w:val="00BD4AD4"/>
    <w:rsid w:val="00BD4C24"/>
    <w:rsid w:val="00BD6558"/>
    <w:rsid w:val="00BD6562"/>
    <w:rsid w:val="00BD676A"/>
    <w:rsid w:val="00BD6D01"/>
    <w:rsid w:val="00BD713B"/>
    <w:rsid w:val="00BD7439"/>
    <w:rsid w:val="00BE0BDC"/>
    <w:rsid w:val="00BE2023"/>
    <w:rsid w:val="00BE20C7"/>
    <w:rsid w:val="00BE2502"/>
    <w:rsid w:val="00BE2D59"/>
    <w:rsid w:val="00BE47CB"/>
    <w:rsid w:val="00BE4940"/>
    <w:rsid w:val="00BE4D3E"/>
    <w:rsid w:val="00BE55D1"/>
    <w:rsid w:val="00BE5961"/>
    <w:rsid w:val="00BE78A2"/>
    <w:rsid w:val="00BF01AD"/>
    <w:rsid w:val="00BF0AE7"/>
    <w:rsid w:val="00BF14E5"/>
    <w:rsid w:val="00BF2778"/>
    <w:rsid w:val="00BF297D"/>
    <w:rsid w:val="00BF2996"/>
    <w:rsid w:val="00BF2EE3"/>
    <w:rsid w:val="00BF34F8"/>
    <w:rsid w:val="00BF418D"/>
    <w:rsid w:val="00BF4B3C"/>
    <w:rsid w:val="00BF4BB0"/>
    <w:rsid w:val="00BF50A9"/>
    <w:rsid w:val="00BF5366"/>
    <w:rsid w:val="00BF56A0"/>
    <w:rsid w:val="00BF56D8"/>
    <w:rsid w:val="00BF5BDA"/>
    <w:rsid w:val="00BF5D13"/>
    <w:rsid w:val="00C00927"/>
    <w:rsid w:val="00C009CC"/>
    <w:rsid w:val="00C0174E"/>
    <w:rsid w:val="00C01F8A"/>
    <w:rsid w:val="00C0229F"/>
    <w:rsid w:val="00C02D45"/>
    <w:rsid w:val="00C0358A"/>
    <w:rsid w:val="00C037E1"/>
    <w:rsid w:val="00C0387E"/>
    <w:rsid w:val="00C03A6B"/>
    <w:rsid w:val="00C043B8"/>
    <w:rsid w:val="00C04799"/>
    <w:rsid w:val="00C05757"/>
    <w:rsid w:val="00C05B4B"/>
    <w:rsid w:val="00C05DDD"/>
    <w:rsid w:val="00C06353"/>
    <w:rsid w:val="00C070D0"/>
    <w:rsid w:val="00C07599"/>
    <w:rsid w:val="00C07D53"/>
    <w:rsid w:val="00C10258"/>
    <w:rsid w:val="00C10849"/>
    <w:rsid w:val="00C10BF5"/>
    <w:rsid w:val="00C11579"/>
    <w:rsid w:val="00C124DD"/>
    <w:rsid w:val="00C13284"/>
    <w:rsid w:val="00C13529"/>
    <w:rsid w:val="00C13C1E"/>
    <w:rsid w:val="00C15F22"/>
    <w:rsid w:val="00C165DC"/>
    <w:rsid w:val="00C16853"/>
    <w:rsid w:val="00C16C68"/>
    <w:rsid w:val="00C17264"/>
    <w:rsid w:val="00C172E8"/>
    <w:rsid w:val="00C174F8"/>
    <w:rsid w:val="00C2053D"/>
    <w:rsid w:val="00C20C51"/>
    <w:rsid w:val="00C21B71"/>
    <w:rsid w:val="00C21F06"/>
    <w:rsid w:val="00C22075"/>
    <w:rsid w:val="00C22099"/>
    <w:rsid w:val="00C22873"/>
    <w:rsid w:val="00C22B4D"/>
    <w:rsid w:val="00C25ABB"/>
    <w:rsid w:val="00C30BCD"/>
    <w:rsid w:val="00C313F5"/>
    <w:rsid w:val="00C31D2F"/>
    <w:rsid w:val="00C320E1"/>
    <w:rsid w:val="00C32317"/>
    <w:rsid w:val="00C3236C"/>
    <w:rsid w:val="00C32384"/>
    <w:rsid w:val="00C32A8F"/>
    <w:rsid w:val="00C34603"/>
    <w:rsid w:val="00C34758"/>
    <w:rsid w:val="00C369AA"/>
    <w:rsid w:val="00C4082A"/>
    <w:rsid w:val="00C40975"/>
    <w:rsid w:val="00C40A6E"/>
    <w:rsid w:val="00C40C7C"/>
    <w:rsid w:val="00C413EB"/>
    <w:rsid w:val="00C42351"/>
    <w:rsid w:val="00C42376"/>
    <w:rsid w:val="00C424CA"/>
    <w:rsid w:val="00C42D95"/>
    <w:rsid w:val="00C437F0"/>
    <w:rsid w:val="00C43B60"/>
    <w:rsid w:val="00C457C0"/>
    <w:rsid w:val="00C45CDB"/>
    <w:rsid w:val="00C466FC"/>
    <w:rsid w:val="00C47799"/>
    <w:rsid w:val="00C50AAD"/>
    <w:rsid w:val="00C52A7F"/>
    <w:rsid w:val="00C538E4"/>
    <w:rsid w:val="00C541ED"/>
    <w:rsid w:val="00C54D8C"/>
    <w:rsid w:val="00C55186"/>
    <w:rsid w:val="00C553B6"/>
    <w:rsid w:val="00C5551D"/>
    <w:rsid w:val="00C55835"/>
    <w:rsid w:val="00C579EA"/>
    <w:rsid w:val="00C57B48"/>
    <w:rsid w:val="00C57D78"/>
    <w:rsid w:val="00C604A1"/>
    <w:rsid w:val="00C60F04"/>
    <w:rsid w:val="00C61D48"/>
    <w:rsid w:val="00C6261E"/>
    <w:rsid w:val="00C63074"/>
    <w:rsid w:val="00C6398C"/>
    <w:rsid w:val="00C63B2C"/>
    <w:rsid w:val="00C652C2"/>
    <w:rsid w:val="00C656A4"/>
    <w:rsid w:val="00C661BE"/>
    <w:rsid w:val="00C71554"/>
    <w:rsid w:val="00C7198C"/>
    <w:rsid w:val="00C71DE9"/>
    <w:rsid w:val="00C72B3B"/>
    <w:rsid w:val="00C72D3A"/>
    <w:rsid w:val="00C73713"/>
    <w:rsid w:val="00C73E4E"/>
    <w:rsid w:val="00C74510"/>
    <w:rsid w:val="00C74B3A"/>
    <w:rsid w:val="00C776D5"/>
    <w:rsid w:val="00C81312"/>
    <w:rsid w:val="00C82757"/>
    <w:rsid w:val="00C839F6"/>
    <w:rsid w:val="00C8587D"/>
    <w:rsid w:val="00C85FB9"/>
    <w:rsid w:val="00C860CC"/>
    <w:rsid w:val="00C86163"/>
    <w:rsid w:val="00C86A85"/>
    <w:rsid w:val="00C87384"/>
    <w:rsid w:val="00C879A7"/>
    <w:rsid w:val="00C902C0"/>
    <w:rsid w:val="00C91105"/>
    <w:rsid w:val="00C91122"/>
    <w:rsid w:val="00C9118F"/>
    <w:rsid w:val="00C914E6"/>
    <w:rsid w:val="00C91B80"/>
    <w:rsid w:val="00C91B8E"/>
    <w:rsid w:val="00C93340"/>
    <w:rsid w:val="00C93629"/>
    <w:rsid w:val="00C93C91"/>
    <w:rsid w:val="00C94072"/>
    <w:rsid w:val="00C94094"/>
    <w:rsid w:val="00C95A4E"/>
    <w:rsid w:val="00C962C5"/>
    <w:rsid w:val="00C966CD"/>
    <w:rsid w:val="00C96713"/>
    <w:rsid w:val="00C96A60"/>
    <w:rsid w:val="00C97A61"/>
    <w:rsid w:val="00C97FA8"/>
    <w:rsid w:val="00CA0441"/>
    <w:rsid w:val="00CA181B"/>
    <w:rsid w:val="00CA1B4A"/>
    <w:rsid w:val="00CA3827"/>
    <w:rsid w:val="00CA3E87"/>
    <w:rsid w:val="00CA44FF"/>
    <w:rsid w:val="00CA5B6F"/>
    <w:rsid w:val="00CA5C83"/>
    <w:rsid w:val="00CA6A39"/>
    <w:rsid w:val="00CA6DF6"/>
    <w:rsid w:val="00CA7105"/>
    <w:rsid w:val="00CA7B38"/>
    <w:rsid w:val="00CB05CE"/>
    <w:rsid w:val="00CB1E9D"/>
    <w:rsid w:val="00CB2179"/>
    <w:rsid w:val="00CB2CA7"/>
    <w:rsid w:val="00CB4125"/>
    <w:rsid w:val="00CB4B75"/>
    <w:rsid w:val="00CB6413"/>
    <w:rsid w:val="00CB6D10"/>
    <w:rsid w:val="00CB6F32"/>
    <w:rsid w:val="00CB78CC"/>
    <w:rsid w:val="00CB79D8"/>
    <w:rsid w:val="00CB7D3C"/>
    <w:rsid w:val="00CC0A3D"/>
    <w:rsid w:val="00CC1203"/>
    <w:rsid w:val="00CC1399"/>
    <w:rsid w:val="00CC2502"/>
    <w:rsid w:val="00CC31DC"/>
    <w:rsid w:val="00CC3BEB"/>
    <w:rsid w:val="00CC4063"/>
    <w:rsid w:val="00CC4439"/>
    <w:rsid w:val="00CC5845"/>
    <w:rsid w:val="00CC7892"/>
    <w:rsid w:val="00CD04F0"/>
    <w:rsid w:val="00CD1ABE"/>
    <w:rsid w:val="00CD2652"/>
    <w:rsid w:val="00CD427B"/>
    <w:rsid w:val="00CD564F"/>
    <w:rsid w:val="00CD65D0"/>
    <w:rsid w:val="00CD6AD5"/>
    <w:rsid w:val="00CD77C0"/>
    <w:rsid w:val="00CE09EF"/>
    <w:rsid w:val="00CE1359"/>
    <w:rsid w:val="00CE1406"/>
    <w:rsid w:val="00CE2CFC"/>
    <w:rsid w:val="00CE4B0E"/>
    <w:rsid w:val="00CE4CD6"/>
    <w:rsid w:val="00CE4E4E"/>
    <w:rsid w:val="00CE6B2D"/>
    <w:rsid w:val="00CE780D"/>
    <w:rsid w:val="00CE7BF5"/>
    <w:rsid w:val="00CE7DCE"/>
    <w:rsid w:val="00CF10D5"/>
    <w:rsid w:val="00CF1387"/>
    <w:rsid w:val="00CF1504"/>
    <w:rsid w:val="00CF150A"/>
    <w:rsid w:val="00CF1AFD"/>
    <w:rsid w:val="00CF1C14"/>
    <w:rsid w:val="00CF2508"/>
    <w:rsid w:val="00CF3401"/>
    <w:rsid w:val="00CF3C82"/>
    <w:rsid w:val="00CF4133"/>
    <w:rsid w:val="00CF4CBB"/>
    <w:rsid w:val="00CF5405"/>
    <w:rsid w:val="00CF58EC"/>
    <w:rsid w:val="00CF7023"/>
    <w:rsid w:val="00CF729B"/>
    <w:rsid w:val="00CF7A83"/>
    <w:rsid w:val="00D00162"/>
    <w:rsid w:val="00D0058D"/>
    <w:rsid w:val="00D006CA"/>
    <w:rsid w:val="00D0172A"/>
    <w:rsid w:val="00D01FB9"/>
    <w:rsid w:val="00D02D0F"/>
    <w:rsid w:val="00D03249"/>
    <w:rsid w:val="00D038F8"/>
    <w:rsid w:val="00D039C8"/>
    <w:rsid w:val="00D04072"/>
    <w:rsid w:val="00D05435"/>
    <w:rsid w:val="00D06136"/>
    <w:rsid w:val="00D0640F"/>
    <w:rsid w:val="00D06703"/>
    <w:rsid w:val="00D06B12"/>
    <w:rsid w:val="00D10298"/>
    <w:rsid w:val="00D12787"/>
    <w:rsid w:val="00D1381A"/>
    <w:rsid w:val="00D1387C"/>
    <w:rsid w:val="00D13F9A"/>
    <w:rsid w:val="00D15160"/>
    <w:rsid w:val="00D15770"/>
    <w:rsid w:val="00D162C4"/>
    <w:rsid w:val="00D166B0"/>
    <w:rsid w:val="00D16715"/>
    <w:rsid w:val="00D168C2"/>
    <w:rsid w:val="00D172D3"/>
    <w:rsid w:val="00D20774"/>
    <w:rsid w:val="00D20F6A"/>
    <w:rsid w:val="00D219AF"/>
    <w:rsid w:val="00D21D35"/>
    <w:rsid w:val="00D22B9E"/>
    <w:rsid w:val="00D2316A"/>
    <w:rsid w:val="00D2332E"/>
    <w:rsid w:val="00D23ECA"/>
    <w:rsid w:val="00D25A0D"/>
    <w:rsid w:val="00D25F50"/>
    <w:rsid w:val="00D274BA"/>
    <w:rsid w:val="00D276FA"/>
    <w:rsid w:val="00D3062E"/>
    <w:rsid w:val="00D31B44"/>
    <w:rsid w:val="00D32ACF"/>
    <w:rsid w:val="00D33D4C"/>
    <w:rsid w:val="00D35230"/>
    <w:rsid w:val="00D352AD"/>
    <w:rsid w:val="00D362C4"/>
    <w:rsid w:val="00D365A8"/>
    <w:rsid w:val="00D3674B"/>
    <w:rsid w:val="00D406F6"/>
    <w:rsid w:val="00D40E3C"/>
    <w:rsid w:val="00D41203"/>
    <w:rsid w:val="00D41554"/>
    <w:rsid w:val="00D41736"/>
    <w:rsid w:val="00D42C0E"/>
    <w:rsid w:val="00D43871"/>
    <w:rsid w:val="00D43DF9"/>
    <w:rsid w:val="00D44236"/>
    <w:rsid w:val="00D4435E"/>
    <w:rsid w:val="00D447B1"/>
    <w:rsid w:val="00D4557B"/>
    <w:rsid w:val="00D463CB"/>
    <w:rsid w:val="00D46A36"/>
    <w:rsid w:val="00D5006C"/>
    <w:rsid w:val="00D50601"/>
    <w:rsid w:val="00D50812"/>
    <w:rsid w:val="00D51069"/>
    <w:rsid w:val="00D51201"/>
    <w:rsid w:val="00D51363"/>
    <w:rsid w:val="00D51D0A"/>
    <w:rsid w:val="00D51DE0"/>
    <w:rsid w:val="00D52640"/>
    <w:rsid w:val="00D556B0"/>
    <w:rsid w:val="00D55B0D"/>
    <w:rsid w:val="00D55DB7"/>
    <w:rsid w:val="00D5656F"/>
    <w:rsid w:val="00D56E2D"/>
    <w:rsid w:val="00D57887"/>
    <w:rsid w:val="00D6059A"/>
    <w:rsid w:val="00D60B8C"/>
    <w:rsid w:val="00D60C08"/>
    <w:rsid w:val="00D60DC6"/>
    <w:rsid w:val="00D61C22"/>
    <w:rsid w:val="00D622B1"/>
    <w:rsid w:val="00D62FA1"/>
    <w:rsid w:val="00D64BBA"/>
    <w:rsid w:val="00D6507E"/>
    <w:rsid w:val="00D650BE"/>
    <w:rsid w:val="00D6604E"/>
    <w:rsid w:val="00D70DB6"/>
    <w:rsid w:val="00D71DED"/>
    <w:rsid w:val="00D729AB"/>
    <w:rsid w:val="00D73497"/>
    <w:rsid w:val="00D7370A"/>
    <w:rsid w:val="00D73D4E"/>
    <w:rsid w:val="00D742AC"/>
    <w:rsid w:val="00D74C13"/>
    <w:rsid w:val="00D74EBD"/>
    <w:rsid w:val="00D76B67"/>
    <w:rsid w:val="00D76D9D"/>
    <w:rsid w:val="00D777DC"/>
    <w:rsid w:val="00D81626"/>
    <w:rsid w:val="00D81677"/>
    <w:rsid w:val="00D816BC"/>
    <w:rsid w:val="00D81C49"/>
    <w:rsid w:val="00D82051"/>
    <w:rsid w:val="00D8240F"/>
    <w:rsid w:val="00D826F0"/>
    <w:rsid w:val="00D8535A"/>
    <w:rsid w:val="00D862F9"/>
    <w:rsid w:val="00D86440"/>
    <w:rsid w:val="00D8761D"/>
    <w:rsid w:val="00D8773A"/>
    <w:rsid w:val="00D87E29"/>
    <w:rsid w:val="00D90659"/>
    <w:rsid w:val="00D90952"/>
    <w:rsid w:val="00D90EFA"/>
    <w:rsid w:val="00D911AE"/>
    <w:rsid w:val="00D9179E"/>
    <w:rsid w:val="00D917D2"/>
    <w:rsid w:val="00D91B07"/>
    <w:rsid w:val="00D930C8"/>
    <w:rsid w:val="00D93635"/>
    <w:rsid w:val="00D949CC"/>
    <w:rsid w:val="00D95360"/>
    <w:rsid w:val="00D96BF7"/>
    <w:rsid w:val="00D97C64"/>
    <w:rsid w:val="00DA029F"/>
    <w:rsid w:val="00DA0490"/>
    <w:rsid w:val="00DA1563"/>
    <w:rsid w:val="00DA1962"/>
    <w:rsid w:val="00DA2C8E"/>
    <w:rsid w:val="00DA2DD0"/>
    <w:rsid w:val="00DA41AE"/>
    <w:rsid w:val="00DA454A"/>
    <w:rsid w:val="00DA4D84"/>
    <w:rsid w:val="00DA4E4D"/>
    <w:rsid w:val="00DA51FE"/>
    <w:rsid w:val="00DA60F8"/>
    <w:rsid w:val="00DA6DCE"/>
    <w:rsid w:val="00DA709D"/>
    <w:rsid w:val="00DA7C98"/>
    <w:rsid w:val="00DB06DA"/>
    <w:rsid w:val="00DB0E02"/>
    <w:rsid w:val="00DB1406"/>
    <w:rsid w:val="00DB2596"/>
    <w:rsid w:val="00DB2AF5"/>
    <w:rsid w:val="00DB36BA"/>
    <w:rsid w:val="00DB443F"/>
    <w:rsid w:val="00DB4B1D"/>
    <w:rsid w:val="00DB57E0"/>
    <w:rsid w:val="00DB5DB0"/>
    <w:rsid w:val="00DB5F14"/>
    <w:rsid w:val="00DB765E"/>
    <w:rsid w:val="00DB7776"/>
    <w:rsid w:val="00DC02E6"/>
    <w:rsid w:val="00DC085D"/>
    <w:rsid w:val="00DC0910"/>
    <w:rsid w:val="00DC1965"/>
    <w:rsid w:val="00DC2F96"/>
    <w:rsid w:val="00DC303B"/>
    <w:rsid w:val="00DC3289"/>
    <w:rsid w:val="00DC3760"/>
    <w:rsid w:val="00DC433B"/>
    <w:rsid w:val="00DC4F3F"/>
    <w:rsid w:val="00DC52B1"/>
    <w:rsid w:val="00DC54D5"/>
    <w:rsid w:val="00DC6F3D"/>
    <w:rsid w:val="00DC7122"/>
    <w:rsid w:val="00DC75CF"/>
    <w:rsid w:val="00DC7E4D"/>
    <w:rsid w:val="00DD0479"/>
    <w:rsid w:val="00DD43EA"/>
    <w:rsid w:val="00DD4D06"/>
    <w:rsid w:val="00DD5580"/>
    <w:rsid w:val="00DD6609"/>
    <w:rsid w:val="00DD72C7"/>
    <w:rsid w:val="00DD7609"/>
    <w:rsid w:val="00DD772F"/>
    <w:rsid w:val="00DD7A24"/>
    <w:rsid w:val="00DE0CD9"/>
    <w:rsid w:val="00DE1010"/>
    <w:rsid w:val="00DE1B69"/>
    <w:rsid w:val="00DE30F4"/>
    <w:rsid w:val="00DE35A0"/>
    <w:rsid w:val="00DE6869"/>
    <w:rsid w:val="00DE7855"/>
    <w:rsid w:val="00DE7EF1"/>
    <w:rsid w:val="00DE7F33"/>
    <w:rsid w:val="00DF0066"/>
    <w:rsid w:val="00DF1443"/>
    <w:rsid w:val="00DF1A41"/>
    <w:rsid w:val="00DF1C3F"/>
    <w:rsid w:val="00DF274E"/>
    <w:rsid w:val="00DF4209"/>
    <w:rsid w:val="00DF4519"/>
    <w:rsid w:val="00DF5ACD"/>
    <w:rsid w:val="00DF5D1C"/>
    <w:rsid w:val="00E008A7"/>
    <w:rsid w:val="00E010A5"/>
    <w:rsid w:val="00E014FE"/>
    <w:rsid w:val="00E02EFF"/>
    <w:rsid w:val="00E03465"/>
    <w:rsid w:val="00E03D58"/>
    <w:rsid w:val="00E05534"/>
    <w:rsid w:val="00E06567"/>
    <w:rsid w:val="00E06D90"/>
    <w:rsid w:val="00E06ED7"/>
    <w:rsid w:val="00E07005"/>
    <w:rsid w:val="00E106B0"/>
    <w:rsid w:val="00E1294D"/>
    <w:rsid w:val="00E135C4"/>
    <w:rsid w:val="00E13D70"/>
    <w:rsid w:val="00E13DED"/>
    <w:rsid w:val="00E14560"/>
    <w:rsid w:val="00E15455"/>
    <w:rsid w:val="00E15A63"/>
    <w:rsid w:val="00E15B76"/>
    <w:rsid w:val="00E16C19"/>
    <w:rsid w:val="00E16FCA"/>
    <w:rsid w:val="00E17420"/>
    <w:rsid w:val="00E17A35"/>
    <w:rsid w:val="00E17EA6"/>
    <w:rsid w:val="00E207E4"/>
    <w:rsid w:val="00E21080"/>
    <w:rsid w:val="00E2299B"/>
    <w:rsid w:val="00E23FAE"/>
    <w:rsid w:val="00E24938"/>
    <w:rsid w:val="00E25597"/>
    <w:rsid w:val="00E2650C"/>
    <w:rsid w:val="00E26A23"/>
    <w:rsid w:val="00E27892"/>
    <w:rsid w:val="00E27AA2"/>
    <w:rsid w:val="00E300AD"/>
    <w:rsid w:val="00E307EF"/>
    <w:rsid w:val="00E307F1"/>
    <w:rsid w:val="00E3214A"/>
    <w:rsid w:val="00E323B1"/>
    <w:rsid w:val="00E33C26"/>
    <w:rsid w:val="00E34501"/>
    <w:rsid w:val="00E34930"/>
    <w:rsid w:val="00E353E0"/>
    <w:rsid w:val="00E35A4C"/>
    <w:rsid w:val="00E35EB4"/>
    <w:rsid w:val="00E36317"/>
    <w:rsid w:val="00E366FC"/>
    <w:rsid w:val="00E37074"/>
    <w:rsid w:val="00E37362"/>
    <w:rsid w:val="00E37486"/>
    <w:rsid w:val="00E37672"/>
    <w:rsid w:val="00E37A51"/>
    <w:rsid w:val="00E40CF0"/>
    <w:rsid w:val="00E416AE"/>
    <w:rsid w:val="00E4202C"/>
    <w:rsid w:val="00E428B3"/>
    <w:rsid w:val="00E43095"/>
    <w:rsid w:val="00E430F7"/>
    <w:rsid w:val="00E43D05"/>
    <w:rsid w:val="00E448BF"/>
    <w:rsid w:val="00E4510D"/>
    <w:rsid w:val="00E46400"/>
    <w:rsid w:val="00E46A09"/>
    <w:rsid w:val="00E46BD5"/>
    <w:rsid w:val="00E46F89"/>
    <w:rsid w:val="00E47F0E"/>
    <w:rsid w:val="00E47F92"/>
    <w:rsid w:val="00E5008E"/>
    <w:rsid w:val="00E500DC"/>
    <w:rsid w:val="00E502A0"/>
    <w:rsid w:val="00E504AB"/>
    <w:rsid w:val="00E50F75"/>
    <w:rsid w:val="00E52D10"/>
    <w:rsid w:val="00E545C5"/>
    <w:rsid w:val="00E5550E"/>
    <w:rsid w:val="00E5571C"/>
    <w:rsid w:val="00E55765"/>
    <w:rsid w:val="00E5621D"/>
    <w:rsid w:val="00E56E1A"/>
    <w:rsid w:val="00E57141"/>
    <w:rsid w:val="00E6036A"/>
    <w:rsid w:val="00E6172F"/>
    <w:rsid w:val="00E61957"/>
    <w:rsid w:val="00E622CF"/>
    <w:rsid w:val="00E62463"/>
    <w:rsid w:val="00E62CA8"/>
    <w:rsid w:val="00E636C0"/>
    <w:rsid w:val="00E63920"/>
    <w:rsid w:val="00E64580"/>
    <w:rsid w:val="00E66B7A"/>
    <w:rsid w:val="00E677DC"/>
    <w:rsid w:val="00E711FB"/>
    <w:rsid w:val="00E715FA"/>
    <w:rsid w:val="00E71904"/>
    <w:rsid w:val="00E71E76"/>
    <w:rsid w:val="00E7208D"/>
    <w:rsid w:val="00E722C9"/>
    <w:rsid w:val="00E72585"/>
    <w:rsid w:val="00E73668"/>
    <w:rsid w:val="00E745AB"/>
    <w:rsid w:val="00E75224"/>
    <w:rsid w:val="00E75496"/>
    <w:rsid w:val="00E75503"/>
    <w:rsid w:val="00E76021"/>
    <w:rsid w:val="00E77DF7"/>
    <w:rsid w:val="00E77E0F"/>
    <w:rsid w:val="00E800FD"/>
    <w:rsid w:val="00E80F39"/>
    <w:rsid w:val="00E815C5"/>
    <w:rsid w:val="00E82527"/>
    <w:rsid w:val="00E82682"/>
    <w:rsid w:val="00E827A9"/>
    <w:rsid w:val="00E83796"/>
    <w:rsid w:val="00E83E09"/>
    <w:rsid w:val="00E8400B"/>
    <w:rsid w:val="00E848C0"/>
    <w:rsid w:val="00E85340"/>
    <w:rsid w:val="00E85666"/>
    <w:rsid w:val="00E85B31"/>
    <w:rsid w:val="00E87982"/>
    <w:rsid w:val="00E90B03"/>
    <w:rsid w:val="00E91BF1"/>
    <w:rsid w:val="00E91EC9"/>
    <w:rsid w:val="00E91F37"/>
    <w:rsid w:val="00E92357"/>
    <w:rsid w:val="00E92532"/>
    <w:rsid w:val="00E93078"/>
    <w:rsid w:val="00E934B0"/>
    <w:rsid w:val="00E9375F"/>
    <w:rsid w:val="00E939C2"/>
    <w:rsid w:val="00E9413B"/>
    <w:rsid w:val="00E9502F"/>
    <w:rsid w:val="00E951AE"/>
    <w:rsid w:val="00E9588C"/>
    <w:rsid w:val="00E95DBA"/>
    <w:rsid w:val="00E978F1"/>
    <w:rsid w:val="00E97D92"/>
    <w:rsid w:val="00EA017B"/>
    <w:rsid w:val="00EA0DAC"/>
    <w:rsid w:val="00EA1959"/>
    <w:rsid w:val="00EA1C48"/>
    <w:rsid w:val="00EA2516"/>
    <w:rsid w:val="00EA2DC6"/>
    <w:rsid w:val="00EA35CD"/>
    <w:rsid w:val="00EA3BD2"/>
    <w:rsid w:val="00EA5942"/>
    <w:rsid w:val="00EA5FED"/>
    <w:rsid w:val="00EA6053"/>
    <w:rsid w:val="00EA6C1C"/>
    <w:rsid w:val="00EA7029"/>
    <w:rsid w:val="00EA717F"/>
    <w:rsid w:val="00EA773D"/>
    <w:rsid w:val="00EA7F79"/>
    <w:rsid w:val="00EB0986"/>
    <w:rsid w:val="00EB0C89"/>
    <w:rsid w:val="00EB0E99"/>
    <w:rsid w:val="00EB1B4F"/>
    <w:rsid w:val="00EB2061"/>
    <w:rsid w:val="00EB2921"/>
    <w:rsid w:val="00EB2E25"/>
    <w:rsid w:val="00EB2E9C"/>
    <w:rsid w:val="00EB438F"/>
    <w:rsid w:val="00EB4FE2"/>
    <w:rsid w:val="00EB558F"/>
    <w:rsid w:val="00EB5767"/>
    <w:rsid w:val="00EB57D0"/>
    <w:rsid w:val="00EB5C1E"/>
    <w:rsid w:val="00EB6683"/>
    <w:rsid w:val="00EC13BD"/>
    <w:rsid w:val="00EC199A"/>
    <w:rsid w:val="00EC1F24"/>
    <w:rsid w:val="00EC32F3"/>
    <w:rsid w:val="00EC3899"/>
    <w:rsid w:val="00EC4755"/>
    <w:rsid w:val="00EC488A"/>
    <w:rsid w:val="00EC6FFC"/>
    <w:rsid w:val="00EC755E"/>
    <w:rsid w:val="00ED0861"/>
    <w:rsid w:val="00ED16E9"/>
    <w:rsid w:val="00ED18C1"/>
    <w:rsid w:val="00ED2C75"/>
    <w:rsid w:val="00ED3440"/>
    <w:rsid w:val="00ED45B4"/>
    <w:rsid w:val="00ED4ABA"/>
    <w:rsid w:val="00ED4D9B"/>
    <w:rsid w:val="00ED5341"/>
    <w:rsid w:val="00ED5B7F"/>
    <w:rsid w:val="00ED5D9D"/>
    <w:rsid w:val="00ED6C01"/>
    <w:rsid w:val="00ED6C56"/>
    <w:rsid w:val="00ED6CB7"/>
    <w:rsid w:val="00ED717A"/>
    <w:rsid w:val="00ED7DAD"/>
    <w:rsid w:val="00ED7E2C"/>
    <w:rsid w:val="00ED7EAE"/>
    <w:rsid w:val="00EE064D"/>
    <w:rsid w:val="00EE247E"/>
    <w:rsid w:val="00EE24D2"/>
    <w:rsid w:val="00EE280A"/>
    <w:rsid w:val="00EE3695"/>
    <w:rsid w:val="00EE44D4"/>
    <w:rsid w:val="00EE5AB7"/>
    <w:rsid w:val="00EE715D"/>
    <w:rsid w:val="00EE7BAD"/>
    <w:rsid w:val="00EE7FAC"/>
    <w:rsid w:val="00EF0159"/>
    <w:rsid w:val="00EF07BA"/>
    <w:rsid w:val="00EF0CE7"/>
    <w:rsid w:val="00EF15EF"/>
    <w:rsid w:val="00EF172B"/>
    <w:rsid w:val="00EF23FC"/>
    <w:rsid w:val="00EF2431"/>
    <w:rsid w:val="00EF25E6"/>
    <w:rsid w:val="00EF2734"/>
    <w:rsid w:val="00EF2F77"/>
    <w:rsid w:val="00EF3413"/>
    <w:rsid w:val="00EF3483"/>
    <w:rsid w:val="00EF46BA"/>
    <w:rsid w:val="00EF586E"/>
    <w:rsid w:val="00EF5C77"/>
    <w:rsid w:val="00EF6300"/>
    <w:rsid w:val="00F0009E"/>
    <w:rsid w:val="00F00618"/>
    <w:rsid w:val="00F00FDC"/>
    <w:rsid w:val="00F01729"/>
    <w:rsid w:val="00F0206E"/>
    <w:rsid w:val="00F02A21"/>
    <w:rsid w:val="00F02CC9"/>
    <w:rsid w:val="00F03276"/>
    <w:rsid w:val="00F0365B"/>
    <w:rsid w:val="00F039E9"/>
    <w:rsid w:val="00F05367"/>
    <w:rsid w:val="00F06197"/>
    <w:rsid w:val="00F06D1D"/>
    <w:rsid w:val="00F07349"/>
    <w:rsid w:val="00F07D05"/>
    <w:rsid w:val="00F10757"/>
    <w:rsid w:val="00F10925"/>
    <w:rsid w:val="00F10BE4"/>
    <w:rsid w:val="00F1131C"/>
    <w:rsid w:val="00F11A66"/>
    <w:rsid w:val="00F1355C"/>
    <w:rsid w:val="00F13808"/>
    <w:rsid w:val="00F13B35"/>
    <w:rsid w:val="00F13DA9"/>
    <w:rsid w:val="00F140FA"/>
    <w:rsid w:val="00F15386"/>
    <w:rsid w:val="00F154FC"/>
    <w:rsid w:val="00F15D7C"/>
    <w:rsid w:val="00F160C8"/>
    <w:rsid w:val="00F20E21"/>
    <w:rsid w:val="00F2139E"/>
    <w:rsid w:val="00F21CD4"/>
    <w:rsid w:val="00F234DF"/>
    <w:rsid w:val="00F23DE0"/>
    <w:rsid w:val="00F24B6D"/>
    <w:rsid w:val="00F24F10"/>
    <w:rsid w:val="00F253E4"/>
    <w:rsid w:val="00F2569A"/>
    <w:rsid w:val="00F2759C"/>
    <w:rsid w:val="00F27EA4"/>
    <w:rsid w:val="00F30144"/>
    <w:rsid w:val="00F3089D"/>
    <w:rsid w:val="00F30AAD"/>
    <w:rsid w:val="00F31073"/>
    <w:rsid w:val="00F31DDB"/>
    <w:rsid w:val="00F31DDF"/>
    <w:rsid w:val="00F33353"/>
    <w:rsid w:val="00F33BE0"/>
    <w:rsid w:val="00F349A0"/>
    <w:rsid w:val="00F34DBF"/>
    <w:rsid w:val="00F3527D"/>
    <w:rsid w:val="00F3647B"/>
    <w:rsid w:val="00F371F2"/>
    <w:rsid w:val="00F37425"/>
    <w:rsid w:val="00F406B2"/>
    <w:rsid w:val="00F40CDB"/>
    <w:rsid w:val="00F4297D"/>
    <w:rsid w:val="00F44B41"/>
    <w:rsid w:val="00F452DA"/>
    <w:rsid w:val="00F453B5"/>
    <w:rsid w:val="00F46603"/>
    <w:rsid w:val="00F4690B"/>
    <w:rsid w:val="00F51F0B"/>
    <w:rsid w:val="00F52183"/>
    <w:rsid w:val="00F522CB"/>
    <w:rsid w:val="00F52372"/>
    <w:rsid w:val="00F52E25"/>
    <w:rsid w:val="00F53167"/>
    <w:rsid w:val="00F531F5"/>
    <w:rsid w:val="00F5345B"/>
    <w:rsid w:val="00F5395B"/>
    <w:rsid w:val="00F556B1"/>
    <w:rsid w:val="00F56578"/>
    <w:rsid w:val="00F56B4E"/>
    <w:rsid w:val="00F56CAF"/>
    <w:rsid w:val="00F578F9"/>
    <w:rsid w:val="00F57A46"/>
    <w:rsid w:val="00F60275"/>
    <w:rsid w:val="00F60C6F"/>
    <w:rsid w:val="00F61944"/>
    <w:rsid w:val="00F6195B"/>
    <w:rsid w:val="00F61B82"/>
    <w:rsid w:val="00F61C26"/>
    <w:rsid w:val="00F61D8A"/>
    <w:rsid w:val="00F637CE"/>
    <w:rsid w:val="00F6409C"/>
    <w:rsid w:val="00F644BA"/>
    <w:rsid w:val="00F6498E"/>
    <w:rsid w:val="00F64B93"/>
    <w:rsid w:val="00F64C25"/>
    <w:rsid w:val="00F66127"/>
    <w:rsid w:val="00F663F5"/>
    <w:rsid w:val="00F66658"/>
    <w:rsid w:val="00F667EE"/>
    <w:rsid w:val="00F66D65"/>
    <w:rsid w:val="00F67B2C"/>
    <w:rsid w:val="00F703E8"/>
    <w:rsid w:val="00F7106F"/>
    <w:rsid w:val="00F71C43"/>
    <w:rsid w:val="00F730BB"/>
    <w:rsid w:val="00F73EC8"/>
    <w:rsid w:val="00F73FD8"/>
    <w:rsid w:val="00F740B5"/>
    <w:rsid w:val="00F744E6"/>
    <w:rsid w:val="00F74875"/>
    <w:rsid w:val="00F74E3F"/>
    <w:rsid w:val="00F7618A"/>
    <w:rsid w:val="00F7637E"/>
    <w:rsid w:val="00F76390"/>
    <w:rsid w:val="00F77094"/>
    <w:rsid w:val="00F770D6"/>
    <w:rsid w:val="00F77D46"/>
    <w:rsid w:val="00F80DA5"/>
    <w:rsid w:val="00F833FC"/>
    <w:rsid w:val="00F83412"/>
    <w:rsid w:val="00F83752"/>
    <w:rsid w:val="00F839F0"/>
    <w:rsid w:val="00F83B08"/>
    <w:rsid w:val="00F84586"/>
    <w:rsid w:val="00F84589"/>
    <w:rsid w:val="00F849F9"/>
    <w:rsid w:val="00F84BE6"/>
    <w:rsid w:val="00F85AB9"/>
    <w:rsid w:val="00F85AC1"/>
    <w:rsid w:val="00F85D2E"/>
    <w:rsid w:val="00F907FE"/>
    <w:rsid w:val="00F90D8F"/>
    <w:rsid w:val="00F91A7C"/>
    <w:rsid w:val="00F91D85"/>
    <w:rsid w:val="00F91F66"/>
    <w:rsid w:val="00F92085"/>
    <w:rsid w:val="00F92E95"/>
    <w:rsid w:val="00F9366B"/>
    <w:rsid w:val="00F93E54"/>
    <w:rsid w:val="00F949AA"/>
    <w:rsid w:val="00F95874"/>
    <w:rsid w:val="00F962FB"/>
    <w:rsid w:val="00F967C0"/>
    <w:rsid w:val="00F967FF"/>
    <w:rsid w:val="00F96CE4"/>
    <w:rsid w:val="00F97295"/>
    <w:rsid w:val="00FA02E4"/>
    <w:rsid w:val="00FA12A8"/>
    <w:rsid w:val="00FA1851"/>
    <w:rsid w:val="00FA1AC7"/>
    <w:rsid w:val="00FA1B89"/>
    <w:rsid w:val="00FA22F3"/>
    <w:rsid w:val="00FA25FA"/>
    <w:rsid w:val="00FA3C49"/>
    <w:rsid w:val="00FA4303"/>
    <w:rsid w:val="00FA458C"/>
    <w:rsid w:val="00FA47BA"/>
    <w:rsid w:val="00FA4909"/>
    <w:rsid w:val="00FA4E4F"/>
    <w:rsid w:val="00FA5387"/>
    <w:rsid w:val="00FA5B6B"/>
    <w:rsid w:val="00FA617A"/>
    <w:rsid w:val="00FA6685"/>
    <w:rsid w:val="00FA69B8"/>
    <w:rsid w:val="00FA6F89"/>
    <w:rsid w:val="00FB01B9"/>
    <w:rsid w:val="00FB188D"/>
    <w:rsid w:val="00FB2940"/>
    <w:rsid w:val="00FB3F11"/>
    <w:rsid w:val="00FB405A"/>
    <w:rsid w:val="00FB46DF"/>
    <w:rsid w:val="00FB531A"/>
    <w:rsid w:val="00FC1C66"/>
    <w:rsid w:val="00FC26CB"/>
    <w:rsid w:val="00FC2883"/>
    <w:rsid w:val="00FC31C9"/>
    <w:rsid w:val="00FC3887"/>
    <w:rsid w:val="00FC4220"/>
    <w:rsid w:val="00FC47E5"/>
    <w:rsid w:val="00FC53FB"/>
    <w:rsid w:val="00FC5910"/>
    <w:rsid w:val="00FC5FAB"/>
    <w:rsid w:val="00FC6B81"/>
    <w:rsid w:val="00FD0E8D"/>
    <w:rsid w:val="00FD11E3"/>
    <w:rsid w:val="00FD13A1"/>
    <w:rsid w:val="00FD1AC5"/>
    <w:rsid w:val="00FD22F3"/>
    <w:rsid w:val="00FD32E5"/>
    <w:rsid w:val="00FD4203"/>
    <w:rsid w:val="00FD4A2A"/>
    <w:rsid w:val="00FD4F21"/>
    <w:rsid w:val="00FD5805"/>
    <w:rsid w:val="00FD58E4"/>
    <w:rsid w:val="00FD594D"/>
    <w:rsid w:val="00FD6148"/>
    <w:rsid w:val="00FD70E2"/>
    <w:rsid w:val="00FD7DAB"/>
    <w:rsid w:val="00FD7E69"/>
    <w:rsid w:val="00FE10D8"/>
    <w:rsid w:val="00FE18C6"/>
    <w:rsid w:val="00FE1B97"/>
    <w:rsid w:val="00FE1DBD"/>
    <w:rsid w:val="00FE2EB4"/>
    <w:rsid w:val="00FE3193"/>
    <w:rsid w:val="00FE46DA"/>
    <w:rsid w:val="00FE4C94"/>
    <w:rsid w:val="00FE4CBD"/>
    <w:rsid w:val="00FE6815"/>
    <w:rsid w:val="00FE6D55"/>
    <w:rsid w:val="00FE75EA"/>
    <w:rsid w:val="00FE78E4"/>
    <w:rsid w:val="00FF0142"/>
    <w:rsid w:val="00FF0482"/>
    <w:rsid w:val="00FF0AEB"/>
    <w:rsid w:val="00FF272C"/>
    <w:rsid w:val="00FF2FB0"/>
    <w:rsid w:val="00FF407E"/>
    <w:rsid w:val="00FF4A99"/>
    <w:rsid w:val="00FF5435"/>
    <w:rsid w:val="00FF63E1"/>
    <w:rsid w:val="00FF645C"/>
    <w:rsid w:val="00FF6871"/>
    <w:rsid w:val="09E24350"/>
    <w:rsid w:val="10442549"/>
    <w:rsid w:val="25B23FAC"/>
    <w:rsid w:val="2664F8A0"/>
    <w:rsid w:val="39E3C9F9"/>
    <w:rsid w:val="564405B1"/>
    <w:rsid w:val="5C1C63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F81BC9"/>
  <w15:chartTrackingRefBased/>
  <w15:docId w15:val="{4A148248-0B47-4004-BD9F-801AD3217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D61AF"/>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qFormat/>
    <w:rsid w:val="00AD61AF"/>
    <w:pPr>
      <w:spacing w:before="240"/>
      <w:outlineLvl w:val="1"/>
    </w:pPr>
    <w:rPr>
      <w:b/>
      <w:i/>
      <w:kern w:val="2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D61AF"/>
    <w:rPr>
      <w:rFonts w:ascii="Arial" w:eastAsia="Times New Roman" w:hAnsi="Arial" w:cs="Times New Roman"/>
      <w:b/>
      <w:i/>
      <w:kern w:val="28"/>
      <w:sz w:val="28"/>
      <w:szCs w:val="28"/>
    </w:rPr>
  </w:style>
  <w:style w:type="paragraph" w:styleId="ListParagraph">
    <w:name w:val="List Paragraph"/>
    <w:aliases w:val="Recommendatio,Párrafo de lista,Recommendation,OBC Bullet,Dot pt,F5 List Paragraph,List Paragraph1,No Spacing1,List Paragraph Char Char Char,Indicator Text,Colorful List - Accent 11,Numbered Para 1,Bullet 1,Bullet Points,List Paragraph2,L"/>
    <w:basedOn w:val="Normal"/>
    <w:link w:val="ListParagraphChar"/>
    <w:uiPriority w:val="34"/>
    <w:qFormat/>
    <w:rsid w:val="00AD61AF"/>
    <w:pPr>
      <w:spacing w:after="240"/>
      <w:ind w:left="720"/>
      <w:contextualSpacing/>
    </w:pPr>
    <w:rPr>
      <w:szCs w:val="20"/>
      <w:lang w:eastAsia="en-GB"/>
    </w:rPr>
  </w:style>
  <w:style w:type="character" w:customStyle="1" w:styleId="ListParagraphChar">
    <w:name w:val="List Paragraph Char"/>
    <w:aliases w:val="Recommendatio Char,Párrafo de lista Char,Recommendation Char,OBC Bullet Char,Dot pt Char,F5 List Paragraph Char,List Paragraph1 Char,No Spacing1 Char,List Paragraph Char Char Char Char,Indicator Text Char,Numbered Para 1 Char,L Char"/>
    <w:basedOn w:val="DefaultParagraphFont"/>
    <w:link w:val="ListParagraph"/>
    <w:uiPriority w:val="34"/>
    <w:qFormat/>
    <w:locked/>
    <w:rsid w:val="00AD61AF"/>
    <w:rPr>
      <w:rFonts w:ascii="Arial" w:eastAsia="Times New Roman" w:hAnsi="Arial" w:cs="Times New Roman"/>
      <w:sz w:val="24"/>
      <w:szCs w:val="20"/>
      <w:lang w:eastAsia="en-GB"/>
    </w:rPr>
  </w:style>
  <w:style w:type="table" w:styleId="TableGrid">
    <w:name w:val="Table Grid"/>
    <w:basedOn w:val="TableNormal"/>
    <w:rsid w:val="00AD61A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61AF"/>
    <w:pPr>
      <w:tabs>
        <w:tab w:val="center" w:pos="4513"/>
        <w:tab w:val="right" w:pos="9026"/>
      </w:tabs>
    </w:pPr>
  </w:style>
  <w:style w:type="character" w:customStyle="1" w:styleId="HeaderChar">
    <w:name w:val="Header Char"/>
    <w:basedOn w:val="DefaultParagraphFont"/>
    <w:link w:val="Header"/>
    <w:uiPriority w:val="99"/>
    <w:rsid w:val="00AD61AF"/>
    <w:rPr>
      <w:rFonts w:ascii="Arial" w:eastAsia="Times New Roman" w:hAnsi="Arial" w:cs="Times New Roman"/>
      <w:sz w:val="24"/>
      <w:szCs w:val="24"/>
    </w:rPr>
  </w:style>
  <w:style w:type="paragraph" w:styleId="Footer">
    <w:name w:val="footer"/>
    <w:basedOn w:val="Normal"/>
    <w:link w:val="FooterChar"/>
    <w:uiPriority w:val="99"/>
    <w:unhideWhenUsed/>
    <w:rsid w:val="00AD61AF"/>
    <w:pPr>
      <w:tabs>
        <w:tab w:val="center" w:pos="4513"/>
        <w:tab w:val="right" w:pos="9026"/>
      </w:tabs>
    </w:pPr>
  </w:style>
  <w:style w:type="character" w:customStyle="1" w:styleId="FooterChar">
    <w:name w:val="Footer Char"/>
    <w:basedOn w:val="DefaultParagraphFont"/>
    <w:link w:val="Footer"/>
    <w:uiPriority w:val="99"/>
    <w:rsid w:val="00AD61AF"/>
    <w:rPr>
      <w:rFonts w:ascii="Arial" w:eastAsia="Times New Roman" w:hAnsi="Arial" w:cs="Times New Roman"/>
      <w:sz w:val="24"/>
      <w:szCs w:val="24"/>
    </w:rPr>
  </w:style>
  <w:style w:type="character" w:styleId="CommentReference">
    <w:name w:val="annotation reference"/>
    <w:basedOn w:val="DefaultParagraphFont"/>
    <w:uiPriority w:val="99"/>
    <w:unhideWhenUsed/>
    <w:rsid w:val="00AD61AF"/>
    <w:rPr>
      <w:sz w:val="16"/>
      <w:szCs w:val="16"/>
    </w:rPr>
  </w:style>
  <w:style w:type="paragraph" w:styleId="CommentText">
    <w:name w:val="annotation text"/>
    <w:basedOn w:val="Normal"/>
    <w:link w:val="CommentTextChar"/>
    <w:uiPriority w:val="99"/>
    <w:unhideWhenUsed/>
    <w:rsid w:val="00AD61AF"/>
    <w:rPr>
      <w:sz w:val="20"/>
      <w:szCs w:val="20"/>
    </w:rPr>
  </w:style>
  <w:style w:type="character" w:customStyle="1" w:styleId="CommentTextChar">
    <w:name w:val="Comment Text Char"/>
    <w:basedOn w:val="DefaultParagraphFont"/>
    <w:link w:val="CommentText"/>
    <w:uiPriority w:val="99"/>
    <w:rsid w:val="00AD61AF"/>
    <w:rPr>
      <w:rFonts w:ascii="Arial" w:eastAsia="Times New Roman" w:hAnsi="Arial" w:cs="Times New Roman"/>
      <w:sz w:val="20"/>
      <w:szCs w:val="20"/>
    </w:rPr>
  </w:style>
  <w:style w:type="paragraph" w:styleId="NormalWeb">
    <w:name w:val="Normal (Web)"/>
    <w:basedOn w:val="Normal"/>
    <w:uiPriority w:val="99"/>
    <w:unhideWhenUsed/>
    <w:rsid w:val="00AD61AF"/>
    <w:pPr>
      <w:spacing w:before="100" w:beforeAutospacing="1" w:after="100" w:afterAutospacing="1"/>
    </w:pPr>
    <w:rPr>
      <w:rFonts w:ascii="Times New Roman" w:hAnsi="Times New Roman"/>
    </w:rPr>
  </w:style>
  <w:style w:type="paragraph" w:styleId="BalloonText">
    <w:name w:val="Balloon Text"/>
    <w:basedOn w:val="Normal"/>
    <w:link w:val="BalloonTextChar"/>
    <w:uiPriority w:val="99"/>
    <w:semiHidden/>
    <w:unhideWhenUsed/>
    <w:rsid w:val="00AD61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1AF"/>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5D0D87"/>
    <w:rPr>
      <w:b/>
      <w:bCs/>
    </w:rPr>
  </w:style>
  <w:style w:type="character" w:customStyle="1" w:styleId="CommentSubjectChar">
    <w:name w:val="Comment Subject Char"/>
    <w:basedOn w:val="CommentTextChar"/>
    <w:link w:val="CommentSubject"/>
    <w:uiPriority w:val="99"/>
    <w:semiHidden/>
    <w:rsid w:val="005D0D87"/>
    <w:rPr>
      <w:rFonts w:ascii="Arial" w:eastAsia="Times New Roman" w:hAnsi="Arial" w:cs="Times New Roman"/>
      <w:b/>
      <w:bCs/>
      <w:sz w:val="20"/>
      <w:szCs w:val="20"/>
    </w:rPr>
  </w:style>
  <w:style w:type="character" w:styleId="Hyperlink">
    <w:name w:val="Hyperlink"/>
    <w:basedOn w:val="DefaultParagraphFont"/>
    <w:uiPriority w:val="99"/>
    <w:unhideWhenUsed/>
    <w:rsid w:val="0068386E"/>
    <w:rPr>
      <w:color w:val="0563C1" w:themeColor="hyperlink"/>
      <w:u w:val="single"/>
    </w:rPr>
  </w:style>
  <w:style w:type="character" w:styleId="UnresolvedMention">
    <w:name w:val="Unresolved Mention"/>
    <w:basedOn w:val="DefaultParagraphFont"/>
    <w:uiPriority w:val="99"/>
    <w:unhideWhenUsed/>
    <w:rsid w:val="0068386E"/>
    <w:rPr>
      <w:color w:val="605E5C"/>
      <w:shd w:val="clear" w:color="auto" w:fill="E1DFDD"/>
    </w:rPr>
  </w:style>
  <w:style w:type="character" w:customStyle="1" w:styleId="findhit">
    <w:name w:val="findhit"/>
    <w:basedOn w:val="DefaultParagraphFont"/>
    <w:rsid w:val="0088256B"/>
  </w:style>
  <w:style w:type="character" w:customStyle="1" w:styleId="normaltextrun">
    <w:name w:val="normaltextrun"/>
    <w:basedOn w:val="DefaultParagraphFont"/>
    <w:rsid w:val="0088256B"/>
  </w:style>
  <w:style w:type="table" w:styleId="PlainTable3">
    <w:name w:val="Plain Table 3"/>
    <w:basedOn w:val="TableNormal"/>
    <w:uiPriority w:val="43"/>
    <w:rsid w:val="00EE24D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F6409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Accent3">
    <w:name w:val="Grid Table 1 Light Accent 3"/>
    <w:basedOn w:val="TableNormal"/>
    <w:uiPriority w:val="46"/>
    <w:rsid w:val="0062260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1">
    <w:name w:val="Plain Table 1"/>
    <w:basedOn w:val="TableNormal"/>
    <w:uiPriority w:val="41"/>
    <w:rsid w:val="002A720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D00162"/>
    <w:pPr>
      <w:spacing w:after="0" w:line="240" w:lineRule="auto"/>
    </w:pPr>
    <w:rPr>
      <w:rFonts w:ascii="Arial" w:eastAsia="Times New Roman" w:hAnsi="Arial" w:cs="Times New Roman"/>
      <w:sz w:val="24"/>
      <w:szCs w:val="24"/>
    </w:rPr>
  </w:style>
  <w:style w:type="character" w:styleId="Mention">
    <w:name w:val="Mention"/>
    <w:basedOn w:val="DefaultParagraphFont"/>
    <w:uiPriority w:val="99"/>
    <w:unhideWhenUsed/>
    <w:rsid w:val="00BC5AD6"/>
    <w:rPr>
      <w:color w:val="2B579A"/>
      <w:shd w:val="clear" w:color="auto" w:fill="E1DFDD"/>
    </w:rPr>
  </w:style>
  <w:style w:type="paragraph" w:styleId="FootnoteText">
    <w:name w:val="footnote text"/>
    <w:basedOn w:val="Normal"/>
    <w:link w:val="FootnoteTextChar"/>
    <w:uiPriority w:val="99"/>
    <w:semiHidden/>
    <w:unhideWhenUsed/>
    <w:rsid w:val="002342FB"/>
    <w:rPr>
      <w:sz w:val="20"/>
      <w:szCs w:val="20"/>
    </w:rPr>
  </w:style>
  <w:style w:type="character" w:customStyle="1" w:styleId="FootnoteTextChar">
    <w:name w:val="Footnote Text Char"/>
    <w:basedOn w:val="DefaultParagraphFont"/>
    <w:link w:val="FootnoteText"/>
    <w:uiPriority w:val="99"/>
    <w:semiHidden/>
    <w:rsid w:val="002342FB"/>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2342FB"/>
    <w:rPr>
      <w:vertAlign w:val="superscript"/>
    </w:rPr>
  </w:style>
  <w:style w:type="table" w:styleId="GridTable1Light-Accent1">
    <w:name w:val="Grid Table 1 Light Accent 1"/>
    <w:basedOn w:val="TableNormal"/>
    <w:uiPriority w:val="46"/>
    <w:rsid w:val="000E0BB9"/>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802484">
      <w:bodyDiv w:val="1"/>
      <w:marLeft w:val="0"/>
      <w:marRight w:val="0"/>
      <w:marTop w:val="0"/>
      <w:marBottom w:val="0"/>
      <w:divBdr>
        <w:top w:val="none" w:sz="0" w:space="0" w:color="auto"/>
        <w:left w:val="none" w:sz="0" w:space="0" w:color="auto"/>
        <w:bottom w:val="none" w:sz="0" w:space="0" w:color="auto"/>
        <w:right w:val="none" w:sz="0" w:space="0" w:color="auto"/>
      </w:divBdr>
    </w:div>
    <w:div w:id="263417443">
      <w:bodyDiv w:val="1"/>
      <w:marLeft w:val="0"/>
      <w:marRight w:val="0"/>
      <w:marTop w:val="0"/>
      <w:marBottom w:val="0"/>
      <w:divBdr>
        <w:top w:val="none" w:sz="0" w:space="0" w:color="auto"/>
        <w:left w:val="none" w:sz="0" w:space="0" w:color="auto"/>
        <w:bottom w:val="none" w:sz="0" w:space="0" w:color="auto"/>
        <w:right w:val="none" w:sz="0" w:space="0" w:color="auto"/>
      </w:divBdr>
    </w:div>
    <w:div w:id="356082529">
      <w:bodyDiv w:val="1"/>
      <w:marLeft w:val="0"/>
      <w:marRight w:val="0"/>
      <w:marTop w:val="0"/>
      <w:marBottom w:val="0"/>
      <w:divBdr>
        <w:top w:val="none" w:sz="0" w:space="0" w:color="auto"/>
        <w:left w:val="none" w:sz="0" w:space="0" w:color="auto"/>
        <w:bottom w:val="none" w:sz="0" w:space="0" w:color="auto"/>
        <w:right w:val="none" w:sz="0" w:space="0" w:color="auto"/>
      </w:divBdr>
    </w:div>
    <w:div w:id="359665851">
      <w:bodyDiv w:val="1"/>
      <w:marLeft w:val="0"/>
      <w:marRight w:val="0"/>
      <w:marTop w:val="0"/>
      <w:marBottom w:val="0"/>
      <w:divBdr>
        <w:top w:val="none" w:sz="0" w:space="0" w:color="auto"/>
        <w:left w:val="none" w:sz="0" w:space="0" w:color="auto"/>
        <w:bottom w:val="none" w:sz="0" w:space="0" w:color="auto"/>
        <w:right w:val="none" w:sz="0" w:space="0" w:color="auto"/>
      </w:divBdr>
    </w:div>
    <w:div w:id="364331597">
      <w:bodyDiv w:val="1"/>
      <w:marLeft w:val="0"/>
      <w:marRight w:val="0"/>
      <w:marTop w:val="0"/>
      <w:marBottom w:val="0"/>
      <w:divBdr>
        <w:top w:val="none" w:sz="0" w:space="0" w:color="auto"/>
        <w:left w:val="none" w:sz="0" w:space="0" w:color="auto"/>
        <w:bottom w:val="none" w:sz="0" w:space="0" w:color="auto"/>
        <w:right w:val="none" w:sz="0" w:space="0" w:color="auto"/>
      </w:divBdr>
    </w:div>
    <w:div w:id="446310907">
      <w:bodyDiv w:val="1"/>
      <w:marLeft w:val="0"/>
      <w:marRight w:val="0"/>
      <w:marTop w:val="0"/>
      <w:marBottom w:val="0"/>
      <w:divBdr>
        <w:top w:val="none" w:sz="0" w:space="0" w:color="auto"/>
        <w:left w:val="none" w:sz="0" w:space="0" w:color="auto"/>
        <w:bottom w:val="none" w:sz="0" w:space="0" w:color="auto"/>
        <w:right w:val="none" w:sz="0" w:space="0" w:color="auto"/>
      </w:divBdr>
    </w:div>
    <w:div w:id="453522442">
      <w:bodyDiv w:val="1"/>
      <w:marLeft w:val="0"/>
      <w:marRight w:val="0"/>
      <w:marTop w:val="0"/>
      <w:marBottom w:val="0"/>
      <w:divBdr>
        <w:top w:val="none" w:sz="0" w:space="0" w:color="auto"/>
        <w:left w:val="none" w:sz="0" w:space="0" w:color="auto"/>
        <w:bottom w:val="none" w:sz="0" w:space="0" w:color="auto"/>
        <w:right w:val="none" w:sz="0" w:space="0" w:color="auto"/>
      </w:divBdr>
    </w:div>
    <w:div w:id="500321162">
      <w:bodyDiv w:val="1"/>
      <w:marLeft w:val="0"/>
      <w:marRight w:val="0"/>
      <w:marTop w:val="0"/>
      <w:marBottom w:val="0"/>
      <w:divBdr>
        <w:top w:val="none" w:sz="0" w:space="0" w:color="auto"/>
        <w:left w:val="none" w:sz="0" w:space="0" w:color="auto"/>
        <w:bottom w:val="none" w:sz="0" w:space="0" w:color="auto"/>
        <w:right w:val="none" w:sz="0" w:space="0" w:color="auto"/>
      </w:divBdr>
    </w:div>
    <w:div w:id="523715046">
      <w:bodyDiv w:val="1"/>
      <w:marLeft w:val="0"/>
      <w:marRight w:val="0"/>
      <w:marTop w:val="0"/>
      <w:marBottom w:val="0"/>
      <w:divBdr>
        <w:top w:val="none" w:sz="0" w:space="0" w:color="auto"/>
        <w:left w:val="none" w:sz="0" w:space="0" w:color="auto"/>
        <w:bottom w:val="none" w:sz="0" w:space="0" w:color="auto"/>
        <w:right w:val="none" w:sz="0" w:space="0" w:color="auto"/>
      </w:divBdr>
    </w:div>
    <w:div w:id="747196614">
      <w:bodyDiv w:val="1"/>
      <w:marLeft w:val="0"/>
      <w:marRight w:val="0"/>
      <w:marTop w:val="0"/>
      <w:marBottom w:val="0"/>
      <w:divBdr>
        <w:top w:val="none" w:sz="0" w:space="0" w:color="auto"/>
        <w:left w:val="none" w:sz="0" w:space="0" w:color="auto"/>
        <w:bottom w:val="none" w:sz="0" w:space="0" w:color="auto"/>
        <w:right w:val="none" w:sz="0" w:space="0" w:color="auto"/>
      </w:divBdr>
    </w:div>
    <w:div w:id="923342525">
      <w:bodyDiv w:val="1"/>
      <w:marLeft w:val="0"/>
      <w:marRight w:val="0"/>
      <w:marTop w:val="0"/>
      <w:marBottom w:val="0"/>
      <w:divBdr>
        <w:top w:val="none" w:sz="0" w:space="0" w:color="auto"/>
        <w:left w:val="none" w:sz="0" w:space="0" w:color="auto"/>
        <w:bottom w:val="none" w:sz="0" w:space="0" w:color="auto"/>
        <w:right w:val="none" w:sz="0" w:space="0" w:color="auto"/>
      </w:divBdr>
    </w:div>
    <w:div w:id="1013610258">
      <w:bodyDiv w:val="1"/>
      <w:marLeft w:val="0"/>
      <w:marRight w:val="0"/>
      <w:marTop w:val="0"/>
      <w:marBottom w:val="0"/>
      <w:divBdr>
        <w:top w:val="none" w:sz="0" w:space="0" w:color="auto"/>
        <w:left w:val="none" w:sz="0" w:space="0" w:color="auto"/>
        <w:bottom w:val="none" w:sz="0" w:space="0" w:color="auto"/>
        <w:right w:val="none" w:sz="0" w:space="0" w:color="auto"/>
      </w:divBdr>
    </w:div>
    <w:div w:id="1124353046">
      <w:bodyDiv w:val="1"/>
      <w:marLeft w:val="0"/>
      <w:marRight w:val="0"/>
      <w:marTop w:val="0"/>
      <w:marBottom w:val="0"/>
      <w:divBdr>
        <w:top w:val="none" w:sz="0" w:space="0" w:color="auto"/>
        <w:left w:val="none" w:sz="0" w:space="0" w:color="auto"/>
        <w:bottom w:val="none" w:sz="0" w:space="0" w:color="auto"/>
        <w:right w:val="none" w:sz="0" w:space="0" w:color="auto"/>
      </w:divBdr>
    </w:div>
    <w:div w:id="1140348091">
      <w:bodyDiv w:val="1"/>
      <w:marLeft w:val="0"/>
      <w:marRight w:val="0"/>
      <w:marTop w:val="0"/>
      <w:marBottom w:val="0"/>
      <w:divBdr>
        <w:top w:val="none" w:sz="0" w:space="0" w:color="auto"/>
        <w:left w:val="none" w:sz="0" w:space="0" w:color="auto"/>
        <w:bottom w:val="none" w:sz="0" w:space="0" w:color="auto"/>
        <w:right w:val="none" w:sz="0" w:space="0" w:color="auto"/>
      </w:divBdr>
    </w:div>
    <w:div w:id="1221206937">
      <w:bodyDiv w:val="1"/>
      <w:marLeft w:val="0"/>
      <w:marRight w:val="0"/>
      <w:marTop w:val="0"/>
      <w:marBottom w:val="0"/>
      <w:divBdr>
        <w:top w:val="none" w:sz="0" w:space="0" w:color="auto"/>
        <w:left w:val="none" w:sz="0" w:space="0" w:color="auto"/>
        <w:bottom w:val="none" w:sz="0" w:space="0" w:color="auto"/>
        <w:right w:val="none" w:sz="0" w:space="0" w:color="auto"/>
      </w:divBdr>
    </w:div>
    <w:div w:id="1287080039">
      <w:bodyDiv w:val="1"/>
      <w:marLeft w:val="0"/>
      <w:marRight w:val="0"/>
      <w:marTop w:val="0"/>
      <w:marBottom w:val="0"/>
      <w:divBdr>
        <w:top w:val="none" w:sz="0" w:space="0" w:color="auto"/>
        <w:left w:val="none" w:sz="0" w:space="0" w:color="auto"/>
        <w:bottom w:val="none" w:sz="0" w:space="0" w:color="auto"/>
        <w:right w:val="none" w:sz="0" w:space="0" w:color="auto"/>
      </w:divBdr>
    </w:div>
    <w:div w:id="1327899559">
      <w:bodyDiv w:val="1"/>
      <w:marLeft w:val="0"/>
      <w:marRight w:val="0"/>
      <w:marTop w:val="0"/>
      <w:marBottom w:val="0"/>
      <w:divBdr>
        <w:top w:val="none" w:sz="0" w:space="0" w:color="auto"/>
        <w:left w:val="none" w:sz="0" w:space="0" w:color="auto"/>
        <w:bottom w:val="none" w:sz="0" w:space="0" w:color="auto"/>
        <w:right w:val="none" w:sz="0" w:space="0" w:color="auto"/>
      </w:divBdr>
    </w:div>
    <w:div w:id="1555238625">
      <w:bodyDiv w:val="1"/>
      <w:marLeft w:val="0"/>
      <w:marRight w:val="0"/>
      <w:marTop w:val="0"/>
      <w:marBottom w:val="0"/>
      <w:divBdr>
        <w:top w:val="none" w:sz="0" w:space="0" w:color="auto"/>
        <w:left w:val="none" w:sz="0" w:space="0" w:color="auto"/>
        <w:bottom w:val="none" w:sz="0" w:space="0" w:color="auto"/>
        <w:right w:val="none" w:sz="0" w:space="0" w:color="auto"/>
      </w:divBdr>
    </w:div>
    <w:div w:id="1566909631">
      <w:bodyDiv w:val="1"/>
      <w:marLeft w:val="0"/>
      <w:marRight w:val="0"/>
      <w:marTop w:val="0"/>
      <w:marBottom w:val="0"/>
      <w:divBdr>
        <w:top w:val="none" w:sz="0" w:space="0" w:color="auto"/>
        <w:left w:val="none" w:sz="0" w:space="0" w:color="auto"/>
        <w:bottom w:val="none" w:sz="0" w:space="0" w:color="auto"/>
        <w:right w:val="none" w:sz="0" w:space="0" w:color="auto"/>
      </w:divBdr>
    </w:div>
    <w:div w:id="1617904740">
      <w:bodyDiv w:val="1"/>
      <w:marLeft w:val="0"/>
      <w:marRight w:val="0"/>
      <w:marTop w:val="0"/>
      <w:marBottom w:val="0"/>
      <w:divBdr>
        <w:top w:val="none" w:sz="0" w:space="0" w:color="auto"/>
        <w:left w:val="none" w:sz="0" w:space="0" w:color="auto"/>
        <w:bottom w:val="none" w:sz="0" w:space="0" w:color="auto"/>
        <w:right w:val="none" w:sz="0" w:space="0" w:color="auto"/>
      </w:divBdr>
    </w:div>
    <w:div w:id="1645161051">
      <w:bodyDiv w:val="1"/>
      <w:marLeft w:val="0"/>
      <w:marRight w:val="0"/>
      <w:marTop w:val="0"/>
      <w:marBottom w:val="0"/>
      <w:divBdr>
        <w:top w:val="none" w:sz="0" w:space="0" w:color="auto"/>
        <w:left w:val="none" w:sz="0" w:space="0" w:color="auto"/>
        <w:bottom w:val="none" w:sz="0" w:space="0" w:color="auto"/>
        <w:right w:val="none" w:sz="0" w:space="0" w:color="auto"/>
      </w:divBdr>
    </w:div>
    <w:div w:id="1666975893">
      <w:bodyDiv w:val="1"/>
      <w:marLeft w:val="0"/>
      <w:marRight w:val="0"/>
      <w:marTop w:val="0"/>
      <w:marBottom w:val="0"/>
      <w:divBdr>
        <w:top w:val="none" w:sz="0" w:space="0" w:color="auto"/>
        <w:left w:val="none" w:sz="0" w:space="0" w:color="auto"/>
        <w:bottom w:val="none" w:sz="0" w:space="0" w:color="auto"/>
        <w:right w:val="none" w:sz="0" w:space="0" w:color="auto"/>
      </w:divBdr>
    </w:div>
    <w:div w:id="1689527517">
      <w:bodyDiv w:val="1"/>
      <w:marLeft w:val="0"/>
      <w:marRight w:val="0"/>
      <w:marTop w:val="0"/>
      <w:marBottom w:val="0"/>
      <w:divBdr>
        <w:top w:val="none" w:sz="0" w:space="0" w:color="auto"/>
        <w:left w:val="none" w:sz="0" w:space="0" w:color="auto"/>
        <w:bottom w:val="none" w:sz="0" w:space="0" w:color="auto"/>
        <w:right w:val="none" w:sz="0" w:space="0" w:color="auto"/>
      </w:divBdr>
    </w:div>
    <w:div w:id="1772168373">
      <w:bodyDiv w:val="1"/>
      <w:marLeft w:val="0"/>
      <w:marRight w:val="0"/>
      <w:marTop w:val="0"/>
      <w:marBottom w:val="0"/>
      <w:divBdr>
        <w:top w:val="none" w:sz="0" w:space="0" w:color="auto"/>
        <w:left w:val="none" w:sz="0" w:space="0" w:color="auto"/>
        <w:bottom w:val="none" w:sz="0" w:space="0" w:color="auto"/>
        <w:right w:val="none" w:sz="0" w:space="0" w:color="auto"/>
      </w:divBdr>
    </w:div>
    <w:div w:id="1810051032">
      <w:bodyDiv w:val="1"/>
      <w:marLeft w:val="0"/>
      <w:marRight w:val="0"/>
      <w:marTop w:val="0"/>
      <w:marBottom w:val="0"/>
      <w:divBdr>
        <w:top w:val="none" w:sz="0" w:space="0" w:color="auto"/>
        <w:left w:val="none" w:sz="0" w:space="0" w:color="auto"/>
        <w:bottom w:val="none" w:sz="0" w:space="0" w:color="auto"/>
        <w:right w:val="none" w:sz="0" w:space="0" w:color="auto"/>
      </w:divBdr>
    </w:div>
    <w:div w:id="1850023302">
      <w:bodyDiv w:val="1"/>
      <w:marLeft w:val="0"/>
      <w:marRight w:val="0"/>
      <w:marTop w:val="0"/>
      <w:marBottom w:val="0"/>
      <w:divBdr>
        <w:top w:val="none" w:sz="0" w:space="0" w:color="auto"/>
        <w:left w:val="none" w:sz="0" w:space="0" w:color="auto"/>
        <w:bottom w:val="none" w:sz="0" w:space="0" w:color="auto"/>
        <w:right w:val="none" w:sz="0" w:space="0" w:color="auto"/>
      </w:divBdr>
    </w:div>
    <w:div w:id="2135824456">
      <w:bodyDiv w:val="1"/>
      <w:marLeft w:val="0"/>
      <w:marRight w:val="0"/>
      <w:marTop w:val="0"/>
      <w:marBottom w:val="0"/>
      <w:divBdr>
        <w:top w:val="none" w:sz="0" w:space="0" w:color="auto"/>
        <w:left w:val="none" w:sz="0" w:space="0" w:color="auto"/>
        <w:bottom w:val="none" w:sz="0" w:space="0" w:color="auto"/>
        <w:right w:val="none" w:sz="0" w:space="0" w:color="auto"/>
      </w:divBdr>
    </w:div>
    <w:div w:id="213871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cience-and-innovation-network.s3.eu-west-2.amazonaws.com/BEIS+ICF/SIPLA/SIP+Latam+Logframe+2018.xls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aidstream.org/files/documents/Sustainable-Infrastructure-Programme---Business-Case-(FINAL-Redacted)-20180525010513.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cience-and-innovation-network.s3.eu-west-2.amazonaws.com/BEIS+ICF/SIPLA/SIP+Latam+Annual+Review+2018.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BBAFD14273B545B612A7DFACD821FD" ma:contentTypeVersion="14" ma:contentTypeDescription="Create a new document." ma:contentTypeScope="" ma:versionID="64461a8e21c8b7bf24858858397f774a">
  <xsd:schema xmlns:xsd="http://www.w3.org/2001/XMLSchema" xmlns:xs="http://www.w3.org/2001/XMLSchema" xmlns:p="http://schemas.microsoft.com/office/2006/metadata/properties" xmlns:ns2="92ad9e33-5271-4ce6-bdd9-333434fbc601" xmlns:ns3="0063f72e-ace3-48fb-9c1f-5b513408b31f" xmlns:ns4="b413c3fd-5a3b-4239-b985-69032e371c04" xmlns:ns5="a8f60570-4bd3-4f2b-950b-a996de8ab151" xmlns:ns6="aaacb922-5235-4a66-b188-303b9b46fbd7" xmlns:ns7="36ebd5cd-78f0-47d9-a37e-8098d9379116" targetNamespace="http://schemas.microsoft.com/office/2006/metadata/properties" ma:root="true" ma:fieldsID="a03e93f18d94bacb0a82f8e4402611f8" ns2:_="" ns3:_="" ns4:_="" ns5:_="" ns6:_="" ns7:_="">
    <xsd:import namespace="92ad9e33-5271-4ce6-bdd9-333434fbc601"/>
    <xsd:import namespace="0063f72e-ace3-48fb-9c1f-5b513408b31f"/>
    <xsd:import namespace="b413c3fd-5a3b-4239-b985-69032e371c04"/>
    <xsd:import namespace="a8f60570-4bd3-4f2b-950b-a996de8ab151"/>
    <xsd:import namespace="aaacb922-5235-4a66-b188-303b9b46fbd7"/>
    <xsd:import namespace="36ebd5cd-78f0-47d9-a37e-8098d9379116"/>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2:SharedWithUsers" minOccurs="0"/>
                <xsd:element ref="ns2:SharedWithDetails" minOccurs="0"/>
                <xsd:element ref="ns7:MediaServiceAutoTags" minOccurs="0"/>
                <xsd:element ref="ns7:MediaServiceOCR" minOccurs="0"/>
                <xsd:element ref="ns7:MediaServiceGenerationTime" minOccurs="0"/>
                <xsd:element ref="ns7: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ad9e33-5271-4ce6-bdd9-333434fbc6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BEIS:Energy, Transformation and Clean Growth:International (Climate and Energy):International Climate Finance|25a07eec-082c-4868-be05-2bef48a6767e"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d136d9e3-02d7-4447-9a9a-9d02553843e1}" ma:internalName="TaxCatchAll" ma:showField="CatchAllData" ma:web="92ad9e33-5271-4ce6-bdd9-333434fbc601">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d136d9e3-02d7-4447-9a9a-9d02553843e1}" ma:internalName="TaxCatchAllLabel" ma:readOnly="true" ma:showField="CatchAllDataLabel" ma:web="92ad9e33-5271-4ce6-bdd9-333434fbc601">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ebd5cd-78f0-47d9-a37e-8098d9379116"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AutoTags" ma:index="28" nillable="true" ma:displayName="Tags" ma:internalName="MediaServiceAutoTags"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SharedWithUsers xmlns="92ad9e33-5271-4ce6-bdd9-333434fbc601">
      <UserInfo>
        <DisplayName>Tomlinson, Luke (Intl Climate Finance - Investments)</DisplayName>
        <AccountId>123</AccountId>
        <AccountType/>
      </UserInfo>
      <UserInfo>
        <DisplayName>Ritchie, Conor (Intl Climate Finance - Investments)</DisplayName>
        <AccountId>156</AccountId>
        <AccountType/>
      </UserInfo>
    </SharedWithUsers>
    <TaxCatchAll xmlns="92ad9e33-5271-4ce6-bdd9-333434fbc601">
      <Value>1</Value>
    </TaxCatchAll>
    <Government_x0020_Body xmlns="b413c3fd-5a3b-4239-b985-69032e371c04">BEIS</Government_x0020_Body>
    <Date_x0020_Opened xmlns="b413c3fd-5a3b-4239-b985-69032e371c04">2020-08-25T09:30:00+00:00</Date_x0020_Opened>
    <LegacyData xmlns="aaacb922-5235-4a66-b188-303b9b46fbd7" xsi:nil="true"/>
    <Descriptor xmlns="0063f72e-ace3-48fb-9c1f-5b513408b31f" xsi:nil="true"/>
    <m975189f4ba442ecbf67d4147307b177 xmlns="92ad9e33-5271-4ce6-bdd9-333434fbc601">
      <Terms xmlns="http://schemas.microsoft.com/office/infopath/2007/PartnerControls">
        <TermInfo xmlns="http://schemas.microsoft.com/office/infopath/2007/PartnerControls">
          <TermName xmlns="http://schemas.microsoft.com/office/infopath/2007/PartnerControls">BEIS:Energy, Transformation and Clean Growth:International (Climate and Energy):International Climate Finance</TermName>
          <TermId xmlns="http://schemas.microsoft.com/office/infopath/2007/PartnerControls">25a07eec-082c-4868-be05-2bef48a6767e</TermId>
        </TermInfo>
      </Terms>
    </m975189f4ba442ecbf67d4147307b177>
    <Security_x0020_Classification xmlns="0063f72e-ace3-48fb-9c1f-5b513408b31f">OFFICIAL</Security_x0020_Classification>
    <Retention_x0020_Label xmlns="a8f60570-4bd3-4f2b-950b-a996de8ab151" xsi:nil="true"/>
    <Date_x0020_Closed xmlns="b413c3fd-5a3b-4239-b985-69032e371c04" xsi:nil="true"/>
    <_dlc_DocId xmlns="92ad9e33-5271-4ce6-bdd9-333434fbc601">FQW7PQWC2EQU-720610831-42457</_dlc_DocId>
    <_dlc_DocIdUrl xmlns="92ad9e33-5271-4ce6-bdd9-333434fbc601">
      <Url>https://beisgov.sharepoint.com/sites/ICF/_layouts/15/DocIdRedir.aspx?ID=FQW7PQWC2EQU-720610831-42457</Url>
      <Description>FQW7PQWC2EQU-720610831-42457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DA3D36-2169-4F55-A9E3-EBEF22277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ad9e33-5271-4ce6-bdd9-333434fbc601"/>
    <ds:schemaRef ds:uri="0063f72e-ace3-48fb-9c1f-5b513408b31f"/>
    <ds:schemaRef ds:uri="b413c3fd-5a3b-4239-b985-69032e371c04"/>
    <ds:schemaRef ds:uri="a8f60570-4bd3-4f2b-950b-a996de8ab151"/>
    <ds:schemaRef ds:uri="aaacb922-5235-4a66-b188-303b9b46fbd7"/>
    <ds:schemaRef ds:uri="36ebd5cd-78f0-47d9-a37e-8098d9379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C19326-FDCD-4723-BAC4-582F4309A3CD}">
  <ds:schemaRefs>
    <ds:schemaRef ds:uri="http://schemas.openxmlformats.org/officeDocument/2006/bibliography"/>
  </ds:schemaRefs>
</ds:datastoreItem>
</file>

<file path=customXml/itemProps3.xml><?xml version="1.0" encoding="utf-8"?>
<ds:datastoreItem xmlns:ds="http://schemas.openxmlformats.org/officeDocument/2006/customXml" ds:itemID="{4EB87A15-1706-467B-B84A-81748B99648B}">
  <ds:schemaRefs>
    <ds:schemaRef ds:uri="http://schemas.microsoft.com/sharepoint/events"/>
  </ds:schemaRefs>
</ds:datastoreItem>
</file>

<file path=customXml/itemProps4.xml><?xml version="1.0" encoding="utf-8"?>
<ds:datastoreItem xmlns:ds="http://schemas.openxmlformats.org/officeDocument/2006/customXml" ds:itemID="{E8BF8F6D-42F9-4026-A2A3-9FA98B53507A}">
  <ds:schemaRefs>
    <ds:schemaRef ds:uri="http://purl.org/dc/dcmitype/"/>
    <ds:schemaRef ds:uri="aaacb922-5235-4a66-b188-303b9b46fbd7"/>
    <ds:schemaRef ds:uri="http://schemas.microsoft.com/office/2006/documentManagement/types"/>
    <ds:schemaRef ds:uri="http://purl.org/dc/elements/1.1/"/>
    <ds:schemaRef ds:uri="http://schemas.microsoft.com/office/infopath/2007/PartnerControls"/>
    <ds:schemaRef ds:uri="a8f60570-4bd3-4f2b-950b-a996de8ab151"/>
    <ds:schemaRef ds:uri="http://schemas.openxmlformats.org/package/2006/metadata/core-properties"/>
    <ds:schemaRef ds:uri="http://schemas.microsoft.com/office/2006/metadata/properties"/>
    <ds:schemaRef ds:uri="36ebd5cd-78f0-47d9-a37e-8098d9379116"/>
    <ds:schemaRef ds:uri="http://purl.org/dc/terms/"/>
    <ds:schemaRef ds:uri="b413c3fd-5a3b-4239-b985-69032e371c04"/>
    <ds:schemaRef ds:uri="0063f72e-ace3-48fb-9c1f-5b513408b31f"/>
    <ds:schemaRef ds:uri="92ad9e33-5271-4ce6-bdd9-333434fbc601"/>
    <ds:schemaRef ds:uri="http://www.w3.org/XML/1998/namespace"/>
  </ds:schemaRefs>
</ds:datastoreItem>
</file>

<file path=customXml/itemProps5.xml><?xml version="1.0" encoding="utf-8"?>
<ds:datastoreItem xmlns:ds="http://schemas.openxmlformats.org/officeDocument/2006/customXml" ds:itemID="{77A0E256-08F4-4FBB-949E-5FB0E55FCB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12892</Words>
  <Characters>73487</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Heffernan, Louise (BEIS)</dc:creator>
  <cp:keywords/>
  <dc:description/>
  <cp:lastModifiedBy>Smithers, William (Intl Climate Finance - Portfolio)</cp:lastModifiedBy>
  <cp:revision>2</cp:revision>
  <dcterms:created xsi:type="dcterms:W3CDTF">2020-10-13T09:46:00Z</dcterms:created>
  <dcterms:modified xsi:type="dcterms:W3CDTF">2020-10-13T09:46:00Z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2020-07-06T15:59:54Z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1119fbe9-5383-4dfc-b738-0000fe8da466</vt:lpwstr>
  </property>
  <property fmtid="{D5CDD505-2E9C-101B-9397-08002B2CF9AE}" pid="8" name="MSIP_Label_ba62f585-b40f-4ab9-bafe-39150f03d124_ContentBits">
    <vt:lpwstr>0</vt:lpwstr>
  </property>
  <property fmtid="{D5CDD505-2E9C-101B-9397-08002B2CF9AE}" pid="9" name="ContentTypeId">
    <vt:lpwstr>0x010100ABBBAFD14273B545B612A7DFACD821FD</vt:lpwstr>
  </property>
  <property fmtid="{D5CDD505-2E9C-101B-9397-08002B2CF9AE}" pid="10" name="Business Unit">
    <vt:lpwstr>1;#BEIS:Energy, Transformation and Clean Growth:International (Climate and Energy):International Climate Finance|25a07eec-082c-4868-be05-2bef48a6767e</vt:lpwstr>
  </property>
  <property fmtid="{D5CDD505-2E9C-101B-9397-08002B2CF9AE}" pid="11" name="_dlc_DocIdItemGuid">
    <vt:lpwstr>26a0ecf5-ec2f-43d2-9430-505d4d543e74</vt:lpwstr>
  </property>
</Properties>
</file>