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EC0E8" w14:textId="03DD22CD" w:rsidR="00C67FEB" w:rsidRPr="005B0B73" w:rsidRDefault="00C67FEB" w:rsidP="1FFC5AE9">
      <w:pPr>
        <w:rPr>
          <w:rFonts w:eastAsia="Arial" w:cs="Arial"/>
          <w:sz w:val="22"/>
          <w:szCs w:val="22"/>
        </w:rPr>
      </w:pPr>
    </w:p>
    <w:p w14:paraId="4AD502B3" w14:textId="5E785507" w:rsidR="2D4FF552" w:rsidRPr="005B0B73" w:rsidRDefault="2D4FF552" w:rsidP="1FFC5AE9">
      <w:pPr>
        <w:rPr>
          <w:rFonts w:eastAsia="Arial" w:cs="Arial"/>
          <w:sz w:val="22"/>
          <w:szCs w:val="22"/>
          <w:u w:val="single"/>
        </w:rPr>
      </w:pPr>
    </w:p>
    <w:p w14:paraId="38EC76C4" w14:textId="77777777" w:rsidR="00885BB9" w:rsidRPr="005B0B73" w:rsidRDefault="00885BB9" w:rsidP="1FFC5AE9">
      <w:pPr>
        <w:pStyle w:val="BEISTitle"/>
        <w:rPr>
          <w:rFonts w:eastAsia="Arial" w:cs="Arial"/>
        </w:rPr>
      </w:pPr>
    </w:p>
    <w:p w14:paraId="0A34EE9B" w14:textId="77777777" w:rsidR="00885BB9" w:rsidRPr="005B0B73" w:rsidRDefault="00885BB9" w:rsidP="1FFC5AE9">
      <w:pPr>
        <w:pStyle w:val="BEISTitle"/>
        <w:rPr>
          <w:rFonts w:eastAsia="Arial" w:cs="Arial"/>
        </w:rPr>
      </w:pPr>
    </w:p>
    <w:p w14:paraId="64C9A776" w14:textId="77777777" w:rsidR="00D80C6C" w:rsidRPr="005B0B73" w:rsidRDefault="00D80C6C" w:rsidP="1FFC5AE9">
      <w:pPr>
        <w:pStyle w:val="BEISTitle"/>
        <w:rPr>
          <w:rFonts w:eastAsia="Arial" w:cs="Arial"/>
        </w:rPr>
      </w:pPr>
    </w:p>
    <w:p w14:paraId="624DAC73" w14:textId="557D65EC" w:rsidR="00C67FEB" w:rsidRPr="005B0B73" w:rsidRDefault="1D54F8AD" w:rsidP="1FFC5AE9">
      <w:pPr>
        <w:pStyle w:val="BEISTitle"/>
        <w:spacing w:after="160" w:line="259" w:lineRule="auto"/>
        <w:jc w:val="center"/>
        <w:rPr>
          <w:rFonts w:eastAsia="Arial" w:cs="Arial"/>
        </w:rPr>
      </w:pPr>
      <w:r w:rsidRPr="005B0B73">
        <w:rPr>
          <w:rFonts w:eastAsia="Arial" w:cs="Arial"/>
        </w:rPr>
        <w:t>Transformative Carbon Asset Facility (</w:t>
      </w:r>
      <w:r w:rsidR="2B147C40" w:rsidRPr="005B0B73">
        <w:rPr>
          <w:rFonts w:eastAsia="Arial" w:cs="Arial"/>
        </w:rPr>
        <w:t>TCAF) Annual</w:t>
      </w:r>
      <w:r w:rsidR="00964968" w:rsidRPr="005B0B73">
        <w:rPr>
          <w:rFonts w:eastAsia="Arial" w:cs="Arial"/>
        </w:rPr>
        <w:t xml:space="preserve"> Review </w:t>
      </w:r>
      <w:r w:rsidR="7F1F2818" w:rsidRPr="005B0B73">
        <w:rPr>
          <w:rFonts w:eastAsia="Arial" w:cs="Arial"/>
        </w:rPr>
        <w:t>202</w:t>
      </w:r>
      <w:r w:rsidR="6C9F5154" w:rsidRPr="005B0B73">
        <w:rPr>
          <w:rFonts w:eastAsia="Arial" w:cs="Arial"/>
        </w:rPr>
        <w:t>6</w:t>
      </w:r>
    </w:p>
    <w:p w14:paraId="4AF08E4A" w14:textId="20AFDEDA" w:rsidR="007D1D64" w:rsidRPr="005B0B73" w:rsidRDefault="007D1D64" w:rsidP="1FFC5AE9">
      <w:pPr>
        <w:spacing w:after="160"/>
        <w:rPr>
          <w:rFonts w:eastAsia="Arial" w:cs="Arial"/>
          <w:sz w:val="22"/>
          <w:szCs w:val="22"/>
        </w:rPr>
      </w:pPr>
    </w:p>
    <w:p w14:paraId="160505CC" w14:textId="77777777" w:rsidR="007D1D64" w:rsidRPr="005B0B73" w:rsidRDefault="007D1D64" w:rsidP="1FFC5AE9">
      <w:pPr>
        <w:spacing w:after="160"/>
        <w:rPr>
          <w:rFonts w:eastAsia="Arial" w:cs="Arial"/>
          <w:sz w:val="22"/>
          <w:szCs w:val="22"/>
        </w:rPr>
      </w:pPr>
    </w:p>
    <w:p w14:paraId="6ED798D0" w14:textId="77777777" w:rsidR="00090217" w:rsidRPr="005B0B73" w:rsidRDefault="00090217" w:rsidP="1FFC5AE9">
      <w:pPr>
        <w:rPr>
          <w:rFonts w:eastAsia="Arial" w:cs="Arial"/>
          <w:sz w:val="22"/>
          <w:szCs w:val="22"/>
          <w:u w:val="single"/>
        </w:rPr>
      </w:pPr>
    </w:p>
    <w:p w14:paraId="1F841114" w14:textId="027A752E" w:rsidR="007D1D64" w:rsidRPr="005B0B73" w:rsidRDefault="007D1D64" w:rsidP="1FFC5AE9">
      <w:pPr>
        <w:spacing w:after="160"/>
        <w:rPr>
          <w:rFonts w:eastAsia="Arial" w:cs="Arial"/>
          <w:sz w:val="22"/>
          <w:szCs w:val="22"/>
        </w:rPr>
      </w:pPr>
    </w:p>
    <w:p w14:paraId="744BC35C" w14:textId="77777777" w:rsidR="007D1D64" w:rsidRPr="005B0B73" w:rsidRDefault="007D1D64" w:rsidP="1FFC5AE9">
      <w:pPr>
        <w:spacing w:after="160"/>
        <w:rPr>
          <w:rFonts w:eastAsia="Arial" w:cs="Arial"/>
          <w:sz w:val="22"/>
          <w:szCs w:val="22"/>
        </w:rPr>
      </w:pPr>
    </w:p>
    <w:p w14:paraId="2EEE1272" w14:textId="0FA2D180" w:rsidR="007D1D64" w:rsidRPr="005B0B73" w:rsidRDefault="007D1D64" w:rsidP="1FFC5AE9">
      <w:pPr>
        <w:spacing w:after="160"/>
        <w:rPr>
          <w:rFonts w:eastAsia="Arial" w:cs="Arial"/>
          <w:sz w:val="22"/>
          <w:szCs w:val="22"/>
        </w:rPr>
      </w:pPr>
      <w:r w:rsidRPr="005B0B73">
        <w:rPr>
          <w:rFonts w:eastAsia="Arial" w:cs="Arial"/>
          <w:sz w:val="22"/>
          <w:szCs w:val="22"/>
        </w:rPr>
        <w:br w:type="page"/>
      </w:r>
    </w:p>
    <w:p w14:paraId="1FB1C90B" w14:textId="21AF7FBD" w:rsidR="007D1D64" w:rsidRPr="005B0B73" w:rsidRDefault="007D1D64" w:rsidP="1FFC5AE9">
      <w:pPr>
        <w:spacing w:after="160"/>
        <w:rPr>
          <w:rFonts w:eastAsia="Arial" w:cs="Arial"/>
          <w:sz w:val="22"/>
          <w:szCs w:val="22"/>
        </w:rPr>
      </w:pPr>
    </w:p>
    <w:p w14:paraId="6FC09FA9" w14:textId="77777777" w:rsidR="007D1D64" w:rsidRPr="005B0B73" w:rsidRDefault="007D1D64" w:rsidP="1FFC5AE9">
      <w:pPr>
        <w:spacing w:after="160"/>
        <w:rPr>
          <w:rFonts w:eastAsia="Arial" w:cs="Arial"/>
          <w:sz w:val="22"/>
          <w:szCs w:val="22"/>
        </w:rPr>
      </w:pPr>
    </w:p>
    <w:p w14:paraId="40B4FF2C" w14:textId="77777777" w:rsidR="00112E33" w:rsidRPr="005B0B73" w:rsidRDefault="00112E33" w:rsidP="1FFC5AE9">
      <w:pPr>
        <w:spacing w:after="160"/>
        <w:rPr>
          <w:rFonts w:eastAsia="Arial" w:cs="Arial"/>
          <w:sz w:val="22"/>
          <w:szCs w:val="22"/>
        </w:rPr>
      </w:pPr>
    </w:p>
    <w:p w14:paraId="01A42860" w14:textId="77777777" w:rsidR="00112E33" w:rsidRPr="005B0B73" w:rsidRDefault="00112E33" w:rsidP="1FFC5AE9">
      <w:pPr>
        <w:spacing w:after="160"/>
        <w:rPr>
          <w:rFonts w:eastAsia="Arial" w:cs="Arial"/>
          <w:sz w:val="22"/>
          <w:szCs w:val="22"/>
        </w:rPr>
      </w:pPr>
    </w:p>
    <w:p w14:paraId="4A8FCC2A" w14:textId="77777777" w:rsidR="00112E33" w:rsidRPr="005B0B73" w:rsidRDefault="00112E33" w:rsidP="1FFC5AE9">
      <w:pPr>
        <w:spacing w:after="160"/>
        <w:rPr>
          <w:rFonts w:eastAsia="Arial" w:cs="Arial"/>
          <w:sz w:val="22"/>
          <w:szCs w:val="22"/>
        </w:rPr>
      </w:pPr>
    </w:p>
    <w:p w14:paraId="31553A3C" w14:textId="77777777" w:rsidR="00112E33" w:rsidRPr="005B0B73" w:rsidRDefault="00112E33" w:rsidP="1FFC5AE9">
      <w:pPr>
        <w:spacing w:after="160"/>
        <w:rPr>
          <w:rFonts w:eastAsia="Arial" w:cs="Arial"/>
          <w:sz w:val="22"/>
          <w:szCs w:val="22"/>
        </w:rPr>
      </w:pPr>
    </w:p>
    <w:p w14:paraId="1E72DB9D" w14:textId="77777777" w:rsidR="00112E33" w:rsidRPr="005B0B73" w:rsidRDefault="00112E33" w:rsidP="1FFC5AE9">
      <w:pPr>
        <w:spacing w:after="160"/>
        <w:rPr>
          <w:rFonts w:eastAsia="Arial" w:cs="Arial"/>
          <w:sz w:val="22"/>
          <w:szCs w:val="22"/>
        </w:rPr>
      </w:pPr>
    </w:p>
    <w:p w14:paraId="716930C2" w14:textId="77777777" w:rsidR="00112E33" w:rsidRPr="005B0B73" w:rsidRDefault="00112E33" w:rsidP="1FFC5AE9">
      <w:pPr>
        <w:spacing w:after="160"/>
        <w:rPr>
          <w:rFonts w:eastAsia="Arial" w:cs="Arial"/>
          <w:sz w:val="22"/>
          <w:szCs w:val="22"/>
        </w:rPr>
      </w:pPr>
    </w:p>
    <w:p w14:paraId="3ABDAEFF" w14:textId="77777777" w:rsidR="00112E33" w:rsidRPr="005B0B73" w:rsidRDefault="00112E33" w:rsidP="1FFC5AE9">
      <w:pPr>
        <w:spacing w:after="160"/>
        <w:rPr>
          <w:rFonts w:eastAsia="Arial" w:cs="Arial"/>
          <w:sz w:val="22"/>
          <w:szCs w:val="22"/>
        </w:rPr>
      </w:pPr>
    </w:p>
    <w:p w14:paraId="0884299F" w14:textId="77777777" w:rsidR="00112E33" w:rsidRPr="005B0B73" w:rsidRDefault="00112E33" w:rsidP="1FFC5AE9">
      <w:pPr>
        <w:spacing w:after="160"/>
        <w:rPr>
          <w:rFonts w:eastAsia="Arial" w:cs="Arial"/>
          <w:sz w:val="22"/>
          <w:szCs w:val="22"/>
        </w:rPr>
      </w:pPr>
    </w:p>
    <w:p w14:paraId="3BF57744" w14:textId="77777777" w:rsidR="00112E33" w:rsidRPr="005B0B73" w:rsidRDefault="00112E33" w:rsidP="1FFC5AE9">
      <w:pPr>
        <w:spacing w:after="160"/>
        <w:rPr>
          <w:rFonts w:eastAsia="Arial" w:cs="Arial"/>
          <w:sz w:val="22"/>
          <w:szCs w:val="22"/>
        </w:rPr>
      </w:pPr>
    </w:p>
    <w:p w14:paraId="70B1D846" w14:textId="77777777" w:rsidR="00112E33" w:rsidRPr="005B0B73" w:rsidRDefault="00112E33" w:rsidP="1FFC5AE9">
      <w:pPr>
        <w:spacing w:after="160"/>
        <w:rPr>
          <w:rFonts w:eastAsia="Arial" w:cs="Arial"/>
          <w:sz w:val="22"/>
          <w:szCs w:val="22"/>
        </w:rPr>
      </w:pPr>
    </w:p>
    <w:p w14:paraId="5C64FB7B" w14:textId="77777777" w:rsidR="00112E33" w:rsidRPr="005B0B73" w:rsidRDefault="00112E33" w:rsidP="1FFC5AE9">
      <w:pPr>
        <w:spacing w:after="160"/>
        <w:rPr>
          <w:rFonts w:eastAsia="Arial" w:cs="Arial"/>
          <w:sz w:val="22"/>
          <w:szCs w:val="22"/>
        </w:rPr>
      </w:pPr>
    </w:p>
    <w:p w14:paraId="7997CC66" w14:textId="77777777" w:rsidR="00112E33" w:rsidRPr="005B0B73" w:rsidRDefault="00112E33" w:rsidP="1FFC5AE9">
      <w:pPr>
        <w:spacing w:after="160"/>
        <w:rPr>
          <w:rFonts w:eastAsia="Arial" w:cs="Arial"/>
          <w:sz w:val="22"/>
          <w:szCs w:val="22"/>
        </w:rPr>
      </w:pPr>
    </w:p>
    <w:p w14:paraId="629D0223" w14:textId="77777777" w:rsidR="00112E33" w:rsidRPr="005B0B73" w:rsidRDefault="00112E33" w:rsidP="1FFC5AE9">
      <w:pPr>
        <w:spacing w:after="160"/>
        <w:rPr>
          <w:rFonts w:eastAsia="Arial" w:cs="Arial"/>
          <w:sz w:val="22"/>
          <w:szCs w:val="22"/>
        </w:rPr>
      </w:pPr>
    </w:p>
    <w:p w14:paraId="7B71C4CA" w14:textId="77777777" w:rsidR="00112E33" w:rsidRPr="005B0B73" w:rsidRDefault="00112E33" w:rsidP="1FFC5AE9">
      <w:pPr>
        <w:spacing w:after="160"/>
        <w:rPr>
          <w:rFonts w:eastAsia="Arial" w:cs="Arial"/>
          <w:sz w:val="22"/>
          <w:szCs w:val="22"/>
        </w:rPr>
      </w:pPr>
    </w:p>
    <w:p w14:paraId="0CB89A50" w14:textId="77777777" w:rsidR="00112E33" w:rsidRPr="005B0B73" w:rsidRDefault="00112E33" w:rsidP="1FFC5AE9">
      <w:pPr>
        <w:spacing w:after="160"/>
        <w:rPr>
          <w:rFonts w:eastAsia="Arial" w:cs="Arial"/>
          <w:sz w:val="22"/>
          <w:szCs w:val="22"/>
        </w:rPr>
      </w:pPr>
    </w:p>
    <w:p w14:paraId="4B8E6647" w14:textId="77777777" w:rsidR="00112E33" w:rsidRPr="005B0B73" w:rsidRDefault="00112E33" w:rsidP="1FFC5AE9">
      <w:pPr>
        <w:spacing w:after="160"/>
        <w:rPr>
          <w:rFonts w:eastAsia="Arial" w:cs="Arial"/>
          <w:sz w:val="22"/>
          <w:szCs w:val="22"/>
        </w:rPr>
      </w:pPr>
    </w:p>
    <w:p w14:paraId="7C0186E9" w14:textId="77777777" w:rsidR="00112E33" w:rsidRPr="005B0B73" w:rsidRDefault="00112E33" w:rsidP="1FFC5AE9">
      <w:pPr>
        <w:spacing w:after="160"/>
        <w:rPr>
          <w:rFonts w:eastAsia="Arial" w:cs="Arial"/>
          <w:sz w:val="22"/>
          <w:szCs w:val="22"/>
        </w:rPr>
      </w:pPr>
    </w:p>
    <w:p w14:paraId="0E213DCA" w14:textId="77777777" w:rsidR="00112E33" w:rsidRPr="005B0B73" w:rsidRDefault="00112E33" w:rsidP="1FFC5AE9">
      <w:pPr>
        <w:spacing w:after="160"/>
        <w:rPr>
          <w:rFonts w:eastAsia="Arial" w:cs="Arial"/>
          <w:sz w:val="22"/>
          <w:szCs w:val="22"/>
        </w:rPr>
      </w:pPr>
    </w:p>
    <w:p w14:paraId="7F45EBE4" w14:textId="77777777" w:rsidR="00112E33" w:rsidRPr="005B0B73" w:rsidRDefault="00112E33" w:rsidP="1FFC5AE9">
      <w:pPr>
        <w:spacing w:after="160"/>
        <w:rPr>
          <w:rFonts w:eastAsia="Arial" w:cs="Arial"/>
          <w:sz w:val="22"/>
          <w:szCs w:val="22"/>
        </w:rPr>
      </w:pPr>
    </w:p>
    <w:p w14:paraId="5F38EC95" w14:textId="77777777" w:rsidR="00112E33" w:rsidRPr="005B0B73" w:rsidRDefault="00112E33" w:rsidP="1FFC5AE9">
      <w:pPr>
        <w:spacing w:after="160"/>
        <w:rPr>
          <w:rFonts w:eastAsia="Arial" w:cs="Arial"/>
          <w:sz w:val="22"/>
          <w:szCs w:val="22"/>
        </w:rPr>
      </w:pPr>
    </w:p>
    <w:p w14:paraId="0FDC2684" w14:textId="77777777" w:rsidR="00112E33" w:rsidRPr="005B0B73" w:rsidRDefault="00112E33" w:rsidP="1FFC5AE9">
      <w:pPr>
        <w:spacing w:after="160"/>
        <w:rPr>
          <w:rFonts w:eastAsia="Arial" w:cs="Arial"/>
          <w:sz w:val="22"/>
          <w:szCs w:val="22"/>
        </w:rPr>
      </w:pPr>
    </w:p>
    <w:p w14:paraId="1E5D0624" w14:textId="77777777" w:rsidR="00112E33" w:rsidRPr="005B0B73" w:rsidRDefault="00112E33" w:rsidP="1FFC5AE9">
      <w:pPr>
        <w:spacing w:after="160"/>
        <w:rPr>
          <w:rFonts w:eastAsia="Arial" w:cs="Arial"/>
          <w:sz w:val="22"/>
          <w:szCs w:val="22"/>
        </w:rPr>
      </w:pPr>
    </w:p>
    <w:p w14:paraId="59AFB796" w14:textId="6367C0D1" w:rsidR="00112E33" w:rsidRPr="005B0B73" w:rsidRDefault="00112E33" w:rsidP="1FFC5AE9">
      <w:pPr>
        <w:spacing w:after="160"/>
        <w:rPr>
          <w:rFonts w:eastAsia="Arial" w:cs="Arial"/>
          <w:sz w:val="22"/>
          <w:szCs w:val="22"/>
        </w:rPr>
      </w:pPr>
      <w:r w:rsidRPr="005B0B73">
        <w:rPr>
          <w:rFonts w:cs="Arial"/>
          <w:noProof/>
        </w:rPr>
        <w:drawing>
          <wp:inline distT="0" distB="0" distL="0" distR="0" wp14:anchorId="6721D763" wp14:editId="18768849">
            <wp:extent cx="792480" cy="323215"/>
            <wp:effectExtent l="0" t="0" r="7620" b="635"/>
            <wp:docPr id="12" name="Picture 12" descr="Logo - Open Government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792480" cy="323215"/>
                    </a:xfrm>
                    <a:prstGeom prst="rect">
                      <a:avLst/>
                    </a:prstGeom>
                  </pic:spPr>
                </pic:pic>
              </a:graphicData>
            </a:graphic>
          </wp:inline>
        </w:drawing>
      </w:r>
    </w:p>
    <w:p w14:paraId="4BBA0357" w14:textId="67C9CBF8" w:rsidR="007D1D64" w:rsidRPr="005B0B73" w:rsidRDefault="007D1D64" w:rsidP="1FFC5AE9">
      <w:pPr>
        <w:spacing w:after="160"/>
        <w:rPr>
          <w:rFonts w:eastAsia="Arial" w:cs="Arial"/>
          <w:sz w:val="22"/>
          <w:szCs w:val="22"/>
        </w:rPr>
      </w:pPr>
      <w:r w:rsidRPr="005B0B73">
        <w:rPr>
          <w:rFonts w:eastAsia="Arial" w:cs="Arial"/>
          <w:sz w:val="22"/>
          <w:szCs w:val="22"/>
        </w:rPr>
        <w:t>© Crown copyright 20</w:t>
      </w:r>
      <w:r w:rsidR="000320B6" w:rsidRPr="005B0B73">
        <w:rPr>
          <w:rFonts w:eastAsia="Arial" w:cs="Arial"/>
          <w:sz w:val="22"/>
          <w:szCs w:val="22"/>
        </w:rPr>
        <w:t>23</w:t>
      </w:r>
    </w:p>
    <w:p w14:paraId="3A1EFEA4" w14:textId="779BDFEB" w:rsidR="007D1D64" w:rsidRPr="005B0B73" w:rsidRDefault="007D1D64" w:rsidP="1FFC5AE9">
      <w:pPr>
        <w:spacing w:after="160"/>
        <w:rPr>
          <w:rFonts w:eastAsia="Arial" w:cs="Arial"/>
          <w:sz w:val="22"/>
          <w:szCs w:val="22"/>
        </w:rPr>
      </w:pPr>
      <w:r w:rsidRPr="005B0B73">
        <w:rPr>
          <w:rFonts w:eastAsia="Arial" w:cs="Arial"/>
          <w:sz w:val="22"/>
          <w:szCs w:val="22"/>
        </w:rPr>
        <w:t xml:space="preserve">This publication is licensed under the terms of the Open Government Licence v3.0 except where otherwise stated. To view this licence, visit </w:t>
      </w:r>
      <w:hyperlink r:id="rId13">
        <w:r w:rsidRPr="005B0B73">
          <w:rPr>
            <w:rStyle w:val="Hyperlink"/>
            <w:rFonts w:eastAsia="Arial" w:cs="Arial"/>
            <w:sz w:val="22"/>
            <w:szCs w:val="22"/>
          </w:rPr>
          <w:t>nationalarchives.gov.uk/doc/open-government-licence/version/3</w:t>
        </w:r>
      </w:hyperlink>
      <w:r w:rsidRPr="005B0B73">
        <w:rPr>
          <w:rFonts w:eastAsia="Arial" w:cs="Arial"/>
          <w:sz w:val="22"/>
          <w:szCs w:val="22"/>
        </w:rPr>
        <w:t xml:space="preserve"> or write to the Information Policy Team, The National Archives, Kew, London TW9 4DU, or email: </w:t>
      </w:r>
      <w:hyperlink r:id="rId14">
        <w:r w:rsidR="009E1EAF" w:rsidRPr="005B0B73">
          <w:rPr>
            <w:rStyle w:val="Hyperlink"/>
            <w:rFonts w:eastAsia="Arial" w:cs="Arial"/>
            <w:sz w:val="22"/>
            <w:szCs w:val="22"/>
          </w:rPr>
          <w:t>psi@nationalarchives.gsi.gov.uk</w:t>
        </w:r>
      </w:hyperlink>
      <w:r w:rsidRPr="005B0B73">
        <w:rPr>
          <w:rFonts w:eastAsia="Arial" w:cs="Arial"/>
          <w:sz w:val="22"/>
          <w:szCs w:val="22"/>
        </w:rPr>
        <w:t>.</w:t>
      </w:r>
      <w:r w:rsidR="009E1EAF" w:rsidRPr="005B0B73">
        <w:rPr>
          <w:rFonts w:eastAsia="Arial" w:cs="Arial"/>
          <w:sz w:val="22"/>
          <w:szCs w:val="22"/>
        </w:rPr>
        <w:t xml:space="preserve"> </w:t>
      </w:r>
    </w:p>
    <w:p w14:paraId="521BB1D8" w14:textId="77777777" w:rsidR="007D1D64" w:rsidRPr="005B0B73" w:rsidRDefault="007D1D64" w:rsidP="1FFC5AE9">
      <w:pPr>
        <w:spacing w:after="160"/>
        <w:rPr>
          <w:rFonts w:eastAsia="Arial" w:cs="Arial"/>
          <w:sz w:val="22"/>
          <w:szCs w:val="22"/>
        </w:rPr>
      </w:pPr>
      <w:r w:rsidRPr="005B0B73">
        <w:rPr>
          <w:rFonts w:eastAsia="Arial" w:cs="Arial"/>
          <w:sz w:val="22"/>
          <w:szCs w:val="22"/>
        </w:rPr>
        <w:t>Where we have identified any third-party copyright information you will need to obtain permission from the copyright holders concerned.</w:t>
      </w:r>
    </w:p>
    <w:p w14:paraId="0B828443" w14:textId="77777777" w:rsidR="007D1D64" w:rsidRPr="005B0B73" w:rsidRDefault="007D1D64" w:rsidP="1FFC5AE9">
      <w:pPr>
        <w:spacing w:after="160"/>
        <w:rPr>
          <w:rFonts w:eastAsia="Arial" w:cs="Arial"/>
          <w:sz w:val="22"/>
          <w:szCs w:val="22"/>
        </w:rPr>
      </w:pPr>
      <w:r w:rsidRPr="005B0B73">
        <w:rPr>
          <w:rFonts w:eastAsia="Arial" w:cs="Arial"/>
          <w:sz w:val="22"/>
          <w:szCs w:val="22"/>
        </w:rPr>
        <w:t xml:space="preserve">Any enquiries regarding this publication should be sent to us at: </w:t>
      </w:r>
    </w:p>
    <w:p w14:paraId="32718D3E" w14:textId="1FF9FCF6" w:rsidR="004D2FC0" w:rsidRPr="005B0B73" w:rsidRDefault="00A62D44" w:rsidP="1FFC5AE9">
      <w:pPr>
        <w:spacing w:after="160"/>
        <w:rPr>
          <w:rFonts w:eastAsia="Arial" w:cs="Arial"/>
          <w:sz w:val="22"/>
          <w:szCs w:val="22"/>
        </w:rPr>
      </w:pPr>
      <w:hyperlink r:id="rId15">
        <w:r w:rsidRPr="005B0B73">
          <w:rPr>
            <w:rStyle w:val="Hyperlink"/>
            <w:rFonts w:eastAsia="Arial" w:cs="Arial"/>
            <w:sz w:val="22"/>
            <w:szCs w:val="22"/>
          </w:rPr>
          <w:t>ODA-Transparency@beis.gov.uk</w:t>
        </w:r>
      </w:hyperlink>
      <w:r w:rsidRPr="005B0B73">
        <w:rPr>
          <w:rFonts w:eastAsia="Arial" w:cs="Arial"/>
          <w:sz w:val="22"/>
          <w:szCs w:val="22"/>
        </w:rPr>
        <w:t xml:space="preserve"> </w:t>
      </w:r>
      <w:r w:rsidRPr="005B0B73">
        <w:rPr>
          <w:rFonts w:eastAsia="Arial" w:cs="Arial"/>
          <w:sz w:val="22"/>
          <w:szCs w:val="22"/>
        </w:rPr>
        <w:br w:type="page"/>
      </w:r>
    </w:p>
    <w:tbl>
      <w:tblPr>
        <w:tblStyle w:val="TableGrid"/>
        <w:tblW w:w="0" w:type="auto"/>
        <w:tblLook w:val="04A0" w:firstRow="1" w:lastRow="0" w:firstColumn="1" w:lastColumn="0" w:noHBand="0" w:noVBand="1"/>
      </w:tblPr>
      <w:tblGrid>
        <w:gridCol w:w="9016"/>
      </w:tblGrid>
      <w:tr w:rsidR="00AD77C8" w:rsidRPr="005B0B73" w14:paraId="65DE13A0" w14:textId="77777777" w:rsidTr="1FFC5AE9">
        <w:tc>
          <w:tcPr>
            <w:tcW w:w="9016" w:type="dxa"/>
            <w:shd w:val="clear" w:color="auto" w:fill="DEEAF6" w:themeFill="accent5" w:themeFillTint="33"/>
          </w:tcPr>
          <w:p w14:paraId="7DC76797" w14:textId="70A934AD" w:rsidR="00495286" w:rsidRPr="005B0B73" w:rsidRDefault="00495286" w:rsidP="1FFC5AE9">
            <w:pPr>
              <w:rPr>
                <w:rFonts w:eastAsia="Arial" w:cs="Arial"/>
              </w:rPr>
            </w:pPr>
            <w:bookmarkStart w:id="0" w:name="_Toc142922619"/>
            <w:r w:rsidRPr="005B0B73">
              <w:rPr>
                <w:rStyle w:val="Heading1Char"/>
                <w:rFonts w:ascii="Arial" w:eastAsia="Arial" w:hAnsi="Arial" w:cs="Arial"/>
                <w:b/>
                <w:bCs/>
                <w:color w:val="auto"/>
              </w:rPr>
              <w:lastRenderedPageBreak/>
              <w:t>Section A: Summary and overview</w:t>
            </w:r>
            <w:bookmarkEnd w:id="0"/>
            <w:r w:rsidRPr="005B0B73">
              <w:rPr>
                <w:rFonts w:eastAsia="Arial" w:cs="Arial"/>
              </w:rPr>
              <w:t xml:space="preserve"> </w:t>
            </w:r>
          </w:p>
        </w:tc>
      </w:tr>
    </w:tbl>
    <w:p w14:paraId="006A5D19" w14:textId="77777777" w:rsidR="00495286" w:rsidRPr="005B0B73" w:rsidRDefault="00495286" w:rsidP="1FFC5AE9">
      <w:pPr>
        <w:rPr>
          <w:rFonts w:eastAsia="Arial" w:cs="Arial"/>
        </w:rPr>
      </w:pPr>
    </w:p>
    <w:tbl>
      <w:tblPr>
        <w:tblStyle w:val="TableGrid"/>
        <w:tblW w:w="0" w:type="auto"/>
        <w:tblLook w:val="04A0" w:firstRow="1" w:lastRow="0" w:firstColumn="1" w:lastColumn="0" w:noHBand="0" w:noVBand="1"/>
      </w:tblPr>
      <w:tblGrid>
        <w:gridCol w:w="3397"/>
        <w:gridCol w:w="2127"/>
        <w:gridCol w:w="3492"/>
      </w:tblGrid>
      <w:tr w:rsidR="00AD77C8" w:rsidRPr="005B0B73" w14:paraId="2869ADA5" w14:textId="77777777" w:rsidTr="1FFC5AE9">
        <w:trPr>
          <w:trHeight w:val="407"/>
        </w:trPr>
        <w:tc>
          <w:tcPr>
            <w:tcW w:w="9016" w:type="dxa"/>
            <w:gridSpan w:val="3"/>
            <w:tcBorders>
              <w:top w:val="single" w:sz="4" w:space="0" w:color="auto"/>
              <w:left w:val="single" w:sz="4" w:space="0" w:color="auto"/>
              <w:bottom w:val="dotted" w:sz="2" w:space="0" w:color="000000" w:themeColor="text1"/>
              <w:right w:val="single" w:sz="4" w:space="0" w:color="auto"/>
            </w:tcBorders>
          </w:tcPr>
          <w:p w14:paraId="346F2EF8" w14:textId="7AA60286" w:rsidR="004D2FC0" w:rsidRPr="005B0B73" w:rsidRDefault="16AFE97F" w:rsidP="1FFC5AE9">
            <w:pPr>
              <w:rPr>
                <w:rFonts w:eastAsia="Arial" w:cs="Arial"/>
                <w:b/>
                <w:bCs/>
                <w:sz w:val="22"/>
                <w:szCs w:val="22"/>
              </w:rPr>
            </w:pPr>
            <w:r w:rsidRPr="005B0B73">
              <w:rPr>
                <w:rFonts w:eastAsia="Arial" w:cs="Arial"/>
                <w:b/>
                <w:bCs/>
                <w:sz w:val="22"/>
                <w:szCs w:val="22"/>
              </w:rPr>
              <w:t xml:space="preserve">Title:  </w:t>
            </w:r>
            <w:r w:rsidR="32A03EDB" w:rsidRPr="005B0B73">
              <w:rPr>
                <w:rFonts w:eastAsia="Arial" w:cs="Arial"/>
                <w:sz w:val="22"/>
                <w:szCs w:val="22"/>
              </w:rPr>
              <w:t>Transformative Carbon Asset Facility (TCAF)</w:t>
            </w:r>
          </w:p>
        </w:tc>
      </w:tr>
      <w:tr w:rsidR="009840D7" w:rsidRPr="005B0B73" w14:paraId="109A3418" w14:textId="77777777" w:rsidTr="1FFC5AE9">
        <w:trPr>
          <w:trHeight w:val="413"/>
        </w:trPr>
        <w:tc>
          <w:tcPr>
            <w:tcW w:w="5524" w:type="dxa"/>
            <w:gridSpan w:val="2"/>
            <w:tcBorders>
              <w:top w:val="dotted" w:sz="2" w:space="0" w:color="000000" w:themeColor="text1"/>
              <w:left w:val="single" w:sz="4" w:space="0" w:color="000000" w:themeColor="text1"/>
              <w:bottom w:val="dotted" w:sz="2" w:space="0" w:color="000000" w:themeColor="text1"/>
              <w:right w:val="dotted" w:sz="2" w:space="0" w:color="000000" w:themeColor="text1"/>
            </w:tcBorders>
            <w:hideMark/>
          </w:tcPr>
          <w:p w14:paraId="79376CB4" w14:textId="3B0E3111" w:rsidR="004D2FC0" w:rsidRPr="005B0B73" w:rsidRDefault="16AFE97F" w:rsidP="1FFC5AE9">
            <w:pPr>
              <w:rPr>
                <w:rFonts w:eastAsia="Arial" w:cs="Arial"/>
                <w:sz w:val="22"/>
                <w:szCs w:val="22"/>
              </w:rPr>
            </w:pPr>
            <w:r w:rsidRPr="005B0B73">
              <w:rPr>
                <w:rFonts w:eastAsia="Arial" w:cs="Arial"/>
                <w:b/>
                <w:bCs/>
                <w:sz w:val="22"/>
                <w:szCs w:val="22"/>
              </w:rPr>
              <w:t xml:space="preserve">Programme Value £ (full life): </w:t>
            </w:r>
            <w:r w:rsidR="393373D9" w:rsidRPr="005B0B73">
              <w:rPr>
                <w:rFonts w:eastAsia="Arial" w:cs="Arial"/>
                <w:color w:val="000000" w:themeColor="text1"/>
                <w:sz w:val="22"/>
                <w:szCs w:val="22"/>
              </w:rPr>
              <w:t>£60m CDEL</w:t>
            </w:r>
          </w:p>
        </w:tc>
        <w:tc>
          <w:tcPr>
            <w:tcW w:w="3492" w:type="dxa"/>
            <w:tcBorders>
              <w:top w:val="dotted" w:sz="2" w:space="0" w:color="000000" w:themeColor="text1"/>
              <w:left w:val="dotted" w:sz="2" w:space="0" w:color="000000" w:themeColor="text1"/>
              <w:bottom w:val="dotted" w:sz="2" w:space="0" w:color="000000" w:themeColor="text1"/>
              <w:right w:val="single" w:sz="4" w:space="0" w:color="000000" w:themeColor="text1"/>
            </w:tcBorders>
            <w:hideMark/>
          </w:tcPr>
          <w:p w14:paraId="5E522675" w14:textId="08B36B94" w:rsidR="004D2FC0" w:rsidRPr="005B0B73" w:rsidRDefault="16AFE97F" w:rsidP="1FFC5AE9">
            <w:pPr>
              <w:rPr>
                <w:rFonts w:eastAsia="Arial" w:cs="Arial"/>
                <w:color w:val="000000" w:themeColor="text1"/>
                <w:sz w:val="22"/>
                <w:szCs w:val="22"/>
                <w:highlight w:val="yellow"/>
              </w:rPr>
            </w:pPr>
            <w:r w:rsidRPr="005B0B73">
              <w:rPr>
                <w:rFonts w:eastAsia="Arial" w:cs="Arial"/>
                <w:b/>
                <w:bCs/>
                <w:sz w:val="22"/>
                <w:szCs w:val="22"/>
              </w:rPr>
              <w:t xml:space="preserve">Review date: </w:t>
            </w:r>
            <w:r w:rsidR="4AA5CEE4" w:rsidRPr="005B0B73">
              <w:rPr>
                <w:rFonts w:eastAsia="Arial" w:cs="Arial"/>
                <w:color w:val="000000" w:themeColor="text1"/>
                <w:sz w:val="22"/>
                <w:szCs w:val="22"/>
              </w:rPr>
              <w:t>July 2025</w:t>
            </w:r>
            <w:r w:rsidR="3E32D5F4" w:rsidRPr="005B0B73">
              <w:rPr>
                <w:rFonts w:eastAsia="Arial" w:cs="Arial"/>
                <w:color w:val="000000" w:themeColor="text1"/>
                <w:sz w:val="22"/>
                <w:szCs w:val="22"/>
              </w:rPr>
              <w:t xml:space="preserve"> (review period 1 April </w:t>
            </w:r>
            <w:r w:rsidR="001C56BA" w:rsidRPr="005B0B73">
              <w:rPr>
                <w:rFonts w:eastAsia="Arial" w:cs="Arial"/>
                <w:color w:val="000000" w:themeColor="text1"/>
                <w:sz w:val="22"/>
                <w:szCs w:val="22"/>
              </w:rPr>
              <w:t>2</w:t>
            </w:r>
            <w:r w:rsidR="00E5596C" w:rsidRPr="005B0B73">
              <w:rPr>
                <w:rFonts w:eastAsia="Arial" w:cs="Arial"/>
                <w:color w:val="000000" w:themeColor="text1"/>
                <w:sz w:val="22"/>
                <w:szCs w:val="22"/>
              </w:rPr>
              <w:t>5</w:t>
            </w:r>
            <w:r w:rsidR="001C56BA" w:rsidRPr="005B0B73">
              <w:rPr>
                <w:rFonts w:eastAsia="Arial" w:cs="Arial"/>
                <w:color w:val="000000" w:themeColor="text1"/>
                <w:sz w:val="22"/>
                <w:szCs w:val="22"/>
              </w:rPr>
              <w:t xml:space="preserve"> </w:t>
            </w:r>
            <w:r w:rsidR="3E32D5F4" w:rsidRPr="005B0B73">
              <w:rPr>
                <w:rFonts w:eastAsia="Arial" w:cs="Arial"/>
                <w:color w:val="000000" w:themeColor="text1"/>
                <w:sz w:val="22"/>
                <w:szCs w:val="22"/>
              </w:rPr>
              <w:t xml:space="preserve">– 31 March </w:t>
            </w:r>
            <w:r w:rsidR="001C56BA" w:rsidRPr="005B0B73">
              <w:rPr>
                <w:rFonts w:eastAsia="Arial" w:cs="Arial"/>
                <w:color w:val="000000" w:themeColor="text1"/>
                <w:sz w:val="22"/>
                <w:szCs w:val="22"/>
              </w:rPr>
              <w:t>2</w:t>
            </w:r>
            <w:r w:rsidR="00E5596C" w:rsidRPr="005B0B73">
              <w:rPr>
                <w:rFonts w:eastAsia="Arial" w:cs="Arial"/>
                <w:color w:val="000000" w:themeColor="text1"/>
                <w:sz w:val="22"/>
                <w:szCs w:val="22"/>
              </w:rPr>
              <w:t>6</w:t>
            </w:r>
            <w:r w:rsidR="00857B9F" w:rsidRPr="005B0B73">
              <w:rPr>
                <w:rFonts w:eastAsia="Arial" w:cs="Arial"/>
                <w:color w:val="000000" w:themeColor="text1"/>
                <w:sz w:val="22"/>
                <w:szCs w:val="22"/>
              </w:rPr>
              <w:t>)</w:t>
            </w:r>
          </w:p>
        </w:tc>
      </w:tr>
      <w:tr w:rsidR="00B158D6" w:rsidRPr="005B0B73" w14:paraId="4F6467CB" w14:textId="77777777" w:rsidTr="1FFC5AE9">
        <w:trPr>
          <w:trHeight w:val="300"/>
        </w:trPr>
        <w:tc>
          <w:tcPr>
            <w:tcW w:w="3397" w:type="dxa"/>
            <w:tcBorders>
              <w:top w:val="dotted" w:sz="2" w:space="0" w:color="000000" w:themeColor="text1"/>
              <w:left w:val="single" w:sz="4" w:space="0" w:color="auto"/>
              <w:bottom w:val="single" w:sz="4" w:space="0" w:color="auto"/>
              <w:right w:val="dotted" w:sz="2" w:space="0" w:color="000000" w:themeColor="text1"/>
            </w:tcBorders>
          </w:tcPr>
          <w:p w14:paraId="07FE2881" w14:textId="3C367820" w:rsidR="004D2FC0" w:rsidRPr="005B0B73" w:rsidRDefault="16AFE97F" w:rsidP="1FFC5AE9">
            <w:pPr>
              <w:rPr>
                <w:rFonts w:eastAsia="Arial" w:cs="Arial"/>
                <w:sz w:val="22"/>
                <w:szCs w:val="22"/>
                <w:lang w:val="fr-FR"/>
              </w:rPr>
            </w:pPr>
            <w:r w:rsidRPr="005B0B73">
              <w:rPr>
                <w:rFonts w:eastAsia="Arial" w:cs="Arial"/>
                <w:b/>
                <w:bCs/>
                <w:sz w:val="22"/>
                <w:szCs w:val="22"/>
                <w:lang w:val="fr-FR"/>
              </w:rPr>
              <w:t xml:space="preserve">Programme </w:t>
            </w:r>
            <w:proofErr w:type="gramStart"/>
            <w:r w:rsidRPr="005B0B73">
              <w:rPr>
                <w:rFonts w:eastAsia="Arial" w:cs="Arial"/>
                <w:b/>
                <w:bCs/>
                <w:sz w:val="22"/>
                <w:szCs w:val="22"/>
                <w:lang w:val="fr-FR"/>
              </w:rPr>
              <w:t>Code:</w:t>
            </w:r>
            <w:proofErr w:type="gramEnd"/>
            <w:r w:rsidRPr="005B0B73">
              <w:rPr>
                <w:rFonts w:eastAsia="Arial" w:cs="Arial"/>
                <w:b/>
                <w:bCs/>
                <w:sz w:val="22"/>
                <w:szCs w:val="22"/>
                <w:lang w:val="fr-FR"/>
              </w:rPr>
              <w:t xml:space="preserve"> </w:t>
            </w:r>
            <w:r w:rsidR="67A42255" w:rsidRPr="005B0B73">
              <w:rPr>
                <w:rStyle w:val="normaltextrun"/>
                <w:rFonts w:eastAsia="Arial" w:cs="Arial"/>
                <w:color w:val="000000" w:themeColor="text1"/>
                <w:sz w:val="22"/>
                <w:szCs w:val="22"/>
                <w:lang w:val="fr-FR"/>
              </w:rPr>
              <w:t>GB-GOV-13-ICF-0027-TCAF </w:t>
            </w:r>
          </w:p>
        </w:tc>
        <w:tc>
          <w:tcPr>
            <w:tcW w:w="2127" w:type="dxa"/>
            <w:tcBorders>
              <w:top w:val="dotted" w:sz="2" w:space="0" w:color="000000" w:themeColor="text1"/>
              <w:left w:val="dotted" w:sz="2" w:space="0" w:color="000000" w:themeColor="text1"/>
              <w:bottom w:val="single" w:sz="4" w:space="0" w:color="000000" w:themeColor="text1"/>
              <w:right w:val="dotted" w:sz="2" w:space="0" w:color="000000" w:themeColor="text1"/>
            </w:tcBorders>
            <w:hideMark/>
          </w:tcPr>
          <w:p w14:paraId="3C649775" w14:textId="5CCA7F95" w:rsidR="004D2FC0" w:rsidRPr="005B0B73" w:rsidRDefault="16AFE97F" w:rsidP="1FFC5AE9">
            <w:pPr>
              <w:rPr>
                <w:rFonts w:eastAsia="Arial" w:cs="Arial"/>
                <w:b/>
                <w:bCs/>
                <w:sz w:val="22"/>
                <w:szCs w:val="22"/>
              </w:rPr>
            </w:pPr>
            <w:r w:rsidRPr="005B0B73">
              <w:rPr>
                <w:rFonts w:eastAsia="Arial" w:cs="Arial"/>
                <w:b/>
                <w:bCs/>
                <w:sz w:val="22"/>
                <w:szCs w:val="22"/>
              </w:rPr>
              <w:t>Programme start date:</w:t>
            </w:r>
            <w:r w:rsidRPr="005B0B73">
              <w:rPr>
                <w:rFonts w:eastAsia="Arial" w:cs="Arial"/>
                <w:sz w:val="22"/>
                <w:szCs w:val="22"/>
              </w:rPr>
              <w:t xml:space="preserve"> </w:t>
            </w:r>
            <w:r w:rsidR="3F1B502F" w:rsidRPr="005B0B73">
              <w:rPr>
                <w:rFonts w:eastAsia="Arial" w:cs="Arial"/>
                <w:sz w:val="22"/>
                <w:szCs w:val="22"/>
              </w:rPr>
              <w:t>March 2017</w:t>
            </w:r>
          </w:p>
        </w:tc>
        <w:tc>
          <w:tcPr>
            <w:tcW w:w="3492" w:type="dxa"/>
            <w:tcBorders>
              <w:top w:val="dotted" w:sz="2" w:space="0" w:color="000000" w:themeColor="text1"/>
              <w:left w:val="dotted" w:sz="2" w:space="0" w:color="000000" w:themeColor="text1"/>
              <w:bottom w:val="single" w:sz="4" w:space="0" w:color="auto"/>
              <w:right w:val="single" w:sz="4" w:space="0" w:color="auto"/>
            </w:tcBorders>
            <w:hideMark/>
          </w:tcPr>
          <w:p w14:paraId="7A133EFD" w14:textId="28A9AE34" w:rsidR="00B63C88" w:rsidRPr="005B0B73" w:rsidRDefault="16AFE97F" w:rsidP="1FFC5AE9">
            <w:pPr>
              <w:rPr>
                <w:rFonts w:eastAsia="Arial" w:cs="Arial"/>
                <w:color w:val="000000" w:themeColor="text1"/>
                <w:sz w:val="22"/>
                <w:szCs w:val="22"/>
              </w:rPr>
            </w:pPr>
            <w:r w:rsidRPr="005B0B73">
              <w:rPr>
                <w:rFonts w:eastAsia="Arial" w:cs="Arial"/>
                <w:b/>
                <w:bCs/>
                <w:sz w:val="22"/>
                <w:szCs w:val="22"/>
              </w:rPr>
              <w:t>Programme end date:</w:t>
            </w:r>
            <w:r w:rsidR="00B63C88" w:rsidRPr="005B0B73">
              <w:rPr>
                <w:rFonts w:eastAsia="Arial" w:cs="Arial"/>
                <w:b/>
                <w:bCs/>
                <w:sz w:val="22"/>
                <w:szCs w:val="22"/>
              </w:rPr>
              <w:t xml:space="preserve"> </w:t>
            </w:r>
            <w:r w:rsidR="00B63C88" w:rsidRPr="005B0B73">
              <w:rPr>
                <w:rFonts w:eastAsia="Arial" w:cs="Arial"/>
                <w:sz w:val="22"/>
                <w:szCs w:val="22"/>
              </w:rPr>
              <w:t>Extended from 2028 to December 2031.</w:t>
            </w:r>
          </w:p>
        </w:tc>
      </w:tr>
    </w:tbl>
    <w:p w14:paraId="44D21F6A" w14:textId="77777777" w:rsidR="004D2FC0" w:rsidRPr="005B0B73" w:rsidRDefault="004D2FC0" w:rsidP="1FFC5AE9">
      <w:pPr>
        <w:rPr>
          <w:rFonts w:eastAsia="Arial" w:cs="Arial"/>
          <w:b/>
          <w:bCs/>
          <w:sz w:val="22"/>
          <w:szCs w:val="22"/>
        </w:rPr>
      </w:pPr>
    </w:p>
    <w:tbl>
      <w:tblPr>
        <w:tblStyle w:val="TableGrid"/>
        <w:tblW w:w="9109" w:type="dxa"/>
        <w:tblLook w:val="04A0" w:firstRow="1" w:lastRow="0" w:firstColumn="1" w:lastColumn="0" w:noHBand="0" w:noVBand="1"/>
      </w:tblPr>
      <w:tblGrid>
        <w:gridCol w:w="1609"/>
        <w:gridCol w:w="799"/>
        <w:gridCol w:w="750"/>
        <w:gridCol w:w="749"/>
        <w:gridCol w:w="708"/>
        <w:gridCol w:w="708"/>
        <w:gridCol w:w="749"/>
        <w:gridCol w:w="740"/>
        <w:gridCol w:w="749"/>
        <w:gridCol w:w="798"/>
        <w:gridCol w:w="750"/>
      </w:tblGrid>
      <w:tr w:rsidR="000F559C" w:rsidRPr="005B0B73" w14:paraId="397F49F6" w14:textId="348BE66F" w:rsidTr="75A58B48">
        <w:trPr>
          <w:trHeight w:val="338"/>
        </w:trPr>
        <w:tc>
          <w:tcPr>
            <w:tcW w:w="1609" w:type="dxa"/>
            <w:shd w:val="clear" w:color="auto" w:fill="DEEAF6" w:themeFill="accent5" w:themeFillTint="33"/>
            <w:hideMark/>
          </w:tcPr>
          <w:p w14:paraId="4C0C093D" w14:textId="77777777" w:rsidR="00E5596C" w:rsidRPr="005B0B73" w:rsidRDefault="00E5596C" w:rsidP="1FFC5AE9">
            <w:pPr>
              <w:rPr>
                <w:rFonts w:eastAsia="Arial" w:cs="Arial"/>
                <w:b/>
                <w:bCs/>
                <w:sz w:val="22"/>
                <w:szCs w:val="22"/>
              </w:rPr>
            </w:pPr>
            <w:r w:rsidRPr="005B0B73">
              <w:rPr>
                <w:rFonts w:eastAsia="Arial" w:cs="Arial"/>
                <w:b/>
                <w:bCs/>
                <w:sz w:val="22"/>
                <w:szCs w:val="22"/>
              </w:rPr>
              <w:t>Year</w:t>
            </w:r>
          </w:p>
        </w:tc>
        <w:tc>
          <w:tcPr>
            <w:tcW w:w="799" w:type="dxa"/>
          </w:tcPr>
          <w:p w14:paraId="37D53225" w14:textId="78F2CAF5"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Dec 17</w:t>
            </w:r>
          </w:p>
        </w:tc>
        <w:tc>
          <w:tcPr>
            <w:tcW w:w="750" w:type="dxa"/>
          </w:tcPr>
          <w:p w14:paraId="0F6D4B7A" w14:textId="4F366529"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18</w:t>
            </w:r>
          </w:p>
        </w:tc>
        <w:tc>
          <w:tcPr>
            <w:tcW w:w="749" w:type="dxa"/>
          </w:tcPr>
          <w:p w14:paraId="6DB31F95" w14:textId="5DDB1D38"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19</w:t>
            </w:r>
          </w:p>
        </w:tc>
        <w:tc>
          <w:tcPr>
            <w:tcW w:w="708" w:type="dxa"/>
          </w:tcPr>
          <w:p w14:paraId="32E4FCB6" w14:textId="2B7C1B62"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20</w:t>
            </w:r>
          </w:p>
        </w:tc>
        <w:tc>
          <w:tcPr>
            <w:tcW w:w="708" w:type="dxa"/>
          </w:tcPr>
          <w:p w14:paraId="35975377" w14:textId="7A997AF4"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21</w:t>
            </w:r>
          </w:p>
        </w:tc>
        <w:tc>
          <w:tcPr>
            <w:tcW w:w="749" w:type="dxa"/>
          </w:tcPr>
          <w:p w14:paraId="625B931C" w14:textId="0080DA88"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22</w:t>
            </w:r>
          </w:p>
        </w:tc>
        <w:tc>
          <w:tcPr>
            <w:tcW w:w="740" w:type="dxa"/>
          </w:tcPr>
          <w:p w14:paraId="500DA2A9" w14:textId="008115A0"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Jul 23</w:t>
            </w:r>
          </w:p>
        </w:tc>
        <w:tc>
          <w:tcPr>
            <w:tcW w:w="749" w:type="dxa"/>
          </w:tcPr>
          <w:p w14:paraId="7DE0F0B5" w14:textId="0F275133" w:rsidR="00E5596C" w:rsidRPr="005B0B73" w:rsidRDefault="00E5596C" w:rsidP="1FFC5AE9">
            <w:pPr>
              <w:rPr>
                <w:rFonts w:eastAsia="Arial" w:cs="Arial"/>
                <w:sz w:val="22"/>
                <w:szCs w:val="22"/>
              </w:rPr>
            </w:pPr>
            <w:r w:rsidRPr="005B0B73">
              <w:rPr>
                <w:rFonts w:eastAsia="Arial" w:cs="Arial"/>
                <w:sz w:val="22"/>
                <w:szCs w:val="22"/>
              </w:rPr>
              <w:t>Jul 24</w:t>
            </w:r>
          </w:p>
        </w:tc>
        <w:tc>
          <w:tcPr>
            <w:tcW w:w="798" w:type="dxa"/>
          </w:tcPr>
          <w:p w14:paraId="433467FF" w14:textId="5C2C8D34" w:rsidR="00E5596C" w:rsidRPr="005B0B73" w:rsidRDefault="00E5596C" w:rsidP="1FFC5AE9">
            <w:pPr>
              <w:rPr>
                <w:rFonts w:eastAsia="Arial" w:cs="Arial"/>
                <w:sz w:val="22"/>
                <w:szCs w:val="22"/>
              </w:rPr>
            </w:pPr>
            <w:r w:rsidRPr="005B0B73">
              <w:rPr>
                <w:rFonts w:eastAsia="Arial" w:cs="Arial"/>
                <w:sz w:val="22"/>
                <w:szCs w:val="22"/>
              </w:rPr>
              <w:t>July 25</w:t>
            </w:r>
          </w:p>
        </w:tc>
        <w:tc>
          <w:tcPr>
            <w:tcW w:w="750" w:type="dxa"/>
          </w:tcPr>
          <w:p w14:paraId="0E3B9165" w14:textId="63856156" w:rsidR="00E5596C" w:rsidRPr="005B0B73" w:rsidRDefault="00E5596C" w:rsidP="1FFC5AE9">
            <w:pPr>
              <w:rPr>
                <w:rFonts w:eastAsia="Arial" w:cs="Arial"/>
                <w:b/>
                <w:bCs/>
                <w:sz w:val="22"/>
                <w:szCs w:val="22"/>
              </w:rPr>
            </w:pPr>
            <w:r w:rsidRPr="005B0B73">
              <w:rPr>
                <w:rFonts w:eastAsia="Arial" w:cs="Arial"/>
                <w:b/>
                <w:bCs/>
                <w:sz w:val="22"/>
                <w:szCs w:val="22"/>
              </w:rPr>
              <w:t xml:space="preserve">July </w:t>
            </w:r>
          </w:p>
          <w:p w14:paraId="761401D8" w14:textId="705503BE" w:rsidR="00E5596C" w:rsidRPr="005B0B73" w:rsidRDefault="00E5596C" w:rsidP="1FFC5AE9">
            <w:pPr>
              <w:rPr>
                <w:rFonts w:eastAsia="Arial" w:cs="Arial"/>
                <w:b/>
                <w:bCs/>
                <w:sz w:val="22"/>
                <w:szCs w:val="22"/>
              </w:rPr>
            </w:pPr>
            <w:r w:rsidRPr="005B0B73">
              <w:rPr>
                <w:rFonts w:eastAsia="Arial" w:cs="Arial"/>
                <w:b/>
                <w:bCs/>
                <w:sz w:val="22"/>
                <w:szCs w:val="22"/>
              </w:rPr>
              <w:t>26</w:t>
            </w:r>
          </w:p>
        </w:tc>
      </w:tr>
      <w:tr w:rsidR="000F559C" w:rsidRPr="005B0B73" w14:paraId="461D6177" w14:textId="370C57DC" w:rsidTr="75A58B48">
        <w:trPr>
          <w:trHeight w:val="338"/>
        </w:trPr>
        <w:tc>
          <w:tcPr>
            <w:tcW w:w="1609" w:type="dxa"/>
            <w:shd w:val="clear" w:color="auto" w:fill="DEEAF6" w:themeFill="accent5" w:themeFillTint="33"/>
            <w:hideMark/>
          </w:tcPr>
          <w:p w14:paraId="63454618" w14:textId="77777777" w:rsidR="00E5596C" w:rsidRPr="005B0B73" w:rsidRDefault="00E5596C" w:rsidP="1FFC5AE9">
            <w:pPr>
              <w:rPr>
                <w:rFonts w:eastAsia="Arial" w:cs="Arial"/>
                <w:b/>
                <w:bCs/>
                <w:sz w:val="22"/>
                <w:szCs w:val="22"/>
              </w:rPr>
            </w:pPr>
            <w:r w:rsidRPr="005B0B73">
              <w:rPr>
                <w:rFonts w:eastAsia="Arial" w:cs="Arial"/>
                <w:b/>
                <w:bCs/>
                <w:sz w:val="22"/>
                <w:szCs w:val="22"/>
              </w:rPr>
              <w:t>Overall Output Score</w:t>
            </w:r>
          </w:p>
        </w:tc>
        <w:tc>
          <w:tcPr>
            <w:tcW w:w="799" w:type="dxa"/>
          </w:tcPr>
          <w:p w14:paraId="173FB934" w14:textId="62B8C79F"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n/a</w:t>
            </w:r>
          </w:p>
        </w:tc>
        <w:tc>
          <w:tcPr>
            <w:tcW w:w="750" w:type="dxa"/>
          </w:tcPr>
          <w:p w14:paraId="0CA3A080" w14:textId="12866C5D"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A</w:t>
            </w:r>
          </w:p>
        </w:tc>
        <w:tc>
          <w:tcPr>
            <w:tcW w:w="749" w:type="dxa"/>
          </w:tcPr>
          <w:p w14:paraId="0DDF9B28" w14:textId="33C69E15"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A+</w:t>
            </w:r>
          </w:p>
        </w:tc>
        <w:tc>
          <w:tcPr>
            <w:tcW w:w="708" w:type="dxa"/>
          </w:tcPr>
          <w:p w14:paraId="013E5646" w14:textId="2B389C7C"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B</w:t>
            </w:r>
          </w:p>
        </w:tc>
        <w:tc>
          <w:tcPr>
            <w:tcW w:w="708" w:type="dxa"/>
          </w:tcPr>
          <w:p w14:paraId="31ACCD52" w14:textId="5D21DB42"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B</w:t>
            </w:r>
          </w:p>
        </w:tc>
        <w:tc>
          <w:tcPr>
            <w:tcW w:w="749" w:type="dxa"/>
          </w:tcPr>
          <w:p w14:paraId="7C051780" w14:textId="113577A1"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A</w:t>
            </w:r>
          </w:p>
        </w:tc>
        <w:tc>
          <w:tcPr>
            <w:tcW w:w="740" w:type="dxa"/>
          </w:tcPr>
          <w:p w14:paraId="2F69F4F7" w14:textId="3A3E464C"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A</w:t>
            </w:r>
          </w:p>
        </w:tc>
        <w:tc>
          <w:tcPr>
            <w:tcW w:w="749" w:type="dxa"/>
          </w:tcPr>
          <w:p w14:paraId="791C19F9" w14:textId="7167C3E9" w:rsidR="00E5596C" w:rsidRPr="005B0B73" w:rsidRDefault="00E5596C" w:rsidP="1FFC5AE9">
            <w:pPr>
              <w:rPr>
                <w:rFonts w:eastAsia="Arial" w:cs="Arial"/>
                <w:sz w:val="22"/>
                <w:szCs w:val="22"/>
              </w:rPr>
            </w:pPr>
            <w:r w:rsidRPr="005B0B73">
              <w:rPr>
                <w:rFonts w:eastAsia="Arial" w:cs="Arial"/>
                <w:sz w:val="22"/>
                <w:szCs w:val="22"/>
              </w:rPr>
              <w:t>A</w:t>
            </w:r>
          </w:p>
        </w:tc>
        <w:tc>
          <w:tcPr>
            <w:tcW w:w="798" w:type="dxa"/>
          </w:tcPr>
          <w:p w14:paraId="3883A30C" w14:textId="2A7EA10F" w:rsidR="00E5596C" w:rsidRPr="005B0B73" w:rsidRDefault="00E5596C" w:rsidP="1FFC5AE9">
            <w:pPr>
              <w:rPr>
                <w:rFonts w:eastAsia="Arial" w:cs="Arial"/>
                <w:sz w:val="22"/>
                <w:szCs w:val="22"/>
              </w:rPr>
            </w:pPr>
            <w:r w:rsidRPr="005B0B73">
              <w:rPr>
                <w:rFonts w:eastAsia="Arial" w:cs="Arial"/>
                <w:sz w:val="22"/>
                <w:szCs w:val="22"/>
              </w:rPr>
              <w:t>A</w:t>
            </w:r>
          </w:p>
        </w:tc>
        <w:tc>
          <w:tcPr>
            <w:tcW w:w="750" w:type="dxa"/>
          </w:tcPr>
          <w:p w14:paraId="6F9368DD" w14:textId="7360577D" w:rsidR="00E5596C" w:rsidRPr="00D95535" w:rsidRDefault="24CD2ABE" w:rsidP="75A58B48">
            <w:pPr>
              <w:rPr>
                <w:rFonts w:eastAsia="Arial" w:cs="Arial"/>
                <w:b/>
                <w:bCs/>
                <w:sz w:val="22"/>
                <w:szCs w:val="22"/>
              </w:rPr>
            </w:pPr>
            <w:r w:rsidRPr="00D95535">
              <w:rPr>
                <w:rFonts w:eastAsia="Arial" w:cs="Arial"/>
                <w:b/>
                <w:bCs/>
                <w:sz w:val="22"/>
                <w:szCs w:val="22"/>
              </w:rPr>
              <w:t>A</w:t>
            </w:r>
          </w:p>
        </w:tc>
      </w:tr>
      <w:tr w:rsidR="000F559C" w:rsidRPr="005B0B73" w14:paraId="58491621" w14:textId="4E45289B" w:rsidTr="75A58B48">
        <w:trPr>
          <w:trHeight w:val="338"/>
        </w:trPr>
        <w:tc>
          <w:tcPr>
            <w:tcW w:w="1609" w:type="dxa"/>
            <w:shd w:val="clear" w:color="auto" w:fill="DEEAF6" w:themeFill="accent5" w:themeFillTint="33"/>
            <w:hideMark/>
          </w:tcPr>
          <w:p w14:paraId="7030DD62" w14:textId="77777777" w:rsidR="00E5596C" w:rsidRPr="005B0B73" w:rsidRDefault="00E5596C" w:rsidP="1FFC5AE9">
            <w:pPr>
              <w:rPr>
                <w:rFonts w:eastAsia="Arial" w:cs="Arial"/>
                <w:b/>
                <w:bCs/>
                <w:sz w:val="22"/>
                <w:szCs w:val="22"/>
              </w:rPr>
            </w:pPr>
            <w:r w:rsidRPr="005B0B73">
              <w:rPr>
                <w:rFonts w:eastAsia="Arial" w:cs="Arial"/>
                <w:b/>
                <w:bCs/>
                <w:sz w:val="22"/>
                <w:szCs w:val="22"/>
              </w:rPr>
              <w:t xml:space="preserve">Risk Rating </w:t>
            </w:r>
          </w:p>
        </w:tc>
        <w:tc>
          <w:tcPr>
            <w:tcW w:w="799" w:type="dxa"/>
          </w:tcPr>
          <w:p w14:paraId="3365716F" w14:textId="7BED6066"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Mod.</w:t>
            </w:r>
          </w:p>
        </w:tc>
        <w:tc>
          <w:tcPr>
            <w:tcW w:w="750" w:type="dxa"/>
          </w:tcPr>
          <w:p w14:paraId="248E478E" w14:textId="0F1429D1"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Mod.</w:t>
            </w:r>
          </w:p>
        </w:tc>
        <w:tc>
          <w:tcPr>
            <w:tcW w:w="749" w:type="dxa"/>
          </w:tcPr>
          <w:p w14:paraId="421F8B16" w14:textId="6B9C59AD"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Mod.</w:t>
            </w:r>
          </w:p>
        </w:tc>
        <w:tc>
          <w:tcPr>
            <w:tcW w:w="708" w:type="dxa"/>
          </w:tcPr>
          <w:p w14:paraId="4B4EA818" w14:textId="4AAE33C9"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Maj.</w:t>
            </w:r>
          </w:p>
        </w:tc>
        <w:tc>
          <w:tcPr>
            <w:tcW w:w="708" w:type="dxa"/>
          </w:tcPr>
          <w:p w14:paraId="4F2CDA88" w14:textId="787EE17B"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Maj.</w:t>
            </w:r>
          </w:p>
        </w:tc>
        <w:tc>
          <w:tcPr>
            <w:tcW w:w="749" w:type="dxa"/>
          </w:tcPr>
          <w:p w14:paraId="5D6C73D2" w14:textId="64AE971D"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Mod.</w:t>
            </w:r>
          </w:p>
        </w:tc>
        <w:tc>
          <w:tcPr>
            <w:tcW w:w="740" w:type="dxa"/>
          </w:tcPr>
          <w:p w14:paraId="4142A924" w14:textId="251D4756" w:rsidR="00E5596C" w:rsidRPr="005B0B73" w:rsidRDefault="00E5596C" w:rsidP="1FFC5AE9">
            <w:pPr>
              <w:jc w:val="center"/>
              <w:rPr>
                <w:rFonts w:eastAsia="Arial" w:cs="Arial"/>
                <w:color w:val="000000" w:themeColor="text1"/>
                <w:sz w:val="22"/>
                <w:szCs w:val="22"/>
              </w:rPr>
            </w:pPr>
            <w:r w:rsidRPr="005B0B73">
              <w:rPr>
                <w:rFonts w:eastAsia="Arial" w:cs="Arial"/>
                <w:color w:val="000000" w:themeColor="text1"/>
                <w:sz w:val="22"/>
                <w:szCs w:val="22"/>
              </w:rPr>
              <w:t>M</w:t>
            </w:r>
            <w:r w:rsidRPr="005B0B73">
              <w:rPr>
                <w:rFonts w:eastAsia="Arial" w:cs="Arial"/>
                <w:sz w:val="22"/>
                <w:szCs w:val="22"/>
              </w:rPr>
              <w:t>od.</w:t>
            </w:r>
          </w:p>
        </w:tc>
        <w:tc>
          <w:tcPr>
            <w:tcW w:w="749" w:type="dxa"/>
          </w:tcPr>
          <w:p w14:paraId="5349FBAE" w14:textId="1BC11BF3" w:rsidR="00E5596C" w:rsidRPr="005B0B73" w:rsidRDefault="00E5596C" w:rsidP="1FFC5AE9">
            <w:pPr>
              <w:rPr>
                <w:rFonts w:eastAsia="Arial" w:cs="Arial"/>
                <w:sz w:val="22"/>
                <w:szCs w:val="22"/>
              </w:rPr>
            </w:pPr>
            <w:r w:rsidRPr="005B0B73">
              <w:rPr>
                <w:rFonts w:eastAsia="Arial" w:cs="Arial"/>
                <w:sz w:val="22"/>
                <w:szCs w:val="22"/>
              </w:rPr>
              <w:t>Mod.</w:t>
            </w:r>
          </w:p>
        </w:tc>
        <w:tc>
          <w:tcPr>
            <w:tcW w:w="798" w:type="dxa"/>
          </w:tcPr>
          <w:p w14:paraId="22F7394B" w14:textId="7693466C" w:rsidR="00E5596C" w:rsidRPr="005B0B73" w:rsidRDefault="00E5596C" w:rsidP="1FFC5AE9">
            <w:pPr>
              <w:rPr>
                <w:rFonts w:eastAsia="Arial" w:cs="Arial"/>
                <w:sz w:val="22"/>
                <w:szCs w:val="22"/>
              </w:rPr>
            </w:pPr>
            <w:r w:rsidRPr="005B0B73">
              <w:rPr>
                <w:rFonts w:eastAsia="Arial" w:cs="Arial"/>
                <w:sz w:val="22"/>
                <w:szCs w:val="22"/>
              </w:rPr>
              <w:t>Mod.</w:t>
            </w:r>
          </w:p>
        </w:tc>
        <w:tc>
          <w:tcPr>
            <w:tcW w:w="750" w:type="dxa"/>
          </w:tcPr>
          <w:p w14:paraId="4E33A37D" w14:textId="18317B86" w:rsidR="00E5596C" w:rsidRPr="00D95535" w:rsidRDefault="0BB33FBE" w:rsidP="75A58B48">
            <w:pPr>
              <w:rPr>
                <w:rFonts w:eastAsia="Arial" w:cs="Arial"/>
                <w:b/>
                <w:bCs/>
                <w:sz w:val="22"/>
                <w:szCs w:val="22"/>
              </w:rPr>
            </w:pPr>
            <w:r w:rsidRPr="00D95535">
              <w:rPr>
                <w:rFonts w:eastAsia="Arial" w:cs="Arial"/>
                <w:b/>
                <w:bCs/>
                <w:sz w:val="22"/>
                <w:szCs w:val="22"/>
              </w:rPr>
              <w:t>Mod</w:t>
            </w:r>
            <w:r w:rsidR="00D95535">
              <w:rPr>
                <w:rFonts w:eastAsia="Arial" w:cs="Arial"/>
                <w:b/>
                <w:bCs/>
                <w:sz w:val="22"/>
                <w:szCs w:val="22"/>
              </w:rPr>
              <w:t>.</w:t>
            </w:r>
          </w:p>
        </w:tc>
      </w:tr>
    </w:tbl>
    <w:p w14:paraId="06E2DA9D" w14:textId="77777777" w:rsidR="004D2FC0" w:rsidRPr="005B0B73" w:rsidRDefault="004D2FC0" w:rsidP="1FFC5AE9">
      <w:pPr>
        <w:rPr>
          <w:rFonts w:eastAsia="Arial" w:cs="Arial"/>
          <w:b/>
          <w:bCs/>
          <w:sz w:val="22"/>
          <w:szCs w:val="22"/>
        </w:rPr>
      </w:pPr>
    </w:p>
    <w:p w14:paraId="43D308EE" w14:textId="77777777" w:rsidR="0090396A" w:rsidRPr="005B0B73" w:rsidRDefault="0090396A" w:rsidP="1FFC5AE9">
      <w:pPr>
        <w:rPr>
          <w:rFonts w:eastAsia="Arial" w:cs="Arial"/>
          <w:b/>
          <w:bCs/>
          <w:sz w:val="22"/>
          <w:szCs w:val="22"/>
        </w:rPr>
      </w:pPr>
    </w:p>
    <w:tbl>
      <w:tblPr>
        <w:tblW w:w="9025"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92"/>
        <w:gridCol w:w="7033"/>
      </w:tblGrid>
      <w:tr w:rsidR="0090396A" w:rsidRPr="005B0B73" w14:paraId="7B7B7C12" w14:textId="77777777" w:rsidTr="0090396A">
        <w:trPr>
          <w:trHeight w:val="375"/>
        </w:trPr>
        <w:tc>
          <w:tcPr>
            <w:tcW w:w="1992" w:type="dxa"/>
            <w:tcBorders>
              <w:top w:val="single" w:sz="6" w:space="0" w:color="auto"/>
              <w:left w:val="single" w:sz="6" w:space="0" w:color="auto"/>
              <w:bottom w:val="single" w:sz="6" w:space="0" w:color="auto"/>
              <w:right w:val="single" w:sz="6" w:space="0" w:color="auto"/>
            </w:tcBorders>
            <w:shd w:val="clear" w:color="auto" w:fill="DEEAF6"/>
            <w:hideMark/>
          </w:tcPr>
          <w:p w14:paraId="017BDE29" w14:textId="77777777" w:rsidR="0090396A" w:rsidRPr="005B0B73" w:rsidRDefault="0090396A" w:rsidP="0090396A">
            <w:pPr>
              <w:rPr>
                <w:rFonts w:eastAsia="Arial" w:cs="Arial"/>
                <w:b/>
                <w:bCs/>
                <w:sz w:val="22"/>
                <w:szCs w:val="22"/>
              </w:rPr>
            </w:pPr>
            <w:r w:rsidRPr="005B0B73">
              <w:rPr>
                <w:rFonts w:eastAsia="Arial" w:cs="Arial"/>
                <w:b/>
                <w:bCs/>
                <w:sz w:val="22"/>
                <w:szCs w:val="22"/>
              </w:rPr>
              <w:t>Business Case:  </w:t>
            </w:r>
          </w:p>
        </w:tc>
        <w:tc>
          <w:tcPr>
            <w:tcW w:w="7033" w:type="dxa"/>
            <w:tcBorders>
              <w:top w:val="single" w:sz="6" w:space="0" w:color="auto"/>
              <w:left w:val="single" w:sz="6" w:space="0" w:color="auto"/>
              <w:bottom w:val="single" w:sz="6" w:space="0" w:color="auto"/>
              <w:right w:val="single" w:sz="6" w:space="0" w:color="auto"/>
            </w:tcBorders>
            <w:shd w:val="clear" w:color="auto" w:fill="FFFFFF"/>
            <w:hideMark/>
          </w:tcPr>
          <w:p w14:paraId="080679CE" w14:textId="77777777" w:rsidR="0090396A" w:rsidRPr="005B0B73" w:rsidRDefault="0090396A" w:rsidP="0090396A">
            <w:pPr>
              <w:rPr>
                <w:rFonts w:eastAsia="Arial" w:cs="Arial"/>
                <w:b/>
                <w:bCs/>
                <w:sz w:val="22"/>
                <w:szCs w:val="22"/>
              </w:rPr>
            </w:pPr>
            <w:hyperlink r:id="rId16" w:tgtFrame="_blank" w:history="1">
              <w:r w:rsidRPr="005B0B73">
                <w:rPr>
                  <w:rFonts w:eastAsia="Arial" w:cs="Arial"/>
                  <w:i/>
                  <w:iCs/>
                  <w:color w:val="0563C1"/>
                  <w:sz w:val="22"/>
                  <w:szCs w:val="22"/>
                  <w:u w:val="single"/>
                  <w:lang w:eastAsia="en-GB"/>
                </w:rPr>
                <w:t>https://devtracker.fcdo.gov.uk/projects/GB-GOV-13-ICF-0027-TCAF/document</w:t>
              </w:r>
              <w:r w:rsidRPr="005B0B73">
                <w:rPr>
                  <w:rFonts w:cs="Arial"/>
                  <w:color w:val="0563C1"/>
                  <w:lang w:eastAsia="en-GB"/>
                </w:rPr>
                <w:t>s</w:t>
              </w:r>
            </w:hyperlink>
            <w:r w:rsidRPr="005B0B73">
              <w:rPr>
                <w:rFonts w:eastAsia="Arial" w:cs="Arial"/>
                <w:b/>
                <w:bCs/>
                <w:i/>
                <w:iCs/>
                <w:sz w:val="22"/>
                <w:szCs w:val="22"/>
              </w:rPr>
              <w:t> </w:t>
            </w:r>
            <w:r w:rsidRPr="005B0B73">
              <w:rPr>
                <w:rFonts w:eastAsia="Arial" w:cs="Arial"/>
                <w:b/>
                <w:bCs/>
                <w:sz w:val="22"/>
                <w:szCs w:val="22"/>
              </w:rPr>
              <w:t> </w:t>
            </w:r>
          </w:p>
        </w:tc>
      </w:tr>
      <w:tr w:rsidR="0090396A" w:rsidRPr="005B0B73" w14:paraId="38C04FE7" w14:textId="77777777" w:rsidTr="0090396A">
        <w:trPr>
          <w:trHeight w:val="420"/>
        </w:trPr>
        <w:tc>
          <w:tcPr>
            <w:tcW w:w="1992" w:type="dxa"/>
            <w:tcBorders>
              <w:top w:val="single" w:sz="6" w:space="0" w:color="auto"/>
              <w:left w:val="single" w:sz="6" w:space="0" w:color="auto"/>
              <w:bottom w:val="single" w:sz="6" w:space="0" w:color="auto"/>
              <w:right w:val="single" w:sz="6" w:space="0" w:color="auto"/>
            </w:tcBorders>
            <w:shd w:val="clear" w:color="auto" w:fill="DEEAF6"/>
            <w:hideMark/>
          </w:tcPr>
          <w:p w14:paraId="4B53B8A2" w14:textId="77777777" w:rsidR="0090396A" w:rsidRPr="005B0B73" w:rsidRDefault="0090396A" w:rsidP="0090396A">
            <w:pPr>
              <w:rPr>
                <w:rFonts w:eastAsia="Arial" w:cs="Arial"/>
                <w:b/>
                <w:bCs/>
                <w:sz w:val="22"/>
                <w:szCs w:val="22"/>
              </w:rPr>
            </w:pPr>
            <w:proofErr w:type="spellStart"/>
            <w:r w:rsidRPr="005B0B73">
              <w:rPr>
                <w:rFonts w:eastAsia="Arial" w:cs="Arial"/>
                <w:b/>
                <w:bCs/>
                <w:sz w:val="22"/>
                <w:szCs w:val="22"/>
              </w:rPr>
              <w:t>Logframe</w:t>
            </w:r>
            <w:proofErr w:type="spellEnd"/>
            <w:r w:rsidRPr="005B0B73">
              <w:rPr>
                <w:rFonts w:eastAsia="Arial" w:cs="Arial"/>
                <w:b/>
                <w:bCs/>
                <w:sz w:val="22"/>
                <w:szCs w:val="22"/>
              </w:rPr>
              <w:t>:  </w:t>
            </w:r>
          </w:p>
        </w:tc>
        <w:tc>
          <w:tcPr>
            <w:tcW w:w="7033" w:type="dxa"/>
            <w:tcBorders>
              <w:top w:val="single" w:sz="6" w:space="0" w:color="auto"/>
              <w:left w:val="single" w:sz="6" w:space="0" w:color="auto"/>
              <w:bottom w:val="single" w:sz="6" w:space="0" w:color="auto"/>
              <w:right w:val="single" w:sz="6" w:space="0" w:color="auto"/>
            </w:tcBorders>
            <w:shd w:val="clear" w:color="auto" w:fill="FFFFFF"/>
            <w:hideMark/>
          </w:tcPr>
          <w:p w14:paraId="65DF0B45" w14:textId="69CCDD45" w:rsidR="0090396A" w:rsidRPr="005B0B73" w:rsidRDefault="001F0BF5" w:rsidP="0090396A">
            <w:pPr>
              <w:rPr>
                <w:rFonts w:eastAsia="Arial" w:cs="Arial"/>
                <w:b/>
                <w:bCs/>
                <w:sz w:val="22"/>
                <w:szCs w:val="22"/>
              </w:rPr>
            </w:pPr>
            <w:r w:rsidRPr="005B0B73">
              <w:rPr>
                <w:rFonts w:eastAsia="Arial" w:cs="Arial"/>
                <w:i/>
                <w:iCs/>
                <w:color w:val="0563C1"/>
                <w:sz w:val="22"/>
                <w:szCs w:val="22"/>
                <w:u w:val="single"/>
                <w:lang w:eastAsia="en-GB"/>
              </w:rPr>
              <w:t>https://science-and-innovation-network.s3.eu-west-2.amazonaws.com/BEIS+ICF/TCAF/TCAF%2BLogframe%2B2025+UK+for+publication+(1).pdf</w:t>
            </w:r>
          </w:p>
        </w:tc>
      </w:tr>
      <w:tr w:rsidR="0090396A" w:rsidRPr="005B0B73" w14:paraId="73DD31B6" w14:textId="77777777" w:rsidTr="0090396A">
        <w:trPr>
          <w:trHeight w:val="960"/>
        </w:trPr>
        <w:tc>
          <w:tcPr>
            <w:tcW w:w="1992" w:type="dxa"/>
            <w:tcBorders>
              <w:top w:val="single" w:sz="6" w:space="0" w:color="auto"/>
              <w:left w:val="single" w:sz="6" w:space="0" w:color="auto"/>
              <w:bottom w:val="single" w:sz="6" w:space="0" w:color="auto"/>
              <w:right w:val="single" w:sz="6" w:space="0" w:color="auto"/>
            </w:tcBorders>
            <w:shd w:val="clear" w:color="auto" w:fill="DEEAF6"/>
            <w:hideMark/>
          </w:tcPr>
          <w:p w14:paraId="44C611BB" w14:textId="77777777" w:rsidR="0090396A" w:rsidRPr="005B0B73" w:rsidRDefault="0090396A" w:rsidP="0090396A">
            <w:pPr>
              <w:rPr>
                <w:rFonts w:eastAsia="Arial" w:cs="Arial"/>
                <w:b/>
                <w:bCs/>
                <w:sz w:val="22"/>
                <w:szCs w:val="22"/>
              </w:rPr>
            </w:pPr>
            <w:r w:rsidRPr="005B0B73">
              <w:rPr>
                <w:rFonts w:eastAsia="Arial" w:cs="Arial"/>
                <w:b/>
                <w:bCs/>
                <w:sz w:val="22"/>
                <w:szCs w:val="22"/>
              </w:rPr>
              <w:t>Previous Annual Review </w:t>
            </w:r>
          </w:p>
        </w:tc>
        <w:tc>
          <w:tcPr>
            <w:tcW w:w="7033" w:type="dxa"/>
            <w:tcBorders>
              <w:top w:val="single" w:sz="6" w:space="0" w:color="auto"/>
              <w:left w:val="single" w:sz="6" w:space="0" w:color="auto"/>
              <w:bottom w:val="single" w:sz="6" w:space="0" w:color="auto"/>
              <w:right w:val="single" w:sz="6" w:space="0" w:color="auto"/>
            </w:tcBorders>
            <w:shd w:val="clear" w:color="auto" w:fill="FFFFFF"/>
            <w:hideMark/>
          </w:tcPr>
          <w:p w14:paraId="7DA31157" w14:textId="33AFDA81" w:rsidR="0090396A" w:rsidRPr="005B0B73" w:rsidRDefault="0090396A" w:rsidP="0090396A">
            <w:pPr>
              <w:rPr>
                <w:rFonts w:eastAsia="Arial" w:cs="Arial"/>
                <w:b/>
                <w:bCs/>
                <w:sz w:val="22"/>
                <w:szCs w:val="22"/>
              </w:rPr>
            </w:pPr>
            <w:r w:rsidRPr="005B0B73">
              <w:rPr>
                <w:rFonts w:eastAsia="Arial" w:cs="Arial"/>
                <w:i/>
                <w:iCs/>
                <w:color w:val="0563C1"/>
                <w:sz w:val="22"/>
                <w:szCs w:val="22"/>
                <w:u w:val="single"/>
              </w:rPr>
              <w:t>https://science-and-innovation-network.s3.eu-west-2.amazonaws.com/BEIS+ICF/TCAF/TCAF%2BAnnual%2BReview%2B2025+Final+clean+for+publication+(1).pdf</w:t>
            </w:r>
          </w:p>
        </w:tc>
      </w:tr>
    </w:tbl>
    <w:p w14:paraId="1B056417" w14:textId="77777777" w:rsidR="001F0BF5" w:rsidRPr="005B0B73" w:rsidRDefault="001F0BF5" w:rsidP="1FFC5AE9">
      <w:pPr>
        <w:jc w:val="both"/>
        <w:rPr>
          <w:rStyle w:val="Heading2Char"/>
          <w:rFonts w:eastAsia="Arial" w:cs="Arial"/>
          <w:i w:val="0"/>
          <w:sz w:val="22"/>
          <w:szCs w:val="22"/>
        </w:rPr>
      </w:pPr>
      <w:bookmarkStart w:id="1" w:name="_Toc142922620"/>
    </w:p>
    <w:p w14:paraId="7A642962" w14:textId="6DE59155" w:rsidR="003D222C" w:rsidRPr="005B0B73" w:rsidRDefault="003D222C" w:rsidP="1FFC5AE9">
      <w:pPr>
        <w:jc w:val="both"/>
        <w:rPr>
          <w:rFonts w:eastAsia="Arial" w:cs="Arial"/>
          <w:sz w:val="22"/>
          <w:szCs w:val="22"/>
        </w:rPr>
      </w:pPr>
      <w:r w:rsidRPr="005B0B73">
        <w:rPr>
          <w:rStyle w:val="Heading2Char"/>
          <w:rFonts w:eastAsia="Arial" w:cs="Arial"/>
          <w:i w:val="0"/>
          <w:sz w:val="22"/>
          <w:szCs w:val="22"/>
        </w:rPr>
        <w:t>Description of programme</w:t>
      </w:r>
      <w:bookmarkEnd w:id="1"/>
      <w:r w:rsidRPr="005B0B73">
        <w:rPr>
          <w:rFonts w:eastAsia="Arial" w:cs="Arial"/>
          <w:sz w:val="22"/>
          <w:szCs w:val="22"/>
        </w:rPr>
        <w:t xml:space="preserve"> </w:t>
      </w:r>
    </w:p>
    <w:p w14:paraId="6F9482AB" w14:textId="77777777" w:rsidR="003D222C" w:rsidRPr="005B0B73" w:rsidRDefault="003D222C" w:rsidP="1FFC5AE9">
      <w:pPr>
        <w:jc w:val="both"/>
        <w:rPr>
          <w:rFonts w:eastAsia="Arial" w:cs="Arial"/>
          <w:b/>
          <w:bCs/>
          <w:sz w:val="22"/>
          <w:szCs w:val="22"/>
        </w:rPr>
      </w:pPr>
    </w:p>
    <w:p w14:paraId="0068C78F" w14:textId="7AE34CF8" w:rsidR="01ABA75A" w:rsidRPr="005B0B73" w:rsidRDefault="4D393695" w:rsidP="1FFC5AE9">
      <w:pPr>
        <w:jc w:val="both"/>
        <w:rPr>
          <w:rFonts w:eastAsia="Arial" w:cs="Arial"/>
          <w:color w:val="000000" w:themeColor="text1"/>
          <w:sz w:val="22"/>
          <w:szCs w:val="22"/>
        </w:rPr>
      </w:pPr>
      <w:r w:rsidRPr="005B0B73">
        <w:rPr>
          <w:rFonts w:eastAsia="Arial" w:cs="Arial"/>
          <w:color w:val="000000" w:themeColor="text1"/>
          <w:sz w:val="22"/>
          <w:szCs w:val="22"/>
        </w:rPr>
        <w:t>TCAF is a multilateral trust fund, established through a partnership between the World Bank Group (‘the Trustee’) and seven Contributors, which help</w:t>
      </w:r>
      <w:r w:rsidR="00294D0F" w:rsidRPr="005B0B73">
        <w:rPr>
          <w:rFonts w:eastAsia="Arial" w:cs="Arial"/>
          <w:color w:val="000000" w:themeColor="text1"/>
          <w:sz w:val="22"/>
          <w:szCs w:val="22"/>
        </w:rPr>
        <w:t>s</w:t>
      </w:r>
      <w:r w:rsidRPr="005B0B73">
        <w:rPr>
          <w:rFonts w:eastAsia="Arial" w:cs="Arial"/>
          <w:color w:val="000000" w:themeColor="text1"/>
          <w:sz w:val="22"/>
          <w:szCs w:val="22"/>
        </w:rPr>
        <w:t xml:space="preserve"> ODA-eligible countries to host emission reduction projects and prepare them to trade resulting carbon credits under the Paris Agreement. It does this primarily by: </w:t>
      </w:r>
    </w:p>
    <w:p w14:paraId="755F7820" w14:textId="348BDAC2" w:rsidR="4D393695" w:rsidRPr="005B0B73" w:rsidRDefault="4D393695" w:rsidP="1FFC5AE9">
      <w:pPr>
        <w:pStyle w:val="ListParagraph"/>
        <w:numPr>
          <w:ilvl w:val="0"/>
          <w:numId w:val="9"/>
        </w:numPr>
        <w:jc w:val="both"/>
        <w:rPr>
          <w:rFonts w:eastAsia="Arial" w:cs="Arial"/>
          <w:color w:val="000000" w:themeColor="text1"/>
          <w:sz w:val="22"/>
          <w:szCs w:val="22"/>
        </w:rPr>
      </w:pPr>
      <w:r w:rsidRPr="005B0B73">
        <w:rPr>
          <w:rFonts w:eastAsia="Arial" w:cs="Arial"/>
          <w:color w:val="000000" w:themeColor="text1"/>
          <w:sz w:val="22"/>
          <w:szCs w:val="22"/>
        </w:rPr>
        <w:t>developing ‘scaled up’ proposals for projects at a sector or economy-wide level;</w:t>
      </w:r>
    </w:p>
    <w:p w14:paraId="6873D337" w14:textId="6A880608" w:rsidR="4D393695" w:rsidRPr="005B0B73" w:rsidRDefault="4D393695" w:rsidP="1FFC5AE9">
      <w:pPr>
        <w:pStyle w:val="ListParagraph"/>
        <w:numPr>
          <w:ilvl w:val="0"/>
          <w:numId w:val="9"/>
        </w:numPr>
        <w:jc w:val="both"/>
        <w:rPr>
          <w:rFonts w:eastAsia="Arial" w:cs="Arial"/>
          <w:color w:val="000000" w:themeColor="text1"/>
          <w:sz w:val="22"/>
          <w:szCs w:val="22"/>
        </w:rPr>
      </w:pPr>
      <w:r w:rsidRPr="005B0B73">
        <w:rPr>
          <w:rFonts w:eastAsia="Arial" w:cs="Arial"/>
          <w:color w:val="000000" w:themeColor="text1"/>
          <w:sz w:val="22"/>
          <w:szCs w:val="22"/>
        </w:rPr>
        <w:t xml:space="preserve">developing new crediting methodologies (ways to demonstrate that an activity has generated a carbon credit); </w:t>
      </w:r>
    </w:p>
    <w:p w14:paraId="19D895FB" w14:textId="5983E1C4" w:rsidR="004B2EE1" w:rsidRPr="005B0B73" w:rsidRDefault="004B2EE1" w:rsidP="1FFC5AE9">
      <w:pPr>
        <w:pStyle w:val="ListParagraph"/>
        <w:numPr>
          <w:ilvl w:val="0"/>
          <w:numId w:val="9"/>
        </w:numPr>
        <w:jc w:val="both"/>
        <w:rPr>
          <w:rFonts w:eastAsia="Arial" w:cs="Arial"/>
          <w:color w:val="000000" w:themeColor="text1"/>
          <w:sz w:val="22"/>
          <w:szCs w:val="22"/>
        </w:rPr>
      </w:pPr>
      <w:r w:rsidRPr="005B0B73">
        <w:rPr>
          <w:rFonts w:eastAsia="Arial" w:cs="Arial"/>
          <w:color w:val="000000" w:themeColor="text1"/>
          <w:sz w:val="22"/>
          <w:szCs w:val="22"/>
        </w:rPr>
        <w:t xml:space="preserve">building host capacity to monitor and report on reductions; </w:t>
      </w:r>
    </w:p>
    <w:p w14:paraId="6806223B" w14:textId="32879829" w:rsidR="4D393695" w:rsidRPr="005B0B73" w:rsidRDefault="4D393695" w:rsidP="1FFC5AE9">
      <w:pPr>
        <w:pStyle w:val="ListParagraph"/>
        <w:numPr>
          <w:ilvl w:val="0"/>
          <w:numId w:val="9"/>
        </w:numPr>
        <w:jc w:val="both"/>
        <w:rPr>
          <w:rFonts w:eastAsia="Arial" w:cs="Arial"/>
          <w:color w:val="000000" w:themeColor="text1"/>
          <w:sz w:val="22"/>
          <w:szCs w:val="22"/>
        </w:rPr>
      </w:pPr>
      <w:r w:rsidRPr="005B0B73">
        <w:rPr>
          <w:rFonts w:eastAsia="Arial" w:cs="Arial"/>
          <w:color w:val="000000" w:themeColor="text1"/>
          <w:sz w:val="22"/>
          <w:szCs w:val="22"/>
        </w:rPr>
        <w:t xml:space="preserve">piloting new UN rules under Article </w:t>
      </w:r>
      <w:r w:rsidR="4824D5AB" w:rsidRPr="005B0B73">
        <w:rPr>
          <w:rFonts w:eastAsia="Arial" w:cs="Arial"/>
          <w:color w:val="000000" w:themeColor="text1"/>
          <w:sz w:val="22"/>
          <w:szCs w:val="22"/>
        </w:rPr>
        <w:t>6 (</w:t>
      </w:r>
      <w:r w:rsidR="5B41D793" w:rsidRPr="005B0B73">
        <w:rPr>
          <w:rFonts w:eastAsia="Arial" w:cs="Arial"/>
          <w:color w:val="000000" w:themeColor="text1"/>
          <w:sz w:val="22"/>
          <w:szCs w:val="22"/>
        </w:rPr>
        <w:t>A6</w:t>
      </w:r>
      <w:r w:rsidRPr="005B0B73">
        <w:rPr>
          <w:rFonts w:eastAsia="Arial" w:cs="Arial"/>
          <w:color w:val="000000" w:themeColor="text1"/>
          <w:sz w:val="22"/>
          <w:szCs w:val="22"/>
        </w:rPr>
        <w:t xml:space="preserve">) </w:t>
      </w:r>
      <w:r w:rsidR="1F181ABD" w:rsidRPr="005B0B73">
        <w:rPr>
          <w:rFonts w:eastAsia="Arial" w:cs="Arial"/>
          <w:color w:val="000000" w:themeColor="text1"/>
          <w:sz w:val="22"/>
          <w:szCs w:val="22"/>
        </w:rPr>
        <w:t>of the Paris Agreement</w:t>
      </w:r>
      <w:r w:rsidRPr="005B0B73">
        <w:rPr>
          <w:rFonts w:eastAsia="Arial" w:cs="Arial"/>
          <w:color w:val="000000" w:themeColor="text1"/>
          <w:sz w:val="22"/>
          <w:szCs w:val="22"/>
        </w:rPr>
        <w:t xml:space="preserve"> for the generation and trade of carbon; and,</w:t>
      </w:r>
    </w:p>
    <w:p w14:paraId="3996ECF7" w14:textId="45A21C57" w:rsidR="4D393695" w:rsidRPr="005B0B73" w:rsidRDefault="4D393695" w:rsidP="1FFC5AE9">
      <w:pPr>
        <w:pStyle w:val="ListParagraph"/>
        <w:numPr>
          <w:ilvl w:val="0"/>
          <w:numId w:val="9"/>
        </w:numPr>
        <w:jc w:val="both"/>
        <w:rPr>
          <w:rFonts w:eastAsia="Arial" w:cs="Arial"/>
          <w:color w:val="000000" w:themeColor="text1"/>
          <w:sz w:val="22"/>
          <w:szCs w:val="22"/>
        </w:rPr>
      </w:pPr>
      <w:r w:rsidRPr="005B0B73">
        <w:rPr>
          <w:rFonts w:eastAsia="Arial" w:cs="Arial"/>
          <w:color w:val="000000" w:themeColor="text1"/>
          <w:sz w:val="22"/>
          <w:szCs w:val="22"/>
        </w:rPr>
        <w:t>sharing its lessons widely with the international community.</w:t>
      </w:r>
    </w:p>
    <w:p w14:paraId="0BF98336" w14:textId="042B4C2E" w:rsidR="01ABA75A" w:rsidRPr="005B0B73" w:rsidRDefault="4D393695" w:rsidP="1FFC5AE9">
      <w:pPr>
        <w:jc w:val="both"/>
        <w:rPr>
          <w:rFonts w:eastAsia="Arial" w:cs="Arial"/>
          <w:color w:val="000000" w:themeColor="text1"/>
          <w:sz w:val="22"/>
          <w:szCs w:val="22"/>
        </w:rPr>
      </w:pPr>
      <w:r w:rsidRPr="005B0B73">
        <w:rPr>
          <w:rFonts w:eastAsia="Arial" w:cs="Arial"/>
          <w:color w:val="000000" w:themeColor="text1"/>
          <w:sz w:val="22"/>
          <w:szCs w:val="22"/>
        </w:rPr>
        <w:t xml:space="preserve">The UK’s contribution of £60m (34%) means we </w:t>
      </w:r>
      <w:r w:rsidR="00C32B63" w:rsidRPr="005B0B73">
        <w:rPr>
          <w:rFonts w:eastAsia="Arial" w:cs="Arial"/>
          <w:color w:val="000000" w:themeColor="text1"/>
          <w:sz w:val="22"/>
          <w:szCs w:val="22"/>
        </w:rPr>
        <w:t>sit</w:t>
      </w:r>
      <w:r w:rsidRPr="005B0B73">
        <w:rPr>
          <w:rFonts w:eastAsia="Arial" w:cs="Arial"/>
          <w:color w:val="000000" w:themeColor="text1"/>
          <w:sz w:val="22"/>
          <w:szCs w:val="22"/>
        </w:rPr>
        <w:t xml:space="preserve"> on the decision-making Facility Board, alongside Norway ($80m, 38%), Sweden ($25m, 12%), Switzerland ($25m, 12%)</w:t>
      </w:r>
      <w:r w:rsidR="00BD31F4" w:rsidRPr="005B0B73">
        <w:rPr>
          <w:rFonts w:eastAsia="Arial" w:cs="Arial"/>
          <w:color w:val="000000" w:themeColor="text1"/>
          <w:sz w:val="22"/>
          <w:szCs w:val="22"/>
        </w:rPr>
        <w:t>. Non-Board donors are</w:t>
      </w:r>
      <w:r w:rsidRPr="005B0B73">
        <w:rPr>
          <w:rFonts w:eastAsia="Arial" w:cs="Arial"/>
          <w:color w:val="000000" w:themeColor="text1"/>
          <w:sz w:val="22"/>
          <w:szCs w:val="22"/>
        </w:rPr>
        <w:t xml:space="preserve"> Spain ($4.6m, 2%), Canada ($3m CAD, 1%), and Germany ($2m, 1%).</w:t>
      </w:r>
      <w:r w:rsidR="00F603EF" w:rsidRPr="005B0B73">
        <w:rPr>
          <w:rFonts w:eastAsia="Arial" w:cs="Arial"/>
          <w:color w:val="000000" w:themeColor="text1"/>
          <w:sz w:val="22"/>
          <w:szCs w:val="22"/>
        </w:rPr>
        <w:t xml:space="preserve"> </w:t>
      </w:r>
    </w:p>
    <w:p w14:paraId="2A29E479" w14:textId="0EAA541A" w:rsidR="01ABA75A" w:rsidRPr="005B0B73" w:rsidRDefault="01ABA75A" w:rsidP="1FFC5AE9">
      <w:pPr>
        <w:jc w:val="both"/>
        <w:rPr>
          <w:rFonts w:eastAsia="Arial" w:cs="Arial"/>
          <w:sz w:val="22"/>
          <w:szCs w:val="22"/>
        </w:rPr>
      </w:pPr>
    </w:p>
    <w:p w14:paraId="346317FA" w14:textId="3CC1F1C8" w:rsidR="094EC137" w:rsidRPr="005B0B73" w:rsidRDefault="094EC137" w:rsidP="5335816E">
      <w:pPr>
        <w:jc w:val="both"/>
        <w:rPr>
          <w:rStyle w:val="Heading2Char"/>
          <w:rFonts w:eastAsia="Arial" w:cs="Arial"/>
          <w:i w:val="0"/>
          <w:sz w:val="22"/>
          <w:szCs w:val="22"/>
        </w:rPr>
      </w:pPr>
    </w:p>
    <w:p w14:paraId="1214C81C" w14:textId="0A52D2C1" w:rsidR="00913839" w:rsidRPr="005B0B73" w:rsidRDefault="003D222C" w:rsidP="0E60E58D">
      <w:pPr>
        <w:jc w:val="both"/>
        <w:rPr>
          <w:rFonts w:eastAsia="Arial" w:cs="Arial"/>
          <w:sz w:val="22"/>
          <w:szCs w:val="22"/>
        </w:rPr>
      </w:pPr>
      <w:bookmarkStart w:id="2" w:name="_Toc142922621"/>
      <w:r w:rsidRPr="005B0B73">
        <w:rPr>
          <w:rStyle w:val="Heading2Char"/>
          <w:rFonts w:eastAsia="Arial" w:cs="Arial"/>
          <w:i w:val="0"/>
          <w:sz w:val="22"/>
          <w:szCs w:val="22"/>
        </w:rPr>
        <w:t>Summary of progress and supporting narrative for the overall score</w:t>
      </w:r>
      <w:bookmarkEnd w:id="2"/>
      <w:r w:rsidR="00A86616" w:rsidRPr="005B0B73">
        <w:rPr>
          <w:rFonts w:eastAsia="Arial" w:cs="Arial"/>
          <w:sz w:val="22"/>
          <w:szCs w:val="22"/>
        </w:rPr>
        <w:t xml:space="preserve"> </w:t>
      </w:r>
      <w:bookmarkStart w:id="3" w:name="_Toc142922622"/>
    </w:p>
    <w:p w14:paraId="297AF845" w14:textId="2433D55B" w:rsidR="004FB323" w:rsidRPr="005B0B73" w:rsidRDefault="004FB323" w:rsidP="7C112E80">
      <w:pPr>
        <w:jc w:val="both"/>
        <w:rPr>
          <w:rFonts w:eastAsia="Arial" w:cs="Arial"/>
          <w:sz w:val="22"/>
          <w:szCs w:val="22"/>
          <w:highlight w:val="yellow"/>
        </w:rPr>
      </w:pPr>
    </w:p>
    <w:p w14:paraId="62561571" w14:textId="333BBD99" w:rsidR="007A6AA8" w:rsidRPr="005B0B73" w:rsidRDefault="1BF3B62F" w:rsidP="4B689E0D">
      <w:pPr>
        <w:spacing w:line="257" w:lineRule="auto"/>
        <w:jc w:val="both"/>
        <w:rPr>
          <w:rFonts w:eastAsia="Arial" w:cs="Arial"/>
          <w:b/>
          <w:bCs/>
          <w:i/>
          <w:iCs/>
          <w:sz w:val="22"/>
          <w:szCs w:val="22"/>
        </w:rPr>
      </w:pPr>
      <w:r w:rsidRPr="005B0B73">
        <w:rPr>
          <w:rFonts w:eastAsia="Arial" w:cs="Arial"/>
          <w:sz w:val="22"/>
          <w:szCs w:val="22"/>
        </w:rPr>
        <w:t xml:space="preserve">The Transformative Carbon Asset Facility (TCAF) made significant operational strides in </w:t>
      </w:r>
      <w:r w:rsidR="00C2176D" w:rsidRPr="005B0B73">
        <w:rPr>
          <w:rFonts w:eastAsia="Arial" w:cs="Arial"/>
          <w:sz w:val="22"/>
          <w:szCs w:val="22"/>
        </w:rPr>
        <w:t xml:space="preserve">this reporting period and </w:t>
      </w:r>
      <w:r w:rsidRPr="005B0B73">
        <w:rPr>
          <w:rFonts w:eastAsia="Arial" w:cs="Arial"/>
          <w:sz w:val="22"/>
          <w:szCs w:val="22"/>
        </w:rPr>
        <w:t xml:space="preserve">FY26, advancing from preparation into active program execution </w:t>
      </w:r>
      <w:r w:rsidR="00D23CED" w:rsidRPr="005B0B73">
        <w:rPr>
          <w:rFonts w:eastAsia="Arial" w:cs="Arial"/>
          <w:sz w:val="22"/>
          <w:szCs w:val="22"/>
        </w:rPr>
        <w:t xml:space="preserve">and </w:t>
      </w:r>
      <w:r w:rsidR="006F3640" w:rsidRPr="005B0B73">
        <w:rPr>
          <w:rFonts w:eastAsia="Arial" w:cs="Arial"/>
          <w:sz w:val="22"/>
          <w:szCs w:val="22"/>
        </w:rPr>
        <w:t xml:space="preserve">increased innovation and </w:t>
      </w:r>
      <w:r w:rsidR="00BC5433" w:rsidRPr="7C97B9C6">
        <w:rPr>
          <w:rFonts w:eastAsia="Arial" w:cs="Arial"/>
          <w:sz w:val="22"/>
          <w:szCs w:val="22"/>
        </w:rPr>
        <w:t xml:space="preserve">towards </w:t>
      </w:r>
      <w:r w:rsidR="006F3640" w:rsidRPr="005B0B73">
        <w:rPr>
          <w:rFonts w:eastAsia="Arial" w:cs="Arial"/>
          <w:sz w:val="22"/>
          <w:szCs w:val="22"/>
        </w:rPr>
        <w:t xml:space="preserve">alignment with Article 6 </w:t>
      </w:r>
      <w:r w:rsidRPr="005B0B73">
        <w:rPr>
          <w:rFonts w:eastAsia="Arial" w:cs="Arial"/>
          <w:sz w:val="22"/>
          <w:szCs w:val="22"/>
        </w:rPr>
        <w:t xml:space="preserve">across its portfolio. </w:t>
      </w:r>
      <w:r w:rsidRPr="005B0B73">
        <w:rPr>
          <w:rFonts w:eastAsia="Arial" w:cs="Arial"/>
          <w:b/>
          <w:bCs/>
          <w:color w:val="000000" w:themeColor="text1"/>
          <w:sz w:val="22"/>
          <w:szCs w:val="22"/>
        </w:rPr>
        <w:t xml:space="preserve">The programme has been awarded an overall score of </w:t>
      </w:r>
      <w:r w:rsidRPr="005B0B73">
        <w:rPr>
          <w:rFonts w:eastAsia="Arial" w:cs="Arial"/>
          <w:b/>
          <w:color w:val="000000" w:themeColor="text1"/>
          <w:sz w:val="22"/>
          <w:szCs w:val="22"/>
        </w:rPr>
        <w:t>“</w:t>
      </w:r>
      <w:proofErr w:type="gramStart"/>
      <w:r w:rsidRPr="005B0B73">
        <w:rPr>
          <w:rFonts w:eastAsia="Arial" w:cs="Arial"/>
          <w:b/>
          <w:color w:val="000000" w:themeColor="text1"/>
          <w:sz w:val="22"/>
          <w:szCs w:val="22"/>
        </w:rPr>
        <w:t>A</w:t>
      </w:r>
      <w:proofErr w:type="gramEnd"/>
      <w:r w:rsidRPr="005B0B73">
        <w:rPr>
          <w:rFonts w:eastAsia="Arial" w:cs="Arial"/>
          <w:b/>
          <w:color w:val="000000" w:themeColor="text1"/>
          <w:sz w:val="22"/>
          <w:szCs w:val="22"/>
        </w:rPr>
        <w:t>”, “outputs met expectations</w:t>
      </w:r>
      <w:r w:rsidRPr="005B0B73">
        <w:rPr>
          <w:rFonts w:eastAsia="Arial" w:cs="Arial"/>
          <w:color w:val="000000" w:themeColor="text1"/>
          <w:sz w:val="22"/>
          <w:szCs w:val="22"/>
        </w:rPr>
        <w:t xml:space="preserve">” and </w:t>
      </w:r>
      <w:r w:rsidRPr="005B0B73">
        <w:rPr>
          <w:rFonts w:eastAsia="Arial" w:cs="Arial"/>
          <w:color w:val="000000" w:themeColor="text1"/>
          <w:sz w:val="22"/>
          <w:szCs w:val="22"/>
        </w:rPr>
        <w:lastRenderedPageBreak/>
        <w:t>continues to be assessed as moderate risk rating programme.</w:t>
      </w:r>
      <w:r w:rsidR="00E30F13" w:rsidRPr="005B0B73">
        <w:rPr>
          <w:rFonts w:eastAsia="Arial" w:cs="Arial"/>
          <w:b/>
          <w:bCs/>
          <w:i/>
          <w:iCs/>
          <w:sz w:val="22"/>
          <w:szCs w:val="22"/>
        </w:rPr>
        <w:t xml:space="preserve"> </w:t>
      </w:r>
      <w:r w:rsidR="563DBBEA" w:rsidRPr="005B0B73">
        <w:rPr>
          <w:rFonts w:eastAsia="Arial" w:cs="Arial"/>
          <w:sz w:val="22"/>
          <w:szCs w:val="22"/>
        </w:rPr>
        <w:t>P</w:t>
      </w:r>
      <w:r w:rsidR="7D58487F" w:rsidRPr="005B0B73">
        <w:rPr>
          <w:rFonts w:eastAsia="Arial" w:cs="Arial"/>
          <w:sz w:val="22"/>
          <w:szCs w:val="22"/>
        </w:rPr>
        <w:t xml:space="preserve">ipeline development has progressed </w:t>
      </w:r>
      <w:r w:rsidR="00594025" w:rsidRPr="005B0B73">
        <w:rPr>
          <w:rFonts w:eastAsia="Arial" w:cs="Arial"/>
          <w:sz w:val="22"/>
          <w:szCs w:val="22"/>
        </w:rPr>
        <w:t xml:space="preserve">and </w:t>
      </w:r>
      <w:r w:rsidR="7D58487F" w:rsidRPr="005B0B73">
        <w:rPr>
          <w:rFonts w:eastAsia="Arial" w:cs="Arial"/>
          <w:sz w:val="22"/>
          <w:szCs w:val="22"/>
        </w:rPr>
        <w:t>several countries have reached important milestones during the reporting period</w:t>
      </w:r>
      <w:r w:rsidR="005D2F4E" w:rsidRPr="005B0B73">
        <w:rPr>
          <w:rFonts w:eastAsia="Arial" w:cs="Arial"/>
          <w:sz w:val="22"/>
          <w:szCs w:val="22"/>
        </w:rPr>
        <w:t xml:space="preserve"> (</w:t>
      </w:r>
      <w:r w:rsidR="005D2F4E" w:rsidRPr="005B0B73">
        <w:rPr>
          <w:rFonts w:eastAsia="Arial" w:cs="Arial"/>
          <w:color w:val="000000" w:themeColor="text1"/>
          <w:sz w:val="22"/>
          <w:szCs w:val="22"/>
        </w:rPr>
        <w:t>1 April 25 – 31 March 26)</w:t>
      </w:r>
      <w:r w:rsidR="7D58487F" w:rsidRPr="005B0B73">
        <w:rPr>
          <w:rFonts w:eastAsia="Arial" w:cs="Arial"/>
          <w:sz w:val="22"/>
          <w:szCs w:val="22"/>
        </w:rPr>
        <w:t>.</w:t>
      </w:r>
      <w:r w:rsidR="32E0F5A7" w:rsidRPr="005B0B73">
        <w:rPr>
          <w:rFonts w:eastAsia="Arial" w:cs="Arial"/>
          <w:sz w:val="22"/>
          <w:szCs w:val="22"/>
        </w:rPr>
        <w:t xml:space="preserve"> </w:t>
      </w:r>
      <w:r w:rsidR="399D6D4E" w:rsidRPr="005B0B73">
        <w:rPr>
          <w:rFonts w:eastAsia="Arial" w:cs="Arial"/>
          <w:sz w:val="22"/>
          <w:szCs w:val="22"/>
        </w:rPr>
        <w:t>Highlights during the report</w:t>
      </w:r>
      <w:r w:rsidR="005D2F4E" w:rsidRPr="005B0B73">
        <w:rPr>
          <w:rFonts w:eastAsia="Arial" w:cs="Arial"/>
          <w:sz w:val="22"/>
          <w:szCs w:val="22"/>
        </w:rPr>
        <w:t xml:space="preserve">ing </w:t>
      </w:r>
      <w:r w:rsidR="399D6D4E" w:rsidRPr="005B0B73">
        <w:rPr>
          <w:rFonts w:eastAsia="Arial" w:cs="Arial"/>
          <w:sz w:val="22"/>
          <w:szCs w:val="22"/>
        </w:rPr>
        <w:t>period include</w:t>
      </w:r>
      <w:r w:rsidR="007A6AA8" w:rsidRPr="005B0B73">
        <w:rPr>
          <w:rFonts w:eastAsia="Arial" w:cs="Arial"/>
          <w:sz w:val="22"/>
          <w:szCs w:val="22"/>
        </w:rPr>
        <w:t xml:space="preserve">: </w:t>
      </w:r>
    </w:p>
    <w:p w14:paraId="3EDBF268" w14:textId="71A7568F" w:rsidR="007A6AA8" w:rsidRPr="005B0B73" w:rsidRDefault="007A6AA8" w:rsidP="4B689E0D">
      <w:pPr>
        <w:spacing w:line="257" w:lineRule="auto"/>
        <w:jc w:val="both"/>
        <w:rPr>
          <w:rFonts w:eastAsia="Arial" w:cs="Arial"/>
          <w:sz w:val="22"/>
          <w:szCs w:val="22"/>
        </w:rPr>
      </w:pPr>
    </w:p>
    <w:p w14:paraId="2A365F5C" w14:textId="464B3A33" w:rsidR="005F5F9E" w:rsidRPr="005B0B73" w:rsidRDefault="00BC7EAE" w:rsidP="005761CB">
      <w:pPr>
        <w:pStyle w:val="ListParagraph"/>
        <w:numPr>
          <w:ilvl w:val="0"/>
          <w:numId w:val="39"/>
        </w:numPr>
        <w:spacing w:line="257" w:lineRule="auto"/>
        <w:jc w:val="both"/>
        <w:rPr>
          <w:rFonts w:eastAsia="Arial" w:cs="Arial"/>
          <w:sz w:val="22"/>
          <w:szCs w:val="22"/>
        </w:rPr>
      </w:pPr>
      <w:r w:rsidRPr="005B0B73">
        <w:rPr>
          <w:rFonts w:eastAsia="Arial" w:cs="Arial"/>
          <w:b/>
          <w:bCs/>
          <w:sz w:val="22"/>
          <w:szCs w:val="22"/>
        </w:rPr>
        <w:t>Increased momentum in pipeline development</w:t>
      </w:r>
      <w:r w:rsidRPr="005B0B73">
        <w:rPr>
          <w:rFonts w:eastAsia="Arial" w:cs="Arial"/>
          <w:sz w:val="22"/>
          <w:szCs w:val="22"/>
        </w:rPr>
        <w:t>, with additional pre</w:t>
      </w:r>
      <w:r w:rsidRPr="005B0B73">
        <w:rPr>
          <w:rFonts w:cs="Arial"/>
        </w:rPr>
        <w:noBreakHyphen/>
      </w:r>
      <w:r w:rsidR="00D667DA" w:rsidRPr="005B0B73">
        <w:rPr>
          <w:rFonts w:eastAsia="Arial" w:cs="Arial"/>
          <w:sz w:val="22"/>
          <w:szCs w:val="22"/>
        </w:rPr>
        <w:t>project Information Notes (PIN)</w:t>
      </w:r>
      <w:r w:rsidRPr="005B0B73">
        <w:rPr>
          <w:rFonts w:eastAsia="Arial" w:cs="Arial"/>
          <w:sz w:val="22"/>
          <w:szCs w:val="22"/>
        </w:rPr>
        <w:t xml:space="preserve"> and PINs presented during the reporting period, including projects in </w:t>
      </w:r>
      <w:r w:rsidR="00E36E07" w:rsidRPr="005B0B73">
        <w:rPr>
          <w:rFonts w:eastAsia="Arial" w:cs="Arial"/>
          <w:sz w:val="22"/>
          <w:szCs w:val="22"/>
        </w:rPr>
        <w:t>t</w:t>
      </w:r>
      <w:r w:rsidR="00494A55" w:rsidRPr="005B0B73">
        <w:rPr>
          <w:rFonts w:eastAsia="Arial" w:cs="Arial"/>
          <w:sz w:val="22"/>
          <w:szCs w:val="22"/>
        </w:rPr>
        <w:t>he Kyrgyz Republic</w:t>
      </w:r>
      <w:r w:rsidRPr="005B0B73">
        <w:rPr>
          <w:rFonts w:eastAsia="Arial" w:cs="Arial"/>
          <w:sz w:val="22"/>
          <w:szCs w:val="22"/>
        </w:rPr>
        <w:t xml:space="preserve"> </w:t>
      </w:r>
      <w:r w:rsidR="00556135" w:rsidRPr="005B0B73">
        <w:rPr>
          <w:rFonts w:eastAsia="Arial" w:cs="Arial"/>
          <w:sz w:val="22"/>
          <w:szCs w:val="22"/>
        </w:rPr>
        <w:t xml:space="preserve">($35 million) </w:t>
      </w:r>
      <w:r w:rsidRPr="005B0B73">
        <w:rPr>
          <w:rFonts w:eastAsia="Arial" w:cs="Arial"/>
          <w:sz w:val="22"/>
          <w:szCs w:val="22"/>
        </w:rPr>
        <w:t>and Ecuador</w:t>
      </w:r>
      <w:r w:rsidR="0088050A" w:rsidRPr="005B0B73">
        <w:rPr>
          <w:rFonts w:eastAsia="Arial" w:cs="Arial"/>
          <w:sz w:val="22"/>
          <w:szCs w:val="22"/>
        </w:rPr>
        <w:t xml:space="preserve"> ($20 million)</w:t>
      </w:r>
      <w:r w:rsidR="005761CB" w:rsidRPr="005B0B73">
        <w:rPr>
          <w:rFonts w:eastAsia="Arial" w:cs="Arial"/>
          <w:sz w:val="22"/>
          <w:szCs w:val="22"/>
        </w:rPr>
        <w:t xml:space="preserve">. This was supported through streamlining of World Bank internal decision-making process. </w:t>
      </w:r>
      <w:r w:rsidR="005F5F9E" w:rsidRPr="005B0B73">
        <w:rPr>
          <w:rFonts w:eastAsia="Arial" w:cs="Arial"/>
          <w:sz w:val="22"/>
          <w:szCs w:val="22"/>
        </w:rPr>
        <w:t>I</w:t>
      </w:r>
      <w:r w:rsidR="006D4D33" w:rsidRPr="005B0B73">
        <w:rPr>
          <w:rFonts w:eastAsia="Arial" w:cs="Arial"/>
          <w:sz w:val="22"/>
          <w:szCs w:val="22"/>
        </w:rPr>
        <w:t>n relation to:</w:t>
      </w:r>
    </w:p>
    <w:p w14:paraId="1E559EDE" w14:textId="57263698" w:rsidR="006D4D33" w:rsidRPr="005B0B73" w:rsidRDefault="00494A55" w:rsidP="005F5F9E">
      <w:pPr>
        <w:pStyle w:val="ListParagraph"/>
        <w:numPr>
          <w:ilvl w:val="1"/>
          <w:numId w:val="39"/>
        </w:numPr>
        <w:spacing w:line="257" w:lineRule="auto"/>
        <w:jc w:val="both"/>
        <w:rPr>
          <w:rFonts w:eastAsia="Arial" w:cs="Arial"/>
          <w:sz w:val="22"/>
          <w:szCs w:val="22"/>
        </w:rPr>
      </w:pPr>
      <w:r w:rsidRPr="005B0B73">
        <w:rPr>
          <w:rFonts w:eastAsia="Arial" w:cs="Arial"/>
          <w:b/>
          <w:bCs/>
          <w:sz w:val="22"/>
          <w:szCs w:val="22"/>
        </w:rPr>
        <w:t>The Kyrgyz Republic</w:t>
      </w:r>
      <w:r w:rsidR="006D4D33" w:rsidRPr="005B0B73">
        <w:rPr>
          <w:rFonts w:eastAsia="Arial" w:cs="Arial"/>
          <w:b/>
          <w:bCs/>
          <w:sz w:val="22"/>
          <w:szCs w:val="22"/>
        </w:rPr>
        <w:t>:</w:t>
      </w:r>
      <w:r w:rsidR="006D4D33" w:rsidRPr="005B0B73">
        <w:rPr>
          <w:rFonts w:eastAsia="Arial" w:cs="Arial"/>
          <w:sz w:val="22"/>
          <w:szCs w:val="22"/>
        </w:rPr>
        <w:t xml:space="preserve"> Progress has been made to strengthen the </w:t>
      </w:r>
      <w:r w:rsidRPr="005B0B73">
        <w:rPr>
          <w:rFonts w:eastAsia="Arial" w:cs="Arial"/>
          <w:sz w:val="22"/>
          <w:szCs w:val="22"/>
        </w:rPr>
        <w:t>Kyrgyz Republic</w:t>
      </w:r>
      <w:r w:rsidR="006D4D33" w:rsidRPr="005B0B73">
        <w:rPr>
          <w:rFonts w:eastAsia="Arial" w:cs="Arial"/>
          <w:sz w:val="22"/>
          <w:szCs w:val="22"/>
        </w:rPr>
        <w:t xml:space="preserve"> energy policy crediting proposal to ensure credible baselines, realistic fiscal assumptions, robust grid and emissions modelling, and clearer assessment of demand impacts.</w:t>
      </w:r>
      <w:r w:rsidR="006F3640" w:rsidRPr="005B0B73">
        <w:rPr>
          <w:rFonts w:eastAsia="Arial" w:cs="Arial"/>
          <w:sz w:val="22"/>
          <w:szCs w:val="22"/>
        </w:rPr>
        <w:t xml:space="preserve"> The pro</w:t>
      </w:r>
      <w:r w:rsidR="003D7034" w:rsidRPr="005B0B73">
        <w:rPr>
          <w:rFonts w:eastAsia="Arial" w:cs="Arial"/>
          <w:sz w:val="22"/>
          <w:szCs w:val="22"/>
        </w:rPr>
        <w:t>gram will include</w:t>
      </w:r>
      <w:r w:rsidR="00052847" w:rsidRPr="005B0B73">
        <w:rPr>
          <w:rFonts w:eastAsia="Arial" w:cs="Arial"/>
          <w:sz w:val="22"/>
          <w:szCs w:val="22"/>
        </w:rPr>
        <w:t xml:space="preserve"> use of the </w:t>
      </w:r>
      <w:r w:rsidR="005F5F9E" w:rsidRPr="005B0B73">
        <w:rPr>
          <w:rFonts w:eastAsia="Arial" w:cs="Arial"/>
          <w:sz w:val="22"/>
          <w:szCs w:val="22"/>
        </w:rPr>
        <w:t xml:space="preserve">UNFCCC </w:t>
      </w:r>
      <w:r w:rsidR="00052847" w:rsidRPr="005B0B73">
        <w:rPr>
          <w:rFonts w:eastAsia="Arial" w:cs="Arial"/>
          <w:sz w:val="22"/>
          <w:szCs w:val="22"/>
        </w:rPr>
        <w:t xml:space="preserve">Article 6.4 Sustainable Development tool, </w:t>
      </w:r>
      <w:r w:rsidR="003D7034" w:rsidRPr="005B0B73">
        <w:rPr>
          <w:rFonts w:eastAsia="Arial" w:cs="Arial"/>
          <w:sz w:val="22"/>
          <w:szCs w:val="22"/>
        </w:rPr>
        <w:t xml:space="preserve">which was </w:t>
      </w:r>
      <w:r w:rsidR="00052847" w:rsidRPr="005B0B73">
        <w:rPr>
          <w:rFonts w:eastAsia="Arial" w:cs="Arial"/>
          <w:sz w:val="22"/>
          <w:szCs w:val="22"/>
        </w:rPr>
        <w:t xml:space="preserve">adopted </w:t>
      </w:r>
      <w:r w:rsidR="005F5F9E" w:rsidRPr="005B0B73">
        <w:rPr>
          <w:rFonts w:eastAsia="Arial" w:cs="Arial"/>
          <w:sz w:val="22"/>
          <w:szCs w:val="22"/>
        </w:rPr>
        <w:t xml:space="preserve">in October 2024. </w:t>
      </w:r>
      <w:r w:rsidR="006D4D33" w:rsidRPr="005B0B73">
        <w:rPr>
          <w:rFonts w:eastAsia="Arial" w:cs="Arial"/>
          <w:sz w:val="22"/>
          <w:szCs w:val="22"/>
        </w:rPr>
        <w:t xml:space="preserve">Kyrgyz </w:t>
      </w:r>
      <w:proofErr w:type="spellStart"/>
      <w:r w:rsidR="006D4D33" w:rsidRPr="005B0B73">
        <w:rPr>
          <w:rFonts w:eastAsia="Arial" w:cs="Arial"/>
          <w:sz w:val="22"/>
          <w:szCs w:val="22"/>
        </w:rPr>
        <w:t>iFIRST</w:t>
      </w:r>
      <w:proofErr w:type="spellEnd"/>
      <w:r w:rsidR="006D4D33" w:rsidRPr="005B0B73">
        <w:rPr>
          <w:rFonts w:eastAsia="Arial" w:cs="Arial"/>
          <w:sz w:val="22"/>
          <w:szCs w:val="22"/>
        </w:rPr>
        <w:t xml:space="preserve"> programme negotiations concluded successfully in this reporting period, with World Bank approval, validation, and parliamentary ratification processes underway ahead of expected signing in late June and a planned launch mission in September.</w:t>
      </w:r>
    </w:p>
    <w:p w14:paraId="409B8734" w14:textId="5C61CC37" w:rsidR="003D510D" w:rsidRPr="005B0B73" w:rsidRDefault="00BA03C9" w:rsidP="00B27832">
      <w:pPr>
        <w:pStyle w:val="ListParagraph"/>
        <w:numPr>
          <w:ilvl w:val="1"/>
          <w:numId w:val="39"/>
        </w:numPr>
        <w:spacing w:line="257" w:lineRule="auto"/>
        <w:jc w:val="both"/>
        <w:rPr>
          <w:rFonts w:eastAsia="Arial" w:cs="Arial"/>
          <w:sz w:val="22"/>
          <w:szCs w:val="22"/>
        </w:rPr>
      </w:pPr>
      <w:r w:rsidRPr="005B0B73">
        <w:rPr>
          <w:rFonts w:eastAsia="Arial" w:cs="Arial"/>
          <w:b/>
          <w:bCs/>
          <w:sz w:val="22"/>
          <w:szCs w:val="22"/>
        </w:rPr>
        <w:t>Ecuador:</w:t>
      </w:r>
      <w:r w:rsidR="00D667DA" w:rsidRPr="005B0B73">
        <w:rPr>
          <w:rFonts w:eastAsia="Arial" w:cs="Arial"/>
          <w:sz w:val="22"/>
          <w:szCs w:val="22"/>
        </w:rPr>
        <w:t xml:space="preserve"> Progress was made this reporting period with Pre</w:t>
      </w:r>
      <w:r w:rsidR="002E27BD" w:rsidRPr="005B0B73">
        <w:rPr>
          <w:rFonts w:eastAsia="Arial" w:cs="Arial"/>
          <w:sz w:val="22"/>
          <w:szCs w:val="22"/>
        </w:rPr>
        <w:t>-</w:t>
      </w:r>
      <w:r w:rsidR="00D667DA" w:rsidRPr="005B0B73">
        <w:rPr>
          <w:rFonts w:eastAsia="Arial" w:cs="Arial"/>
          <w:sz w:val="22"/>
          <w:szCs w:val="22"/>
        </w:rPr>
        <w:t>PIN</w:t>
      </w:r>
      <w:r w:rsidR="002E27BD" w:rsidRPr="005B0B73">
        <w:rPr>
          <w:rFonts w:eastAsia="Arial" w:cs="Arial"/>
          <w:sz w:val="22"/>
          <w:szCs w:val="22"/>
        </w:rPr>
        <w:t xml:space="preserve">, PIN preparation and assessment, </w:t>
      </w:r>
      <w:r w:rsidR="00E03FE1" w:rsidRPr="005B0B73">
        <w:rPr>
          <w:rFonts w:eastAsia="Arial" w:cs="Arial"/>
          <w:sz w:val="22"/>
          <w:szCs w:val="22"/>
        </w:rPr>
        <w:t>and a Note on Additionality Demonstration and Baseline Setting.</w:t>
      </w:r>
      <w:r w:rsidR="00DD4A71" w:rsidRPr="005B0B73">
        <w:rPr>
          <w:rFonts w:eastAsia="Arial" w:cs="Arial"/>
          <w:sz w:val="22"/>
          <w:szCs w:val="22"/>
        </w:rPr>
        <w:t xml:space="preserve"> </w:t>
      </w:r>
      <w:r w:rsidR="007D7978" w:rsidRPr="005B0B73">
        <w:rPr>
          <w:rFonts w:eastAsia="Arial" w:cs="Arial"/>
          <w:sz w:val="22"/>
          <w:szCs w:val="22"/>
        </w:rPr>
        <w:t>The program design has embedded ambition through incentives for energy-efficient transport programs aligned with the diesel reform (e.g. measures such as vehicle scrapping and electrification). </w:t>
      </w:r>
    </w:p>
    <w:p w14:paraId="496CCF4F" w14:textId="39C00167" w:rsidR="00D75031" w:rsidRPr="005B0B73" w:rsidRDefault="00D75031" w:rsidP="00DD4A71">
      <w:pPr>
        <w:pStyle w:val="ListParagraph"/>
        <w:numPr>
          <w:ilvl w:val="0"/>
          <w:numId w:val="39"/>
        </w:numPr>
        <w:spacing w:line="257" w:lineRule="auto"/>
        <w:jc w:val="both"/>
        <w:rPr>
          <w:rFonts w:eastAsia="Arial" w:cs="Arial"/>
          <w:sz w:val="22"/>
          <w:szCs w:val="22"/>
        </w:rPr>
      </w:pPr>
      <w:r w:rsidRPr="005B0B73">
        <w:rPr>
          <w:rFonts w:eastAsia="Arial" w:cs="Arial"/>
          <w:b/>
          <w:bCs/>
          <w:sz w:val="22"/>
          <w:szCs w:val="22"/>
        </w:rPr>
        <w:t>The TCAF programme being actively shaped and responding to emerging best practice and high integrity crediting.</w:t>
      </w:r>
      <w:r w:rsidRPr="005B0B73">
        <w:rPr>
          <w:rFonts w:eastAsia="Arial" w:cs="Arial"/>
          <w:sz w:val="22"/>
          <w:szCs w:val="22"/>
        </w:rPr>
        <w:t xml:space="preserve"> This includes through the UK and Norway setting out that TCAF should only support high</w:t>
      </w:r>
      <w:r w:rsidRPr="005B0B73">
        <w:rPr>
          <w:rFonts w:cs="Arial"/>
        </w:rPr>
        <w:noBreakHyphen/>
      </w:r>
      <w:r w:rsidRPr="005B0B73">
        <w:rPr>
          <w:rFonts w:eastAsia="Arial" w:cs="Arial"/>
          <w:sz w:val="22"/>
          <w:szCs w:val="22"/>
        </w:rPr>
        <w:t>integrity crediting by limiting retroactive crediting to cases with clear incentive effects, requiring robust additionality, and applying conservative, credible baselines aligned with Article 6. Whilst remaining Article 6.2 approaches, the Ecuador and Kyrgyz Republic program</w:t>
      </w:r>
      <w:r w:rsidR="00DD4A71" w:rsidRPr="005B0B73">
        <w:rPr>
          <w:rFonts w:eastAsia="Arial" w:cs="Arial"/>
          <w:sz w:val="22"/>
          <w:szCs w:val="22"/>
        </w:rPr>
        <w:t xml:space="preserve">s have </w:t>
      </w:r>
      <w:r w:rsidR="00CA3B06" w:rsidRPr="005B0B73">
        <w:rPr>
          <w:rFonts w:eastAsia="Arial" w:cs="Arial"/>
          <w:sz w:val="22"/>
          <w:szCs w:val="22"/>
        </w:rPr>
        <w:t>now</w:t>
      </w:r>
      <w:r w:rsidRPr="005B0B73">
        <w:rPr>
          <w:rFonts w:eastAsia="Arial" w:cs="Arial"/>
          <w:sz w:val="22"/>
          <w:szCs w:val="22"/>
        </w:rPr>
        <w:t xml:space="preserve"> </w:t>
      </w:r>
      <w:proofErr w:type="gramStart"/>
      <w:r w:rsidRPr="005B0B73">
        <w:rPr>
          <w:rFonts w:eastAsia="Arial" w:cs="Arial"/>
          <w:sz w:val="22"/>
          <w:szCs w:val="22"/>
        </w:rPr>
        <w:t>taken into account</w:t>
      </w:r>
      <w:proofErr w:type="gramEnd"/>
      <w:r w:rsidRPr="005B0B73">
        <w:rPr>
          <w:rFonts w:eastAsia="Arial" w:cs="Arial"/>
          <w:sz w:val="22"/>
          <w:szCs w:val="22"/>
        </w:rPr>
        <w:t xml:space="preserve"> developments under Article 6.4 (Paris Agreement Crediting Mechanism)</w:t>
      </w:r>
      <w:r w:rsidR="00DD4A71" w:rsidRPr="005B0B73">
        <w:rPr>
          <w:rFonts w:eastAsia="Arial" w:cs="Arial"/>
          <w:sz w:val="22"/>
          <w:szCs w:val="22"/>
        </w:rPr>
        <w:t xml:space="preserve"> in their design</w:t>
      </w:r>
      <w:r w:rsidR="003D7034" w:rsidRPr="005B0B73">
        <w:rPr>
          <w:rFonts w:eastAsia="Arial" w:cs="Arial"/>
          <w:sz w:val="22"/>
          <w:szCs w:val="22"/>
        </w:rPr>
        <w:t xml:space="preserve"> </w:t>
      </w:r>
      <w:proofErr w:type="gramStart"/>
      <w:r w:rsidR="003D7034" w:rsidRPr="005B0B73">
        <w:rPr>
          <w:rFonts w:eastAsia="Arial" w:cs="Arial"/>
          <w:sz w:val="22"/>
          <w:szCs w:val="22"/>
        </w:rPr>
        <w:t xml:space="preserve">as </w:t>
      </w:r>
      <w:r w:rsidR="00DD4A71" w:rsidRPr="005B0B73">
        <w:rPr>
          <w:rFonts w:eastAsia="Arial" w:cs="Arial"/>
          <w:sz w:val="22"/>
          <w:szCs w:val="22"/>
        </w:rPr>
        <w:t>a</w:t>
      </w:r>
      <w:r w:rsidR="003D7034" w:rsidRPr="005B0B73">
        <w:rPr>
          <w:rFonts w:eastAsia="Arial" w:cs="Arial"/>
          <w:sz w:val="22"/>
          <w:szCs w:val="22"/>
        </w:rPr>
        <w:t xml:space="preserve"> means to</w:t>
      </w:r>
      <w:proofErr w:type="gramEnd"/>
      <w:r w:rsidR="003D7034" w:rsidRPr="005B0B73">
        <w:rPr>
          <w:rFonts w:eastAsia="Arial" w:cs="Arial"/>
          <w:sz w:val="22"/>
          <w:szCs w:val="22"/>
        </w:rPr>
        <w:t xml:space="preserve"> help meet Article 6.2 rules -</w:t>
      </w:r>
      <w:r w:rsidRPr="005B0B73">
        <w:rPr>
          <w:rFonts w:eastAsia="Arial" w:cs="Arial"/>
          <w:sz w:val="22"/>
          <w:szCs w:val="22"/>
        </w:rPr>
        <w:t xml:space="preserve"> a significant achievement.</w:t>
      </w:r>
      <w:r w:rsidR="002D69B8" w:rsidRPr="005B0B73">
        <w:rPr>
          <w:rFonts w:eastAsia="Arial" w:cs="Arial"/>
          <w:sz w:val="22"/>
          <w:szCs w:val="22"/>
        </w:rPr>
        <w:t xml:space="preserve"> </w:t>
      </w:r>
      <w:r w:rsidR="00D93BF8" w:rsidRPr="005B0B73">
        <w:rPr>
          <w:rFonts w:eastAsia="Arial" w:cs="Arial"/>
          <w:sz w:val="22"/>
          <w:szCs w:val="22"/>
        </w:rPr>
        <w:t xml:space="preserve">More broadly this has led to a positive </w:t>
      </w:r>
      <w:r w:rsidR="00E70F5A" w:rsidRPr="005B0B73">
        <w:rPr>
          <w:rFonts w:eastAsia="Arial" w:cs="Arial"/>
          <w:sz w:val="22"/>
          <w:szCs w:val="22"/>
        </w:rPr>
        <w:t>increase in work to operationalise projects and develop methodological approaches aligned with Article 6.</w:t>
      </w:r>
      <w:r w:rsidR="00072D95" w:rsidRPr="005B0B73">
        <w:rPr>
          <w:rFonts w:eastAsia="Arial" w:cs="Arial"/>
          <w:sz w:val="22"/>
          <w:szCs w:val="22"/>
        </w:rPr>
        <w:t xml:space="preserve"> </w:t>
      </w:r>
      <w:r w:rsidR="002D69B8" w:rsidRPr="005B0B73">
        <w:rPr>
          <w:rFonts w:eastAsia="Arial" w:cs="Arial"/>
          <w:sz w:val="22"/>
          <w:szCs w:val="22"/>
        </w:rPr>
        <w:t>This reflects a broader shift across the portfolio towards generating verified emissions reductions and building replicable models for scaled carbon market interventions.</w:t>
      </w:r>
    </w:p>
    <w:p w14:paraId="1808E44D" w14:textId="215ECC1A" w:rsidR="00C2176D" w:rsidRPr="005B0B73" w:rsidRDefault="00D75031" w:rsidP="00C2176D">
      <w:pPr>
        <w:pStyle w:val="ListParagraph"/>
        <w:numPr>
          <w:ilvl w:val="0"/>
          <w:numId w:val="39"/>
        </w:numPr>
        <w:spacing w:line="257" w:lineRule="auto"/>
        <w:jc w:val="both"/>
        <w:rPr>
          <w:rFonts w:eastAsia="Arial" w:cs="Arial"/>
          <w:sz w:val="22"/>
          <w:szCs w:val="22"/>
        </w:rPr>
      </w:pPr>
      <w:r w:rsidRPr="005B0B73">
        <w:rPr>
          <w:rFonts w:eastAsia="Arial" w:cs="Arial"/>
          <w:b/>
          <w:bCs/>
          <w:sz w:val="22"/>
          <w:szCs w:val="22"/>
        </w:rPr>
        <w:t>Adoption of deliberate portfolio diversification strategy.</w:t>
      </w:r>
      <w:r w:rsidRPr="005B0B73">
        <w:rPr>
          <w:rFonts w:eastAsia="Arial" w:cs="Arial"/>
          <w:sz w:val="22"/>
          <w:szCs w:val="22"/>
        </w:rPr>
        <w:t xml:space="preserve"> This was adopted in </w:t>
      </w:r>
      <w:proofErr w:type="gramStart"/>
      <w:r w:rsidRPr="005B0B73">
        <w:rPr>
          <w:rFonts w:eastAsia="Arial" w:cs="Arial"/>
          <w:sz w:val="22"/>
          <w:szCs w:val="22"/>
        </w:rPr>
        <w:t>September 2025, and</w:t>
      </w:r>
      <w:proofErr w:type="gramEnd"/>
      <w:r w:rsidRPr="005B0B73">
        <w:rPr>
          <w:rFonts w:eastAsia="Arial" w:cs="Arial"/>
          <w:sz w:val="22"/>
          <w:szCs w:val="22"/>
        </w:rPr>
        <w:t xml:space="preserve"> allocated the remaining $107–111 million across new pipeline projects to manage delivery risks stemming from delays in the Vietnam and Nepal programs. </w:t>
      </w:r>
    </w:p>
    <w:p w14:paraId="6A8BF25D" w14:textId="7A121B28" w:rsidR="00C2176D" w:rsidRPr="005B0B73" w:rsidRDefault="000B5659" w:rsidP="00C2176D">
      <w:pPr>
        <w:pStyle w:val="ListParagraph"/>
        <w:numPr>
          <w:ilvl w:val="0"/>
          <w:numId w:val="39"/>
        </w:numPr>
        <w:spacing w:line="257" w:lineRule="auto"/>
        <w:jc w:val="both"/>
        <w:rPr>
          <w:rFonts w:eastAsia="Arial" w:cs="Arial"/>
          <w:sz w:val="22"/>
          <w:szCs w:val="22"/>
        </w:rPr>
      </w:pPr>
      <w:r w:rsidRPr="005B0B73">
        <w:rPr>
          <w:rFonts w:eastAsia="Arial" w:cs="Arial"/>
          <w:b/>
          <w:bCs/>
          <w:sz w:val="22"/>
          <w:szCs w:val="22"/>
        </w:rPr>
        <w:t>Sustained</w:t>
      </w:r>
      <w:r w:rsidR="00C2176D" w:rsidRPr="005B0B73">
        <w:rPr>
          <w:rFonts w:eastAsia="Arial" w:cs="Arial"/>
          <w:b/>
          <w:bCs/>
          <w:sz w:val="22"/>
          <w:szCs w:val="22"/>
        </w:rPr>
        <w:t xml:space="preserve"> technical and institutional capacity</w:t>
      </w:r>
      <w:r w:rsidRPr="005B0B73">
        <w:rPr>
          <w:rFonts w:eastAsia="Arial" w:cs="Arial"/>
          <w:b/>
          <w:bCs/>
          <w:sz w:val="22"/>
          <w:szCs w:val="22"/>
        </w:rPr>
        <w:t xml:space="preserve"> building</w:t>
      </w:r>
      <w:r w:rsidR="00C2176D" w:rsidRPr="005B0B73">
        <w:rPr>
          <w:rFonts w:eastAsia="Arial" w:cs="Arial"/>
          <w:b/>
          <w:bCs/>
          <w:sz w:val="22"/>
          <w:szCs w:val="22"/>
        </w:rPr>
        <w:t xml:space="preserve"> in partner countries, </w:t>
      </w:r>
      <w:r w:rsidR="00C2176D" w:rsidRPr="005B0B73">
        <w:rPr>
          <w:rFonts w:eastAsia="Arial" w:cs="Arial"/>
          <w:sz w:val="22"/>
          <w:szCs w:val="22"/>
        </w:rPr>
        <w:t xml:space="preserve">including through workshops, legal agreements support and development of methodologies and MRV systems. Country engagement deepened considerably, with TCAF providing targeted support on carbon market regulation, institutional capacity, and Article 6 readiness. This underpins countries’ readiness to participate in international carbon markets and aligns with TCAF’s objective of piloting Article 6 mechanisms and sharing lessons globally. Country specific development highlights his period include: </w:t>
      </w:r>
    </w:p>
    <w:p w14:paraId="15DDCB3B" w14:textId="77777777" w:rsidR="00C2176D" w:rsidRPr="005B0B73" w:rsidRDefault="00C2176D" w:rsidP="00C2176D">
      <w:pPr>
        <w:pStyle w:val="ListParagraph"/>
        <w:numPr>
          <w:ilvl w:val="1"/>
          <w:numId w:val="39"/>
        </w:numPr>
        <w:spacing w:line="257" w:lineRule="auto"/>
        <w:jc w:val="both"/>
        <w:rPr>
          <w:rFonts w:eastAsia="Arial" w:cs="Arial"/>
          <w:sz w:val="22"/>
          <w:szCs w:val="22"/>
        </w:rPr>
      </w:pPr>
      <w:r w:rsidRPr="005B0B73">
        <w:rPr>
          <w:rFonts w:eastAsia="Arial" w:cs="Arial"/>
          <w:sz w:val="22"/>
          <w:szCs w:val="22"/>
        </w:rPr>
        <w:t>Uzbekistan’s government submitted carbon market legislation for internal review in December 2025, expected to be issued in July 2026.</w:t>
      </w:r>
    </w:p>
    <w:p w14:paraId="78CA4A0E" w14:textId="3C8BC74D" w:rsidR="00C2176D" w:rsidRPr="005B0B73" w:rsidRDefault="00C2176D" w:rsidP="00C2176D">
      <w:pPr>
        <w:pStyle w:val="ListParagraph"/>
        <w:numPr>
          <w:ilvl w:val="1"/>
          <w:numId w:val="39"/>
        </w:numPr>
        <w:spacing w:line="257" w:lineRule="auto"/>
        <w:jc w:val="both"/>
        <w:rPr>
          <w:rFonts w:eastAsia="Arial" w:cs="Arial"/>
          <w:sz w:val="22"/>
          <w:szCs w:val="22"/>
        </w:rPr>
      </w:pPr>
      <w:r w:rsidRPr="005B0B73">
        <w:rPr>
          <w:rFonts w:eastAsia="Arial" w:cs="Arial"/>
          <w:sz w:val="22"/>
          <w:szCs w:val="22"/>
        </w:rPr>
        <w:t>Pakistan's Pak-FLOW program reached all preparation milestones. Pakistan's Ministry of Climate Change operationalized new Carbon Market Policy Guidelines, with provincial focal points now active in the approval process.</w:t>
      </w:r>
    </w:p>
    <w:p w14:paraId="0A0B320E" w14:textId="072C4DCD" w:rsidR="00C2176D" w:rsidRPr="005B0B73" w:rsidRDefault="00C2176D" w:rsidP="00C2176D">
      <w:pPr>
        <w:pStyle w:val="ListParagraph"/>
        <w:numPr>
          <w:ilvl w:val="1"/>
          <w:numId w:val="39"/>
        </w:numPr>
        <w:spacing w:line="257" w:lineRule="auto"/>
        <w:jc w:val="both"/>
        <w:rPr>
          <w:rFonts w:eastAsia="Arial" w:cs="Arial"/>
          <w:sz w:val="22"/>
          <w:szCs w:val="22"/>
        </w:rPr>
      </w:pPr>
      <w:r w:rsidRPr="005B0B73">
        <w:rPr>
          <w:rFonts w:eastAsia="Arial" w:cs="Arial"/>
          <w:sz w:val="22"/>
          <w:szCs w:val="22"/>
        </w:rPr>
        <w:lastRenderedPageBreak/>
        <w:t>In the Kyrgyz Republic, TCAF is supporting implementation of a newly adopted carbon market regulation (February 2026) and is developing an AI-powered ITMO authorization and reporting tool.</w:t>
      </w:r>
    </w:p>
    <w:p w14:paraId="04B245D4" w14:textId="66A2A57C" w:rsidR="00C2176D" w:rsidRPr="005B0B73" w:rsidRDefault="00857B9F" w:rsidP="00C2176D">
      <w:pPr>
        <w:spacing w:line="257" w:lineRule="auto"/>
        <w:jc w:val="both"/>
        <w:rPr>
          <w:rFonts w:eastAsia="Arial" w:cs="Arial"/>
          <w:sz w:val="22"/>
          <w:szCs w:val="22"/>
        </w:rPr>
      </w:pPr>
      <w:r w:rsidRPr="005B0B73">
        <w:rPr>
          <w:rFonts w:eastAsia="Arial" w:cs="Arial"/>
          <w:sz w:val="22"/>
          <w:szCs w:val="22"/>
        </w:rPr>
        <w:t>Progress this</w:t>
      </w:r>
      <w:r w:rsidR="00C2176D" w:rsidRPr="005B0B73">
        <w:rPr>
          <w:rFonts w:eastAsia="Arial" w:cs="Arial"/>
          <w:sz w:val="22"/>
          <w:szCs w:val="22"/>
        </w:rPr>
        <w:t xml:space="preserve"> reporting period ha</w:t>
      </w:r>
      <w:r w:rsidRPr="005B0B73">
        <w:rPr>
          <w:rFonts w:eastAsia="Arial" w:cs="Arial"/>
          <w:sz w:val="22"/>
          <w:szCs w:val="22"/>
        </w:rPr>
        <w:t>s</w:t>
      </w:r>
      <w:r w:rsidR="00C2176D" w:rsidRPr="005B0B73">
        <w:rPr>
          <w:rFonts w:eastAsia="Arial" w:cs="Arial"/>
          <w:sz w:val="22"/>
          <w:szCs w:val="22"/>
        </w:rPr>
        <w:t xml:space="preserve"> also supported achievements in 2026 just outside this reporting period</w:t>
      </w:r>
      <w:r w:rsidRPr="005B0B73">
        <w:rPr>
          <w:rFonts w:eastAsia="Arial" w:cs="Arial"/>
          <w:sz w:val="22"/>
          <w:szCs w:val="22"/>
        </w:rPr>
        <w:t>,</w:t>
      </w:r>
      <w:r w:rsidR="00C2176D" w:rsidRPr="005B0B73">
        <w:rPr>
          <w:rFonts w:eastAsia="Arial" w:cs="Arial"/>
          <w:sz w:val="22"/>
          <w:szCs w:val="22"/>
        </w:rPr>
        <w:t xml:space="preserve"> </w:t>
      </w:r>
      <w:r w:rsidRPr="005B0B73">
        <w:rPr>
          <w:rFonts w:eastAsia="Arial" w:cs="Arial"/>
          <w:sz w:val="22"/>
          <w:szCs w:val="22"/>
        </w:rPr>
        <w:t>that demonstrate wider</w:t>
      </w:r>
      <w:r w:rsidR="00C2176D" w:rsidRPr="005B0B73">
        <w:rPr>
          <w:rFonts w:eastAsia="Arial" w:cs="Arial"/>
          <w:sz w:val="22"/>
          <w:szCs w:val="22"/>
        </w:rPr>
        <w:t xml:space="preserve"> success in FY26. This includes:  </w:t>
      </w:r>
    </w:p>
    <w:p w14:paraId="462D8B84" w14:textId="749A75C3" w:rsidR="00C2176D" w:rsidRPr="005B0B73" w:rsidRDefault="00C2176D" w:rsidP="00C2176D">
      <w:pPr>
        <w:pStyle w:val="ListParagraph"/>
        <w:numPr>
          <w:ilvl w:val="0"/>
          <w:numId w:val="41"/>
        </w:numPr>
        <w:spacing w:line="257" w:lineRule="auto"/>
        <w:jc w:val="both"/>
        <w:rPr>
          <w:rFonts w:eastAsia="Arial" w:cs="Arial"/>
          <w:sz w:val="22"/>
          <w:szCs w:val="22"/>
        </w:rPr>
      </w:pPr>
      <w:r w:rsidRPr="005B0B73">
        <w:rPr>
          <w:rFonts w:eastAsia="Arial" w:cs="Arial"/>
          <w:sz w:val="22"/>
          <w:szCs w:val="22"/>
        </w:rPr>
        <w:t xml:space="preserve">Completion of the third and final Results-Based Finance payment to Uzbekistan's </w:t>
      </w:r>
      <w:r w:rsidR="004F326A" w:rsidRPr="005B0B73">
        <w:rPr>
          <w:rFonts w:eastAsia="Arial" w:cs="Arial"/>
          <w:sz w:val="22"/>
          <w:szCs w:val="22"/>
        </w:rPr>
        <w:t>Innovative Carbon Resource Application for Energy Transition (</w:t>
      </w:r>
      <w:proofErr w:type="spellStart"/>
      <w:r w:rsidR="004F326A" w:rsidRPr="005B0B73">
        <w:rPr>
          <w:rFonts w:eastAsia="Arial" w:cs="Arial"/>
          <w:sz w:val="22"/>
          <w:szCs w:val="22"/>
        </w:rPr>
        <w:t>iCRAFT</w:t>
      </w:r>
      <w:proofErr w:type="spellEnd"/>
      <w:r w:rsidR="004F326A" w:rsidRPr="005B0B73">
        <w:rPr>
          <w:rFonts w:eastAsia="Arial" w:cs="Arial"/>
          <w:sz w:val="22"/>
          <w:szCs w:val="22"/>
        </w:rPr>
        <w:t xml:space="preserve">) </w:t>
      </w:r>
      <w:r w:rsidRPr="005B0B73">
        <w:rPr>
          <w:rFonts w:eastAsia="Arial" w:cs="Arial"/>
          <w:sz w:val="22"/>
          <w:szCs w:val="22"/>
        </w:rPr>
        <w:t>program ($5 million in June 2026), with the first ITMO transfer now targeted for end of 2026.</w:t>
      </w:r>
    </w:p>
    <w:p w14:paraId="5C4E14F4" w14:textId="0B88973E" w:rsidR="00C2176D" w:rsidRPr="005B0B73" w:rsidRDefault="00C2176D" w:rsidP="00C2176D">
      <w:pPr>
        <w:pStyle w:val="ListParagraph"/>
        <w:numPr>
          <w:ilvl w:val="0"/>
          <w:numId w:val="41"/>
        </w:numPr>
        <w:spacing w:line="257" w:lineRule="auto"/>
        <w:jc w:val="both"/>
        <w:rPr>
          <w:rFonts w:eastAsia="Arial" w:cs="Arial"/>
          <w:sz w:val="22"/>
          <w:szCs w:val="22"/>
        </w:rPr>
      </w:pPr>
      <w:r w:rsidRPr="005B0B73">
        <w:rPr>
          <w:rFonts w:eastAsia="Arial" w:cs="Arial"/>
          <w:sz w:val="22"/>
          <w:szCs w:val="22"/>
        </w:rPr>
        <w:t xml:space="preserve">Pakistan's Pak-FLOW program </w:t>
      </w:r>
      <w:r w:rsidR="00913E7C" w:rsidRPr="005B0B73">
        <w:rPr>
          <w:rFonts w:eastAsia="Arial" w:cs="Arial"/>
          <w:sz w:val="22"/>
          <w:szCs w:val="22"/>
        </w:rPr>
        <w:t xml:space="preserve">preparation milestones reached and a </w:t>
      </w:r>
      <w:r w:rsidRPr="005B0B73">
        <w:rPr>
          <w:rFonts w:eastAsia="Arial" w:cs="Arial"/>
          <w:sz w:val="22"/>
          <w:szCs w:val="22"/>
        </w:rPr>
        <w:t>$40 million ERPA and MOPA signing</w:t>
      </w:r>
      <w:r w:rsidR="00913E7C" w:rsidRPr="005B0B73">
        <w:rPr>
          <w:rFonts w:eastAsia="Arial" w:cs="Arial"/>
          <w:sz w:val="22"/>
          <w:szCs w:val="22"/>
        </w:rPr>
        <w:t xml:space="preserve"> expected</w:t>
      </w:r>
      <w:r w:rsidRPr="005B0B73">
        <w:rPr>
          <w:rFonts w:eastAsia="Arial" w:cs="Arial"/>
          <w:sz w:val="22"/>
          <w:szCs w:val="22"/>
        </w:rPr>
        <w:t xml:space="preserve"> by October/November 2026. </w:t>
      </w:r>
    </w:p>
    <w:p w14:paraId="6A752E10" w14:textId="042698D6" w:rsidR="005D2F4E" w:rsidRPr="005B0B73" w:rsidRDefault="00C2176D" w:rsidP="000B5659">
      <w:pPr>
        <w:pStyle w:val="ListParagraph"/>
        <w:numPr>
          <w:ilvl w:val="0"/>
          <w:numId w:val="41"/>
        </w:numPr>
        <w:spacing w:line="257" w:lineRule="auto"/>
        <w:jc w:val="both"/>
        <w:rPr>
          <w:rFonts w:eastAsia="Arial" w:cs="Arial"/>
          <w:b/>
          <w:bCs/>
          <w:sz w:val="22"/>
          <w:szCs w:val="22"/>
        </w:rPr>
      </w:pPr>
      <w:r w:rsidRPr="005B0B73">
        <w:rPr>
          <w:rFonts w:eastAsia="Arial" w:cs="Arial"/>
          <w:sz w:val="22"/>
          <w:szCs w:val="22"/>
        </w:rPr>
        <w:t>The Ecuador program triggering a ministerial decree for ITMO authorization in June 2026.</w:t>
      </w:r>
    </w:p>
    <w:p w14:paraId="54968B6E" w14:textId="624760F4" w:rsidR="0C1FC537" w:rsidRPr="005B0B73" w:rsidRDefault="70FD5C8C" w:rsidP="00DD4A71">
      <w:pPr>
        <w:spacing w:line="257" w:lineRule="auto"/>
        <w:jc w:val="both"/>
        <w:rPr>
          <w:rFonts w:eastAsia="Arial" w:cs="Arial"/>
          <w:sz w:val="22"/>
          <w:szCs w:val="22"/>
        </w:rPr>
      </w:pPr>
      <w:r w:rsidRPr="005B0B73">
        <w:rPr>
          <w:rFonts w:eastAsia="Arial" w:cs="Arial"/>
          <w:sz w:val="22"/>
          <w:szCs w:val="22"/>
        </w:rPr>
        <w:t xml:space="preserve">That said, the programme </w:t>
      </w:r>
      <w:r w:rsidR="00B262C5">
        <w:rPr>
          <w:rFonts w:eastAsia="Arial" w:cs="Arial"/>
          <w:sz w:val="22"/>
          <w:szCs w:val="22"/>
        </w:rPr>
        <w:t>also faces challenges and delays</w:t>
      </w:r>
      <w:r w:rsidRPr="005B0B73">
        <w:rPr>
          <w:rFonts w:eastAsia="Arial" w:cs="Arial"/>
          <w:sz w:val="22"/>
          <w:szCs w:val="22"/>
        </w:rPr>
        <w:t xml:space="preserve">: </w:t>
      </w:r>
    </w:p>
    <w:p w14:paraId="6162CEA0" w14:textId="77777777" w:rsidR="00AE4A46" w:rsidRDefault="00AE4A46" w:rsidP="00AE4A46">
      <w:pPr>
        <w:pStyle w:val="ListParagraph"/>
        <w:ind w:left="0"/>
        <w:rPr>
          <w:rFonts w:eastAsia="Arial" w:cs="Arial"/>
          <w:b/>
          <w:bCs/>
          <w:sz w:val="22"/>
          <w:szCs w:val="22"/>
        </w:rPr>
      </w:pPr>
    </w:p>
    <w:p w14:paraId="353DA835" w14:textId="34F4D236" w:rsidR="00B262C5" w:rsidRPr="00AB6FFA" w:rsidRDefault="2757126F" w:rsidP="00AB6FFA">
      <w:pPr>
        <w:pStyle w:val="ListParagraph"/>
        <w:numPr>
          <w:ilvl w:val="0"/>
          <w:numId w:val="56"/>
        </w:numPr>
        <w:rPr>
          <w:rFonts w:eastAsia="Arial"/>
        </w:rPr>
      </w:pPr>
      <w:r w:rsidRPr="00AB6FFA">
        <w:rPr>
          <w:rFonts w:eastAsia="Arial" w:cs="Arial"/>
          <w:b/>
          <w:bCs/>
          <w:sz w:val="22"/>
          <w:szCs w:val="22"/>
        </w:rPr>
        <w:t xml:space="preserve">Disbursement </w:t>
      </w:r>
      <w:r w:rsidR="00887ADF">
        <w:rPr>
          <w:rFonts w:eastAsia="Arial" w:cs="Arial"/>
          <w:b/>
          <w:bCs/>
          <w:sz w:val="22"/>
          <w:szCs w:val="22"/>
        </w:rPr>
        <w:t xml:space="preserve">and the number of programs </w:t>
      </w:r>
      <w:proofErr w:type="gramStart"/>
      <w:r w:rsidRPr="00AB6FFA">
        <w:rPr>
          <w:rFonts w:eastAsia="Arial" w:cs="Arial"/>
          <w:b/>
          <w:bCs/>
          <w:sz w:val="22"/>
          <w:szCs w:val="22"/>
        </w:rPr>
        <w:t>remains</w:t>
      </w:r>
      <w:proofErr w:type="gramEnd"/>
      <w:r w:rsidRPr="00AB6FFA">
        <w:rPr>
          <w:rFonts w:eastAsia="Arial" w:cs="Arial"/>
          <w:b/>
          <w:bCs/>
          <w:sz w:val="22"/>
          <w:szCs w:val="22"/>
        </w:rPr>
        <w:t xml:space="preserve"> below target:</w:t>
      </w:r>
      <w:r w:rsidR="000636BC" w:rsidRPr="00AB6FFA">
        <w:rPr>
          <w:rFonts w:eastAsia="Arial" w:cs="Arial"/>
          <w:sz w:val="22"/>
          <w:szCs w:val="22"/>
        </w:rPr>
        <w:t xml:space="preserve"> </w:t>
      </w:r>
      <w:r w:rsidRPr="00AB6FFA">
        <w:rPr>
          <w:rFonts w:eastAsia="Arial" w:cs="Arial"/>
          <w:sz w:val="22"/>
          <w:szCs w:val="22"/>
        </w:rPr>
        <w:t xml:space="preserve">TCAF continues to have below-target disbursement with </w:t>
      </w:r>
      <w:r w:rsidR="00015DEA" w:rsidRPr="00AB6FFA">
        <w:rPr>
          <w:rFonts w:eastAsia="Arial" w:cs="Arial"/>
          <w:sz w:val="22"/>
          <w:szCs w:val="22"/>
        </w:rPr>
        <w:t>lower-than-expected</w:t>
      </w:r>
      <w:r w:rsidRPr="00AB6FFA">
        <w:rPr>
          <w:rFonts w:eastAsia="Arial" w:cs="Arial"/>
          <w:sz w:val="22"/>
          <w:szCs w:val="22"/>
        </w:rPr>
        <w:t xml:space="preserve"> volumes of both climate and carbon finance disbursed,</w:t>
      </w:r>
      <w:r w:rsidR="00D00F28">
        <w:rPr>
          <w:rFonts w:eastAsia="Arial" w:cs="Arial"/>
          <w:sz w:val="22"/>
          <w:szCs w:val="22"/>
        </w:rPr>
        <w:t xml:space="preserve"> and a lower number of </w:t>
      </w:r>
      <w:r w:rsidR="00E42158">
        <w:rPr>
          <w:rFonts w:eastAsia="Arial" w:cs="Arial"/>
          <w:sz w:val="22"/>
          <w:szCs w:val="22"/>
        </w:rPr>
        <w:t>programs</w:t>
      </w:r>
      <w:r w:rsidR="00272058">
        <w:rPr>
          <w:rFonts w:eastAsia="Arial" w:cs="Arial"/>
          <w:sz w:val="22"/>
          <w:szCs w:val="22"/>
        </w:rPr>
        <w:t xml:space="preserve"> being a </w:t>
      </w:r>
      <w:r w:rsidRPr="00AB6FFA">
        <w:rPr>
          <w:rFonts w:eastAsia="Arial" w:cs="Arial"/>
          <w:sz w:val="22"/>
          <w:szCs w:val="22"/>
        </w:rPr>
        <w:t>persistent challenge facing the fund</w:t>
      </w:r>
      <w:r w:rsidR="00DA7687">
        <w:rPr>
          <w:rStyle w:val="FootnoteReference"/>
          <w:rFonts w:eastAsia="Arial" w:cs="Arial"/>
          <w:sz w:val="22"/>
          <w:szCs w:val="22"/>
        </w:rPr>
        <w:footnoteReference w:id="2"/>
      </w:r>
      <w:r w:rsidRPr="00AB6FFA">
        <w:rPr>
          <w:rFonts w:eastAsia="Arial" w:cs="Arial"/>
          <w:sz w:val="22"/>
          <w:szCs w:val="22"/>
        </w:rPr>
        <w:t>.</w:t>
      </w:r>
      <w:r w:rsidR="00DA7687">
        <w:rPr>
          <w:rFonts w:eastAsia="Arial" w:cs="Arial"/>
          <w:sz w:val="22"/>
          <w:szCs w:val="22"/>
        </w:rPr>
        <w:t xml:space="preserve"> </w:t>
      </w:r>
    </w:p>
    <w:p w14:paraId="1E2135D4" w14:textId="43F8A1F3" w:rsidR="00F62EE0" w:rsidRDefault="00B262C5" w:rsidP="00AB6FFA">
      <w:pPr>
        <w:pStyle w:val="ListParagraph"/>
        <w:numPr>
          <w:ilvl w:val="0"/>
          <w:numId w:val="56"/>
        </w:numPr>
        <w:rPr>
          <w:rFonts w:eastAsia="Arial"/>
          <w:b/>
          <w:bCs/>
        </w:rPr>
      </w:pPr>
      <w:r w:rsidRPr="005070E5">
        <w:rPr>
          <w:rFonts w:eastAsia="Arial" w:cs="Arial"/>
          <w:b/>
          <w:bCs/>
          <w:sz w:val="22"/>
          <w:szCs w:val="22"/>
        </w:rPr>
        <w:t xml:space="preserve">High integrity pipeline development and meeting evolving </w:t>
      </w:r>
      <w:r w:rsidR="00C03D41">
        <w:rPr>
          <w:rFonts w:eastAsia="Arial" w:cs="Arial"/>
          <w:b/>
          <w:bCs/>
          <w:sz w:val="22"/>
          <w:szCs w:val="22"/>
        </w:rPr>
        <w:t>international</w:t>
      </w:r>
      <w:r w:rsidR="00B1630A">
        <w:rPr>
          <w:rFonts w:eastAsia="Arial" w:cs="Arial"/>
          <w:b/>
          <w:bCs/>
          <w:sz w:val="22"/>
          <w:szCs w:val="22"/>
        </w:rPr>
        <w:t xml:space="preserve"> best practice</w:t>
      </w:r>
      <w:r w:rsidRPr="005070E5">
        <w:rPr>
          <w:rFonts w:eastAsia="Arial" w:cs="Arial"/>
          <w:b/>
          <w:bCs/>
          <w:sz w:val="22"/>
          <w:szCs w:val="22"/>
        </w:rPr>
        <w:t>, host country and buyer</w:t>
      </w:r>
      <w:r w:rsidR="00C03D41">
        <w:rPr>
          <w:rFonts w:eastAsia="Arial" w:cs="Arial"/>
          <w:b/>
          <w:bCs/>
          <w:sz w:val="22"/>
          <w:szCs w:val="22"/>
        </w:rPr>
        <w:t xml:space="preserve"> integrity</w:t>
      </w:r>
      <w:r w:rsidRPr="005070E5">
        <w:rPr>
          <w:rFonts w:eastAsia="Arial" w:cs="Arial"/>
          <w:b/>
          <w:bCs/>
          <w:sz w:val="22"/>
          <w:szCs w:val="22"/>
        </w:rPr>
        <w:t xml:space="preserve"> requirements remains challenging</w:t>
      </w:r>
      <w:r w:rsidRPr="00AB6FFA">
        <w:rPr>
          <w:rFonts w:eastAsia="Arial" w:cs="Arial"/>
          <w:sz w:val="22"/>
          <w:szCs w:val="22"/>
        </w:rPr>
        <w:t xml:space="preserve">: </w:t>
      </w:r>
      <w:r w:rsidRPr="005070E5">
        <w:rPr>
          <w:rFonts w:eastAsia="Arial" w:cs="Arial"/>
          <w:sz w:val="22"/>
          <w:szCs w:val="22"/>
        </w:rPr>
        <w:t xml:space="preserve">There remains a major risk to </w:t>
      </w:r>
      <w:r w:rsidR="005070E5" w:rsidRPr="005070E5">
        <w:rPr>
          <w:rFonts w:eastAsia="Arial" w:cs="Arial"/>
          <w:sz w:val="22"/>
          <w:szCs w:val="22"/>
        </w:rPr>
        <w:t>delivery</w:t>
      </w:r>
      <w:r w:rsidRPr="005070E5">
        <w:rPr>
          <w:rFonts w:eastAsia="Arial" w:cs="Arial"/>
          <w:sz w:val="22"/>
          <w:szCs w:val="22"/>
        </w:rPr>
        <w:t xml:space="preserve"> in terms of TCAF governments unable to meet TCAF provisions, newly agreed Article 6 rules, in addition to increasingly prevalent important but additional domestic requirements around environmental and social integrity from sovereign buyers</w:t>
      </w:r>
      <w:r w:rsidRPr="00AB6FFA">
        <w:rPr>
          <w:rFonts w:eastAsia="Arial" w:cs="Arial"/>
          <w:sz w:val="22"/>
          <w:szCs w:val="22"/>
        </w:rPr>
        <w:t xml:space="preserve">. </w:t>
      </w:r>
      <w:r w:rsidR="00C03D41">
        <w:rPr>
          <w:rFonts w:eastAsia="Arial" w:cs="Arial"/>
          <w:sz w:val="22"/>
          <w:szCs w:val="22"/>
        </w:rPr>
        <w:t>Whilst progress has been made, t</w:t>
      </w:r>
      <w:r w:rsidRPr="005070E5">
        <w:rPr>
          <w:rFonts w:eastAsia="Arial" w:cs="Arial"/>
          <w:sz w:val="22"/>
          <w:szCs w:val="22"/>
        </w:rPr>
        <w:t>here is an</w:t>
      </w:r>
      <w:r w:rsidRPr="00AB6FFA">
        <w:rPr>
          <w:rFonts w:eastAsia="Arial" w:cs="Arial"/>
          <w:sz w:val="22"/>
          <w:szCs w:val="22"/>
        </w:rPr>
        <w:t xml:space="preserve"> ongoing risk of mismatch of program design with buyer expectations/domestic requirements.</w:t>
      </w:r>
      <w:r w:rsidR="005070E5">
        <w:rPr>
          <w:rFonts w:eastAsia="Arial" w:cs="Arial"/>
          <w:sz w:val="22"/>
          <w:szCs w:val="22"/>
        </w:rPr>
        <w:t xml:space="preserve"> </w:t>
      </w:r>
      <w:r w:rsidR="00015DEA" w:rsidRPr="00AB6FFA">
        <w:rPr>
          <w:rFonts w:eastAsia="Arial" w:cs="Arial"/>
          <w:sz w:val="22"/>
          <w:szCs w:val="22"/>
        </w:rPr>
        <w:t>Some project proposals</w:t>
      </w:r>
      <w:r w:rsidR="005070E5">
        <w:rPr>
          <w:rFonts w:eastAsia="Arial" w:cs="Arial"/>
          <w:sz w:val="22"/>
          <w:szCs w:val="22"/>
        </w:rPr>
        <w:t xml:space="preserve"> </w:t>
      </w:r>
      <w:r w:rsidR="00015DEA" w:rsidRPr="00AB6FFA">
        <w:rPr>
          <w:rFonts w:eastAsia="Arial" w:cs="Arial"/>
          <w:sz w:val="22"/>
          <w:szCs w:val="22"/>
        </w:rPr>
        <w:t xml:space="preserve">have fallen short of </w:t>
      </w:r>
      <w:r w:rsidR="00C03D41">
        <w:rPr>
          <w:rFonts w:eastAsia="Arial" w:cs="Arial"/>
          <w:sz w:val="22"/>
          <w:szCs w:val="22"/>
        </w:rPr>
        <w:t xml:space="preserve">donor </w:t>
      </w:r>
      <w:r w:rsidR="00015DEA" w:rsidRPr="00AB6FFA">
        <w:rPr>
          <w:rFonts w:eastAsia="Arial" w:cs="Arial"/>
          <w:sz w:val="22"/>
          <w:szCs w:val="22"/>
        </w:rPr>
        <w:t>expectations, and i</w:t>
      </w:r>
      <w:r w:rsidR="0EB43998" w:rsidRPr="00AB6FFA">
        <w:rPr>
          <w:rFonts w:eastAsia="Arial" w:cs="Arial"/>
          <w:sz w:val="22"/>
          <w:szCs w:val="22"/>
        </w:rPr>
        <w:t xml:space="preserve">n some cases, changes to project scope and financial assumptions (e.g. cost increases or revised technical approaches) have required reassessment of expected emissions reductions and commercial terms, </w:t>
      </w:r>
      <w:r w:rsidR="00015DEA" w:rsidRPr="00AB6FFA">
        <w:rPr>
          <w:rFonts w:eastAsia="Arial" w:cs="Arial"/>
          <w:sz w:val="22"/>
          <w:szCs w:val="22"/>
        </w:rPr>
        <w:t>impacting</w:t>
      </w:r>
      <w:r w:rsidR="0EB43998" w:rsidRPr="00AB6FFA">
        <w:rPr>
          <w:rFonts w:eastAsia="Arial" w:cs="Arial"/>
          <w:sz w:val="22"/>
          <w:szCs w:val="22"/>
        </w:rPr>
        <w:t xml:space="preserve"> progress.</w:t>
      </w:r>
      <w:r w:rsidR="56691DCD" w:rsidRPr="00AB6FFA">
        <w:rPr>
          <w:rFonts w:eastAsia="Arial" w:cs="Arial"/>
          <w:sz w:val="22"/>
          <w:szCs w:val="22"/>
        </w:rPr>
        <w:t xml:space="preserve"> </w:t>
      </w:r>
    </w:p>
    <w:p w14:paraId="5CDA6ADC" w14:textId="64AB2779" w:rsidR="00AE4A46" w:rsidRPr="00AB6FFA" w:rsidRDefault="0E8376D4" w:rsidP="487A5AB3">
      <w:pPr>
        <w:pStyle w:val="ListParagraph"/>
        <w:spacing w:after="0"/>
        <w:rPr>
          <w:rFonts w:ascii="Aptos" w:eastAsia="Aptos" w:hAnsi="Aptos" w:cs="Aptos"/>
          <w:i/>
          <w:iCs/>
          <w:strike/>
          <w:color w:val="000000" w:themeColor="text1"/>
          <w:sz w:val="22"/>
          <w:szCs w:val="22"/>
        </w:rPr>
      </w:pPr>
      <w:r w:rsidRPr="487A5AB3">
        <w:rPr>
          <w:rFonts w:eastAsia="Arial" w:cs="Arial"/>
          <w:b/>
          <w:bCs/>
          <w:sz w:val="22"/>
          <w:szCs w:val="22"/>
        </w:rPr>
        <w:t>P</w:t>
      </w:r>
      <w:r w:rsidR="348A4435" w:rsidRPr="487A5AB3">
        <w:rPr>
          <w:rFonts w:eastAsia="Arial" w:cs="Arial"/>
          <w:b/>
          <w:bCs/>
          <w:sz w:val="22"/>
          <w:szCs w:val="22"/>
        </w:rPr>
        <w:t>ricing and commercial negotiations</w:t>
      </w:r>
      <w:r w:rsidR="4CE96510" w:rsidRPr="487A5AB3">
        <w:rPr>
          <w:rFonts w:eastAsia="Arial" w:cs="Arial"/>
          <w:sz w:val="22"/>
          <w:szCs w:val="22"/>
        </w:rPr>
        <w:t>:</w:t>
      </w:r>
      <w:r w:rsidR="348A4435" w:rsidRPr="487A5AB3">
        <w:rPr>
          <w:rFonts w:eastAsia="Arial" w:cs="Arial"/>
          <w:sz w:val="22"/>
          <w:szCs w:val="22"/>
        </w:rPr>
        <w:t xml:space="preserve"> </w:t>
      </w:r>
      <w:r w:rsidR="4CE96510" w:rsidRPr="487A5AB3">
        <w:rPr>
          <w:rFonts w:eastAsia="Arial" w:cs="Arial"/>
          <w:sz w:val="22"/>
          <w:szCs w:val="22"/>
        </w:rPr>
        <w:t>The nature of price negotiations in these transactions</w:t>
      </w:r>
      <w:r w:rsidR="3112A05D" w:rsidRPr="487A5AB3">
        <w:rPr>
          <w:rFonts w:eastAsia="Arial" w:cs="Arial"/>
          <w:sz w:val="22"/>
          <w:szCs w:val="22"/>
        </w:rPr>
        <w:t xml:space="preserve">, including lack of price transparency, </w:t>
      </w:r>
      <w:r w:rsidR="4CE96510" w:rsidRPr="487A5AB3">
        <w:rPr>
          <w:rFonts w:eastAsia="Arial" w:cs="Arial"/>
          <w:sz w:val="22"/>
          <w:szCs w:val="22"/>
        </w:rPr>
        <w:t>continue</w:t>
      </w:r>
      <w:r w:rsidR="3112A05D" w:rsidRPr="487A5AB3">
        <w:rPr>
          <w:rFonts w:eastAsia="Arial" w:cs="Arial"/>
          <w:sz w:val="22"/>
          <w:szCs w:val="22"/>
        </w:rPr>
        <w:t>s</w:t>
      </w:r>
      <w:r w:rsidR="4CE96510" w:rsidRPr="487A5AB3">
        <w:rPr>
          <w:rFonts w:eastAsia="Arial" w:cs="Arial"/>
          <w:sz w:val="22"/>
          <w:szCs w:val="22"/>
        </w:rPr>
        <w:t xml:space="preserve"> to present challenges and delays</w:t>
      </w:r>
      <w:r w:rsidR="744F1AB5" w:rsidRPr="487A5AB3">
        <w:rPr>
          <w:rFonts w:eastAsia="Arial" w:cs="Arial"/>
          <w:sz w:val="22"/>
          <w:szCs w:val="22"/>
        </w:rPr>
        <w:t>. This has been</w:t>
      </w:r>
      <w:r w:rsidR="4CE96510" w:rsidRPr="487A5AB3">
        <w:rPr>
          <w:rFonts w:eastAsia="Arial" w:cs="Arial"/>
          <w:sz w:val="22"/>
          <w:szCs w:val="22"/>
        </w:rPr>
        <w:t xml:space="preserve"> due to </w:t>
      </w:r>
      <w:r w:rsidR="4E9884F5" w:rsidRPr="487A5AB3">
        <w:rPr>
          <w:rFonts w:eastAsia="Arial" w:cs="Arial"/>
          <w:sz w:val="22"/>
          <w:szCs w:val="22"/>
        </w:rPr>
        <w:t xml:space="preserve">communication challenges and </w:t>
      </w:r>
      <w:r w:rsidR="348A4435" w:rsidRPr="487A5AB3">
        <w:rPr>
          <w:rFonts w:eastAsia="Arial" w:cs="Arial"/>
          <w:sz w:val="22"/>
          <w:szCs w:val="22"/>
        </w:rPr>
        <w:t>divergence</w:t>
      </w:r>
      <w:r w:rsidR="4CE96510" w:rsidRPr="487A5AB3">
        <w:rPr>
          <w:rFonts w:eastAsia="Arial" w:cs="Arial"/>
          <w:sz w:val="22"/>
          <w:szCs w:val="22"/>
        </w:rPr>
        <w:t>s</w:t>
      </w:r>
      <w:r w:rsidR="348A4435" w:rsidRPr="487A5AB3">
        <w:rPr>
          <w:rFonts w:eastAsia="Arial" w:cs="Arial"/>
          <w:sz w:val="22"/>
          <w:szCs w:val="22"/>
        </w:rPr>
        <w:t xml:space="preserve"> between the Contributors’ indicative price mandate range and host country </w:t>
      </w:r>
      <w:r w:rsidR="3112A05D" w:rsidRPr="487A5AB3">
        <w:rPr>
          <w:rFonts w:eastAsia="Arial" w:cs="Arial"/>
          <w:sz w:val="22"/>
          <w:szCs w:val="22"/>
        </w:rPr>
        <w:t>expectations</w:t>
      </w:r>
      <w:r w:rsidR="744F1AB5" w:rsidRPr="487A5AB3">
        <w:rPr>
          <w:rFonts w:eastAsia="Arial" w:cs="Arial"/>
          <w:sz w:val="22"/>
          <w:szCs w:val="22"/>
        </w:rPr>
        <w:t>.</w:t>
      </w:r>
      <w:r w:rsidR="348A4435" w:rsidRPr="487A5AB3">
        <w:rPr>
          <w:rFonts w:eastAsia="Arial" w:cs="Arial"/>
          <w:sz w:val="22"/>
          <w:szCs w:val="22"/>
        </w:rPr>
        <w:t xml:space="preserve"> </w:t>
      </w:r>
      <w:r w:rsidR="744F1AB5" w:rsidRPr="487A5AB3">
        <w:rPr>
          <w:rFonts w:eastAsia="Arial" w:cs="Arial"/>
          <w:sz w:val="22"/>
          <w:szCs w:val="22"/>
        </w:rPr>
        <w:t>H</w:t>
      </w:r>
      <w:r w:rsidR="348A4435" w:rsidRPr="487A5AB3">
        <w:rPr>
          <w:rFonts w:eastAsia="Arial" w:cs="Arial"/>
          <w:sz w:val="22"/>
          <w:szCs w:val="22"/>
        </w:rPr>
        <w:t xml:space="preserve">igher-than-expected prices and questions around assumptions and project costs </w:t>
      </w:r>
      <w:r w:rsidR="744F1AB5" w:rsidRPr="487A5AB3">
        <w:rPr>
          <w:rFonts w:eastAsia="Arial" w:cs="Arial"/>
          <w:sz w:val="22"/>
          <w:szCs w:val="22"/>
        </w:rPr>
        <w:t xml:space="preserve">have contributed </w:t>
      </w:r>
      <w:r w:rsidR="348A4435" w:rsidRPr="487A5AB3">
        <w:rPr>
          <w:rFonts w:eastAsia="Arial" w:cs="Arial"/>
          <w:sz w:val="22"/>
          <w:szCs w:val="22"/>
        </w:rPr>
        <w:t>to delays in agreement. These challenges highlight broader market uncertainties and the complexity of structuring transactions that involve concessional finance and at the same time are driven by government public investment which face fiscal budget constraints. As a result, economic viability cannot be translated to project financing viability.</w:t>
      </w:r>
      <w:r w:rsidR="00E85F8E" w:rsidRPr="487A5AB3">
        <w:rPr>
          <w:rFonts w:eastAsia="Arial" w:cs="Arial"/>
          <w:sz w:val="22"/>
          <w:szCs w:val="22"/>
        </w:rPr>
        <w:t xml:space="preserve"> These pricing considerations should be captured in future knowledge products and lessons learnt. </w:t>
      </w:r>
      <w:r w:rsidR="525B4153" w:rsidRPr="487A5AB3">
        <w:rPr>
          <w:rFonts w:eastAsia="Arial" w:cs="Arial"/>
          <w:color w:val="000000" w:themeColor="text1"/>
          <w:sz w:val="22"/>
          <w:szCs w:val="22"/>
        </w:rPr>
        <w:t xml:space="preserve">In one instance, the Trustee proceeded through an approval point towards agreeing a price mandate ahead of full contributor signoff, which was resolved to all </w:t>
      </w:r>
      <w:proofErr w:type="gramStart"/>
      <w:r w:rsidR="525B4153" w:rsidRPr="487A5AB3">
        <w:rPr>
          <w:rFonts w:eastAsia="Arial" w:cs="Arial"/>
          <w:color w:val="000000" w:themeColor="text1"/>
          <w:sz w:val="22"/>
          <w:szCs w:val="22"/>
        </w:rPr>
        <w:t>parties</w:t>
      </w:r>
      <w:proofErr w:type="gramEnd"/>
      <w:r w:rsidR="525B4153" w:rsidRPr="487A5AB3">
        <w:rPr>
          <w:rFonts w:eastAsia="Arial" w:cs="Arial"/>
          <w:color w:val="000000" w:themeColor="text1"/>
          <w:sz w:val="22"/>
          <w:szCs w:val="22"/>
        </w:rPr>
        <w:t xml:space="preserve"> satisfaction but slowed the process. Subsequent work by the Trustee and contributors to agree expectations and a process for finalising price mandates has helped mitigate the risk of this happening again.</w:t>
      </w:r>
    </w:p>
    <w:p w14:paraId="53A19474" w14:textId="579C6C1E" w:rsidR="00AE4A46" w:rsidRPr="00AB6FFA" w:rsidRDefault="00AE4A46" w:rsidP="487A5AB3">
      <w:pPr>
        <w:pStyle w:val="ListParagraph"/>
        <w:rPr>
          <w:rFonts w:eastAsia="Arial" w:cs="Arial"/>
          <w:sz w:val="22"/>
          <w:szCs w:val="22"/>
        </w:rPr>
      </w:pPr>
    </w:p>
    <w:p w14:paraId="6FA11DA5" w14:textId="553EDE25" w:rsidR="0020217C" w:rsidRPr="00AB6FFA" w:rsidRDefault="22521D69" w:rsidP="00AB6FFA">
      <w:pPr>
        <w:rPr>
          <w:rFonts w:eastAsia="Arial"/>
          <w:sz w:val="22"/>
          <w:szCs w:val="22"/>
        </w:rPr>
      </w:pPr>
      <w:r w:rsidRPr="00AB6FFA">
        <w:rPr>
          <w:rFonts w:eastAsia="Arial" w:cs="Arial"/>
          <w:sz w:val="22"/>
          <w:szCs w:val="22"/>
        </w:rPr>
        <w:t xml:space="preserve">In summary, performance this year demonstrates progress in </w:t>
      </w:r>
      <w:r w:rsidR="00DD4A71" w:rsidRPr="00AB6FFA">
        <w:rPr>
          <w:rFonts w:eastAsia="Arial" w:cs="Arial"/>
          <w:sz w:val="22"/>
          <w:szCs w:val="22"/>
        </w:rPr>
        <w:t xml:space="preserve">high integrity pipeline development, </w:t>
      </w:r>
      <w:r w:rsidRPr="00AB6FFA">
        <w:rPr>
          <w:rFonts w:eastAsia="Arial" w:cs="Arial"/>
          <w:sz w:val="22"/>
          <w:szCs w:val="22"/>
        </w:rPr>
        <w:t>knowledge generation</w:t>
      </w:r>
      <w:r w:rsidR="00BA3F8E" w:rsidRPr="00AB6FFA">
        <w:rPr>
          <w:rFonts w:eastAsia="Arial" w:cs="Arial"/>
          <w:sz w:val="22"/>
          <w:szCs w:val="22"/>
        </w:rPr>
        <w:t xml:space="preserve"> and</w:t>
      </w:r>
      <w:r w:rsidRPr="00AB6FFA">
        <w:rPr>
          <w:rFonts w:eastAsia="Arial" w:cs="Arial"/>
          <w:sz w:val="22"/>
          <w:szCs w:val="22"/>
        </w:rPr>
        <w:t xml:space="preserve"> capacity building, with increasing emphasis on implementation. However, </w:t>
      </w:r>
      <w:r w:rsidR="00F62EE0">
        <w:rPr>
          <w:rFonts w:eastAsia="Arial" w:cs="Arial"/>
          <w:sz w:val="22"/>
          <w:szCs w:val="22"/>
        </w:rPr>
        <w:t xml:space="preserve">disbursement remains lower than expected and </w:t>
      </w:r>
      <w:r w:rsidRPr="00AB6FFA">
        <w:rPr>
          <w:rFonts w:eastAsia="Arial" w:cs="Arial"/>
          <w:sz w:val="22"/>
          <w:szCs w:val="22"/>
        </w:rPr>
        <w:t xml:space="preserve">delivery </w:t>
      </w:r>
      <w:r w:rsidR="00F62EE0">
        <w:rPr>
          <w:rFonts w:eastAsia="Arial" w:cs="Arial"/>
          <w:sz w:val="22"/>
          <w:szCs w:val="22"/>
        </w:rPr>
        <w:t xml:space="preserve">continues to face challenges </w:t>
      </w:r>
      <w:r w:rsidR="00F34F73">
        <w:rPr>
          <w:rFonts w:eastAsia="Arial" w:cs="Arial"/>
          <w:sz w:val="22"/>
          <w:szCs w:val="22"/>
        </w:rPr>
        <w:t xml:space="preserve">around </w:t>
      </w:r>
      <w:r w:rsidRPr="00AB6FFA">
        <w:rPr>
          <w:rFonts w:eastAsia="Arial" w:cs="Arial"/>
          <w:sz w:val="22"/>
          <w:szCs w:val="22"/>
        </w:rPr>
        <w:t xml:space="preserve">maturing projects to </w:t>
      </w:r>
      <w:proofErr w:type="gramStart"/>
      <w:r w:rsidRPr="00AB6FFA">
        <w:rPr>
          <w:rFonts w:eastAsia="Arial" w:cs="Arial"/>
          <w:sz w:val="22"/>
          <w:szCs w:val="22"/>
        </w:rPr>
        <w:t>agreement</w:t>
      </w:r>
      <w:r w:rsidR="00F34F73">
        <w:rPr>
          <w:rFonts w:eastAsia="Arial" w:cs="Arial"/>
          <w:sz w:val="22"/>
          <w:szCs w:val="22"/>
        </w:rPr>
        <w:t xml:space="preserve">, </w:t>
      </w:r>
      <w:r w:rsidRPr="00AB6FFA">
        <w:rPr>
          <w:rFonts w:eastAsia="Arial" w:cs="Arial"/>
          <w:sz w:val="22"/>
          <w:szCs w:val="22"/>
        </w:rPr>
        <w:t xml:space="preserve"> navigating</w:t>
      </w:r>
      <w:proofErr w:type="gramEnd"/>
      <w:r w:rsidRPr="00AB6FFA">
        <w:rPr>
          <w:rFonts w:eastAsia="Arial"/>
          <w:sz w:val="22"/>
          <w:szCs w:val="22"/>
        </w:rPr>
        <w:t xml:space="preserve"> complex market and policy conditions</w:t>
      </w:r>
      <w:r w:rsidR="00F34F73">
        <w:rPr>
          <w:rFonts w:eastAsia="Arial"/>
          <w:sz w:val="22"/>
          <w:szCs w:val="22"/>
        </w:rPr>
        <w:t>. We assess this</w:t>
      </w:r>
      <w:r w:rsidRPr="00AB6FFA">
        <w:rPr>
          <w:rFonts w:eastAsia="Arial"/>
          <w:sz w:val="22"/>
          <w:szCs w:val="22"/>
        </w:rPr>
        <w:t xml:space="preserve"> </w:t>
      </w:r>
      <w:r w:rsidR="00F34F73" w:rsidRPr="00AB6FFA">
        <w:rPr>
          <w:rFonts w:eastAsia="Arial"/>
          <w:sz w:val="22"/>
          <w:szCs w:val="22"/>
        </w:rPr>
        <w:t>justif</w:t>
      </w:r>
      <w:r w:rsidR="00F34F73">
        <w:rPr>
          <w:rFonts w:eastAsia="Arial"/>
          <w:sz w:val="22"/>
          <w:szCs w:val="22"/>
        </w:rPr>
        <w:t xml:space="preserve">ies </w:t>
      </w:r>
      <w:r w:rsidRPr="00AB6FFA">
        <w:rPr>
          <w:rFonts w:eastAsia="Arial"/>
          <w:sz w:val="22"/>
          <w:szCs w:val="22"/>
        </w:rPr>
        <w:t>a continued moderate assessment of overall performance and delivery confidence.</w:t>
      </w:r>
      <w:r w:rsidR="0085366F" w:rsidRPr="00AB6FFA">
        <w:rPr>
          <w:rFonts w:eastAsia="Arial"/>
          <w:sz w:val="22"/>
          <w:szCs w:val="22"/>
        </w:rPr>
        <w:t xml:space="preserve"> The programme has been awarded an overall score of </w:t>
      </w:r>
      <w:proofErr w:type="gramStart"/>
      <w:r w:rsidR="0085366F" w:rsidRPr="00AB6FFA">
        <w:rPr>
          <w:rFonts w:eastAsia="Arial"/>
          <w:b/>
          <w:bCs/>
          <w:sz w:val="22"/>
          <w:szCs w:val="22"/>
        </w:rPr>
        <w:t>A</w:t>
      </w:r>
      <w:proofErr w:type="gramEnd"/>
      <w:r w:rsidR="0085366F" w:rsidRPr="00AB6FFA">
        <w:rPr>
          <w:rFonts w:eastAsia="Arial"/>
          <w:b/>
          <w:bCs/>
          <w:sz w:val="22"/>
          <w:szCs w:val="22"/>
        </w:rPr>
        <w:t>: ‘outputs met expectation’</w:t>
      </w:r>
      <w:r w:rsidR="0085366F" w:rsidRPr="00AB6FFA">
        <w:rPr>
          <w:rFonts w:eastAsia="Arial"/>
          <w:sz w:val="22"/>
          <w:szCs w:val="22"/>
        </w:rPr>
        <w:t xml:space="preserve"> and continues to be assessed as a moderate risk rating programme.</w:t>
      </w:r>
    </w:p>
    <w:p w14:paraId="449E563B" w14:textId="77777777" w:rsidR="006F3912" w:rsidRPr="005B0B73" w:rsidRDefault="006F3912" w:rsidP="44EF587E">
      <w:pPr>
        <w:spacing w:line="300" w:lineRule="auto"/>
        <w:jc w:val="both"/>
        <w:rPr>
          <w:rFonts w:eastAsia="Arial" w:cs="Arial"/>
          <w:b/>
          <w:bCs/>
          <w:sz w:val="22"/>
          <w:szCs w:val="22"/>
        </w:rPr>
      </w:pPr>
    </w:p>
    <w:p w14:paraId="5807BC3A" w14:textId="2E421AD8" w:rsidR="002E7F6D" w:rsidRPr="005B0B73" w:rsidRDefault="003D222C" w:rsidP="1FFC5AE9">
      <w:pPr>
        <w:rPr>
          <w:rFonts w:eastAsia="Arial" w:cs="Arial"/>
          <w:b/>
          <w:bCs/>
          <w:sz w:val="22"/>
          <w:szCs w:val="22"/>
        </w:rPr>
      </w:pPr>
      <w:r w:rsidRPr="005B0B73">
        <w:rPr>
          <w:rFonts w:eastAsia="Arial" w:cs="Arial"/>
          <w:b/>
          <w:bCs/>
          <w:sz w:val="22"/>
          <w:szCs w:val="22"/>
        </w:rPr>
        <w:t>Progress against recommendations from the last review</w:t>
      </w:r>
      <w:bookmarkEnd w:id="3"/>
      <w:r w:rsidR="00A542A8" w:rsidRPr="005B0B73">
        <w:rPr>
          <w:rFonts w:eastAsia="Arial" w:cs="Arial"/>
          <w:b/>
          <w:bCs/>
          <w:sz w:val="22"/>
          <w:szCs w:val="22"/>
        </w:rPr>
        <w:t xml:space="preserve">: </w:t>
      </w:r>
    </w:p>
    <w:p w14:paraId="1E448DC5" w14:textId="3A3E236A" w:rsidR="1FED5A21" w:rsidRPr="005B0B73" w:rsidRDefault="1FED5A21" w:rsidP="4138787B">
      <w:pPr>
        <w:spacing w:line="300" w:lineRule="auto"/>
        <w:rPr>
          <w:rFonts w:eastAsia="Arial" w:cs="Arial"/>
          <w:sz w:val="22"/>
          <w:szCs w:val="22"/>
        </w:rPr>
      </w:pPr>
    </w:p>
    <w:tbl>
      <w:tblPr>
        <w:tblStyle w:val="TableGrid"/>
        <w:tblW w:w="912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521"/>
        <w:gridCol w:w="4603"/>
      </w:tblGrid>
      <w:tr w:rsidR="00CD42AB" w:rsidRPr="005B0B73" w14:paraId="70C21392" w14:textId="77777777" w:rsidTr="00AB6FFA">
        <w:trPr>
          <w:trHeight w:val="343"/>
        </w:trPr>
        <w:tc>
          <w:tcPr>
            <w:tcW w:w="4521" w:type="dxa"/>
            <w:shd w:val="clear" w:color="auto" w:fill="DEEAF6" w:themeFill="accent5" w:themeFillTint="33"/>
          </w:tcPr>
          <w:p w14:paraId="53D8F37C" w14:textId="77777777" w:rsidR="003D222C" w:rsidRPr="005B0B73" w:rsidRDefault="003D222C" w:rsidP="1FFC5AE9">
            <w:pPr>
              <w:jc w:val="both"/>
              <w:rPr>
                <w:rFonts w:eastAsia="Arial" w:cs="Arial"/>
                <w:b/>
                <w:bCs/>
                <w:sz w:val="22"/>
                <w:szCs w:val="22"/>
              </w:rPr>
            </w:pPr>
            <w:r w:rsidRPr="005B0B73">
              <w:rPr>
                <w:rFonts w:eastAsia="Arial" w:cs="Arial"/>
                <w:b/>
                <w:bCs/>
                <w:sz w:val="22"/>
                <w:szCs w:val="22"/>
              </w:rPr>
              <w:t>Recommendation</w:t>
            </w:r>
          </w:p>
        </w:tc>
        <w:tc>
          <w:tcPr>
            <w:tcW w:w="4603" w:type="dxa"/>
            <w:shd w:val="clear" w:color="auto" w:fill="DEEAF6" w:themeFill="accent5" w:themeFillTint="33"/>
          </w:tcPr>
          <w:p w14:paraId="4501CA7E" w14:textId="77777777" w:rsidR="003D222C" w:rsidRPr="005B0B73" w:rsidRDefault="003D222C" w:rsidP="1FFC5AE9">
            <w:pPr>
              <w:jc w:val="both"/>
              <w:rPr>
                <w:rFonts w:eastAsia="Arial" w:cs="Arial"/>
                <w:b/>
                <w:bCs/>
                <w:sz w:val="22"/>
                <w:szCs w:val="22"/>
              </w:rPr>
            </w:pPr>
            <w:r w:rsidRPr="005B0B73">
              <w:rPr>
                <w:rFonts w:eastAsia="Arial" w:cs="Arial"/>
                <w:b/>
                <w:bCs/>
                <w:sz w:val="22"/>
                <w:szCs w:val="22"/>
              </w:rPr>
              <w:t>Progress</w:t>
            </w:r>
          </w:p>
        </w:tc>
      </w:tr>
      <w:tr w:rsidR="00E57341" w:rsidRPr="005B0B73" w14:paraId="3B8F7C7F" w14:textId="77777777" w:rsidTr="00E30F13">
        <w:trPr>
          <w:trHeight w:val="300"/>
        </w:trPr>
        <w:tc>
          <w:tcPr>
            <w:tcW w:w="4521" w:type="dxa"/>
          </w:tcPr>
          <w:p w14:paraId="04FD569F" w14:textId="71831EBF" w:rsidR="01ABA75A" w:rsidRPr="005B0B73" w:rsidRDefault="00C31D44" w:rsidP="00A542A8">
            <w:pPr>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 xml:space="preserve">Trustee </w:t>
            </w:r>
            <w:r w:rsidRPr="005B0B73">
              <w:rPr>
                <w:rFonts w:eastAsia="Arial" w:cs="Arial"/>
                <w:color w:val="000000" w:themeColor="text1"/>
                <w:sz w:val="22"/>
                <w:szCs w:val="22"/>
              </w:rPr>
              <w:t xml:space="preserve">should continue to focus on the development of new projects, supporting replication of the success of the TCAF Uzbekistan Project, with an aim to over-programme the pipeline, to help increase the likelihood of TCAF funding being committed to </w:t>
            </w:r>
            <w:proofErr w:type="gramStart"/>
            <w:r w:rsidRPr="005B0B73">
              <w:rPr>
                <w:rFonts w:eastAsia="Arial" w:cs="Arial"/>
                <w:color w:val="000000" w:themeColor="text1"/>
                <w:sz w:val="22"/>
                <w:szCs w:val="22"/>
              </w:rPr>
              <w:t>high quality</w:t>
            </w:r>
            <w:proofErr w:type="gramEnd"/>
            <w:r w:rsidRPr="005B0B73">
              <w:rPr>
                <w:rFonts w:eastAsia="Arial" w:cs="Arial"/>
                <w:color w:val="000000" w:themeColor="text1"/>
                <w:sz w:val="22"/>
                <w:szCs w:val="22"/>
              </w:rPr>
              <w:t xml:space="preserve"> projects. This should include 1 new pre-PIN, 2 new PINs and agreement of a set of commercial terms before the end of the review period</w:t>
            </w:r>
          </w:p>
        </w:tc>
        <w:tc>
          <w:tcPr>
            <w:tcW w:w="4603" w:type="dxa"/>
          </w:tcPr>
          <w:p w14:paraId="369FE9F2" w14:textId="3ABB715C" w:rsidR="006121BC" w:rsidRPr="005B0B73" w:rsidRDefault="00A542A8" w:rsidP="006121BC">
            <w:pPr>
              <w:pStyle w:val="Heading2"/>
              <w:jc w:val="both"/>
              <w:rPr>
                <w:rFonts w:eastAsia="Arial" w:cs="Arial"/>
                <w:b w:val="0"/>
                <w:bCs w:val="0"/>
                <w:i w:val="0"/>
                <w:iCs w:val="0"/>
                <w:color w:val="000000" w:themeColor="text1"/>
                <w:sz w:val="22"/>
                <w:szCs w:val="22"/>
                <w:lang w:val="en-US"/>
              </w:rPr>
            </w:pPr>
            <w:r w:rsidRPr="005B0B73">
              <w:rPr>
                <w:rFonts w:eastAsia="Arial" w:cs="Arial"/>
                <w:i w:val="0"/>
                <w:iCs w:val="0"/>
                <w:color w:val="000000" w:themeColor="text1"/>
                <w:sz w:val="22"/>
                <w:szCs w:val="22"/>
                <w:lang w:val="en-US"/>
              </w:rPr>
              <w:t>P</w:t>
            </w:r>
            <w:r w:rsidR="3D23B055" w:rsidRPr="005B0B73">
              <w:rPr>
                <w:rFonts w:eastAsia="Arial" w:cs="Arial"/>
                <w:i w:val="0"/>
                <w:iCs w:val="0"/>
                <w:color w:val="000000" w:themeColor="text1"/>
                <w:sz w:val="22"/>
                <w:szCs w:val="22"/>
                <w:lang w:val="en-US"/>
              </w:rPr>
              <w:t>artially achieved.</w:t>
            </w:r>
            <w:r w:rsidR="3D23B055" w:rsidRPr="005B0B73">
              <w:rPr>
                <w:rFonts w:eastAsia="Arial" w:cs="Arial"/>
                <w:b w:val="0"/>
                <w:bCs w:val="0"/>
                <w:i w:val="0"/>
                <w:iCs w:val="0"/>
                <w:color w:val="000000" w:themeColor="text1"/>
                <w:sz w:val="22"/>
                <w:szCs w:val="22"/>
                <w:lang w:val="en-US"/>
              </w:rPr>
              <w:t xml:space="preserve"> </w:t>
            </w:r>
            <w:r w:rsidR="00213704" w:rsidRPr="005B0B73">
              <w:rPr>
                <w:rFonts w:eastAsia="Arial" w:cs="Arial"/>
                <w:b w:val="0"/>
                <w:bCs w:val="0"/>
                <w:i w:val="0"/>
                <w:iCs w:val="0"/>
                <w:color w:val="000000" w:themeColor="text1"/>
                <w:sz w:val="22"/>
                <w:szCs w:val="22"/>
                <w:lang w:val="en-US"/>
              </w:rPr>
              <w:t xml:space="preserve">During the review period, </w:t>
            </w:r>
            <w:r w:rsidR="005D5A75" w:rsidRPr="005B0B73">
              <w:rPr>
                <w:rFonts w:eastAsia="Arial" w:cs="Arial"/>
                <w:b w:val="0"/>
                <w:bCs w:val="0"/>
                <w:i w:val="0"/>
                <w:iCs w:val="0"/>
                <w:color w:val="000000" w:themeColor="text1"/>
                <w:sz w:val="22"/>
                <w:szCs w:val="22"/>
                <w:lang w:val="en-US"/>
              </w:rPr>
              <w:t xml:space="preserve">three pre-PINs (Ecuador, </w:t>
            </w:r>
            <w:r w:rsidR="2B36C84E" w:rsidRPr="005B0B73">
              <w:rPr>
                <w:rFonts w:eastAsia="Arial" w:cs="Arial"/>
                <w:b w:val="0"/>
                <w:bCs w:val="0"/>
                <w:i w:val="0"/>
                <w:iCs w:val="0"/>
                <w:color w:val="000000" w:themeColor="text1"/>
                <w:sz w:val="22"/>
                <w:szCs w:val="22"/>
                <w:lang w:val="en-US"/>
              </w:rPr>
              <w:t>Kyrgyz</w:t>
            </w:r>
            <w:r w:rsidR="6E19DBF1" w:rsidRPr="005B0B73">
              <w:rPr>
                <w:rFonts w:eastAsia="Arial" w:cs="Arial"/>
                <w:b w:val="0"/>
                <w:bCs w:val="0"/>
                <w:i w:val="0"/>
                <w:iCs w:val="0"/>
                <w:color w:val="000000" w:themeColor="text1"/>
                <w:sz w:val="22"/>
                <w:szCs w:val="22"/>
                <w:lang w:val="en-US"/>
              </w:rPr>
              <w:t xml:space="preserve"> Republic</w:t>
            </w:r>
            <w:r w:rsidR="005D5A75" w:rsidRPr="005B0B73">
              <w:rPr>
                <w:rFonts w:eastAsia="Arial" w:cs="Arial"/>
                <w:b w:val="0"/>
                <w:bCs w:val="0"/>
                <w:i w:val="0"/>
                <w:iCs w:val="0"/>
                <w:color w:val="000000" w:themeColor="text1"/>
                <w:sz w:val="22"/>
                <w:szCs w:val="22"/>
                <w:lang w:val="en-US"/>
              </w:rPr>
              <w:t xml:space="preserve">, and Bolivia) were presented.  </w:t>
            </w:r>
            <w:r w:rsidR="00C835B2" w:rsidRPr="005B0B73">
              <w:rPr>
                <w:rFonts w:eastAsia="Arial" w:cs="Arial"/>
                <w:b w:val="0"/>
                <w:bCs w:val="0"/>
                <w:i w:val="0"/>
                <w:iCs w:val="0"/>
                <w:color w:val="000000" w:themeColor="text1"/>
                <w:sz w:val="22"/>
                <w:szCs w:val="22"/>
                <w:lang w:val="en-US"/>
              </w:rPr>
              <w:t>Additionally, two new PINs were presented (</w:t>
            </w:r>
            <w:r w:rsidR="09F906B7" w:rsidRPr="005B0B73">
              <w:rPr>
                <w:rFonts w:eastAsia="Arial" w:cs="Arial"/>
                <w:b w:val="0"/>
                <w:bCs w:val="0"/>
                <w:i w:val="0"/>
                <w:iCs w:val="0"/>
                <w:color w:val="000000" w:themeColor="text1"/>
                <w:sz w:val="22"/>
                <w:szCs w:val="22"/>
                <w:lang w:val="en-US"/>
              </w:rPr>
              <w:t>Kyrgyz</w:t>
            </w:r>
            <w:r w:rsidR="7DA06A55" w:rsidRPr="005B0B73">
              <w:rPr>
                <w:rFonts w:eastAsia="Arial" w:cs="Arial"/>
                <w:b w:val="0"/>
                <w:bCs w:val="0"/>
                <w:i w:val="0"/>
                <w:iCs w:val="0"/>
                <w:color w:val="000000" w:themeColor="text1"/>
                <w:sz w:val="22"/>
                <w:szCs w:val="22"/>
                <w:lang w:val="en-US"/>
              </w:rPr>
              <w:t xml:space="preserve"> Republic</w:t>
            </w:r>
            <w:r w:rsidR="00C835B2" w:rsidRPr="005B0B73">
              <w:rPr>
                <w:rFonts w:eastAsia="Arial" w:cs="Arial"/>
                <w:b w:val="0"/>
                <w:bCs w:val="0"/>
                <w:i w:val="0"/>
                <w:iCs w:val="0"/>
                <w:color w:val="000000" w:themeColor="text1"/>
                <w:sz w:val="22"/>
                <w:szCs w:val="22"/>
                <w:lang w:val="en-US"/>
              </w:rPr>
              <w:t xml:space="preserve"> and Ecuador).  </w:t>
            </w:r>
            <w:r w:rsidR="00592D08" w:rsidRPr="005B0B73">
              <w:rPr>
                <w:rFonts w:eastAsia="Arial" w:cs="Arial"/>
                <w:b w:val="0"/>
                <w:bCs w:val="0"/>
                <w:i w:val="0"/>
                <w:iCs w:val="0"/>
                <w:color w:val="000000" w:themeColor="text1"/>
                <w:sz w:val="22"/>
                <w:szCs w:val="22"/>
                <w:lang w:val="en-US"/>
              </w:rPr>
              <w:t>As for the commercial terms, whilst c</w:t>
            </w:r>
            <w:r w:rsidR="00697F45" w:rsidRPr="005B0B73">
              <w:rPr>
                <w:rFonts w:eastAsia="Arial" w:cs="Arial"/>
                <w:b w:val="0"/>
                <w:bCs w:val="0"/>
                <w:i w:val="0"/>
                <w:iCs w:val="0"/>
                <w:color w:val="000000" w:themeColor="text1"/>
                <w:sz w:val="22"/>
                <w:szCs w:val="22"/>
                <w:lang w:val="en-US"/>
              </w:rPr>
              <w:t xml:space="preserve">ommercial terms were presented for both Pakistan and </w:t>
            </w:r>
            <w:r w:rsidR="5A720054" w:rsidRPr="005B0B73">
              <w:rPr>
                <w:rFonts w:eastAsia="Arial" w:cs="Arial"/>
                <w:b w:val="0"/>
                <w:bCs w:val="0"/>
                <w:i w:val="0"/>
                <w:iCs w:val="0"/>
                <w:color w:val="000000" w:themeColor="text1"/>
                <w:sz w:val="22"/>
                <w:szCs w:val="22"/>
                <w:lang w:val="en-US"/>
              </w:rPr>
              <w:t>Kyrgyz</w:t>
            </w:r>
            <w:r w:rsidR="71BF1F89" w:rsidRPr="005B0B73">
              <w:rPr>
                <w:rFonts w:eastAsia="Arial" w:cs="Arial"/>
                <w:b w:val="0"/>
                <w:bCs w:val="0"/>
                <w:i w:val="0"/>
                <w:iCs w:val="0"/>
                <w:color w:val="000000" w:themeColor="text1"/>
                <w:sz w:val="22"/>
                <w:szCs w:val="22"/>
                <w:lang w:val="en-US"/>
              </w:rPr>
              <w:t xml:space="preserve"> Republic</w:t>
            </w:r>
            <w:r w:rsidR="00592D08" w:rsidRPr="005B0B73">
              <w:rPr>
                <w:rFonts w:eastAsia="Arial" w:cs="Arial"/>
                <w:b w:val="0"/>
                <w:bCs w:val="0"/>
                <w:i w:val="0"/>
                <w:iCs w:val="0"/>
                <w:color w:val="000000" w:themeColor="text1"/>
                <w:sz w:val="22"/>
                <w:szCs w:val="22"/>
                <w:lang w:val="en-US"/>
              </w:rPr>
              <w:t xml:space="preserve"> </w:t>
            </w:r>
            <w:r w:rsidR="00ED2894" w:rsidRPr="005B0B73">
              <w:rPr>
                <w:rFonts w:eastAsia="Arial" w:cs="Arial"/>
                <w:b w:val="0"/>
                <w:bCs w:val="0"/>
                <w:i w:val="0"/>
                <w:iCs w:val="0"/>
                <w:color w:val="000000" w:themeColor="text1"/>
                <w:sz w:val="22"/>
                <w:szCs w:val="22"/>
                <w:lang w:val="en-US"/>
              </w:rPr>
              <w:t>agreement was not reached</w:t>
            </w:r>
            <w:r w:rsidR="00592D08" w:rsidRPr="005B0B73">
              <w:rPr>
                <w:rFonts w:eastAsia="Arial" w:cs="Arial"/>
                <w:b w:val="0"/>
                <w:bCs w:val="0"/>
                <w:i w:val="0"/>
                <w:iCs w:val="0"/>
                <w:color w:val="000000" w:themeColor="text1"/>
                <w:sz w:val="22"/>
                <w:szCs w:val="22"/>
                <w:lang w:val="en-US"/>
              </w:rPr>
              <w:t xml:space="preserve"> this reporting period due to price negotiations</w:t>
            </w:r>
            <w:r w:rsidR="00ED2894" w:rsidRPr="005B0B73">
              <w:rPr>
                <w:rFonts w:eastAsia="Arial" w:cs="Arial"/>
                <w:b w:val="0"/>
                <w:bCs w:val="0"/>
                <w:i w:val="0"/>
                <w:iCs w:val="0"/>
                <w:color w:val="000000" w:themeColor="text1"/>
                <w:sz w:val="22"/>
                <w:szCs w:val="22"/>
                <w:lang w:val="en-US"/>
              </w:rPr>
              <w:t>.</w:t>
            </w:r>
            <w:r w:rsidR="006121BC" w:rsidRPr="005B0B73">
              <w:rPr>
                <w:rFonts w:eastAsia="Arial" w:cs="Arial"/>
                <w:b w:val="0"/>
                <w:bCs w:val="0"/>
                <w:i w:val="0"/>
                <w:iCs w:val="0"/>
                <w:color w:val="000000" w:themeColor="text1"/>
                <w:sz w:val="22"/>
                <w:szCs w:val="22"/>
                <w:lang w:val="en-US"/>
              </w:rPr>
              <w:t xml:space="preserve"> </w:t>
            </w:r>
            <w:r w:rsidR="00ED2894" w:rsidRPr="005B0B73">
              <w:rPr>
                <w:rFonts w:eastAsia="Arial" w:cs="Arial"/>
                <w:b w:val="0"/>
                <w:bCs w:val="0"/>
                <w:i w:val="0"/>
                <w:iCs w:val="0"/>
                <w:color w:val="000000" w:themeColor="text1"/>
                <w:sz w:val="22"/>
                <w:szCs w:val="22"/>
                <w:lang w:val="en-US"/>
              </w:rPr>
              <w:t>The agreement is beyond the Trustee’s direct control, as such</w:t>
            </w:r>
            <w:r w:rsidR="001D3AA2" w:rsidRPr="005B0B73">
              <w:rPr>
                <w:rFonts w:eastAsia="Arial" w:cs="Arial"/>
                <w:b w:val="0"/>
                <w:bCs w:val="0"/>
                <w:i w:val="0"/>
                <w:iCs w:val="0"/>
                <w:color w:val="000000" w:themeColor="text1"/>
                <w:sz w:val="22"/>
                <w:szCs w:val="22"/>
                <w:lang w:val="en-US"/>
              </w:rPr>
              <w:t xml:space="preserve"> this</w:t>
            </w:r>
            <w:r w:rsidR="00ED2894" w:rsidRPr="005B0B73">
              <w:rPr>
                <w:rFonts w:eastAsia="Arial" w:cs="Arial"/>
                <w:b w:val="0"/>
                <w:bCs w:val="0"/>
                <w:i w:val="0"/>
                <w:iCs w:val="0"/>
                <w:color w:val="000000" w:themeColor="text1"/>
                <w:sz w:val="22"/>
                <w:szCs w:val="22"/>
                <w:lang w:val="en-US"/>
              </w:rPr>
              <w:t xml:space="preserve"> </w:t>
            </w:r>
            <w:r w:rsidR="001D3AA2" w:rsidRPr="005B0B73">
              <w:rPr>
                <w:rFonts w:eastAsia="Arial" w:cs="Arial"/>
                <w:b w:val="0"/>
                <w:bCs w:val="0"/>
                <w:i w:val="0"/>
                <w:iCs w:val="0"/>
                <w:color w:val="000000" w:themeColor="text1"/>
                <w:sz w:val="22"/>
                <w:szCs w:val="22"/>
                <w:lang w:val="en-US"/>
              </w:rPr>
              <w:t xml:space="preserve">is </w:t>
            </w:r>
            <w:r w:rsidR="00ED2894" w:rsidRPr="005B0B73">
              <w:rPr>
                <w:rFonts w:eastAsia="Arial" w:cs="Arial"/>
                <w:b w:val="0"/>
                <w:bCs w:val="0"/>
                <w:i w:val="0"/>
                <w:iCs w:val="0"/>
                <w:color w:val="000000" w:themeColor="text1"/>
                <w:sz w:val="22"/>
                <w:szCs w:val="22"/>
                <w:lang w:val="en-US"/>
              </w:rPr>
              <w:t>consider</w:t>
            </w:r>
            <w:r w:rsidR="001D3AA2" w:rsidRPr="005B0B73">
              <w:rPr>
                <w:rFonts w:eastAsia="Arial" w:cs="Arial"/>
                <w:b w:val="0"/>
                <w:bCs w:val="0"/>
                <w:i w:val="0"/>
                <w:iCs w:val="0"/>
                <w:color w:val="000000" w:themeColor="text1"/>
                <w:sz w:val="22"/>
                <w:szCs w:val="22"/>
                <w:lang w:val="en-US"/>
              </w:rPr>
              <w:t>ed</w:t>
            </w:r>
            <w:r w:rsidR="00ED2894" w:rsidRPr="005B0B73">
              <w:rPr>
                <w:rFonts w:eastAsia="Arial" w:cs="Arial"/>
                <w:b w:val="0"/>
                <w:bCs w:val="0"/>
                <w:i w:val="0"/>
                <w:iCs w:val="0"/>
                <w:color w:val="000000" w:themeColor="text1"/>
                <w:sz w:val="22"/>
                <w:szCs w:val="22"/>
                <w:lang w:val="en-US"/>
              </w:rPr>
              <w:t xml:space="preserve"> this met.</w:t>
            </w:r>
            <w:r w:rsidR="006121BC" w:rsidRPr="005B0B73">
              <w:rPr>
                <w:rFonts w:eastAsia="Arial" w:cs="Arial"/>
                <w:b w:val="0"/>
                <w:bCs w:val="0"/>
                <w:i w:val="0"/>
                <w:iCs w:val="0"/>
                <w:color w:val="000000" w:themeColor="text1"/>
                <w:sz w:val="22"/>
                <w:szCs w:val="22"/>
                <w:lang w:val="en-US"/>
              </w:rPr>
              <w:t xml:space="preserve"> </w:t>
            </w:r>
          </w:p>
        </w:tc>
      </w:tr>
      <w:tr w:rsidR="00E57341" w:rsidRPr="005B0B73" w14:paraId="2483F714" w14:textId="77777777" w:rsidTr="000252AF">
        <w:trPr>
          <w:trHeight w:val="1954"/>
        </w:trPr>
        <w:tc>
          <w:tcPr>
            <w:tcW w:w="4521" w:type="dxa"/>
          </w:tcPr>
          <w:p w14:paraId="141293A5" w14:textId="1217E2D4" w:rsidR="01ABA75A" w:rsidRPr="005B0B73" w:rsidRDefault="00363EB8" w:rsidP="1FFC5AE9">
            <w:pPr>
              <w:tabs>
                <w:tab w:val="left" w:pos="6915"/>
                <w:tab w:val="left" w:pos="9495"/>
              </w:tabs>
              <w:jc w:val="both"/>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look to enlist the use of surveys at WB led events to better track, incorporate, and present how feedback from key stakeholders such as host ministries, the private sector, and international organisations (e.g. UNFCCC and ICAO) has been taken on board.</w:t>
            </w:r>
          </w:p>
        </w:tc>
        <w:tc>
          <w:tcPr>
            <w:tcW w:w="4603" w:type="dxa"/>
          </w:tcPr>
          <w:p w14:paraId="4C5327F5" w14:textId="2827A5BE" w:rsidR="009840D7" w:rsidRPr="005B0B73" w:rsidRDefault="1100C88A" w:rsidP="7262F7FA">
            <w:pPr>
              <w:pStyle w:val="Heading2"/>
              <w:jc w:val="both"/>
              <w:rPr>
                <w:rFonts w:eastAsia="Arial" w:cs="Arial"/>
                <w:b w:val="0"/>
                <w:bCs w:val="0"/>
                <w:i w:val="0"/>
                <w:iCs w:val="0"/>
                <w:sz w:val="22"/>
                <w:szCs w:val="22"/>
              </w:rPr>
            </w:pPr>
            <w:r w:rsidRPr="005B0B73">
              <w:rPr>
                <w:rFonts w:eastAsia="Arial" w:cs="Arial"/>
                <w:i w:val="0"/>
                <w:iCs w:val="0"/>
                <w:sz w:val="22"/>
                <w:szCs w:val="22"/>
              </w:rPr>
              <w:t>Achieved.</w:t>
            </w:r>
            <w:r w:rsidRPr="005B0B73">
              <w:rPr>
                <w:rFonts w:eastAsia="Arial" w:cs="Arial"/>
                <w:b w:val="0"/>
                <w:bCs w:val="0"/>
                <w:i w:val="0"/>
                <w:iCs w:val="0"/>
                <w:sz w:val="22"/>
                <w:szCs w:val="22"/>
              </w:rPr>
              <w:t xml:space="preserve"> </w:t>
            </w:r>
            <w:r w:rsidR="07E49657" w:rsidRPr="005B0B73">
              <w:rPr>
                <w:rFonts w:eastAsia="Arial" w:cs="Arial"/>
                <w:b w:val="0"/>
                <w:bCs w:val="0"/>
                <w:i w:val="0"/>
                <w:iCs w:val="0"/>
                <w:sz w:val="22"/>
                <w:szCs w:val="22"/>
              </w:rPr>
              <w:t xml:space="preserve">Surveys </w:t>
            </w:r>
            <w:r w:rsidR="006121BC" w:rsidRPr="005B0B73">
              <w:rPr>
                <w:rFonts w:eastAsia="Arial" w:cs="Arial"/>
                <w:b w:val="0"/>
                <w:bCs w:val="0"/>
                <w:i w:val="0"/>
                <w:iCs w:val="0"/>
                <w:sz w:val="22"/>
                <w:szCs w:val="22"/>
              </w:rPr>
              <w:t xml:space="preserve">were </w:t>
            </w:r>
            <w:r w:rsidR="07E49657" w:rsidRPr="005B0B73">
              <w:rPr>
                <w:rFonts w:eastAsia="Arial" w:cs="Arial"/>
                <w:b w:val="0"/>
                <w:bCs w:val="0"/>
                <w:i w:val="0"/>
                <w:iCs w:val="0"/>
                <w:sz w:val="22"/>
                <w:szCs w:val="22"/>
              </w:rPr>
              <w:t xml:space="preserve">used </w:t>
            </w:r>
            <w:r w:rsidR="006121BC" w:rsidRPr="005B0B73">
              <w:rPr>
                <w:rFonts w:eastAsia="Arial" w:cs="Arial"/>
                <w:b w:val="0"/>
                <w:bCs w:val="0"/>
                <w:i w:val="0"/>
                <w:iCs w:val="0"/>
                <w:sz w:val="22"/>
                <w:szCs w:val="22"/>
              </w:rPr>
              <w:t xml:space="preserve">to track </w:t>
            </w:r>
            <w:proofErr w:type="gramStart"/>
            <w:r w:rsidR="006121BC" w:rsidRPr="005B0B73">
              <w:rPr>
                <w:rFonts w:eastAsia="Arial" w:cs="Arial"/>
                <w:b w:val="0"/>
                <w:bCs w:val="0"/>
                <w:i w:val="0"/>
                <w:iCs w:val="0"/>
                <w:sz w:val="22"/>
                <w:szCs w:val="22"/>
              </w:rPr>
              <w:t>feedback</w:t>
            </w:r>
            <w:proofErr w:type="gramEnd"/>
            <w:r w:rsidR="006121BC" w:rsidRPr="005B0B73">
              <w:rPr>
                <w:rFonts w:eastAsia="Arial" w:cs="Arial"/>
                <w:b w:val="0"/>
                <w:bCs w:val="0"/>
                <w:i w:val="0"/>
                <w:iCs w:val="0"/>
                <w:sz w:val="22"/>
                <w:szCs w:val="22"/>
              </w:rPr>
              <w:t xml:space="preserve"> </w:t>
            </w:r>
            <w:r w:rsidR="07E49657" w:rsidRPr="005B0B73">
              <w:rPr>
                <w:rFonts w:eastAsia="Arial" w:cs="Arial"/>
                <w:b w:val="0"/>
                <w:bCs w:val="0"/>
                <w:i w:val="0"/>
                <w:iCs w:val="0"/>
                <w:sz w:val="22"/>
                <w:szCs w:val="22"/>
              </w:rPr>
              <w:t>and t</w:t>
            </w:r>
            <w:r w:rsidR="16BCC49A" w:rsidRPr="005B0B73">
              <w:rPr>
                <w:rFonts w:eastAsia="Arial" w:cs="Arial"/>
                <w:b w:val="0"/>
                <w:bCs w:val="0"/>
                <w:i w:val="0"/>
                <w:iCs w:val="0"/>
                <w:sz w:val="22"/>
                <w:szCs w:val="22"/>
              </w:rPr>
              <w:t>he results were shared with the UK.</w:t>
            </w:r>
            <w:r w:rsidR="07E49657" w:rsidRPr="005B0B73">
              <w:rPr>
                <w:rFonts w:eastAsia="Arial" w:cs="Arial"/>
                <w:b w:val="0"/>
                <w:bCs w:val="0"/>
                <w:i w:val="0"/>
                <w:iCs w:val="0"/>
                <w:sz w:val="22"/>
                <w:szCs w:val="22"/>
              </w:rPr>
              <w:t xml:space="preserve"> </w:t>
            </w:r>
            <w:r w:rsidR="324C6948" w:rsidRPr="005B0B73">
              <w:rPr>
                <w:rFonts w:eastAsia="Arial" w:cs="Arial"/>
                <w:b w:val="0"/>
                <w:bCs w:val="0"/>
                <w:i w:val="0"/>
                <w:iCs w:val="0"/>
                <w:sz w:val="22"/>
                <w:szCs w:val="22"/>
              </w:rPr>
              <w:t xml:space="preserve">The TCAF team </w:t>
            </w:r>
            <w:r w:rsidR="006121BC" w:rsidRPr="005B0B73">
              <w:rPr>
                <w:rFonts w:eastAsia="Arial" w:cs="Arial"/>
                <w:b w:val="0"/>
                <w:bCs w:val="0"/>
                <w:i w:val="0"/>
                <w:iCs w:val="0"/>
                <w:sz w:val="22"/>
                <w:szCs w:val="22"/>
              </w:rPr>
              <w:t xml:space="preserve">continually </w:t>
            </w:r>
            <w:r w:rsidR="324C6948" w:rsidRPr="005B0B73">
              <w:rPr>
                <w:rFonts w:eastAsia="Arial" w:cs="Arial"/>
                <w:b w:val="0"/>
                <w:bCs w:val="0"/>
                <w:i w:val="0"/>
                <w:iCs w:val="0"/>
                <w:sz w:val="22"/>
                <w:szCs w:val="22"/>
              </w:rPr>
              <w:t>engag</w:t>
            </w:r>
            <w:r w:rsidR="006121BC" w:rsidRPr="005B0B73">
              <w:rPr>
                <w:rFonts w:eastAsia="Arial" w:cs="Arial"/>
                <w:b w:val="0"/>
                <w:bCs w:val="0"/>
                <w:i w:val="0"/>
                <w:iCs w:val="0"/>
                <w:sz w:val="22"/>
                <w:szCs w:val="22"/>
              </w:rPr>
              <w:t>e</w:t>
            </w:r>
            <w:r w:rsidR="324C6948" w:rsidRPr="005B0B73">
              <w:rPr>
                <w:rFonts w:eastAsia="Arial" w:cs="Arial"/>
                <w:b w:val="0"/>
                <w:bCs w:val="0"/>
                <w:i w:val="0"/>
                <w:iCs w:val="0"/>
                <w:sz w:val="22"/>
                <w:szCs w:val="22"/>
              </w:rPr>
              <w:t xml:space="preserve"> with the UNFCCC and ICAO to take on board feedback. </w:t>
            </w:r>
          </w:p>
          <w:p w14:paraId="5D029D84" w14:textId="6A5EA7AB" w:rsidR="01ABA75A" w:rsidRPr="005B0B73" w:rsidRDefault="01ABA75A" w:rsidP="1FFC5AE9">
            <w:pPr>
              <w:jc w:val="both"/>
              <w:rPr>
                <w:rFonts w:eastAsia="Arial" w:cs="Arial"/>
                <w:color w:val="000000" w:themeColor="text1"/>
                <w:sz w:val="22"/>
                <w:szCs w:val="22"/>
                <w:lang w:val="en-US"/>
              </w:rPr>
            </w:pPr>
          </w:p>
        </w:tc>
      </w:tr>
      <w:tr w:rsidR="00E57341" w:rsidRPr="005B0B73" w14:paraId="76F25969" w14:textId="77777777" w:rsidTr="00E30F13">
        <w:trPr>
          <w:trHeight w:val="300"/>
        </w:trPr>
        <w:tc>
          <w:tcPr>
            <w:tcW w:w="4521" w:type="dxa"/>
          </w:tcPr>
          <w:p w14:paraId="776190AC" w14:textId="13CC2213" w:rsidR="01ABA75A" w:rsidRPr="005B0B73" w:rsidRDefault="0098397B" w:rsidP="1FFC5AE9">
            <w:pPr>
              <w:jc w:val="both"/>
              <w:rPr>
                <w:rFonts w:eastAsia="Arial" w:cs="Arial"/>
                <w:color w:val="000000" w:themeColor="text1"/>
                <w:sz w:val="22"/>
                <w:szCs w:val="22"/>
              </w:rPr>
            </w:pPr>
            <w:r w:rsidRPr="00AB6FFA">
              <w:rPr>
                <w:rFonts w:eastAsia="Arial" w:cs="Arial"/>
                <w:sz w:val="22"/>
                <w:szCs w:val="22"/>
              </w:rPr>
              <w:t xml:space="preserve">The </w:t>
            </w:r>
            <w:r w:rsidRPr="00AB6FFA">
              <w:rPr>
                <w:rFonts w:eastAsia="Arial" w:cs="Arial"/>
                <w:b/>
                <w:sz w:val="22"/>
                <w:szCs w:val="22"/>
              </w:rPr>
              <w:t>Trustee</w:t>
            </w:r>
            <w:r w:rsidRPr="00AB6FFA">
              <w:rPr>
                <w:rFonts w:eastAsia="Arial" w:cs="Arial"/>
                <w:sz w:val="22"/>
                <w:szCs w:val="22"/>
              </w:rPr>
              <w:t xml:space="preserve"> should continue to engage with a broad spectrum of carbon market stakeholders, including engaging and contributing to the Paris Agreement Crediting Mechanism’s work and voluntary carbon market actors, and with key stakeholders related to the Carbon Offsetting and Reduction Scheme for International Aviation (CORSIA) to help ensure replication of TCAF experience, and where appropriate, alignment of practices, and awareness raising of Article 6 authorisation use case options on an ongoing basis. This engagement work should be presented at the next annual meeting.</w:t>
            </w:r>
          </w:p>
        </w:tc>
        <w:tc>
          <w:tcPr>
            <w:tcW w:w="4603" w:type="dxa"/>
          </w:tcPr>
          <w:p w14:paraId="778B9AD2" w14:textId="1B76D856" w:rsidR="00F8570D" w:rsidRPr="00AB6FFA" w:rsidRDefault="00876DCE" w:rsidP="00AB6FFA">
            <w:pPr>
              <w:pStyle w:val="Heading2"/>
              <w:jc w:val="both"/>
              <w:rPr>
                <w:rFonts w:eastAsia="Arial" w:cs="Arial"/>
                <w:sz w:val="22"/>
                <w:szCs w:val="22"/>
              </w:rPr>
            </w:pPr>
            <w:r w:rsidRPr="005B0B73">
              <w:rPr>
                <w:rFonts w:eastAsia="Arial" w:cs="Arial"/>
                <w:i w:val="0"/>
                <w:iCs w:val="0"/>
                <w:sz w:val="22"/>
                <w:szCs w:val="22"/>
              </w:rPr>
              <w:t>Partially a</w:t>
            </w:r>
            <w:r w:rsidR="4CB5FCB8" w:rsidRPr="005B0B73">
              <w:rPr>
                <w:rFonts w:eastAsia="Arial" w:cs="Arial"/>
                <w:i w:val="0"/>
                <w:iCs w:val="0"/>
                <w:sz w:val="22"/>
                <w:szCs w:val="22"/>
              </w:rPr>
              <w:t>chieved</w:t>
            </w:r>
            <w:r w:rsidR="7778B03D" w:rsidRPr="005B0B73">
              <w:rPr>
                <w:rFonts w:eastAsia="Arial" w:cs="Arial"/>
                <w:i w:val="0"/>
                <w:iCs w:val="0"/>
                <w:sz w:val="22"/>
                <w:szCs w:val="22"/>
              </w:rPr>
              <w:t xml:space="preserve">. </w:t>
            </w:r>
            <w:r w:rsidR="7778B03D" w:rsidRPr="005B0B73">
              <w:rPr>
                <w:rFonts w:eastAsia="Arial" w:cs="Arial"/>
                <w:b w:val="0"/>
                <w:bCs w:val="0"/>
                <w:i w:val="0"/>
                <w:iCs w:val="0"/>
                <w:sz w:val="22"/>
                <w:szCs w:val="22"/>
              </w:rPr>
              <w:t xml:space="preserve"> The Trustee continues to engage with a wide range of stakeholders including </w:t>
            </w:r>
            <w:r w:rsidR="66BF8817" w:rsidRPr="005B0B73">
              <w:rPr>
                <w:rFonts w:eastAsia="Arial" w:cs="Arial"/>
                <w:b w:val="0"/>
                <w:bCs w:val="0"/>
                <w:i w:val="0"/>
                <w:iCs w:val="0"/>
                <w:sz w:val="22"/>
                <w:szCs w:val="22"/>
              </w:rPr>
              <w:t>CORSIA and independent standard setters such as Gold Standard, Verra etc.</w:t>
            </w:r>
            <w:r w:rsidR="008444BD" w:rsidRPr="005B0B73">
              <w:rPr>
                <w:rFonts w:eastAsia="Arial" w:cs="Arial"/>
                <w:b w:val="0"/>
                <w:bCs w:val="0"/>
                <w:i w:val="0"/>
                <w:iCs w:val="0"/>
                <w:sz w:val="22"/>
                <w:szCs w:val="22"/>
              </w:rPr>
              <w:t xml:space="preserve"> </w:t>
            </w:r>
            <w:r w:rsidR="00F8570D">
              <w:rPr>
                <w:rFonts w:eastAsia="Arial" w:cs="Arial"/>
                <w:b w:val="0"/>
                <w:bCs w:val="0"/>
                <w:i w:val="0"/>
                <w:iCs w:val="0"/>
                <w:sz w:val="22"/>
                <w:szCs w:val="22"/>
              </w:rPr>
              <w:t xml:space="preserve">To note </w:t>
            </w:r>
            <w:r w:rsidR="00F34F73" w:rsidRPr="00AB6FFA">
              <w:rPr>
                <w:rFonts w:eastAsia="Arial" w:cs="Arial"/>
                <w:b w:val="0"/>
                <w:bCs w:val="0"/>
                <w:i w:val="0"/>
                <w:iCs w:val="0"/>
                <w:sz w:val="22"/>
                <w:szCs w:val="22"/>
              </w:rPr>
              <w:t xml:space="preserve">TCAF has also supported Article 6 intelligence products including </w:t>
            </w:r>
            <w:r w:rsidR="00F8570D" w:rsidRPr="00AB6FFA">
              <w:rPr>
                <w:rFonts w:eastAsia="Arial" w:cs="Arial"/>
                <w:b w:val="0"/>
                <w:bCs w:val="0"/>
                <w:i w:val="0"/>
                <w:iCs w:val="0"/>
                <w:sz w:val="22"/>
                <w:szCs w:val="22"/>
              </w:rPr>
              <w:t>work towards a policy crediting standard under CORSIA.</w:t>
            </w:r>
            <w:r w:rsidR="00F8570D" w:rsidRPr="005B0B73">
              <w:rPr>
                <w:rFonts w:eastAsia="Arial" w:cs="Arial"/>
                <w:b w:val="0"/>
                <w:bCs w:val="0"/>
                <w:i w:val="0"/>
                <w:iCs w:val="0"/>
                <w:sz w:val="22"/>
                <w:szCs w:val="22"/>
              </w:rPr>
              <w:t xml:space="preserve"> The Trustee should clearly present this work to contributors in future.</w:t>
            </w:r>
          </w:p>
          <w:p w14:paraId="14ADF664" w14:textId="41BF6492" w:rsidR="00F34F73" w:rsidRDefault="00F34F73">
            <w:pPr>
              <w:rPr>
                <w:rFonts w:eastAsia="Arial" w:cs="Arial"/>
                <w:sz w:val="22"/>
                <w:szCs w:val="22"/>
              </w:rPr>
            </w:pPr>
          </w:p>
          <w:p w14:paraId="4B5EB206" w14:textId="32C22FFE" w:rsidR="01ABA75A" w:rsidRPr="005B0B73" w:rsidRDefault="01ABA75A" w:rsidP="00AB6FFA">
            <w:pPr>
              <w:spacing w:line="300" w:lineRule="auto"/>
              <w:rPr>
                <w:rFonts w:eastAsia="Arial" w:cs="Arial"/>
                <w:sz w:val="22"/>
                <w:szCs w:val="22"/>
              </w:rPr>
            </w:pPr>
          </w:p>
        </w:tc>
      </w:tr>
      <w:tr w:rsidR="00E57341" w:rsidRPr="005B0B73" w14:paraId="4DC8B685" w14:textId="77777777" w:rsidTr="00E30F13">
        <w:trPr>
          <w:trHeight w:val="300"/>
        </w:trPr>
        <w:tc>
          <w:tcPr>
            <w:tcW w:w="4521" w:type="dxa"/>
          </w:tcPr>
          <w:p w14:paraId="2ED3B5F9" w14:textId="6A1FD1DA" w:rsidR="01ABA75A" w:rsidRPr="005B0B73" w:rsidRDefault="008A25E5" w:rsidP="1FFC5AE9">
            <w:pPr>
              <w:jc w:val="both"/>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share lessons learnt with other World Bank Programmes (including the Partnership for Market Implementation, Carbon Initiative for Development, Scaling Climate Action by </w:t>
            </w:r>
            <w:r w:rsidRPr="005B0B73">
              <w:rPr>
                <w:rFonts w:eastAsia="Arial" w:cs="Arial"/>
                <w:color w:val="000000" w:themeColor="text1"/>
                <w:sz w:val="22"/>
                <w:szCs w:val="22"/>
              </w:rPr>
              <w:lastRenderedPageBreak/>
              <w:t>Lowering Emissions program) and seek out joint opportunities for facilitating knowledge exchange (including through conferences such as Innovate4Climate).</w:t>
            </w:r>
          </w:p>
        </w:tc>
        <w:tc>
          <w:tcPr>
            <w:tcW w:w="4603" w:type="dxa"/>
          </w:tcPr>
          <w:p w14:paraId="2EF17266" w14:textId="016D46F2" w:rsidR="01ABA75A" w:rsidRPr="005B0B73" w:rsidRDefault="5DE2A5D5" w:rsidP="001F4EB2">
            <w:pPr>
              <w:pStyle w:val="Heading2"/>
              <w:jc w:val="both"/>
              <w:rPr>
                <w:rFonts w:eastAsia="Arial" w:cs="Arial"/>
                <w:b w:val="0"/>
                <w:bCs w:val="0"/>
                <w:i w:val="0"/>
                <w:iCs w:val="0"/>
                <w:sz w:val="22"/>
                <w:szCs w:val="22"/>
              </w:rPr>
            </w:pPr>
            <w:r w:rsidRPr="005B0B73">
              <w:rPr>
                <w:rFonts w:eastAsia="Arial" w:cs="Arial"/>
                <w:i w:val="0"/>
                <w:iCs w:val="0"/>
                <w:sz w:val="22"/>
                <w:szCs w:val="22"/>
              </w:rPr>
              <w:lastRenderedPageBreak/>
              <w:t>Achieved.</w:t>
            </w:r>
            <w:r w:rsidRPr="005B0B73">
              <w:rPr>
                <w:rFonts w:eastAsia="Arial" w:cs="Arial"/>
                <w:b w:val="0"/>
                <w:bCs w:val="0"/>
                <w:i w:val="0"/>
                <w:iCs w:val="0"/>
                <w:sz w:val="22"/>
                <w:szCs w:val="22"/>
              </w:rPr>
              <w:t xml:space="preserve"> </w:t>
            </w:r>
            <w:r w:rsidR="001F3D79" w:rsidRPr="005B0B73">
              <w:rPr>
                <w:rFonts w:eastAsia="Arial" w:cs="Arial"/>
                <w:b w:val="0"/>
                <w:bCs w:val="0"/>
                <w:i w:val="0"/>
                <w:iCs w:val="0"/>
                <w:sz w:val="22"/>
                <w:szCs w:val="22"/>
              </w:rPr>
              <w:t xml:space="preserve">A joint global knowledge day was organised between TCAF/Ci-Dev/PMI at last year’s Innovate4Climate conference. </w:t>
            </w:r>
            <w:r w:rsidR="00047930" w:rsidRPr="005B0B73">
              <w:rPr>
                <w:rFonts w:eastAsia="Arial" w:cs="Arial"/>
                <w:b w:val="0"/>
                <w:bCs w:val="0"/>
                <w:i w:val="0"/>
                <w:iCs w:val="0"/>
                <w:sz w:val="22"/>
                <w:szCs w:val="22"/>
              </w:rPr>
              <w:t xml:space="preserve">The TCAF and SCALE teams share staff, so there </w:t>
            </w:r>
            <w:r w:rsidR="00047930" w:rsidRPr="005B0B73">
              <w:rPr>
                <w:rFonts w:eastAsia="Arial" w:cs="Arial"/>
                <w:b w:val="0"/>
                <w:bCs w:val="0"/>
                <w:i w:val="0"/>
                <w:iCs w:val="0"/>
                <w:sz w:val="22"/>
                <w:szCs w:val="22"/>
              </w:rPr>
              <w:lastRenderedPageBreak/>
              <w:t xml:space="preserve">is an organic cross-pollination, along with formal meetings etc.  The Trustee meets with the PMI team </w:t>
            </w:r>
            <w:proofErr w:type="gramStart"/>
            <w:r w:rsidR="00047930" w:rsidRPr="005B0B73">
              <w:rPr>
                <w:rFonts w:eastAsia="Arial" w:cs="Arial"/>
                <w:b w:val="0"/>
                <w:bCs w:val="0"/>
                <w:i w:val="0"/>
                <w:iCs w:val="0"/>
                <w:sz w:val="22"/>
                <w:szCs w:val="22"/>
              </w:rPr>
              <w:t>on a monthly basis</w:t>
            </w:r>
            <w:proofErr w:type="gramEnd"/>
            <w:r w:rsidR="00047930" w:rsidRPr="005B0B73">
              <w:rPr>
                <w:rFonts w:eastAsia="Arial" w:cs="Arial"/>
                <w:b w:val="0"/>
                <w:bCs w:val="0"/>
                <w:i w:val="0"/>
                <w:iCs w:val="0"/>
                <w:sz w:val="22"/>
                <w:szCs w:val="22"/>
              </w:rPr>
              <w:t xml:space="preserve"> to keep each team abreast of the others’ work.  </w:t>
            </w:r>
            <w:r w:rsidR="001F4EB2" w:rsidRPr="005B0B73">
              <w:rPr>
                <w:rFonts w:eastAsia="Arial" w:cs="Arial"/>
                <w:b w:val="0"/>
                <w:bCs w:val="0"/>
                <w:i w:val="0"/>
                <w:iCs w:val="0"/>
                <w:sz w:val="22"/>
                <w:szCs w:val="22"/>
              </w:rPr>
              <w:t xml:space="preserve"> </w:t>
            </w:r>
          </w:p>
        </w:tc>
      </w:tr>
    </w:tbl>
    <w:p w14:paraId="05B3D1EB" w14:textId="17EAEB23" w:rsidR="00426804" w:rsidRPr="005B0B73" w:rsidRDefault="00426804" w:rsidP="1FFC5AE9">
      <w:pPr>
        <w:jc w:val="both"/>
        <w:rPr>
          <w:rStyle w:val="Heading2Char"/>
          <w:rFonts w:eastAsia="Arial" w:cs="Arial"/>
          <w:sz w:val="22"/>
          <w:szCs w:val="22"/>
        </w:rPr>
      </w:pPr>
      <w:bookmarkStart w:id="4" w:name="_Toc142922623"/>
    </w:p>
    <w:p w14:paraId="0AA3BF2F" w14:textId="762DFB9E" w:rsidR="00E30F13" w:rsidRPr="005B0B73" w:rsidRDefault="28B78DBE" w:rsidP="00E30F13">
      <w:pPr>
        <w:jc w:val="both"/>
        <w:rPr>
          <w:rFonts w:eastAsia="Arial" w:cs="Arial"/>
          <w:color w:val="000000" w:themeColor="text1"/>
          <w:sz w:val="22"/>
          <w:szCs w:val="22"/>
        </w:rPr>
      </w:pPr>
      <w:r w:rsidRPr="005B0B73">
        <w:rPr>
          <w:rFonts w:eastAsia="Arial" w:cs="Arial"/>
          <w:color w:val="000000" w:themeColor="text1"/>
          <w:sz w:val="22"/>
          <w:szCs w:val="22"/>
        </w:rPr>
        <w:t>Recommendations that were not achieved or remain relevant have been carried over to the recommendations made by this year’s review. Some have been amended following discussions with the Trustee or due to the evolving carbon market landscape.</w:t>
      </w:r>
    </w:p>
    <w:p w14:paraId="34E704BE" w14:textId="77777777" w:rsidR="350B2460" w:rsidRPr="005B0B73" w:rsidRDefault="350B2460" w:rsidP="350B2460">
      <w:pPr>
        <w:jc w:val="both"/>
        <w:rPr>
          <w:rFonts w:eastAsia="Arial" w:cs="Arial"/>
          <w:sz w:val="22"/>
          <w:szCs w:val="22"/>
        </w:rPr>
      </w:pPr>
    </w:p>
    <w:p w14:paraId="788BE7E1" w14:textId="7E57757D" w:rsidR="003D222C" w:rsidRPr="005B0B73" w:rsidRDefault="003D222C" w:rsidP="1FFC5AE9">
      <w:pPr>
        <w:jc w:val="both"/>
        <w:rPr>
          <w:rFonts w:eastAsia="Arial" w:cs="Arial"/>
          <w:i/>
          <w:iCs/>
          <w:sz w:val="22"/>
          <w:szCs w:val="22"/>
        </w:rPr>
      </w:pPr>
      <w:r w:rsidRPr="005B0B73">
        <w:rPr>
          <w:rStyle w:val="Heading2Char"/>
          <w:rFonts w:eastAsia="Arial" w:cs="Arial"/>
          <w:i w:val="0"/>
          <w:sz w:val="22"/>
          <w:szCs w:val="22"/>
        </w:rPr>
        <w:t>Major lessons and recommendations for the year ahead</w:t>
      </w:r>
      <w:bookmarkEnd w:id="4"/>
      <w:r w:rsidRPr="005B0B73">
        <w:rPr>
          <w:rFonts w:eastAsia="Arial" w:cs="Arial"/>
          <w:i/>
          <w:iCs/>
          <w:sz w:val="22"/>
          <w:szCs w:val="22"/>
        </w:rPr>
        <w:t xml:space="preserve"> </w:t>
      </w:r>
    </w:p>
    <w:p w14:paraId="773A77CC" w14:textId="1912BB68" w:rsidR="00D0302B" w:rsidRPr="005B0B73" w:rsidRDefault="00D0302B" w:rsidP="1FFC5AE9">
      <w:pPr>
        <w:jc w:val="both"/>
        <w:rPr>
          <w:rFonts w:eastAsia="Arial" w:cs="Arial"/>
          <w:sz w:val="22"/>
          <w:szCs w:val="22"/>
        </w:rPr>
      </w:pPr>
    </w:p>
    <w:p w14:paraId="15DF0EAF" w14:textId="035F1146" w:rsidR="5BFDDC66" w:rsidRPr="005B0B73" w:rsidRDefault="2D73A788" w:rsidP="1FFC5AE9">
      <w:pPr>
        <w:jc w:val="both"/>
        <w:rPr>
          <w:rFonts w:eastAsia="Arial" w:cs="Arial"/>
          <w:sz w:val="22"/>
          <w:szCs w:val="22"/>
        </w:rPr>
      </w:pPr>
      <w:r w:rsidRPr="005B0B73">
        <w:rPr>
          <w:rFonts w:eastAsia="Arial" w:cs="Arial"/>
          <w:sz w:val="22"/>
          <w:szCs w:val="22"/>
        </w:rPr>
        <w:t xml:space="preserve">This year, we propose the following </w:t>
      </w:r>
      <w:r w:rsidR="00EA6DB2" w:rsidRPr="005B0B73">
        <w:rPr>
          <w:rFonts w:eastAsia="Arial" w:cs="Arial"/>
          <w:sz w:val="22"/>
          <w:szCs w:val="22"/>
        </w:rPr>
        <w:t>6</w:t>
      </w:r>
      <w:r w:rsidR="2B03E956" w:rsidRPr="005B0B73">
        <w:rPr>
          <w:rFonts w:eastAsia="Arial" w:cs="Arial"/>
          <w:sz w:val="22"/>
          <w:szCs w:val="22"/>
        </w:rPr>
        <w:t xml:space="preserve"> </w:t>
      </w:r>
      <w:r w:rsidRPr="005B0B73">
        <w:rPr>
          <w:rFonts w:eastAsia="Arial" w:cs="Arial"/>
          <w:sz w:val="22"/>
          <w:szCs w:val="22"/>
        </w:rPr>
        <w:t>recommendations</w:t>
      </w:r>
      <w:r w:rsidR="195AAC8D" w:rsidRPr="005B0B73">
        <w:rPr>
          <w:rFonts w:eastAsia="Arial" w:cs="Arial"/>
          <w:sz w:val="22"/>
          <w:szCs w:val="22"/>
        </w:rPr>
        <w:t xml:space="preserve">: </w:t>
      </w:r>
    </w:p>
    <w:p w14:paraId="16DCCC13" w14:textId="77777777" w:rsidR="000C631C" w:rsidRPr="005B0B73" w:rsidRDefault="000C631C" w:rsidP="1FFC5AE9">
      <w:pPr>
        <w:jc w:val="both"/>
        <w:rPr>
          <w:rFonts w:eastAsia="Arial" w:cs="Arial"/>
          <w:sz w:val="22"/>
          <w:szCs w:val="22"/>
        </w:rPr>
      </w:pPr>
    </w:p>
    <w:tbl>
      <w:tblPr>
        <w:tblStyle w:val="TableGrid"/>
        <w:tblW w:w="9014"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7048"/>
        <w:gridCol w:w="1966"/>
      </w:tblGrid>
      <w:tr w:rsidR="003B3C12" w:rsidRPr="005B0B73" w14:paraId="3133934C" w14:textId="77777777" w:rsidTr="12789A02">
        <w:trPr>
          <w:trHeight w:val="435"/>
        </w:trPr>
        <w:tc>
          <w:tcPr>
            <w:tcW w:w="7048" w:type="dxa"/>
            <w:shd w:val="clear" w:color="auto" w:fill="DAE8F8"/>
          </w:tcPr>
          <w:p w14:paraId="3516205D" w14:textId="77777777" w:rsidR="3E160EEB" w:rsidRPr="005B0B73" w:rsidRDefault="3E160EEB" w:rsidP="1FFC5AE9">
            <w:pPr>
              <w:jc w:val="both"/>
              <w:rPr>
                <w:rFonts w:eastAsia="Arial" w:cs="Arial"/>
                <w:b/>
                <w:bCs/>
                <w:sz w:val="22"/>
                <w:szCs w:val="22"/>
              </w:rPr>
            </w:pPr>
            <w:r w:rsidRPr="005B0B73">
              <w:rPr>
                <w:rFonts w:eastAsia="Arial" w:cs="Arial"/>
                <w:b/>
                <w:bCs/>
                <w:sz w:val="22"/>
                <w:szCs w:val="22"/>
              </w:rPr>
              <w:t>Recommendation</w:t>
            </w:r>
          </w:p>
        </w:tc>
        <w:tc>
          <w:tcPr>
            <w:tcW w:w="1966" w:type="dxa"/>
            <w:shd w:val="clear" w:color="auto" w:fill="DEEAF6" w:themeFill="accent5" w:themeFillTint="33"/>
          </w:tcPr>
          <w:p w14:paraId="0126BD57" w14:textId="13F7F139" w:rsidR="3E160EEB" w:rsidRPr="005B0B73" w:rsidRDefault="5853D4F7" w:rsidP="1FFC5AE9">
            <w:pPr>
              <w:jc w:val="both"/>
              <w:rPr>
                <w:rFonts w:eastAsia="Arial" w:cs="Arial"/>
                <w:sz w:val="22"/>
                <w:szCs w:val="22"/>
              </w:rPr>
            </w:pPr>
            <w:r w:rsidRPr="005B0B73">
              <w:rPr>
                <w:rFonts w:eastAsia="Arial" w:cs="Arial"/>
                <w:b/>
                <w:bCs/>
                <w:sz w:val="22"/>
                <w:szCs w:val="22"/>
              </w:rPr>
              <w:t>Due Date</w:t>
            </w:r>
          </w:p>
        </w:tc>
      </w:tr>
      <w:tr w:rsidR="00B158D6" w:rsidRPr="005B0B73" w14:paraId="00F24AFC" w14:textId="77777777" w:rsidTr="12789A02">
        <w:trPr>
          <w:trHeight w:val="632"/>
        </w:trPr>
        <w:tc>
          <w:tcPr>
            <w:tcW w:w="7048" w:type="dxa"/>
          </w:tcPr>
          <w:p w14:paraId="4A4D50CD" w14:textId="10627772" w:rsidR="3E160EEB" w:rsidRPr="005B0B73" w:rsidRDefault="10EE77DA" w:rsidP="350B2460">
            <w:pPr>
              <w:pStyle w:val="ListParagraph"/>
              <w:numPr>
                <w:ilvl w:val="0"/>
                <w:numId w:val="20"/>
              </w:numPr>
              <w:jc w:val="both"/>
              <w:rPr>
                <w:rFonts w:eastAsia="Arial" w:cs="Arial"/>
                <w:color w:val="000000" w:themeColor="text1"/>
                <w:sz w:val="22"/>
                <w:szCs w:val="22"/>
              </w:rPr>
            </w:pPr>
            <w:r w:rsidRPr="12789A02">
              <w:rPr>
                <w:rFonts w:eastAsia="Arial" w:cs="Arial"/>
                <w:color w:val="000000" w:themeColor="text1"/>
                <w:sz w:val="22"/>
                <w:szCs w:val="22"/>
              </w:rPr>
              <w:t xml:space="preserve">The </w:t>
            </w:r>
            <w:r w:rsidRPr="12789A02">
              <w:rPr>
                <w:rFonts w:eastAsia="Arial" w:cs="Arial"/>
                <w:b/>
                <w:bCs/>
                <w:color w:val="000000" w:themeColor="text1"/>
                <w:sz w:val="22"/>
                <w:szCs w:val="22"/>
              </w:rPr>
              <w:t>Trustee</w:t>
            </w:r>
            <w:r w:rsidRPr="12789A02">
              <w:rPr>
                <w:rFonts w:eastAsia="Arial" w:cs="Arial"/>
                <w:color w:val="000000" w:themeColor="text1"/>
                <w:sz w:val="22"/>
                <w:szCs w:val="22"/>
              </w:rPr>
              <w:t xml:space="preserve"> should </w:t>
            </w:r>
            <w:r w:rsidR="37CD752B" w:rsidRPr="12789A02">
              <w:rPr>
                <w:rFonts w:eastAsia="Arial" w:cs="Arial"/>
                <w:color w:val="000000" w:themeColor="text1"/>
                <w:sz w:val="22"/>
                <w:szCs w:val="22"/>
              </w:rPr>
              <w:t>prioritise</w:t>
            </w:r>
            <w:r w:rsidRPr="12789A02">
              <w:rPr>
                <w:rFonts w:eastAsia="Arial" w:cs="Arial"/>
                <w:color w:val="000000" w:themeColor="text1"/>
                <w:sz w:val="22"/>
                <w:szCs w:val="22"/>
              </w:rPr>
              <w:t xml:space="preserve"> </w:t>
            </w:r>
            <w:r w:rsidR="004956C0" w:rsidRPr="12789A02">
              <w:rPr>
                <w:rFonts w:eastAsia="Arial" w:cs="Arial"/>
                <w:color w:val="000000" w:themeColor="text1"/>
                <w:sz w:val="22"/>
                <w:szCs w:val="22"/>
              </w:rPr>
              <w:t>continued delivery of a robust, high integrity pipeline</w:t>
            </w:r>
            <w:r w:rsidR="747438AD" w:rsidRPr="12789A02">
              <w:rPr>
                <w:rFonts w:eastAsia="Arial" w:cs="Arial"/>
                <w:color w:val="000000" w:themeColor="text1"/>
                <w:sz w:val="22"/>
                <w:szCs w:val="22"/>
              </w:rPr>
              <w:t xml:space="preserve"> </w:t>
            </w:r>
            <w:r w:rsidR="001A49C0" w:rsidRPr="12789A02">
              <w:rPr>
                <w:rFonts w:eastAsia="Arial" w:cs="Arial"/>
                <w:color w:val="000000" w:themeColor="text1"/>
                <w:sz w:val="22"/>
                <w:szCs w:val="22"/>
              </w:rPr>
              <w:t>assessing and mitigating</w:t>
            </w:r>
            <w:r w:rsidR="095A8BB4" w:rsidRPr="12789A02">
              <w:rPr>
                <w:rFonts w:eastAsia="Arial" w:cs="Arial"/>
                <w:color w:val="000000" w:themeColor="text1"/>
                <w:sz w:val="22"/>
                <w:szCs w:val="22"/>
              </w:rPr>
              <w:t xml:space="preserve"> blockers to</w:t>
            </w:r>
            <w:r w:rsidR="1BD9B440" w:rsidRPr="12789A02">
              <w:rPr>
                <w:rFonts w:eastAsia="Arial" w:cs="Arial"/>
                <w:color w:val="000000" w:themeColor="text1"/>
                <w:sz w:val="22"/>
                <w:szCs w:val="22"/>
              </w:rPr>
              <w:t xml:space="preserve"> </w:t>
            </w:r>
            <w:r w:rsidR="0677F8DC" w:rsidRPr="12789A02">
              <w:rPr>
                <w:rFonts w:eastAsia="Arial" w:cs="Arial"/>
                <w:color w:val="000000" w:themeColor="text1"/>
                <w:sz w:val="22"/>
                <w:szCs w:val="22"/>
              </w:rPr>
              <w:t>pipeline</w:t>
            </w:r>
            <w:r w:rsidR="0DD877D3" w:rsidRPr="12789A02">
              <w:rPr>
                <w:rFonts w:eastAsia="Arial" w:cs="Arial"/>
                <w:color w:val="000000" w:themeColor="text1"/>
                <w:sz w:val="22"/>
                <w:szCs w:val="22"/>
              </w:rPr>
              <w:t xml:space="preserve"> </w:t>
            </w:r>
            <w:r w:rsidR="2DD4D2D2" w:rsidRPr="12789A02">
              <w:rPr>
                <w:rFonts w:eastAsia="Arial" w:cs="Arial"/>
                <w:color w:val="000000" w:themeColor="text1"/>
                <w:sz w:val="22"/>
                <w:szCs w:val="22"/>
              </w:rPr>
              <w:t xml:space="preserve">expansion to </w:t>
            </w:r>
            <w:r w:rsidR="1BD9B440" w:rsidRPr="12789A02">
              <w:rPr>
                <w:rFonts w:eastAsia="Arial" w:cs="Arial"/>
                <w:color w:val="000000" w:themeColor="text1"/>
                <w:sz w:val="22"/>
                <w:szCs w:val="22"/>
              </w:rPr>
              <w:t xml:space="preserve">ensure </w:t>
            </w:r>
            <w:r w:rsidR="3752C53C" w:rsidRPr="12789A02">
              <w:rPr>
                <w:rFonts w:eastAsia="Arial" w:cs="Arial"/>
                <w:color w:val="000000" w:themeColor="text1"/>
                <w:sz w:val="22"/>
                <w:szCs w:val="22"/>
              </w:rPr>
              <w:t>continued value for money.</w:t>
            </w:r>
            <w:r w:rsidR="095A8BB4" w:rsidRPr="12789A02">
              <w:rPr>
                <w:rFonts w:eastAsia="Arial" w:cs="Arial"/>
                <w:color w:val="000000" w:themeColor="text1"/>
                <w:sz w:val="22"/>
                <w:szCs w:val="22"/>
              </w:rPr>
              <w:t xml:space="preserve"> </w:t>
            </w:r>
            <w:r w:rsidR="004956C0" w:rsidRPr="12789A02">
              <w:rPr>
                <w:rFonts w:eastAsia="Arial" w:cs="Arial"/>
                <w:color w:val="000000" w:themeColor="text1"/>
                <w:sz w:val="22"/>
                <w:szCs w:val="22"/>
              </w:rPr>
              <w:t xml:space="preserve">This should include </w:t>
            </w:r>
            <w:r w:rsidRPr="12789A02">
              <w:rPr>
                <w:rFonts w:eastAsia="Arial" w:cs="Arial"/>
                <w:color w:val="000000" w:themeColor="text1"/>
                <w:sz w:val="22"/>
                <w:szCs w:val="22"/>
              </w:rPr>
              <w:t xml:space="preserve">agreement of commercial terms </w:t>
            </w:r>
            <w:r w:rsidR="004956C0" w:rsidRPr="12789A02">
              <w:rPr>
                <w:rFonts w:eastAsia="Arial" w:cs="Arial"/>
                <w:color w:val="000000" w:themeColor="text1"/>
                <w:sz w:val="22"/>
                <w:szCs w:val="22"/>
              </w:rPr>
              <w:t xml:space="preserve">for </w:t>
            </w:r>
            <w:r w:rsidR="00E36E07" w:rsidRPr="12789A02">
              <w:rPr>
                <w:rFonts w:eastAsia="Arial" w:cs="Arial"/>
                <w:color w:val="000000" w:themeColor="text1"/>
                <w:sz w:val="22"/>
                <w:szCs w:val="22"/>
              </w:rPr>
              <w:t>t</w:t>
            </w:r>
            <w:r w:rsidR="00494A55" w:rsidRPr="12789A02">
              <w:rPr>
                <w:rFonts w:eastAsia="Arial" w:cs="Arial"/>
                <w:color w:val="000000" w:themeColor="text1"/>
                <w:sz w:val="22"/>
                <w:szCs w:val="22"/>
              </w:rPr>
              <w:t>he Kyrgyz Republic</w:t>
            </w:r>
            <w:r w:rsidR="004956C0" w:rsidRPr="12789A02">
              <w:rPr>
                <w:rFonts w:eastAsia="Arial" w:cs="Arial"/>
                <w:color w:val="000000" w:themeColor="text1"/>
                <w:sz w:val="22"/>
                <w:szCs w:val="22"/>
              </w:rPr>
              <w:t xml:space="preserve">, Pakistan and at least one further program </w:t>
            </w:r>
            <w:r w:rsidRPr="12789A02">
              <w:rPr>
                <w:rFonts w:eastAsia="Arial" w:cs="Arial"/>
                <w:color w:val="000000" w:themeColor="text1"/>
                <w:sz w:val="22"/>
                <w:szCs w:val="22"/>
              </w:rPr>
              <w:t>before the end of the review period.</w:t>
            </w:r>
            <w:r w:rsidR="6305B24A" w:rsidRPr="12789A02">
              <w:rPr>
                <w:rFonts w:eastAsia="Arial" w:cs="Arial"/>
                <w:color w:val="000000" w:themeColor="text1"/>
                <w:sz w:val="22"/>
                <w:szCs w:val="22"/>
              </w:rPr>
              <w:t xml:space="preserve"> </w:t>
            </w:r>
            <w:r w:rsidR="008B5502" w:rsidRPr="12789A02">
              <w:rPr>
                <w:rFonts w:eastAsia="Arial" w:cs="Arial"/>
                <w:i/>
                <w:iCs/>
                <w:color w:val="000000" w:themeColor="text1"/>
                <w:sz w:val="22"/>
                <w:szCs w:val="22"/>
              </w:rPr>
              <w:t xml:space="preserve">Rolled </w:t>
            </w:r>
            <w:r w:rsidR="7AD92228" w:rsidRPr="12789A02">
              <w:rPr>
                <w:rFonts w:eastAsia="Arial" w:cs="Arial"/>
                <w:i/>
                <w:iCs/>
                <w:color w:val="000000" w:themeColor="text1"/>
                <w:sz w:val="22"/>
                <w:szCs w:val="22"/>
              </w:rPr>
              <w:t xml:space="preserve">over from 2025 </w:t>
            </w:r>
            <w:r w:rsidR="008B5502" w:rsidRPr="12789A02">
              <w:rPr>
                <w:rFonts w:eastAsia="Arial" w:cs="Arial"/>
                <w:i/>
                <w:iCs/>
                <w:color w:val="000000" w:themeColor="text1"/>
                <w:sz w:val="22"/>
                <w:szCs w:val="22"/>
              </w:rPr>
              <w:t xml:space="preserve">recommendations </w:t>
            </w:r>
            <w:r w:rsidR="528090A4" w:rsidRPr="12789A02">
              <w:rPr>
                <w:rFonts w:eastAsia="Arial" w:cs="Arial"/>
                <w:i/>
                <w:iCs/>
                <w:color w:val="000000" w:themeColor="text1"/>
                <w:sz w:val="22"/>
                <w:szCs w:val="22"/>
              </w:rPr>
              <w:t xml:space="preserve">and </w:t>
            </w:r>
            <w:r w:rsidR="6D5ED98E" w:rsidRPr="12789A02">
              <w:rPr>
                <w:rFonts w:eastAsia="Arial" w:cs="Arial"/>
                <w:i/>
                <w:iCs/>
                <w:color w:val="000000" w:themeColor="text1"/>
                <w:sz w:val="22"/>
                <w:szCs w:val="22"/>
              </w:rPr>
              <w:t>upda</w:t>
            </w:r>
            <w:r w:rsidR="528090A4" w:rsidRPr="12789A02">
              <w:rPr>
                <w:rFonts w:eastAsia="Arial" w:cs="Arial"/>
                <w:i/>
                <w:iCs/>
                <w:color w:val="000000" w:themeColor="text1"/>
                <w:sz w:val="22"/>
                <w:szCs w:val="22"/>
              </w:rPr>
              <w:t>ted</w:t>
            </w:r>
            <w:r w:rsidR="0051110E" w:rsidRPr="12789A02">
              <w:rPr>
                <w:rFonts w:eastAsia="Arial" w:cs="Arial"/>
                <w:i/>
                <w:iCs/>
                <w:color w:val="000000" w:themeColor="text1"/>
                <w:sz w:val="22"/>
                <w:szCs w:val="22"/>
              </w:rPr>
              <w:t xml:space="preserve"> given the portfolio strategy agreed</w:t>
            </w:r>
            <w:r w:rsidR="38F2B6E9" w:rsidRPr="12789A02">
              <w:rPr>
                <w:rFonts w:eastAsia="Arial" w:cs="Arial"/>
                <w:i/>
                <w:iCs/>
                <w:color w:val="000000" w:themeColor="text1"/>
                <w:sz w:val="22"/>
                <w:szCs w:val="22"/>
              </w:rPr>
              <w:t>.</w:t>
            </w:r>
          </w:p>
        </w:tc>
        <w:tc>
          <w:tcPr>
            <w:tcW w:w="1966" w:type="dxa"/>
          </w:tcPr>
          <w:p w14:paraId="5CC5E553" w14:textId="6112F12E" w:rsidR="3E160EEB" w:rsidRPr="005B0B73" w:rsidRDefault="7B76D45C" w:rsidP="7D3518B6">
            <w:pPr>
              <w:spacing w:line="257" w:lineRule="auto"/>
            </w:pPr>
            <w:r w:rsidRPr="005B0B73">
              <w:rPr>
                <w:rFonts w:eastAsia="Arial" w:cs="Arial"/>
                <w:color w:val="000000" w:themeColor="text1"/>
                <w:sz w:val="22"/>
                <w:szCs w:val="22"/>
                <w:lang w:val="en-US"/>
              </w:rPr>
              <w:t>31/03/2027</w:t>
            </w:r>
          </w:p>
          <w:p w14:paraId="5506AE15" w14:textId="418D091A" w:rsidR="742A7F5F" w:rsidRDefault="742A7F5F" w:rsidP="742A7F5F">
            <w:pPr>
              <w:spacing w:line="257" w:lineRule="auto"/>
              <w:rPr>
                <w:rFonts w:eastAsia="Arial" w:cs="Arial"/>
                <w:color w:val="000000" w:themeColor="text1"/>
                <w:sz w:val="22"/>
                <w:szCs w:val="22"/>
                <w:lang w:val="en-US"/>
              </w:rPr>
            </w:pPr>
          </w:p>
          <w:p w14:paraId="2D85B05F" w14:textId="1DDD2D6E" w:rsidR="3E160EEB" w:rsidRPr="005B0B73" w:rsidRDefault="3E160EEB" w:rsidP="7D3518B6">
            <w:pPr>
              <w:spacing w:line="257" w:lineRule="auto"/>
              <w:rPr>
                <w:rFonts w:eastAsia="Arial" w:cs="Arial"/>
                <w:color w:val="000000" w:themeColor="text1"/>
                <w:sz w:val="22"/>
                <w:szCs w:val="22"/>
                <w:lang w:val="en-US"/>
              </w:rPr>
            </w:pPr>
          </w:p>
        </w:tc>
      </w:tr>
      <w:tr w:rsidR="000252AF" w:rsidRPr="005B0B73" w14:paraId="3F2B6C9B" w14:textId="77777777" w:rsidTr="12789A02">
        <w:trPr>
          <w:trHeight w:val="1436"/>
        </w:trPr>
        <w:tc>
          <w:tcPr>
            <w:tcW w:w="7048" w:type="dxa"/>
          </w:tcPr>
          <w:p w14:paraId="57B1BE88" w14:textId="6F9FEE4C" w:rsidR="008B5502" w:rsidRPr="005B0B73" w:rsidRDefault="008B5502" w:rsidP="008B5502">
            <w:pPr>
              <w:pStyle w:val="ListParagraph"/>
              <w:numPr>
                <w:ilvl w:val="0"/>
                <w:numId w:val="20"/>
              </w:numPr>
              <w:jc w:val="both"/>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w:t>
            </w:r>
            <w:r w:rsidR="004E5EFE" w:rsidRPr="005B0B73">
              <w:rPr>
                <w:rFonts w:eastAsia="Arial" w:cs="Arial"/>
                <w:color w:val="000000" w:themeColor="text1"/>
                <w:sz w:val="22"/>
                <w:szCs w:val="22"/>
              </w:rPr>
              <w:t xml:space="preserve">continue </w:t>
            </w:r>
            <w:r w:rsidRPr="005B0B73">
              <w:rPr>
                <w:rFonts w:eastAsia="Arial" w:cs="Arial"/>
                <w:color w:val="000000" w:themeColor="text1"/>
                <w:sz w:val="22"/>
                <w:szCs w:val="22"/>
              </w:rPr>
              <w:t xml:space="preserve">to enlist the use of surveys at WB led events to better track, incorporate, and present how feedback from key stakeholders such as host ministries, the private sector, and international organisations (e.g. UNFCCC and ICAO) has been taken on board. </w:t>
            </w:r>
            <w:r w:rsidRPr="005B0B73">
              <w:rPr>
                <w:rFonts w:eastAsia="Arial" w:cs="Arial"/>
                <w:i/>
                <w:iCs/>
                <w:color w:val="000000" w:themeColor="text1"/>
                <w:sz w:val="22"/>
                <w:szCs w:val="22"/>
              </w:rPr>
              <w:t>Rolled over from 2025 recommendations as still relevant.</w:t>
            </w:r>
            <w:r w:rsidR="00A96C85" w:rsidRPr="005B0B73">
              <w:rPr>
                <w:rFonts w:eastAsia="Arial" w:cs="Arial"/>
                <w:i/>
                <w:iCs/>
                <w:color w:val="000000" w:themeColor="text1"/>
                <w:sz w:val="22"/>
                <w:szCs w:val="22"/>
              </w:rPr>
              <w:t xml:space="preserve"> </w:t>
            </w:r>
          </w:p>
        </w:tc>
        <w:tc>
          <w:tcPr>
            <w:tcW w:w="1966" w:type="dxa"/>
          </w:tcPr>
          <w:p w14:paraId="58E75EC4" w14:textId="53B2EFAA" w:rsidR="000252AF" w:rsidRPr="005B0B73" w:rsidRDefault="008B5502" w:rsidP="7D3518B6">
            <w:pPr>
              <w:spacing w:line="257" w:lineRule="auto"/>
              <w:rPr>
                <w:rFonts w:eastAsia="Arial" w:cs="Arial"/>
                <w:color w:val="000000" w:themeColor="text1"/>
                <w:sz w:val="22"/>
                <w:szCs w:val="22"/>
                <w:lang w:val="en-US"/>
              </w:rPr>
            </w:pPr>
            <w:r w:rsidRPr="005B0B73">
              <w:rPr>
                <w:rFonts w:eastAsia="Arial" w:cs="Arial"/>
                <w:color w:val="000000" w:themeColor="text1"/>
                <w:sz w:val="22"/>
                <w:szCs w:val="22"/>
                <w:lang w:val="en-US"/>
              </w:rPr>
              <w:t>31/03/2027</w:t>
            </w:r>
          </w:p>
        </w:tc>
      </w:tr>
      <w:tr w:rsidR="008F1602" w:rsidRPr="005B0B73" w14:paraId="1541C5D7" w14:textId="77777777" w:rsidTr="12789A02">
        <w:trPr>
          <w:trHeight w:val="632"/>
        </w:trPr>
        <w:tc>
          <w:tcPr>
            <w:tcW w:w="7048" w:type="dxa"/>
          </w:tcPr>
          <w:p w14:paraId="1081EF9E" w14:textId="6AAE7BB7" w:rsidR="008F1602" w:rsidRPr="005B0B73" w:rsidRDefault="008F1602" w:rsidP="008F1602">
            <w:pPr>
              <w:pStyle w:val="ListParagraph"/>
              <w:numPr>
                <w:ilvl w:val="0"/>
                <w:numId w:val="20"/>
              </w:numPr>
              <w:jc w:val="both"/>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continue </w:t>
            </w:r>
            <w:r w:rsidRPr="005B0B73">
              <w:rPr>
                <w:rFonts w:eastAsia="Arial" w:cs="Arial"/>
                <w:b/>
                <w:bCs/>
                <w:color w:val="000000" w:themeColor="text1"/>
                <w:sz w:val="22"/>
                <w:szCs w:val="22"/>
              </w:rPr>
              <w:t>to engage</w:t>
            </w:r>
            <w:r w:rsidRPr="005B0B73">
              <w:rPr>
                <w:rFonts w:eastAsia="Arial" w:cs="Arial"/>
                <w:color w:val="000000" w:themeColor="text1"/>
                <w:sz w:val="22"/>
                <w:szCs w:val="22"/>
              </w:rPr>
              <w:t xml:space="preserve"> with a broad spectrum of carbon market stakeholders including standard-setters and sources of demand (sovereign, corporate, airlines), apply lessons learnt to ensure TCAF countries supported are equipped to meet evolving buyer needs and compliance requirements and continue </w:t>
            </w:r>
            <w:r w:rsidRPr="005B0B73">
              <w:rPr>
                <w:rFonts w:eastAsia="Arial" w:cs="Arial"/>
                <w:b/>
                <w:bCs/>
                <w:color w:val="000000" w:themeColor="text1"/>
                <w:sz w:val="22"/>
                <w:szCs w:val="22"/>
              </w:rPr>
              <w:t>to contribute</w:t>
            </w:r>
            <w:r w:rsidRPr="005B0B73">
              <w:rPr>
                <w:rFonts w:eastAsia="Arial" w:cs="Arial"/>
                <w:color w:val="000000" w:themeColor="text1"/>
                <w:sz w:val="22"/>
                <w:szCs w:val="22"/>
              </w:rPr>
              <w:t xml:space="preserve"> to the Paris Agreement Crediting Mechanism’s work</w:t>
            </w:r>
            <w:r w:rsidRPr="268795F5">
              <w:rPr>
                <w:rFonts w:eastAsia="Arial" w:cs="Arial"/>
                <w:color w:val="000000" w:themeColor="text1"/>
                <w:sz w:val="22"/>
                <w:szCs w:val="22"/>
              </w:rPr>
              <w:t xml:space="preserve"> and the future of policy crediting transactions and approaches.</w:t>
            </w:r>
            <w:r w:rsidRPr="005B0B73">
              <w:rPr>
                <w:rFonts w:eastAsia="Arial" w:cs="Arial"/>
                <w:color w:val="000000" w:themeColor="text1"/>
                <w:sz w:val="22"/>
                <w:szCs w:val="22"/>
              </w:rPr>
              <w:t xml:space="preserve">  This work is to be presented at the next annual meeting. </w:t>
            </w:r>
            <w:r w:rsidRPr="005B0B73">
              <w:rPr>
                <w:rFonts w:eastAsia="Arial" w:cs="Arial"/>
                <w:sz w:val="22"/>
                <w:szCs w:val="22"/>
              </w:rPr>
              <w:t xml:space="preserve">Progress should be evidenced through a summary of key engagements, outputs, and outcomes, and presented at the next TCAF </w:t>
            </w:r>
            <w:r w:rsidRPr="268795F5">
              <w:rPr>
                <w:rFonts w:eastAsia="Arial" w:cs="Arial"/>
                <w:sz w:val="22"/>
                <w:szCs w:val="22"/>
              </w:rPr>
              <w:t xml:space="preserve">mid-year </w:t>
            </w:r>
            <w:r w:rsidRPr="005B0B73">
              <w:rPr>
                <w:rFonts w:eastAsia="Arial" w:cs="Arial"/>
                <w:sz w:val="22"/>
                <w:szCs w:val="22"/>
              </w:rPr>
              <w:t xml:space="preserve">meeting in </w:t>
            </w:r>
            <w:r>
              <w:rPr>
                <w:rFonts w:eastAsia="Arial" w:cs="Arial"/>
                <w:sz w:val="22"/>
                <w:szCs w:val="22"/>
              </w:rPr>
              <w:t xml:space="preserve">early </w:t>
            </w:r>
            <w:r w:rsidRPr="005B0B73">
              <w:rPr>
                <w:rFonts w:eastAsia="Arial" w:cs="Arial"/>
                <w:sz w:val="22"/>
                <w:szCs w:val="22"/>
              </w:rPr>
              <w:t xml:space="preserve">2027. </w:t>
            </w:r>
            <w:r w:rsidRPr="005B0B73">
              <w:rPr>
                <w:rFonts w:eastAsia="Arial" w:cs="Arial"/>
                <w:i/>
                <w:iCs/>
                <w:color w:val="000000" w:themeColor="text1"/>
                <w:sz w:val="22"/>
                <w:szCs w:val="22"/>
              </w:rPr>
              <w:t>[Rolled over from 2025 AR and updated].</w:t>
            </w:r>
          </w:p>
        </w:tc>
        <w:tc>
          <w:tcPr>
            <w:tcW w:w="1966" w:type="dxa"/>
          </w:tcPr>
          <w:p w14:paraId="0AD13730" w14:textId="77777777" w:rsidR="008F1602" w:rsidRPr="005B0B73" w:rsidRDefault="008F1602" w:rsidP="008F1602">
            <w:pPr>
              <w:spacing w:line="257" w:lineRule="auto"/>
              <w:rPr>
                <w:rFonts w:eastAsia="Arial" w:cs="Arial"/>
                <w:color w:val="000000" w:themeColor="text1"/>
                <w:sz w:val="22"/>
                <w:szCs w:val="22"/>
                <w:lang w:val="en-US"/>
              </w:rPr>
            </w:pPr>
            <w:r>
              <w:rPr>
                <w:rFonts w:eastAsia="Arial" w:cs="Arial"/>
                <w:color w:val="000000" w:themeColor="text1"/>
                <w:sz w:val="22"/>
                <w:szCs w:val="22"/>
                <w:lang w:val="en-US"/>
              </w:rPr>
              <w:t>31/01/2027</w:t>
            </w:r>
          </w:p>
          <w:p w14:paraId="63D248DA" w14:textId="4092CAF8" w:rsidR="008F1602" w:rsidRPr="005B0B73" w:rsidRDefault="008F1602" w:rsidP="008F1602">
            <w:pPr>
              <w:spacing w:line="257" w:lineRule="auto"/>
              <w:rPr>
                <w:rFonts w:eastAsia="Arial" w:cs="Arial"/>
                <w:color w:val="000000" w:themeColor="text1"/>
                <w:sz w:val="22"/>
                <w:szCs w:val="22"/>
                <w:lang w:val="en-US"/>
              </w:rPr>
            </w:pPr>
          </w:p>
        </w:tc>
      </w:tr>
      <w:tr w:rsidR="008F1602" w:rsidRPr="005B0B73" w14:paraId="32039F8E" w14:textId="77777777" w:rsidTr="12789A02">
        <w:trPr>
          <w:trHeight w:val="632"/>
        </w:trPr>
        <w:tc>
          <w:tcPr>
            <w:tcW w:w="7048" w:type="dxa"/>
          </w:tcPr>
          <w:p w14:paraId="6FDDD1ED" w14:textId="3BACAF53" w:rsidR="008F1602" w:rsidRPr="005B0B73" w:rsidRDefault="008F1602" w:rsidP="008F1602">
            <w:pPr>
              <w:pStyle w:val="ListParagraph"/>
              <w:numPr>
                <w:ilvl w:val="0"/>
                <w:numId w:val="20"/>
              </w:numPr>
              <w:jc w:val="both"/>
              <w:rPr>
                <w:rFonts w:eastAsia="Arial" w:cs="Arial"/>
                <w:color w:val="000000" w:themeColor="text1"/>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w:t>
            </w:r>
            <w:r w:rsidRPr="005B0B73">
              <w:rPr>
                <w:rFonts w:eastAsia="Arial" w:cs="Arial"/>
                <w:b/>
                <w:bCs/>
                <w:color w:val="000000" w:themeColor="text1"/>
                <w:sz w:val="22"/>
                <w:szCs w:val="22"/>
              </w:rPr>
              <w:t>raise awareness</w:t>
            </w:r>
            <w:r w:rsidRPr="005B0B73">
              <w:rPr>
                <w:rFonts w:eastAsia="Arial" w:cs="Arial"/>
                <w:color w:val="000000" w:themeColor="text1"/>
                <w:sz w:val="22"/>
                <w:szCs w:val="22"/>
              </w:rPr>
              <w:t xml:space="preserve"> of authorisation and market opportunities and reporting requirements with TCAF supported countries, including the Carbon Offsetting and Reduction Scheme for International Aviation (CORSIA) market and other carbon markets. This work should also be presented at the next</w:t>
            </w:r>
            <w:r w:rsidR="000D71D7">
              <w:rPr>
                <w:rFonts w:eastAsia="Arial" w:cs="Arial"/>
                <w:color w:val="000000" w:themeColor="text1"/>
                <w:sz w:val="22"/>
                <w:szCs w:val="22"/>
              </w:rPr>
              <w:t xml:space="preserve"> </w:t>
            </w:r>
            <w:r w:rsidRPr="3AD85B95">
              <w:rPr>
                <w:rFonts w:eastAsia="Arial" w:cs="Arial"/>
                <w:color w:val="000000" w:themeColor="text1"/>
                <w:sz w:val="22"/>
                <w:szCs w:val="22"/>
              </w:rPr>
              <w:t>mid-year review meeting</w:t>
            </w:r>
            <w:r>
              <w:rPr>
                <w:rFonts w:eastAsia="Arial" w:cs="Arial"/>
                <w:color w:val="000000" w:themeColor="text1"/>
                <w:sz w:val="22"/>
                <w:szCs w:val="22"/>
              </w:rPr>
              <w:t xml:space="preserve"> in early 2027</w:t>
            </w:r>
            <w:r w:rsidRPr="3AD85B95">
              <w:rPr>
                <w:rFonts w:eastAsia="Arial" w:cs="Arial"/>
                <w:color w:val="000000" w:themeColor="text1"/>
                <w:sz w:val="22"/>
                <w:szCs w:val="22"/>
              </w:rPr>
              <w:t>.</w:t>
            </w:r>
          </w:p>
        </w:tc>
        <w:tc>
          <w:tcPr>
            <w:tcW w:w="1966" w:type="dxa"/>
          </w:tcPr>
          <w:p w14:paraId="5EAE40DE" w14:textId="118CA6C9" w:rsidR="008F1602" w:rsidRPr="005B0B73" w:rsidRDefault="008F1602" w:rsidP="008F1602">
            <w:pPr>
              <w:spacing w:line="257" w:lineRule="auto"/>
              <w:rPr>
                <w:rFonts w:eastAsia="Arial" w:cs="Arial"/>
                <w:color w:val="000000" w:themeColor="text1"/>
                <w:sz w:val="22"/>
                <w:szCs w:val="22"/>
                <w:lang w:val="en-US"/>
              </w:rPr>
            </w:pPr>
          </w:p>
          <w:p w14:paraId="2A2362DB" w14:textId="09410401" w:rsidR="008F1602" w:rsidRDefault="008F1602" w:rsidP="008F1602">
            <w:pPr>
              <w:spacing w:line="257" w:lineRule="auto"/>
              <w:rPr>
                <w:rFonts w:eastAsia="Arial" w:cs="Arial"/>
                <w:color w:val="000000" w:themeColor="text1"/>
                <w:sz w:val="22"/>
                <w:szCs w:val="22"/>
                <w:lang w:val="en-US"/>
              </w:rPr>
            </w:pPr>
          </w:p>
          <w:p w14:paraId="4AE03C0D" w14:textId="3284C26B" w:rsidR="008F1602" w:rsidRPr="005B0B73" w:rsidRDefault="008F1602" w:rsidP="008F1602">
            <w:pPr>
              <w:spacing w:line="257" w:lineRule="auto"/>
              <w:rPr>
                <w:rFonts w:eastAsia="Arial" w:cs="Arial"/>
                <w:color w:val="000000" w:themeColor="text1"/>
                <w:sz w:val="22"/>
                <w:szCs w:val="22"/>
                <w:lang w:val="en-US"/>
              </w:rPr>
            </w:pPr>
            <w:r>
              <w:rPr>
                <w:rFonts w:eastAsia="Arial" w:cs="Arial"/>
                <w:color w:val="000000" w:themeColor="text1"/>
                <w:sz w:val="22"/>
                <w:szCs w:val="22"/>
                <w:lang w:val="en-US"/>
              </w:rPr>
              <w:t>31/01/2027</w:t>
            </w:r>
          </w:p>
          <w:p w14:paraId="2BCB5188" w14:textId="538799ED" w:rsidR="008F1602" w:rsidRPr="005B0B73" w:rsidRDefault="008F1602" w:rsidP="008F1602">
            <w:pPr>
              <w:spacing w:line="257" w:lineRule="auto"/>
              <w:rPr>
                <w:rFonts w:eastAsia="Arial" w:cs="Arial"/>
                <w:color w:val="000000" w:themeColor="text1"/>
                <w:sz w:val="22"/>
                <w:szCs w:val="22"/>
                <w:lang w:val="en-US"/>
              </w:rPr>
            </w:pPr>
          </w:p>
        </w:tc>
      </w:tr>
      <w:tr w:rsidR="008F1602" w:rsidRPr="005B0B73" w14:paraId="0FC57F43" w14:textId="77777777" w:rsidTr="12789A02">
        <w:trPr>
          <w:trHeight w:val="632"/>
        </w:trPr>
        <w:tc>
          <w:tcPr>
            <w:tcW w:w="7048" w:type="dxa"/>
          </w:tcPr>
          <w:p w14:paraId="0ED5C802" w14:textId="401F0D4C" w:rsidR="008F1602" w:rsidRPr="005B0B73" w:rsidRDefault="008F1602" w:rsidP="008F1602">
            <w:pPr>
              <w:pStyle w:val="ListParagraph"/>
              <w:numPr>
                <w:ilvl w:val="0"/>
                <w:numId w:val="20"/>
              </w:numPr>
              <w:jc w:val="both"/>
              <w:rPr>
                <w:rFonts w:eastAsia="Arial" w:cs="Arial"/>
                <w:sz w:val="22"/>
                <w:szCs w:val="22"/>
              </w:rPr>
            </w:pPr>
            <w:r w:rsidRPr="005B0B73">
              <w:rPr>
                <w:rFonts w:eastAsia="Arial" w:cs="Arial"/>
                <w:color w:val="000000" w:themeColor="text1"/>
                <w:sz w:val="22"/>
                <w:szCs w:val="22"/>
              </w:rPr>
              <w:t xml:space="preserve">The </w:t>
            </w:r>
            <w:r w:rsidRPr="005B0B73">
              <w:rPr>
                <w:rFonts w:eastAsia="Arial" w:cs="Arial"/>
                <w:b/>
                <w:bCs/>
                <w:color w:val="000000" w:themeColor="text1"/>
                <w:sz w:val="22"/>
                <w:szCs w:val="22"/>
              </w:rPr>
              <w:t>Trustee</w:t>
            </w:r>
            <w:r w:rsidRPr="005B0B73">
              <w:rPr>
                <w:rFonts w:eastAsia="Arial" w:cs="Arial"/>
                <w:color w:val="000000" w:themeColor="text1"/>
                <w:sz w:val="22"/>
                <w:szCs w:val="22"/>
              </w:rPr>
              <w:t xml:space="preserve"> should work with DESNZ to prioritise strengthening TCAF’s reporting and public finance methodology against relevant ICF KPIs over the next year, with particular focus on KPI 6 GHG Emissions and KPI 11 Volume of Public Finance Mobilised </w:t>
            </w:r>
            <w:r w:rsidRPr="005B0B73">
              <w:rPr>
                <w:rFonts w:eastAsia="Arial" w:cs="Arial"/>
                <w:sz w:val="22"/>
                <w:szCs w:val="22"/>
              </w:rPr>
              <w:t>to ensure this allows for robust assessment of the programme.</w:t>
            </w:r>
          </w:p>
        </w:tc>
        <w:tc>
          <w:tcPr>
            <w:tcW w:w="1966" w:type="dxa"/>
          </w:tcPr>
          <w:p w14:paraId="35DEF42F" w14:textId="66C16613" w:rsidR="008F1602" w:rsidRDefault="008F1602" w:rsidP="008F1602">
            <w:pPr>
              <w:spacing w:line="257" w:lineRule="auto"/>
              <w:rPr>
                <w:rFonts w:eastAsia="Arial" w:cs="Arial"/>
                <w:color w:val="000000" w:themeColor="text1"/>
                <w:sz w:val="22"/>
                <w:szCs w:val="22"/>
                <w:lang w:val="en-US"/>
              </w:rPr>
            </w:pPr>
            <w:r>
              <w:rPr>
                <w:rFonts w:eastAsia="Arial" w:cs="Arial"/>
                <w:color w:val="000000" w:themeColor="text1"/>
                <w:sz w:val="22"/>
                <w:szCs w:val="22"/>
                <w:lang w:val="en-US"/>
              </w:rPr>
              <w:t>28/02/2027</w:t>
            </w:r>
          </w:p>
          <w:p w14:paraId="3A66AB46" w14:textId="20C15A1F" w:rsidR="008F1602" w:rsidRPr="005B0B73" w:rsidRDefault="008F1602" w:rsidP="008F1602">
            <w:pPr>
              <w:spacing w:line="257" w:lineRule="auto"/>
              <w:rPr>
                <w:rFonts w:eastAsia="Arial" w:cs="Arial"/>
                <w:color w:val="000000" w:themeColor="text1"/>
                <w:sz w:val="22"/>
                <w:szCs w:val="22"/>
                <w:lang w:val="en-US"/>
              </w:rPr>
            </w:pPr>
          </w:p>
        </w:tc>
      </w:tr>
      <w:tr w:rsidR="008F1602" w:rsidRPr="005B0B73" w14:paraId="521781EC" w14:textId="77777777" w:rsidTr="12789A02">
        <w:trPr>
          <w:trHeight w:val="994"/>
        </w:trPr>
        <w:tc>
          <w:tcPr>
            <w:tcW w:w="7048" w:type="dxa"/>
          </w:tcPr>
          <w:p w14:paraId="6B44DE29" w14:textId="2475CB02" w:rsidR="008F1602" w:rsidRPr="005B0B73" w:rsidRDefault="008F1602" w:rsidP="008F1602">
            <w:pPr>
              <w:pStyle w:val="ListParagraph"/>
              <w:numPr>
                <w:ilvl w:val="0"/>
                <w:numId w:val="20"/>
              </w:numPr>
              <w:jc w:val="both"/>
              <w:rPr>
                <w:rFonts w:eastAsia="Arial" w:cs="Arial"/>
                <w:sz w:val="22"/>
                <w:szCs w:val="22"/>
              </w:rPr>
            </w:pPr>
            <w:r w:rsidRPr="005B0B73">
              <w:rPr>
                <w:rFonts w:eastAsia="Arial" w:cs="Arial"/>
                <w:b/>
                <w:color w:val="000000" w:themeColor="text1"/>
                <w:sz w:val="22"/>
                <w:szCs w:val="22"/>
              </w:rPr>
              <w:lastRenderedPageBreak/>
              <w:t>DESNZ</w:t>
            </w:r>
            <w:r w:rsidRPr="005B0B73">
              <w:rPr>
                <w:rFonts w:eastAsia="Arial" w:cs="Arial"/>
                <w:color w:val="000000" w:themeColor="text1"/>
                <w:sz w:val="22"/>
                <w:szCs w:val="22"/>
              </w:rPr>
              <w:t xml:space="preserve"> and the </w:t>
            </w:r>
            <w:r w:rsidRPr="005B0B73">
              <w:rPr>
                <w:rFonts w:eastAsia="Arial" w:cs="Arial"/>
                <w:b/>
                <w:color w:val="000000" w:themeColor="text1"/>
                <w:sz w:val="22"/>
                <w:szCs w:val="22"/>
              </w:rPr>
              <w:t xml:space="preserve">Trustee </w:t>
            </w:r>
            <w:r w:rsidRPr="005B0B73">
              <w:rPr>
                <w:rFonts w:eastAsia="Arial" w:cs="Arial"/>
                <w:color w:val="000000" w:themeColor="text1"/>
                <w:sz w:val="22"/>
                <w:szCs w:val="22"/>
              </w:rPr>
              <w:t xml:space="preserve">should work together to discuss and consider potential improved reporting timeline alignment, </w:t>
            </w:r>
            <w:r w:rsidR="0066654E">
              <w:rPr>
                <w:rFonts w:eastAsia="Arial" w:cs="Arial"/>
                <w:color w:val="000000" w:themeColor="text1"/>
                <w:sz w:val="22"/>
                <w:szCs w:val="22"/>
              </w:rPr>
              <w:t>considering</w:t>
            </w:r>
            <w:r w:rsidRPr="005B0B73">
              <w:rPr>
                <w:rFonts w:eastAsia="Arial" w:cs="Arial"/>
                <w:color w:val="000000" w:themeColor="text1"/>
                <w:sz w:val="22"/>
                <w:szCs w:val="22"/>
              </w:rPr>
              <w:t xml:space="preserve"> the World Bank’s reporting cycle and the annual meeting cycle. </w:t>
            </w:r>
          </w:p>
        </w:tc>
        <w:tc>
          <w:tcPr>
            <w:tcW w:w="1966" w:type="dxa"/>
          </w:tcPr>
          <w:p w14:paraId="39A19AEC" w14:textId="518D2DA8" w:rsidR="008F1602" w:rsidRPr="005B0B73" w:rsidRDefault="008F1602" w:rsidP="008F1602">
            <w:pPr>
              <w:spacing w:line="257" w:lineRule="auto"/>
              <w:rPr>
                <w:rFonts w:eastAsia="Arial" w:cs="Arial"/>
                <w:color w:val="000000" w:themeColor="text1"/>
                <w:sz w:val="22"/>
                <w:szCs w:val="22"/>
                <w:lang w:val="en-US"/>
              </w:rPr>
            </w:pPr>
            <w:r>
              <w:rPr>
                <w:rFonts w:eastAsia="Arial" w:cs="Arial"/>
                <w:color w:val="000000" w:themeColor="text1"/>
                <w:sz w:val="22"/>
                <w:szCs w:val="22"/>
                <w:lang w:val="en-US"/>
              </w:rPr>
              <w:t>31/</w:t>
            </w:r>
            <w:r w:rsidR="00CE44B0">
              <w:rPr>
                <w:rFonts w:eastAsia="Arial" w:cs="Arial"/>
                <w:color w:val="000000" w:themeColor="text1"/>
                <w:sz w:val="22"/>
                <w:szCs w:val="22"/>
                <w:lang w:val="en-US"/>
              </w:rPr>
              <w:t>09</w:t>
            </w:r>
            <w:r>
              <w:rPr>
                <w:rFonts w:eastAsia="Arial" w:cs="Arial"/>
                <w:color w:val="000000" w:themeColor="text1"/>
                <w:sz w:val="22"/>
                <w:szCs w:val="22"/>
                <w:lang w:val="en-US"/>
              </w:rPr>
              <w:t>/2026</w:t>
            </w:r>
          </w:p>
          <w:p w14:paraId="3A0C175B" w14:textId="4F4314C3" w:rsidR="008F1602" w:rsidRPr="005B0B73" w:rsidRDefault="008F1602" w:rsidP="008F1602">
            <w:pPr>
              <w:spacing w:line="257" w:lineRule="auto"/>
              <w:rPr>
                <w:rFonts w:eastAsia="Arial" w:cs="Arial"/>
                <w:color w:val="000000" w:themeColor="text1"/>
                <w:sz w:val="22"/>
                <w:szCs w:val="22"/>
                <w:lang w:val="en-US"/>
              </w:rPr>
            </w:pPr>
            <w:r w:rsidRPr="09B328A0">
              <w:rPr>
                <w:rFonts w:eastAsia="Arial" w:cs="Arial"/>
                <w:color w:val="000000" w:themeColor="text1"/>
                <w:sz w:val="22"/>
                <w:szCs w:val="22"/>
                <w:lang w:val="en-US"/>
              </w:rPr>
              <w:t xml:space="preserve"> </w:t>
            </w:r>
          </w:p>
        </w:tc>
      </w:tr>
    </w:tbl>
    <w:p w14:paraId="65F13376" w14:textId="107086C8" w:rsidR="00F06A55" w:rsidRPr="005B0B73" w:rsidRDefault="00F06A55">
      <w:pPr>
        <w:rPr>
          <w:rFonts w:cs="Arial"/>
        </w:rPr>
      </w:pPr>
    </w:p>
    <w:p w14:paraId="667995CE" w14:textId="2CB70084" w:rsidR="61725B27" w:rsidRPr="005B0B73" w:rsidRDefault="00F06A55" w:rsidP="005B0B73">
      <w:pPr>
        <w:spacing w:after="160"/>
        <w:rPr>
          <w:rFonts w:cs="Arial"/>
        </w:rPr>
      </w:pPr>
      <w:r w:rsidRPr="005B0B73">
        <w:rPr>
          <w:rFonts w:cs="Arial"/>
        </w:rPr>
        <w:br w:type="page"/>
      </w:r>
    </w:p>
    <w:p w14:paraId="3AC55313" w14:textId="499E4CC0" w:rsidR="0C412CF8" w:rsidRPr="005B0B73" w:rsidRDefault="0C412CF8" w:rsidP="190D1ED2">
      <w:pPr>
        <w:rPr>
          <w:rFonts w:cs="Arial"/>
        </w:rPr>
      </w:pPr>
      <w:bookmarkStart w:id="5" w:name="_Toc142922624"/>
      <w:bookmarkStart w:id="6" w:name="_Hlk110858960"/>
    </w:p>
    <w:tbl>
      <w:tblPr>
        <w:tblStyle w:val="TableGrid"/>
        <w:tblW w:w="0" w:type="auto"/>
        <w:tblLook w:val="04A0" w:firstRow="1" w:lastRow="0" w:firstColumn="1" w:lastColumn="0" w:noHBand="0" w:noVBand="1"/>
      </w:tblPr>
      <w:tblGrid>
        <w:gridCol w:w="9016"/>
      </w:tblGrid>
      <w:tr w:rsidR="00AD77C8" w:rsidRPr="005B0B73" w14:paraId="3D63871C" w14:textId="77777777" w:rsidTr="1FFC5AE9">
        <w:tc>
          <w:tcPr>
            <w:tcW w:w="9016" w:type="dxa"/>
            <w:shd w:val="clear" w:color="auto" w:fill="DEEAF6" w:themeFill="accent5" w:themeFillTint="33"/>
          </w:tcPr>
          <w:p w14:paraId="3A432808" w14:textId="436896BC" w:rsidR="00CB2873" w:rsidRPr="005B0B73" w:rsidRDefault="00CB2873" w:rsidP="1FFC5AE9">
            <w:pPr>
              <w:jc w:val="both"/>
              <w:rPr>
                <w:rFonts w:eastAsia="Arial" w:cs="Arial"/>
              </w:rPr>
            </w:pPr>
            <w:r w:rsidRPr="005B0B73">
              <w:rPr>
                <w:rStyle w:val="Heading1Char"/>
                <w:rFonts w:ascii="Arial" w:eastAsia="Arial" w:hAnsi="Arial" w:cs="Arial"/>
                <w:b/>
                <w:bCs/>
                <w:color w:val="auto"/>
              </w:rPr>
              <w:t xml:space="preserve">Section B: Theory of </w:t>
            </w:r>
            <w:r w:rsidR="00A5180E" w:rsidRPr="005B0B73">
              <w:rPr>
                <w:rStyle w:val="Heading1Char"/>
                <w:rFonts w:ascii="Arial" w:eastAsia="Arial" w:hAnsi="Arial" w:cs="Arial"/>
                <w:b/>
                <w:bCs/>
                <w:color w:val="auto"/>
              </w:rPr>
              <w:t>c</w:t>
            </w:r>
            <w:r w:rsidRPr="005B0B73">
              <w:rPr>
                <w:rStyle w:val="Heading1Char"/>
                <w:rFonts w:ascii="Arial" w:eastAsia="Arial" w:hAnsi="Arial" w:cs="Arial"/>
                <w:b/>
                <w:bCs/>
                <w:color w:val="auto"/>
              </w:rPr>
              <w:t>hange and progress towards outcomes</w:t>
            </w:r>
            <w:bookmarkEnd w:id="5"/>
            <w:r w:rsidRPr="005B0B73">
              <w:rPr>
                <w:rFonts w:eastAsia="Arial" w:cs="Arial"/>
              </w:rPr>
              <w:t xml:space="preserve"> </w:t>
            </w:r>
          </w:p>
        </w:tc>
      </w:tr>
      <w:bookmarkEnd w:id="6"/>
    </w:tbl>
    <w:p w14:paraId="799AF0D2" w14:textId="77777777" w:rsidR="00CB2873" w:rsidRPr="005B0B73" w:rsidRDefault="00CB2873" w:rsidP="1FFC5AE9">
      <w:pPr>
        <w:jc w:val="both"/>
        <w:rPr>
          <w:rFonts w:eastAsia="Arial" w:cs="Arial"/>
        </w:rPr>
      </w:pPr>
    </w:p>
    <w:p w14:paraId="44435565" w14:textId="4C7201D1" w:rsidR="003D222C" w:rsidRPr="005B0B73" w:rsidRDefault="00AA718D" w:rsidP="1FFC5AE9">
      <w:pPr>
        <w:jc w:val="both"/>
        <w:rPr>
          <w:rFonts w:eastAsia="Arial" w:cs="Arial"/>
          <w:b/>
          <w:bCs/>
          <w:i/>
          <w:iCs/>
          <w:sz w:val="22"/>
          <w:szCs w:val="22"/>
        </w:rPr>
      </w:pPr>
      <w:bookmarkStart w:id="7" w:name="_Toc142922625"/>
      <w:r w:rsidRPr="005B0B73">
        <w:rPr>
          <w:rStyle w:val="Heading2Char"/>
          <w:rFonts w:eastAsia="Arial" w:cs="Arial"/>
          <w:i w:val="0"/>
          <w:sz w:val="22"/>
          <w:szCs w:val="22"/>
        </w:rPr>
        <w:t>Summary of the</w:t>
      </w:r>
      <w:r w:rsidR="007D6095" w:rsidRPr="005B0B73">
        <w:rPr>
          <w:rStyle w:val="Heading2Char"/>
          <w:rFonts w:eastAsia="Arial" w:cs="Arial"/>
          <w:i w:val="0"/>
          <w:sz w:val="22"/>
          <w:szCs w:val="22"/>
        </w:rPr>
        <w:t xml:space="preserve"> </w:t>
      </w:r>
      <w:r w:rsidR="003D222C" w:rsidRPr="005B0B73">
        <w:rPr>
          <w:rStyle w:val="Heading2Char"/>
          <w:rFonts w:eastAsia="Arial" w:cs="Arial"/>
          <w:i w:val="0"/>
          <w:sz w:val="22"/>
          <w:szCs w:val="22"/>
        </w:rPr>
        <w:t>programme’s theory of change, including any changes to outcome and impact indicators from the original business case</w:t>
      </w:r>
      <w:bookmarkEnd w:id="7"/>
      <w:r w:rsidR="00D123AC" w:rsidRPr="005B0B73">
        <w:rPr>
          <w:rStyle w:val="Heading2Char"/>
          <w:rFonts w:eastAsia="Arial" w:cs="Arial"/>
          <w:i w:val="0"/>
          <w:sz w:val="22"/>
          <w:szCs w:val="22"/>
        </w:rPr>
        <w:t>.</w:t>
      </w:r>
      <w:r w:rsidR="003D222C" w:rsidRPr="005B0B73">
        <w:rPr>
          <w:rFonts w:eastAsia="Arial" w:cs="Arial"/>
          <w:i/>
          <w:iCs/>
          <w:sz w:val="22"/>
          <w:szCs w:val="22"/>
        </w:rPr>
        <w:t xml:space="preserve"> </w:t>
      </w:r>
    </w:p>
    <w:p w14:paraId="2D3D0598" w14:textId="77777777" w:rsidR="00E57FAC" w:rsidRPr="005B0B73" w:rsidRDefault="00E57FAC" w:rsidP="1FFC5AE9">
      <w:pPr>
        <w:textAlignment w:val="baseline"/>
        <w:rPr>
          <w:rFonts w:eastAsia="Arial" w:cs="Arial"/>
          <w:sz w:val="22"/>
          <w:szCs w:val="22"/>
          <w:lang w:eastAsia="en-GB"/>
        </w:rPr>
      </w:pPr>
      <w:r w:rsidRPr="005B0B73">
        <w:rPr>
          <w:rFonts w:eastAsia="Arial" w:cs="Arial"/>
          <w:sz w:val="22"/>
          <w:szCs w:val="22"/>
        </w:rPr>
        <w:t> </w:t>
      </w:r>
    </w:p>
    <w:p w14:paraId="6E7A33C9" w14:textId="2FB79236" w:rsidR="28430F59" w:rsidRPr="005B0B73" w:rsidRDefault="00E57FAC" w:rsidP="1FFC5AE9">
      <w:pPr>
        <w:jc w:val="both"/>
        <w:textAlignment w:val="baseline"/>
        <w:rPr>
          <w:rFonts w:eastAsia="Arial" w:cs="Arial"/>
          <w:i/>
          <w:iCs/>
          <w:sz w:val="22"/>
          <w:szCs w:val="22"/>
        </w:rPr>
      </w:pPr>
      <w:r w:rsidRPr="005B0B73">
        <w:rPr>
          <w:rFonts w:eastAsia="Arial" w:cs="Arial"/>
          <w:sz w:val="22"/>
          <w:szCs w:val="22"/>
          <w:shd w:val="clear" w:color="auto" w:fill="FFFFFF"/>
          <w:lang w:eastAsia="en-GB"/>
        </w:rPr>
        <w:t>The underlying premise</w:t>
      </w:r>
      <w:r w:rsidRPr="005B0B73">
        <w:rPr>
          <w:rFonts w:eastAsia="Arial" w:cs="Arial"/>
          <w:color w:val="002C77"/>
          <w:sz w:val="22"/>
          <w:szCs w:val="22"/>
          <w:shd w:val="clear" w:color="auto" w:fill="FFFFFF"/>
          <w:lang w:eastAsia="en-GB"/>
        </w:rPr>
        <w:t> </w:t>
      </w:r>
      <w:r w:rsidRPr="005B0B73">
        <w:rPr>
          <w:rFonts w:eastAsia="Arial" w:cs="Arial"/>
          <w:sz w:val="22"/>
          <w:szCs w:val="22"/>
          <w:shd w:val="clear" w:color="auto" w:fill="FFFFFF"/>
          <w:lang w:eastAsia="en-GB"/>
        </w:rPr>
        <w:t xml:space="preserve">for TCAF is that carbon pricing and </w:t>
      </w:r>
      <w:r w:rsidR="001F5471" w:rsidRPr="005B0B73">
        <w:rPr>
          <w:rFonts w:eastAsia="Arial" w:cs="Arial"/>
          <w:sz w:val="22"/>
          <w:szCs w:val="22"/>
          <w:shd w:val="clear" w:color="auto" w:fill="FFFFFF"/>
          <w:lang w:eastAsia="en-GB"/>
        </w:rPr>
        <w:t xml:space="preserve">international </w:t>
      </w:r>
      <w:r w:rsidRPr="005B0B73">
        <w:rPr>
          <w:rFonts w:eastAsia="Arial" w:cs="Arial"/>
          <w:sz w:val="22"/>
          <w:szCs w:val="22"/>
          <w:shd w:val="clear" w:color="auto" w:fill="FFFFFF"/>
          <w:lang w:eastAsia="en-GB"/>
        </w:rPr>
        <w:t xml:space="preserve">market mechanisms can play an important role reducing GHG emissions, by creating incentives for countries to develop in a low-carbon sustainable way that offers development benefits. Lessons from these projects will </w:t>
      </w:r>
      <w:r w:rsidR="009946CD" w:rsidRPr="005B0B73">
        <w:rPr>
          <w:rFonts w:eastAsia="Arial" w:cs="Arial"/>
          <w:sz w:val="22"/>
          <w:szCs w:val="22"/>
          <w:shd w:val="clear" w:color="auto" w:fill="FFFFFF"/>
          <w:lang w:eastAsia="en-GB"/>
        </w:rPr>
        <w:t>demonstrate</w:t>
      </w:r>
      <w:r w:rsidR="001462B0" w:rsidRPr="005B0B73">
        <w:rPr>
          <w:rFonts w:eastAsia="Arial" w:cs="Arial"/>
          <w:sz w:val="22"/>
          <w:szCs w:val="22"/>
          <w:shd w:val="clear" w:color="auto" w:fill="FFFFFF"/>
          <w:lang w:eastAsia="en-GB"/>
        </w:rPr>
        <w:t xml:space="preserve"> to the global practitioner and investor community</w:t>
      </w:r>
      <w:r w:rsidRPr="005B0B73">
        <w:rPr>
          <w:rFonts w:eastAsia="Arial" w:cs="Arial"/>
          <w:sz w:val="22"/>
          <w:szCs w:val="22"/>
          <w:shd w:val="clear" w:color="auto" w:fill="FFFFFF"/>
          <w:lang w:eastAsia="en-GB"/>
        </w:rPr>
        <w:t xml:space="preserve"> how carbon market mechanisms can help deliver or exceed the targets set out in countries’ emissions reduction targets. The main outcome for TCAF is:</w:t>
      </w:r>
      <w:r w:rsidRPr="005B0B73">
        <w:rPr>
          <w:rFonts w:eastAsia="Arial" w:cs="Arial"/>
          <w:sz w:val="22"/>
          <w:szCs w:val="22"/>
          <w:lang w:eastAsia="en-GB"/>
        </w:rPr>
        <w:t> </w:t>
      </w:r>
      <w:r w:rsidR="00042186" w:rsidRPr="005B0B73">
        <w:rPr>
          <w:rFonts w:eastAsia="Arial" w:cs="Arial"/>
          <w:i/>
          <w:iCs/>
          <w:sz w:val="22"/>
          <w:szCs w:val="22"/>
        </w:rPr>
        <w:t>‘</w:t>
      </w:r>
      <w:r w:rsidRPr="005B0B73">
        <w:rPr>
          <w:rFonts w:eastAsia="Arial" w:cs="Arial"/>
          <w:i/>
          <w:iCs/>
          <w:sz w:val="22"/>
          <w:szCs w:val="22"/>
        </w:rPr>
        <w:t xml:space="preserve">An increase in the use of carbon pricing mechanisms leads to verified emissions reductions </w:t>
      </w:r>
      <w:proofErr w:type="gramStart"/>
      <w:r w:rsidRPr="005B0B73">
        <w:rPr>
          <w:rFonts w:eastAsia="Arial" w:cs="Arial"/>
          <w:i/>
          <w:iCs/>
          <w:sz w:val="22"/>
          <w:szCs w:val="22"/>
        </w:rPr>
        <w:t>through:</w:t>
      </w:r>
      <w:proofErr w:type="gramEnd"/>
      <w:r w:rsidR="00DB09CF" w:rsidRPr="005B0B73">
        <w:rPr>
          <w:rFonts w:eastAsia="Arial" w:cs="Arial"/>
          <w:i/>
          <w:iCs/>
          <w:sz w:val="22"/>
          <w:szCs w:val="22"/>
        </w:rPr>
        <w:t xml:space="preserve"> a) p</w:t>
      </w:r>
      <w:r w:rsidRPr="005B0B73">
        <w:rPr>
          <w:rFonts w:eastAsia="Arial" w:cs="Arial"/>
          <w:i/>
          <w:iCs/>
          <w:sz w:val="22"/>
          <w:szCs w:val="22"/>
        </w:rPr>
        <w:t>articipating jurisdictions possess the capacity and are able to manage and use new and innovative GHG emission reduction crediting mechanisms (including baseline methodologies and MRV) and</w:t>
      </w:r>
      <w:r w:rsidR="00DB09CF" w:rsidRPr="005B0B73">
        <w:rPr>
          <w:rFonts w:eastAsia="Arial" w:cs="Arial"/>
          <w:i/>
          <w:iCs/>
          <w:sz w:val="22"/>
          <w:szCs w:val="22"/>
        </w:rPr>
        <w:t xml:space="preserve"> b) n</w:t>
      </w:r>
      <w:r w:rsidRPr="005B0B73">
        <w:rPr>
          <w:rFonts w:eastAsia="Arial" w:cs="Arial"/>
          <w:i/>
          <w:iCs/>
          <w:sz w:val="22"/>
          <w:szCs w:val="22"/>
        </w:rPr>
        <w:t>on-participating jurisdictions are better able to consider and implement new and innovative crediting mechanisms as a result of knowledge provided by TCAF</w:t>
      </w:r>
      <w:r w:rsidR="00042186" w:rsidRPr="005B0B73">
        <w:rPr>
          <w:rFonts w:eastAsia="Arial" w:cs="Arial"/>
          <w:i/>
          <w:iCs/>
          <w:sz w:val="22"/>
          <w:szCs w:val="22"/>
        </w:rPr>
        <w:t>’</w:t>
      </w:r>
      <w:r w:rsidRPr="005B0B73">
        <w:rPr>
          <w:rFonts w:eastAsia="Arial" w:cs="Arial"/>
          <w:i/>
          <w:iCs/>
          <w:sz w:val="22"/>
          <w:szCs w:val="22"/>
        </w:rPr>
        <w:t>. </w:t>
      </w:r>
      <w:r w:rsidR="006D02F7" w:rsidRPr="005B0B73">
        <w:rPr>
          <w:rFonts w:eastAsia="Arial" w:cs="Arial"/>
          <w:i/>
          <w:iCs/>
          <w:sz w:val="22"/>
          <w:szCs w:val="22"/>
        </w:rPr>
        <w:t xml:space="preserve"> </w:t>
      </w:r>
      <w:r w:rsidR="00C31714" w:rsidRPr="005B0B73">
        <w:rPr>
          <w:rFonts w:eastAsia="Arial" w:cs="Arial"/>
          <w:sz w:val="22"/>
          <w:szCs w:val="22"/>
          <w:shd w:val="clear" w:color="auto" w:fill="FFFFFF"/>
          <w:lang w:eastAsia="en-GB"/>
        </w:rPr>
        <w:t xml:space="preserve">The outcome and impact indicators for TCAF are set out in the section below. </w:t>
      </w:r>
    </w:p>
    <w:p w14:paraId="40043590" w14:textId="77777777" w:rsidR="00C31714" w:rsidRPr="005B0B73" w:rsidRDefault="00C31714" w:rsidP="1FFC5AE9">
      <w:pPr>
        <w:jc w:val="both"/>
        <w:textAlignment w:val="baseline"/>
        <w:rPr>
          <w:rFonts w:eastAsia="Arial" w:cs="Arial"/>
          <w:sz w:val="22"/>
          <w:szCs w:val="22"/>
          <w:lang w:eastAsia="en-GB"/>
        </w:rPr>
      </w:pPr>
    </w:p>
    <w:p w14:paraId="6744E67C" w14:textId="5CC64CE0" w:rsidR="003D222C" w:rsidRPr="005B0B73" w:rsidRDefault="007D6095" w:rsidP="1FFC5AE9">
      <w:pPr>
        <w:jc w:val="both"/>
        <w:rPr>
          <w:rFonts w:eastAsia="Arial" w:cs="Arial"/>
          <w:sz w:val="22"/>
          <w:szCs w:val="22"/>
        </w:rPr>
      </w:pPr>
      <w:bookmarkStart w:id="8" w:name="_Toc142922626"/>
      <w:r w:rsidRPr="005B0B73">
        <w:rPr>
          <w:rFonts w:eastAsia="Arial" w:cs="Arial"/>
          <w:b/>
          <w:bCs/>
          <w:sz w:val="22"/>
          <w:szCs w:val="22"/>
        </w:rPr>
        <w:t>Progress against</w:t>
      </w:r>
      <w:r w:rsidR="003D222C" w:rsidRPr="005B0B73">
        <w:rPr>
          <w:rFonts w:eastAsia="Arial" w:cs="Arial"/>
          <w:b/>
          <w:bCs/>
          <w:sz w:val="22"/>
          <w:szCs w:val="22"/>
        </w:rPr>
        <w:t xml:space="preserve"> the expected outcomes and </w:t>
      </w:r>
      <w:r w:rsidRPr="005B0B73">
        <w:rPr>
          <w:rFonts w:eastAsia="Arial" w:cs="Arial"/>
          <w:b/>
          <w:bCs/>
          <w:sz w:val="22"/>
          <w:szCs w:val="22"/>
        </w:rPr>
        <w:t>impact, and</w:t>
      </w:r>
      <w:r w:rsidR="003D222C" w:rsidRPr="005B0B73">
        <w:rPr>
          <w:rFonts w:eastAsia="Arial" w:cs="Arial"/>
          <w:b/>
          <w:bCs/>
          <w:sz w:val="22"/>
          <w:szCs w:val="22"/>
        </w:rPr>
        <w:t xml:space="preserve"> action</w:t>
      </w:r>
      <w:r w:rsidRPr="005B0B73">
        <w:rPr>
          <w:rFonts w:eastAsia="Arial" w:cs="Arial"/>
          <w:b/>
          <w:bCs/>
          <w:sz w:val="22"/>
          <w:szCs w:val="22"/>
        </w:rPr>
        <w:t>s</w:t>
      </w:r>
      <w:r w:rsidR="003D222C" w:rsidRPr="005B0B73">
        <w:rPr>
          <w:rFonts w:eastAsia="Arial" w:cs="Arial"/>
          <w:b/>
          <w:bCs/>
          <w:sz w:val="22"/>
          <w:szCs w:val="22"/>
        </w:rPr>
        <w:t xml:space="preserve"> planned </w:t>
      </w:r>
      <w:r w:rsidR="002D09A5" w:rsidRPr="005B0B73">
        <w:rPr>
          <w:rFonts w:eastAsia="Arial" w:cs="Arial"/>
          <w:b/>
          <w:bCs/>
          <w:sz w:val="22"/>
          <w:szCs w:val="22"/>
        </w:rPr>
        <w:t>for</w:t>
      </w:r>
      <w:r w:rsidR="003D222C" w:rsidRPr="005B0B73">
        <w:rPr>
          <w:rFonts w:eastAsia="Arial" w:cs="Arial"/>
          <w:b/>
          <w:bCs/>
          <w:sz w:val="22"/>
          <w:szCs w:val="22"/>
        </w:rPr>
        <w:t xml:space="preserve"> the year ahead</w:t>
      </w:r>
      <w:bookmarkEnd w:id="8"/>
      <w:r w:rsidR="003D222C" w:rsidRPr="005B0B73">
        <w:rPr>
          <w:rFonts w:eastAsia="Arial" w:cs="Arial"/>
          <w:sz w:val="22"/>
          <w:szCs w:val="22"/>
        </w:rPr>
        <w:t xml:space="preserve"> </w:t>
      </w:r>
    </w:p>
    <w:p w14:paraId="594B159C" w14:textId="77777777" w:rsidR="003D222C" w:rsidRPr="005B0B73" w:rsidRDefault="003D222C" w:rsidP="1FFC5AE9">
      <w:pPr>
        <w:jc w:val="both"/>
        <w:rPr>
          <w:rFonts w:eastAsia="Arial" w:cs="Arial"/>
          <w:b/>
          <w:bCs/>
          <w:sz w:val="22"/>
          <w:szCs w:val="22"/>
        </w:rPr>
      </w:pPr>
    </w:p>
    <w:p w14:paraId="5E77112E" w14:textId="77777777" w:rsidR="00472E3E" w:rsidRPr="005B0B73" w:rsidRDefault="00472E3E" w:rsidP="1FFC5AE9">
      <w:pPr>
        <w:jc w:val="both"/>
        <w:textAlignment w:val="baseline"/>
        <w:rPr>
          <w:rFonts w:eastAsia="Arial" w:cs="Arial"/>
          <w:sz w:val="22"/>
          <w:szCs w:val="22"/>
          <w:lang w:eastAsia="en-GB"/>
        </w:rPr>
      </w:pPr>
      <w:r w:rsidRPr="005B0B73">
        <w:rPr>
          <w:rFonts w:eastAsia="Arial" w:cs="Arial"/>
          <w:sz w:val="22"/>
          <w:szCs w:val="22"/>
        </w:rPr>
        <w:t>At the outcome level, we measure progress according to four indicators: </w:t>
      </w:r>
    </w:p>
    <w:p w14:paraId="18DAFDE9" w14:textId="67C03B77" w:rsidR="00472E3E" w:rsidRPr="005B0B73" w:rsidRDefault="00472E3E" w:rsidP="1FFC5AE9">
      <w:pPr>
        <w:jc w:val="both"/>
        <w:textAlignment w:val="baseline"/>
        <w:rPr>
          <w:rFonts w:eastAsia="Arial" w:cs="Arial"/>
          <w:sz w:val="22"/>
          <w:szCs w:val="22"/>
          <w:lang w:eastAsia="en-GB"/>
        </w:rPr>
      </w:pPr>
    </w:p>
    <w:tbl>
      <w:tblPr>
        <w:tblW w:w="888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001"/>
        <w:gridCol w:w="3464"/>
      </w:tblGrid>
      <w:tr w:rsidR="00CF2810" w:rsidRPr="005B0B73" w14:paraId="47E27538" w14:textId="77777777" w:rsidTr="00424333">
        <w:trPr>
          <w:trHeight w:val="300"/>
        </w:trPr>
        <w:tc>
          <w:tcPr>
            <w:tcW w:w="341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44B9236" w14:textId="77777777" w:rsidR="00472E3E" w:rsidRPr="005B0B73" w:rsidRDefault="00472E3E" w:rsidP="1FFC5AE9">
            <w:pPr>
              <w:jc w:val="both"/>
              <w:textAlignment w:val="baseline"/>
              <w:rPr>
                <w:rFonts w:eastAsia="Arial" w:cs="Arial"/>
                <w:sz w:val="22"/>
                <w:szCs w:val="22"/>
                <w:lang w:eastAsia="en-GB"/>
              </w:rPr>
            </w:pPr>
            <w:r w:rsidRPr="005B0B73">
              <w:rPr>
                <w:rFonts w:eastAsia="Arial" w:cs="Arial"/>
                <w:b/>
                <w:bCs/>
                <w:i/>
                <w:iCs/>
                <w:color w:val="000000" w:themeColor="text1"/>
                <w:sz w:val="22"/>
                <w:szCs w:val="22"/>
              </w:rPr>
              <w:t>Outcome Indicator</w:t>
            </w:r>
            <w:r w:rsidRPr="005B0B73">
              <w:rPr>
                <w:rFonts w:eastAsia="Arial" w:cs="Arial"/>
                <w:color w:val="000000" w:themeColor="text1"/>
                <w:sz w:val="22"/>
                <w:szCs w:val="22"/>
              </w:rPr>
              <w:t>  </w:t>
            </w:r>
          </w:p>
        </w:tc>
        <w:tc>
          <w:tcPr>
            <w:tcW w:w="200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234EECC" w14:textId="77777777" w:rsidR="00472E3E" w:rsidRPr="005B0B73" w:rsidRDefault="00472E3E" w:rsidP="1FFC5AE9">
            <w:pPr>
              <w:textAlignment w:val="baseline"/>
              <w:rPr>
                <w:rFonts w:eastAsia="Arial" w:cs="Arial"/>
                <w:sz w:val="22"/>
                <w:szCs w:val="22"/>
                <w:lang w:eastAsia="en-GB"/>
              </w:rPr>
            </w:pPr>
            <w:r w:rsidRPr="005B0B73">
              <w:rPr>
                <w:rFonts w:eastAsia="Arial" w:cs="Arial"/>
                <w:b/>
                <w:bCs/>
                <w:i/>
                <w:iCs/>
                <w:color w:val="000000" w:themeColor="text1"/>
                <w:sz w:val="22"/>
                <w:szCs w:val="22"/>
              </w:rPr>
              <w:t>Milestone this review period</w:t>
            </w:r>
            <w:r w:rsidRPr="005B0B73">
              <w:rPr>
                <w:rFonts w:eastAsia="Arial" w:cs="Arial"/>
                <w:color w:val="000000" w:themeColor="text1"/>
                <w:sz w:val="22"/>
                <w:szCs w:val="22"/>
              </w:rPr>
              <w:t> </w:t>
            </w:r>
          </w:p>
        </w:tc>
        <w:tc>
          <w:tcPr>
            <w:tcW w:w="346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3B9BF08" w14:textId="77777777" w:rsidR="00472E3E" w:rsidRPr="005B0B73" w:rsidRDefault="00472E3E" w:rsidP="1FFC5AE9">
            <w:pPr>
              <w:jc w:val="both"/>
              <w:textAlignment w:val="baseline"/>
              <w:rPr>
                <w:rFonts w:eastAsia="Arial" w:cs="Arial"/>
                <w:sz w:val="22"/>
                <w:szCs w:val="22"/>
                <w:lang w:eastAsia="en-GB"/>
              </w:rPr>
            </w:pPr>
            <w:r w:rsidRPr="005B0B73">
              <w:rPr>
                <w:rFonts w:eastAsia="Arial" w:cs="Arial"/>
                <w:b/>
                <w:bCs/>
                <w:i/>
                <w:iCs/>
                <w:color w:val="000000" w:themeColor="text1"/>
                <w:sz w:val="22"/>
                <w:szCs w:val="22"/>
              </w:rPr>
              <w:t>Performance during the review period and commentary</w:t>
            </w:r>
            <w:r w:rsidRPr="005B0B73">
              <w:rPr>
                <w:rFonts w:eastAsia="Arial" w:cs="Arial"/>
                <w:i/>
                <w:sz w:val="22"/>
                <w:szCs w:val="22"/>
              </w:rPr>
              <w:t> </w:t>
            </w:r>
            <w:r w:rsidRPr="005B0B73">
              <w:rPr>
                <w:rFonts w:eastAsia="Arial" w:cs="Arial"/>
                <w:sz w:val="22"/>
                <w:szCs w:val="22"/>
              </w:rPr>
              <w:t> </w:t>
            </w:r>
          </w:p>
        </w:tc>
      </w:tr>
      <w:tr w:rsidR="00CF2810" w:rsidRPr="005B0B73" w14:paraId="02E8FAD3" w14:textId="77777777" w:rsidTr="00424333">
        <w:trPr>
          <w:trHeight w:val="300"/>
        </w:trPr>
        <w:tc>
          <w:tcPr>
            <w:tcW w:w="3415" w:type="dxa"/>
            <w:tcBorders>
              <w:top w:val="single" w:sz="6" w:space="0" w:color="auto"/>
              <w:left w:val="single" w:sz="6" w:space="0" w:color="auto"/>
              <w:bottom w:val="single" w:sz="6" w:space="0" w:color="auto"/>
              <w:right w:val="single" w:sz="6" w:space="0" w:color="auto"/>
            </w:tcBorders>
            <w:vAlign w:val="center"/>
            <w:hideMark/>
          </w:tcPr>
          <w:p w14:paraId="55B7B19F" w14:textId="77777777" w:rsidR="00472E3E" w:rsidRPr="005B0B73" w:rsidRDefault="00472E3E" w:rsidP="1FFC5AE9">
            <w:pPr>
              <w:textAlignment w:val="baseline"/>
              <w:rPr>
                <w:rFonts w:eastAsia="Arial" w:cs="Arial"/>
                <w:sz w:val="22"/>
                <w:szCs w:val="22"/>
              </w:rPr>
            </w:pPr>
            <w:r w:rsidRPr="005B0B73">
              <w:rPr>
                <w:rFonts w:eastAsia="Arial" w:cs="Arial"/>
                <w:sz w:val="22"/>
                <w:szCs w:val="22"/>
              </w:rPr>
              <w:t>Number (cumulative) of participating jurisdictions to implement TCAF mechanisms </w:t>
            </w:r>
          </w:p>
        </w:tc>
        <w:tc>
          <w:tcPr>
            <w:tcW w:w="2001" w:type="dxa"/>
            <w:tcBorders>
              <w:top w:val="single" w:sz="6" w:space="0" w:color="auto"/>
              <w:left w:val="single" w:sz="6" w:space="0" w:color="auto"/>
              <w:bottom w:val="single" w:sz="6" w:space="0" w:color="auto"/>
              <w:right w:val="single" w:sz="6" w:space="0" w:color="auto"/>
            </w:tcBorders>
            <w:vAlign w:val="center"/>
            <w:hideMark/>
          </w:tcPr>
          <w:p w14:paraId="0325F728" w14:textId="4B65F370" w:rsidR="00472E3E" w:rsidRPr="005B0B73" w:rsidRDefault="2CDF70DA" w:rsidP="1FFC5AE9">
            <w:pPr>
              <w:textAlignment w:val="baseline"/>
              <w:rPr>
                <w:rFonts w:eastAsia="Arial" w:cs="Arial"/>
                <w:sz w:val="22"/>
                <w:szCs w:val="22"/>
              </w:rPr>
            </w:pPr>
            <w:r w:rsidRPr="005B0B73">
              <w:rPr>
                <w:rFonts w:eastAsia="Arial" w:cs="Arial"/>
                <w:sz w:val="22"/>
                <w:szCs w:val="22"/>
              </w:rPr>
              <w:t>4</w:t>
            </w:r>
          </w:p>
        </w:tc>
        <w:tc>
          <w:tcPr>
            <w:tcW w:w="3464" w:type="dxa"/>
            <w:tcBorders>
              <w:top w:val="single" w:sz="6" w:space="0" w:color="auto"/>
              <w:left w:val="single" w:sz="6" w:space="0" w:color="auto"/>
              <w:bottom w:val="single" w:sz="6" w:space="0" w:color="auto"/>
              <w:right w:val="single" w:sz="6" w:space="0" w:color="auto"/>
            </w:tcBorders>
            <w:hideMark/>
          </w:tcPr>
          <w:p w14:paraId="20DC94E2" w14:textId="3E56825A" w:rsidR="00FC670C" w:rsidRDefault="00BD2E75" w:rsidP="003C2886">
            <w:pPr>
              <w:pStyle w:val="Heading2"/>
              <w:rPr>
                <w:rFonts w:eastAsia="Arial" w:cs="Arial"/>
                <w:b w:val="0"/>
                <w:bCs w:val="0"/>
                <w:i w:val="0"/>
                <w:iCs w:val="0"/>
                <w:sz w:val="22"/>
                <w:szCs w:val="22"/>
                <w:lang w:val="de-DE"/>
              </w:rPr>
            </w:pPr>
            <w:r>
              <w:rPr>
                <w:rFonts w:eastAsia="Arial" w:cs="Arial"/>
                <w:i w:val="0"/>
                <w:iCs w:val="0"/>
                <w:sz w:val="22"/>
                <w:szCs w:val="22"/>
                <w:lang w:val="de-DE"/>
              </w:rPr>
              <w:t>Not a</w:t>
            </w:r>
            <w:r w:rsidR="003C2886" w:rsidRPr="005B0B73">
              <w:rPr>
                <w:rFonts w:eastAsia="Arial" w:cs="Arial"/>
                <w:i w:val="0"/>
                <w:iCs w:val="0"/>
                <w:sz w:val="22"/>
                <w:szCs w:val="22"/>
                <w:lang w:val="de-DE"/>
              </w:rPr>
              <w:t>chieved (</w:t>
            </w:r>
            <w:r w:rsidR="7CCFDCCD" w:rsidRPr="5006E0F9">
              <w:rPr>
                <w:rFonts w:eastAsia="Arial" w:cs="Arial"/>
                <w:i w:val="0"/>
                <w:iCs w:val="0"/>
                <w:sz w:val="22"/>
                <w:szCs w:val="22"/>
                <w:lang w:val="de-DE"/>
              </w:rPr>
              <w:t>1</w:t>
            </w:r>
            <w:r w:rsidR="003C2886" w:rsidRPr="005B0B73">
              <w:rPr>
                <w:rFonts w:eastAsia="Arial" w:cs="Arial"/>
                <w:i w:val="0"/>
                <w:iCs w:val="0"/>
                <w:sz w:val="22"/>
                <w:szCs w:val="22"/>
                <w:lang w:val="de-DE"/>
              </w:rPr>
              <w:t>)</w:t>
            </w:r>
            <w:r w:rsidR="003C2886" w:rsidRPr="005B0B73">
              <w:rPr>
                <w:rFonts w:eastAsia="Arial" w:cs="Arial"/>
                <w:b w:val="0"/>
                <w:bCs w:val="0"/>
                <w:i w:val="0"/>
                <w:iCs w:val="0"/>
                <w:sz w:val="22"/>
                <w:szCs w:val="22"/>
                <w:lang w:val="de-DE"/>
              </w:rPr>
              <w:t xml:space="preserve">: </w:t>
            </w:r>
            <w:r w:rsidR="75B8FA59" w:rsidRPr="005B0B73">
              <w:rPr>
                <w:rFonts w:eastAsia="Arial" w:cs="Arial"/>
                <w:b w:val="0"/>
                <w:bCs w:val="0"/>
                <w:i w:val="0"/>
                <w:iCs w:val="0"/>
                <w:sz w:val="22"/>
                <w:szCs w:val="22"/>
                <w:lang w:val="de-DE"/>
              </w:rPr>
              <w:t>Uzbekistan</w:t>
            </w:r>
            <w:r w:rsidR="4A0CB55F" w:rsidRPr="5900CAEA">
              <w:rPr>
                <w:rFonts w:eastAsia="Arial" w:cs="Arial"/>
                <w:b w:val="0"/>
                <w:bCs w:val="0"/>
                <w:i w:val="0"/>
                <w:iCs w:val="0"/>
                <w:sz w:val="22"/>
                <w:szCs w:val="22"/>
                <w:lang w:val="de-DE"/>
              </w:rPr>
              <w:t xml:space="preserve">. </w:t>
            </w:r>
          </w:p>
          <w:p w14:paraId="62877D90" w14:textId="1AE79BE8" w:rsidR="00472E3E" w:rsidRPr="005B0B73" w:rsidRDefault="00472E3E" w:rsidP="00AB6FFA">
            <w:pPr>
              <w:pStyle w:val="Heading2"/>
              <w:rPr>
                <w:rFonts w:eastAsia="Arial" w:cs="Arial"/>
                <w:sz w:val="22"/>
                <w:szCs w:val="22"/>
                <w:lang w:val="de-DE"/>
              </w:rPr>
            </w:pPr>
          </w:p>
        </w:tc>
      </w:tr>
      <w:tr w:rsidR="003B3C12" w:rsidRPr="005B0B73" w14:paraId="1A63C0BA" w14:textId="77777777" w:rsidTr="00424333">
        <w:trPr>
          <w:trHeight w:val="300"/>
        </w:trPr>
        <w:tc>
          <w:tcPr>
            <w:tcW w:w="3415" w:type="dxa"/>
            <w:tcBorders>
              <w:top w:val="single" w:sz="6" w:space="0" w:color="auto"/>
              <w:left w:val="single" w:sz="6" w:space="0" w:color="auto"/>
              <w:bottom w:val="single" w:sz="6" w:space="0" w:color="auto"/>
              <w:right w:val="single" w:sz="6" w:space="0" w:color="auto"/>
            </w:tcBorders>
            <w:vAlign w:val="center"/>
            <w:hideMark/>
          </w:tcPr>
          <w:p w14:paraId="6C5D8E6F" w14:textId="1B3E4DB3" w:rsidR="5EB27101" w:rsidRPr="005B0B73" w:rsidRDefault="275565F6" w:rsidP="7E2A5BA2">
            <w:pPr>
              <w:rPr>
                <w:rFonts w:eastAsia="Arial" w:cs="Arial"/>
                <w:sz w:val="22"/>
                <w:szCs w:val="22"/>
              </w:rPr>
            </w:pPr>
            <w:r w:rsidRPr="005B0B73">
              <w:rPr>
                <w:rFonts w:eastAsia="Arial" w:cs="Arial"/>
                <w:sz w:val="22"/>
                <w:szCs w:val="22"/>
              </w:rPr>
              <w:t>Quantity of verified emissions reductions (in MtCO2e) directly resulting from implementation of TCAF mechanisms in supported jurisdictions</w:t>
            </w:r>
            <w:r w:rsidR="064FFAAE" w:rsidRPr="005B0B73">
              <w:rPr>
                <w:rFonts w:eastAsia="Arial" w:cs="Arial"/>
                <w:sz w:val="22"/>
                <w:szCs w:val="22"/>
              </w:rPr>
              <w:t>.</w:t>
            </w:r>
          </w:p>
        </w:tc>
        <w:tc>
          <w:tcPr>
            <w:tcW w:w="2001" w:type="dxa"/>
            <w:tcBorders>
              <w:top w:val="single" w:sz="6" w:space="0" w:color="auto"/>
              <w:left w:val="single" w:sz="6" w:space="0" w:color="auto"/>
              <w:bottom w:val="single" w:sz="6" w:space="0" w:color="auto"/>
              <w:right w:val="single" w:sz="6" w:space="0" w:color="auto"/>
            </w:tcBorders>
            <w:vAlign w:val="center"/>
            <w:hideMark/>
          </w:tcPr>
          <w:p w14:paraId="5CF5A1C0" w14:textId="3485974F" w:rsidR="00472E3E" w:rsidRPr="005B0B73" w:rsidRDefault="5406E285" w:rsidP="1FFC5AE9">
            <w:pPr>
              <w:textAlignment w:val="baseline"/>
              <w:rPr>
                <w:rFonts w:eastAsia="Arial" w:cs="Arial"/>
                <w:sz w:val="22"/>
                <w:szCs w:val="22"/>
              </w:rPr>
            </w:pPr>
            <w:r w:rsidRPr="005B0B73">
              <w:rPr>
                <w:rFonts w:eastAsia="Arial" w:cs="Arial"/>
                <w:sz w:val="22"/>
                <w:szCs w:val="22"/>
              </w:rPr>
              <w:t>0.7</w:t>
            </w:r>
          </w:p>
        </w:tc>
        <w:tc>
          <w:tcPr>
            <w:tcW w:w="3464" w:type="dxa"/>
            <w:tcBorders>
              <w:top w:val="single" w:sz="6" w:space="0" w:color="auto"/>
              <w:left w:val="single" w:sz="6" w:space="0" w:color="auto"/>
              <w:bottom w:val="single" w:sz="6" w:space="0" w:color="auto"/>
              <w:right w:val="single" w:sz="6" w:space="0" w:color="auto"/>
            </w:tcBorders>
            <w:hideMark/>
          </w:tcPr>
          <w:p w14:paraId="06352E30" w14:textId="74788A62" w:rsidR="009840D7" w:rsidRPr="005B0B73" w:rsidRDefault="003C2886" w:rsidP="003C2886">
            <w:pPr>
              <w:pStyle w:val="Heading2"/>
              <w:rPr>
                <w:rFonts w:eastAsia="Arial" w:cs="Arial"/>
                <w:b w:val="0"/>
                <w:bCs w:val="0"/>
                <w:i w:val="0"/>
                <w:iCs w:val="0"/>
                <w:sz w:val="22"/>
                <w:szCs w:val="22"/>
              </w:rPr>
            </w:pPr>
            <w:r w:rsidRPr="005B0B73">
              <w:rPr>
                <w:rFonts w:eastAsia="Arial" w:cs="Arial"/>
                <w:i w:val="0"/>
                <w:iCs w:val="0"/>
                <w:sz w:val="22"/>
                <w:szCs w:val="22"/>
              </w:rPr>
              <w:t>E</w:t>
            </w:r>
            <w:r w:rsidR="00C02808" w:rsidRPr="005B0B73">
              <w:rPr>
                <w:rFonts w:eastAsia="Arial" w:cs="Arial"/>
                <w:i w:val="0"/>
                <w:iCs w:val="0"/>
                <w:sz w:val="22"/>
                <w:szCs w:val="22"/>
              </w:rPr>
              <w:t>xceeded</w:t>
            </w:r>
            <w:r w:rsidR="00C02808" w:rsidRPr="005B0B73">
              <w:rPr>
                <w:rFonts w:eastAsia="Arial" w:cs="Arial"/>
                <w:b w:val="0"/>
                <w:bCs w:val="0"/>
                <w:i w:val="0"/>
                <w:iCs w:val="0"/>
                <w:sz w:val="22"/>
                <w:szCs w:val="22"/>
              </w:rPr>
              <w:t xml:space="preserve"> (</w:t>
            </w:r>
            <w:r w:rsidR="5B7E2950" w:rsidRPr="005B0B73">
              <w:rPr>
                <w:rFonts w:eastAsia="Arial" w:cs="Arial"/>
                <w:i w:val="0"/>
                <w:iCs w:val="0"/>
                <w:sz w:val="22"/>
                <w:szCs w:val="22"/>
              </w:rPr>
              <w:t>23.6 MtCO2e</w:t>
            </w:r>
            <w:r w:rsidR="00C02808" w:rsidRPr="005B0B73">
              <w:rPr>
                <w:rFonts w:eastAsia="Arial" w:cs="Arial"/>
                <w:b w:val="0"/>
                <w:bCs w:val="0"/>
                <w:i w:val="0"/>
                <w:iCs w:val="0"/>
                <w:sz w:val="22"/>
                <w:szCs w:val="22"/>
              </w:rPr>
              <w:t>)</w:t>
            </w:r>
            <w:r w:rsidR="7E23799C" w:rsidRPr="005B0B73">
              <w:rPr>
                <w:rFonts w:eastAsia="Arial" w:cs="Arial"/>
                <w:b w:val="0"/>
                <w:bCs w:val="0"/>
                <w:i w:val="0"/>
                <w:iCs w:val="0"/>
                <w:sz w:val="22"/>
                <w:szCs w:val="22"/>
              </w:rPr>
              <w:t xml:space="preserve"> (from </w:t>
            </w:r>
            <w:proofErr w:type="spellStart"/>
            <w:r w:rsidR="7E23799C" w:rsidRPr="005B0B73">
              <w:rPr>
                <w:rFonts w:eastAsia="Arial" w:cs="Arial"/>
                <w:b w:val="0"/>
                <w:bCs w:val="0"/>
                <w:i w:val="0"/>
                <w:iCs w:val="0"/>
                <w:sz w:val="22"/>
                <w:szCs w:val="22"/>
              </w:rPr>
              <w:t>iCRAFT</w:t>
            </w:r>
            <w:proofErr w:type="spellEnd"/>
            <w:r w:rsidR="7E23799C" w:rsidRPr="005B0B73">
              <w:rPr>
                <w:rFonts w:eastAsia="Arial" w:cs="Arial"/>
                <w:b w:val="0"/>
                <w:bCs w:val="0"/>
                <w:i w:val="0"/>
                <w:iCs w:val="0"/>
                <w:sz w:val="22"/>
                <w:szCs w:val="22"/>
              </w:rPr>
              <w:t xml:space="preserve"> and verified)</w:t>
            </w:r>
          </w:p>
          <w:p w14:paraId="564B1B50" w14:textId="59630F34" w:rsidR="00472E3E" w:rsidRPr="005B0B73" w:rsidRDefault="00472E3E" w:rsidP="003C2886">
            <w:pPr>
              <w:textAlignment w:val="baseline"/>
              <w:rPr>
                <w:rFonts w:eastAsia="Arial" w:cs="Arial"/>
                <w:sz w:val="22"/>
                <w:szCs w:val="22"/>
                <w:lang w:eastAsia="en-GB"/>
              </w:rPr>
            </w:pPr>
          </w:p>
        </w:tc>
      </w:tr>
      <w:tr w:rsidR="00CF2810" w:rsidRPr="005B0B73" w14:paraId="60BEBF42" w14:textId="77777777" w:rsidTr="00424333">
        <w:trPr>
          <w:trHeight w:val="840"/>
        </w:trPr>
        <w:tc>
          <w:tcPr>
            <w:tcW w:w="3415" w:type="dxa"/>
            <w:tcBorders>
              <w:top w:val="single" w:sz="6" w:space="0" w:color="auto"/>
              <w:left w:val="single" w:sz="6" w:space="0" w:color="auto"/>
              <w:bottom w:val="single" w:sz="6" w:space="0" w:color="auto"/>
              <w:right w:val="single" w:sz="6" w:space="0" w:color="auto"/>
            </w:tcBorders>
            <w:vAlign w:val="center"/>
            <w:hideMark/>
          </w:tcPr>
          <w:p w14:paraId="7FE5724A" w14:textId="24E24216" w:rsidR="00472E3E" w:rsidRPr="005B0B73" w:rsidRDefault="5406E285" w:rsidP="482B3C2A">
            <w:pPr>
              <w:textAlignment w:val="baseline"/>
              <w:rPr>
                <w:rFonts w:eastAsia="Arial" w:cs="Arial"/>
                <w:sz w:val="22"/>
                <w:szCs w:val="22"/>
              </w:rPr>
            </w:pPr>
            <w:r w:rsidRPr="005B0B73">
              <w:rPr>
                <w:rFonts w:eastAsia="Arial" w:cs="Arial"/>
                <w:sz w:val="22"/>
                <w:szCs w:val="22"/>
              </w:rPr>
              <w:t xml:space="preserve">Public sector finance leveraged by TCAF programmes </w:t>
            </w:r>
            <w:proofErr w:type="gramStart"/>
            <w:r w:rsidRPr="005B0B73">
              <w:rPr>
                <w:rFonts w:eastAsia="Arial" w:cs="Arial"/>
                <w:sz w:val="22"/>
                <w:szCs w:val="22"/>
              </w:rPr>
              <w:t>as a result of</w:t>
            </w:r>
            <w:proofErr w:type="gramEnd"/>
            <w:r w:rsidRPr="005B0B73">
              <w:rPr>
                <w:rFonts w:eastAsia="Arial" w:cs="Arial"/>
                <w:sz w:val="22"/>
                <w:szCs w:val="22"/>
              </w:rPr>
              <w:t xml:space="preserve"> TCAF support.</w:t>
            </w:r>
          </w:p>
        </w:tc>
        <w:tc>
          <w:tcPr>
            <w:tcW w:w="2001" w:type="dxa"/>
            <w:tcBorders>
              <w:top w:val="single" w:sz="6" w:space="0" w:color="auto"/>
              <w:left w:val="single" w:sz="6" w:space="0" w:color="auto"/>
              <w:bottom w:val="single" w:sz="6" w:space="0" w:color="auto"/>
              <w:right w:val="single" w:sz="6" w:space="0" w:color="auto"/>
            </w:tcBorders>
            <w:vAlign w:val="center"/>
            <w:hideMark/>
          </w:tcPr>
          <w:p w14:paraId="205E6F1B" w14:textId="41755C07" w:rsidR="00365DD7" w:rsidRPr="005B0B73" w:rsidRDefault="00CF2810" w:rsidP="304C7D46">
            <w:pPr>
              <w:textAlignment w:val="baseline"/>
              <w:rPr>
                <w:rFonts w:eastAsia="Arial" w:cs="Arial"/>
                <w:sz w:val="22"/>
                <w:szCs w:val="22"/>
              </w:rPr>
            </w:pPr>
            <w:r w:rsidRPr="005B0B73">
              <w:rPr>
                <w:rFonts w:eastAsia="Arial" w:cs="Arial"/>
                <w:sz w:val="22"/>
                <w:szCs w:val="22"/>
              </w:rPr>
              <w:t xml:space="preserve">Not set in the 2025 </w:t>
            </w:r>
            <w:proofErr w:type="spellStart"/>
            <w:r w:rsidRPr="005B0B73">
              <w:rPr>
                <w:rFonts w:eastAsia="Arial" w:cs="Arial"/>
                <w:sz w:val="22"/>
                <w:szCs w:val="22"/>
              </w:rPr>
              <w:t>logframe</w:t>
            </w:r>
            <w:proofErr w:type="spellEnd"/>
            <w:r w:rsidRPr="005B0B73">
              <w:rPr>
                <w:rFonts w:eastAsia="Arial" w:cs="Arial"/>
                <w:sz w:val="22"/>
                <w:szCs w:val="22"/>
              </w:rPr>
              <w:t xml:space="preserve"> refresh due to ongoing discussions on methodology. </w:t>
            </w:r>
          </w:p>
        </w:tc>
        <w:tc>
          <w:tcPr>
            <w:tcW w:w="3464" w:type="dxa"/>
            <w:tcBorders>
              <w:top w:val="single" w:sz="6" w:space="0" w:color="auto"/>
              <w:left w:val="single" w:sz="6" w:space="0" w:color="auto"/>
              <w:bottom w:val="single" w:sz="6" w:space="0" w:color="auto"/>
              <w:right w:val="single" w:sz="6" w:space="0" w:color="auto"/>
            </w:tcBorders>
            <w:hideMark/>
          </w:tcPr>
          <w:p w14:paraId="2DC2263B" w14:textId="5ED1A6B4" w:rsidR="00C2479A" w:rsidRPr="005B0B73" w:rsidRDefault="00C2479A" w:rsidP="003C2886">
            <w:pPr>
              <w:pStyle w:val="Heading2"/>
              <w:spacing w:line="257" w:lineRule="auto"/>
              <w:rPr>
                <w:rFonts w:eastAsia="Arial" w:cs="Arial"/>
                <w:i w:val="0"/>
                <w:iCs w:val="0"/>
                <w:sz w:val="22"/>
                <w:szCs w:val="22"/>
              </w:rPr>
            </w:pPr>
            <w:r w:rsidRPr="005B0B73">
              <w:rPr>
                <w:rFonts w:eastAsia="Arial" w:cs="Arial"/>
                <w:i w:val="0"/>
                <w:iCs w:val="0"/>
                <w:sz w:val="22"/>
                <w:szCs w:val="22"/>
              </w:rPr>
              <w:t xml:space="preserve">N/A </w:t>
            </w:r>
          </w:p>
          <w:p w14:paraId="54410299" w14:textId="78AAC34E" w:rsidR="00911B53" w:rsidRPr="005B0B73" w:rsidRDefault="68BB620B" w:rsidP="003C2886">
            <w:pPr>
              <w:spacing w:line="257" w:lineRule="auto"/>
              <w:rPr>
                <w:rFonts w:eastAsia="Arial" w:cs="Arial"/>
                <w:sz w:val="22"/>
                <w:szCs w:val="22"/>
              </w:rPr>
            </w:pPr>
            <w:r w:rsidRPr="005B0B73">
              <w:rPr>
                <w:rFonts w:eastAsia="Arial" w:cs="Arial"/>
                <w:sz w:val="22"/>
                <w:szCs w:val="22"/>
              </w:rPr>
              <w:t xml:space="preserve">2024 – </w:t>
            </w:r>
            <w:r w:rsidR="00D63E64">
              <w:rPr>
                <w:rFonts w:eastAsia="Arial" w:cs="Arial"/>
                <w:sz w:val="22"/>
                <w:szCs w:val="22"/>
              </w:rPr>
              <w:t>$</w:t>
            </w:r>
            <w:r w:rsidRPr="005B0B73">
              <w:rPr>
                <w:rFonts w:eastAsia="Arial" w:cs="Arial"/>
                <w:sz w:val="22"/>
                <w:szCs w:val="22"/>
              </w:rPr>
              <w:t>869 million reduced</w:t>
            </w:r>
          </w:p>
          <w:p w14:paraId="2A43982F" w14:textId="43F725A5" w:rsidR="001A0201" w:rsidRPr="005B0B73" w:rsidRDefault="2C8C2EF4" w:rsidP="003C2886">
            <w:pPr>
              <w:spacing w:line="257" w:lineRule="auto"/>
              <w:rPr>
                <w:rFonts w:eastAsia="Arial" w:cs="Arial"/>
                <w:sz w:val="22"/>
                <w:szCs w:val="22"/>
              </w:rPr>
            </w:pPr>
            <w:r w:rsidRPr="005B0B73">
              <w:rPr>
                <w:rFonts w:eastAsia="Arial" w:cs="Arial"/>
                <w:sz w:val="22"/>
                <w:szCs w:val="22"/>
              </w:rPr>
              <w:t>Total for the program: 10.27 billion reduced.</w:t>
            </w:r>
            <w:r w:rsidR="004D3197" w:rsidRPr="005B0B73">
              <w:rPr>
                <w:rStyle w:val="FootnoteReference"/>
                <w:rFonts w:eastAsia="Arial" w:cs="Arial"/>
                <w:sz w:val="22"/>
                <w:szCs w:val="22"/>
              </w:rPr>
              <w:footnoteReference w:id="3"/>
            </w:r>
            <w:r w:rsidRPr="005B0B73">
              <w:rPr>
                <w:rFonts w:eastAsia="Arial" w:cs="Arial"/>
                <w:sz w:val="22"/>
                <w:szCs w:val="22"/>
              </w:rPr>
              <w:t xml:space="preserve">  </w:t>
            </w:r>
          </w:p>
          <w:p w14:paraId="61D919C7" w14:textId="3885D99C" w:rsidR="00911B53" w:rsidRPr="005B0B73" w:rsidRDefault="00911B53" w:rsidP="003C2886">
            <w:pPr>
              <w:rPr>
                <w:rFonts w:eastAsia="Arial" w:cs="Arial"/>
                <w:sz w:val="22"/>
                <w:szCs w:val="22"/>
              </w:rPr>
            </w:pPr>
          </w:p>
        </w:tc>
      </w:tr>
      <w:tr w:rsidR="00CF2810" w:rsidRPr="005B0B73" w14:paraId="1B4FA13C" w14:textId="77777777" w:rsidTr="00424333">
        <w:trPr>
          <w:trHeight w:val="975"/>
        </w:trPr>
        <w:tc>
          <w:tcPr>
            <w:tcW w:w="3415" w:type="dxa"/>
            <w:tcBorders>
              <w:top w:val="single" w:sz="6" w:space="0" w:color="auto"/>
              <w:left w:val="single" w:sz="6" w:space="0" w:color="auto"/>
              <w:bottom w:val="single" w:sz="6" w:space="0" w:color="auto"/>
              <w:right w:val="single" w:sz="6" w:space="0" w:color="auto"/>
            </w:tcBorders>
            <w:vAlign w:val="center"/>
            <w:hideMark/>
          </w:tcPr>
          <w:p w14:paraId="10BC2A42" w14:textId="44D37DF5" w:rsidR="00472E3E" w:rsidRPr="005B0B73" w:rsidRDefault="0922D83B" w:rsidP="7E2A5BA2">
            <w:pPr>
              <w:textAlignment w:val="baseline"/>
              <w:rPr>
                <w:rFonts w:eastAsia="Arial" w:cs="Arial"/>
                <w:sz w:val="22"/>
                <w:szCs w:val="22"/>
              </w:rPr>
            </w:pPr>
            <w:r w:rsidRPr="005B0B73">
              <w:rPr>
                <w:rFonts w:eastAsia="Arial" w:cs="Arial"/>
                <w:sz w:val="22"/>
                <w:szCs w:val="22"/>
              </w:rPr>
              <w:t>Number of climate change mitigation programs in non-participating jurisdictions that refer to TCAF interventions or use TCAF programme design elements </w:t>
            </w:r>
            <w:r w:rsidR="119F6862" w:rsidRPr="005B0B73">
              <w:rPr>
                <w:rFonts w:eastAsia="Arial" w:cs="Arial"/>
                <w:sz w:val="22"/>
                <w:szCs w:val="22"/>
              </w:rPr>
              <w:t>(cumulative)</w:t>
            </w:r>
          </w:p>
        </w:tc>
        <w:tc>
          <w:tcPr>
            <w:tcW w:w="2001" w:type="dxa"/>
            <w:tcBorders>
              <w:top w:val="single" w:sz="6" w:space="0" w:color="auto"/>
              <w:left w:val="single" w:sz="6" w:space="0" w:color="auto"/>
              <w:bottom w:val="single" w:sz="6" w:space="0" w:color="auto"/>
              <w:right w:val="single" w:sz="6" w:space="0" w:color="auto"/>
            </w:tcBorders>
            <w:vAlign w:val="center"/>
            <w:hideMark/>
          </w:tcPr>
          <w:p w14:paraId="1DADF34E" w14:textId="5643E554" w:rsidR="00472E3E" w:rsidRPr="005B0B73" w:rsidRDefault="4FFE1BC7" w:rsidP="1FFC5AE9">
            <w:pPr>
              <w:textAlignment w:val="baseline"/>
              <w:rPr>
                <w:rFonts w:eastAsia="Arial" w:cs="Arial"/>
                <w:sz w:val="22"/>
                <w:szCs w:val="22"/>
              </w:rPr>
            </w:pPr>
            <w:r w:rsidRPr="005B0B73">
              <w:rPr>
                <w:rFonts w:eastAsia="Arial" w:cs="Arial"/>
                <w:sz w:val="22"/>
                <w:szCs w:val="22"/>
              </w:rPr>
              <w:t>4</w:t>
            </w:r>
          </w:p>
        </w:tc>
        <w:tc>
          <w:tcPr>
            <w:tcW w:w="3464" w:type="dxa"/>
            <w:tcBorders>
              <w:top w:val="single" w:sz="6" w:space="0" w:color="auto"/>
              <w:left w:val="single" w:sz="6" w:space="0" w:color="auto"/>
              <w:bottom w:val="single" w:sz="6" w:space="0" w:color="auto"/>
              <w:right w:val="single" w:sz="6" w:space="0" w:color="auto"/>
            </w:tcBorders>
            <w:hideMark/>
          </w:tcPr>
          <w:p w14:paraId="48E99031" w14:textId="3F56CEBE" w:rsidR="009840D7" w:rsidRPr="005B0B73" w:rsidRDefault="005F2C45" w:rsidP="003C2886">
            <w:pPr>
              <w:pStyle w:val="Heading2"/>
              <w:spacing w:line="257" w:lineRule="auto"/>
              <w:rPr>
                <w:rFonts w:eastAsia="Arial" w:cs="Arial"/>
                <w:b w:val="0"/>
                <w:bCs w:val="0"/>
                <w:i w:val="0"/>
                <w:iCs w:val="0"/>
                <w:sz w:val="22"/>
                <w:szCs w:val="22"/>
              </w:rPr>
            </w:pPr>
            <w:r w:rsidRPr="005B0B73">
              <w:rPr>
                <w:rFonts w:eastAsia="Arial" w:cs="Arial"/>
                <w:i w:val="0"/>
                <w:iCs w:val="0"/>
                <w:sz w:val="22"/>
                <w:szCs w:val="22"/>
                <w:lang w:val="de-DE"/>
              </w:rPr>
              <w:t>Achieved</w:t>
            </w:r>
            <w:r w:rsidR="00700E21" w:rsidRPr="005B0B73">
              <w:rPr>
                <w:rFonts w:eastAsia="Arial" w:cs="Arial"/>
                <w:i w:val="0"/>
                <w:iCs w:val="0"/>
                <w:sz w:val="22"/>
                <w:szCs w:val="22"/>
              </w:rPr>
              <w:t> (</w:t>
            </w:r>
            <w:r w:rsidRPr="005B0B73">
              <w:rPr>
                <w:rFonts w:eastAsia="Arial" w:cs="Arial"/>
                <w:i w:val="0"/>
                <w:iCs w:val="0"/>
                <w:sz w:val="22"/>
                <w:szCs w:val="22"/>
              </w:rPr>
              <w:t>4</w:t>
            </w:r>
            <w:r w:rsidR="00700E21" w:rsidRPr="005B0B73">
              <w:rPr>
                <w:rFonts w:eastAsia="Arial" w:cs="Arial"/>
                <w:i w:val="0"/>
                <w:iCs w:val="0"/>
                <w:sz w:val="22"/>
                <w:szCs w:val="22"/>
              </w:rPr>
              <w:t xml:space="preserve">) - </w:t>
            </w:r>
            <w:r w:rsidR="6E6E5BC1" w:rsidRPr="005B0B73">
              <w:rPr>
                <w:rFonts w:eastAsia="Arial" w:cs="Arial"/>
                <w:b w:val="0"/>
                <w:bCs w:val="0"/>
                <w:i w:val="0"/>
                <w:iCs w:val="0"/>
                <w:sz w:val="22"/>
                <w:szCs w:val="22"/>
              </w:rPr>
              <w:t>Bolivia, Nepal, Viet Nam</w:t>
            </w:r>
            <w:r w:rsidR="4027A7F7" w:rsidRPr="005B0B73">
              <w:rPr>
                <w:rFonts w:eastAsia="Arial" w:cs="Arial"/>
                <w:b w:val="0"/>
                <w:bCs w:val="0"/>
                <w:i w:val="0"/>
                <w:iCs w:val="0"/>
                <w:sz w:val="22"/>
                <w:szCs w:val="22"/>
              </w:rPr>
              <w:t>, and Tanzania</w:t>
            </w:r>
            <w:r w:rsidR="00424333" w:rsidRPr="005B0B73">
              <w:rPr>
                <w:rStyle w:val="FootnoteReference"/>
                <w:rFonts w:eastAsia="Arial" w:cs="Arial"/>
                <w:b w:val="0"/>
                <w:bCs w:val="0"/>
                <w:i w:val="0"/>
                <w:iCs w:val="0"/>
                <w:sz w:val="22"/>
                <w:szCs w:val="22"/>
              </w:rPr>
              <w:footnoteReference w:id="4"/>
            </w:r>
          </w:p>
          <w:p w14:paraId="355BBC32" w14:textId="447F31A0" w:rsidR="00464A76" w:rsidRPr="005B0B73" w:rsidRDefault="00464A76" w:rsidP="00700E21">
            <w:pPr>
              <w:rPr>
                <w:rFonts w:eastAsia="Arial" w:cs="Arial"/>
                <w:sz w:val="22"/>
                <w:szCs w:val="22"/>
                <w:lang w:val="en-US"/>
              </w:rPr>
            </w:pPr>
          </w:p>
        </w:tc>
      </w:tr>
    </w:tbl>
    <w:p w14:paraId="2A69B53E" w14:textId="1104D139" w:rsidR="24CB0964" w:rsidRPr="005B0B73" w:rsidRDefault="24CB0964" w:rsidP="51FA85D4">
      <w:pPr>
        <w:jc w:val="both"/>
        <w:rPr>
          <w:rFonts w:eastAsia="Arial" w:cs="Arial"/>
          <w:b/>
          <w:bCs/>
          <w:sz w:val="22"/>
          <w:szCs w:val="22"/>
          <w:lang w:eastAsia="en-GB"/>
        </w:rPr>
      </w:pPr>
      <w:bookmarkStart w:id="9" w:name="_Toc142922628"/>
    </w:p>
    <w:p w14:paraId="08C9BB58" w14:textId="77777777" w:rsidR="002057DC" w:rsidRPr="005B0B73" w:rsidRDefault="004957F5" w:rsidP="00D34114">
      <w:pPr>
        <w:jc w:val="both"/>
        <w:rPr>
          <w:rFonts w:eastAsia="Arial" w:cs="Arial"/>
          <w:b/>
          <w:bCs/>
          <w:sz w:val="22"/>
          <w:szCs w:val="22"/>
          <w:lang w:eastAsia="en-GB"/>
        </w:rPr>
      </w:pPr>
      <w:r w:rsidRPr="005B0B73">
        <w:rPr>
          <w:rFonts w:eastAsia="Arial" w:cs="Arial"/>
          <w:b/>
          <w:bCs/>
          <w:sz w:val="22"/>
          <w:szCs w:val="22"/>
          <w:lang w:eastAsia="en-GB"/>
        </w:rPr>
        <w:t xml:space="preserve">Has the </w:t>
      </w:r>
      <w:proofErr w:type="spellStart"/>
      <w:r w:rsidRPr="005B0B73">
        <w:rPr>
          <w:rFonts w:eastAsia="Arial" w:cs="Arial"/>
          <w:b/>
          <w:bCs/>
          <w:sz w:val="22"/>
          <w:szCs w:val="22"/>
          <w:lang w:eastAsia="en-GB"/>
        </w:rPr>
        <w:t>logframe</w:t>
      </w:r>
      <w:proofErr w:type="spellEnd"/>
      <w:r w:rsidRPr="005B0B73">
        <w:rPr>
          <w:rFonts w:eastAsia="Arial" w:cs="Arial"/>
          <w:b/>
          <w:bCs/>
          <w:sz w:val="22"/>
          <w:szCs w:val="22"/>
          <w:lang w:eastAsia="en-GB"/>
        </w:rPr>
        <w:t xml:space="preserve"> been updated since the last review?</w:t>
      </w:r>
      <w:r w:rsidR="00E57341" w:rsidRPr="005B0B73">
        <w:rPr>
          <w:rFonts w:eastAsia="Arial" w:cs="Arial"/>
          <w:b/>
          <w:bCs/>
          <w:sz w:val="22"/>
          <w:szCs w:val="22"/>
          <w:lang w:eastAsia="en-GB"/>
        </w:rPr>
        <w:t xml:space="preserve"> </w:t>
      </w:r>
      <w:r w:rsidR="00D34114" w:rsidRPr="005B0B73">
        <w:rPr>
          <w:rFonts w:eastAsia="Arial" w:cs="Arial"/>
          <w:b/>
          <w:bCs/>
          <w:sz w:val="22"/>
          <w:szCs w:val="22"/>
          <w:lang w:eastAsia="en-GB"/>
        </w:rPr>
        <w:t xml:space="preserve"> </w:t>
      </w:r>
    </w:p>
    <w:p w14:paraId="23FDE45C" w14:textId="77777777" w:rsidR="002057DC" w:rsidRPr="005B0B73" w:rsidRDefault="002057DC" w:rsidP="00D34114">
      <w:pPr>
        <w:jc w:val="both"/>
        <w:rPr>
          <w:rFonts w:eastAsia="Arial" w:cs="Arial"/>
          <w:b/>
          <w:bCs/>
          <w:sz w:val="22"/>
          <w:szCs w:val="22"/>
          <w:lang w:eastAsia="en-GB"/>
        </w:rPr>
      </w:pPr>
    </w:p>
    <w:p w14:paraId="2B195F15" w14:textId="57AB6054" w:rsidR="00507465" w:rsidRPr="005B0B73" w:rsidRDefault="00FD65D8" w:rsidP="003639CB">
      <w:pPr>
        <w:jc w:val="both"/>
        <w:rPr>
          <w:rFonts w:eastAsia="Arial" w:cs="Arial"/>
          <w:sz w:val="22"/>
          <w:szCs w:val="22"/>
        </w:rPr>
      </w:pPr>
      <w:r w:rsidRPr="005B0B73">
        <w:rPr>
          <w:rFonts w:eastAsia="Arial" w:cs="Arial"/>
          <w:sz w:val="22"/>
          <w:szCs w:val="22"/>
        </w:rPr>
        <w:t xml:space="preserve">No. </w:t>
      </w:r>
      <w:r w:rsidR="6E0EC99F" w:rsidRPr="005B0B73">
        <w:rPr>
          <w:rFonts w:eastAsia="Arial" w:cs="Arial"/>
          <w:sz w:val="22"/>
          <w:szCs w:val="22"/>
        </w:rPr>
        <w:t xml:space="preserve">The </w:t>
      </w:r>
      <w:proofErr w:type="spellStart"/>
      <w:r w:rsidR="6E0EC99F" w:rsidRPr="005B0B73">
        <w:rPr>
          <w:rFonts w:eastAsia="Arial" w:cs="Arial"/>
          <w:sz w:val="22"/>
          <w:szCs w:val="22"/>
        </w:rPr>
        <w:t>logframe</w:t>
      </w:r>
      <w:proofErr w:type="spellEnd"/>
      <w:r w:rsidR="6E0EC99F" w:rsidRPr="005B0B73">
        <w:rPr>
          <w:rFonts w:eastAsia="Arial" w:cs="Arial"/>
          <w:sz w:val="22"/>
          <w:szCs w:val="22"/>
        </w:rPr>
        <w:t xml:space="preserve"> was updated in the previous reporting period to improve measurement and reflect changes in circumstances</w:t>
      </w:r>
      <w:r w:rsidRPr="005B0B73">
        <w:rPr>
          <w:rFonts w:eastAsia="Arial" w:cs="Arial"/>
          <w:sz w:val="22"/>
          <w:szCs w:val="22"/>
        </w:rPr>
        <w:t>, including program extension</w:t>
      </w:r>
      <w:r w:rsidR="6E0EC99F" w:rsidRPr="005B0B73">
        <w:rPr>
          <w:rFonts w:eastAsia="Arial" w:cs="Arial"/>
          <w:sz w:val="22"/>
          <w:szCs w:val="22"/>
        </w:rPr>
        <w:t xml:space="preserve">. </w:t>
      </w:r>
      <w:r w:rsidR="002057DC" w:rsidRPr="005B0B73">
        <w:rPr>
          <w:rFonts w:eastAsia="Arial" w:cs="Arial"/>
          <w:sz w:val="22"/>
          <w:szCs w:val="22"/>
        </w:rPr>
        <w:t xml:space="preserve">All outputs have now been reported on and scored following the 2025 </w:t>
      </w:r>
      <w:proofErr w:type="spellStart"/>
      <w:r w:rsidR="002057DC" w:rsidRPr="005B0B73">
        <w:rPr>
          <w:rFonts w:eastAsia="Arial" w:cs="Arial"/>
          <w:sz w:val="22"/>
          <w:szCs w:val="22"/>
        </w:rPr>
        <w:t>logframe</w:t>
      </w:r>
      <w:proofErr w:type="spellEnd"/>
      <w:r w:rsidR="002057DC" w:rsidRPr="005B0B73">
        <w:rPr>
          <w:rFonts w:eastAsia="Arial" w:cs="Arial"/>
          <w:sz w:val="22"/>
          <w:szCs w:val="22"/>
        </w:rPr>
        <w:t xml:space="preserve"> refresh as part of the last Annual Review process. </w:t>
      </w:r>
      <w:r w:rsidR="00507465" w:rsidRPr="005B0B73">
        <w:rPr>
          <w:rFonts w:eastAsia="Arial" w:cs="Arial"/>
          <w:sz w:val="22"/>
          <w:szCs w:val="22"/>
        </w:rPr>
        <w:t xml:space="preserve"> </w:t>
      </w:r>
      <w:r w:rsidR="007518FF" w:rsidRPr="005B0B73">
        <w:rPr>
          <w:rFonts w:eastAsia="Arial" w:cs="Arial"/>
          <w:sz w:val="22"/>
          <w:szCs w:val="22"/>
        </w:rPr>
        <w:t>To note, there remains a reporting challenge in terms of alignment with UK Annual Review reporting</w:t>
      </w:r>
      <w:r w:rsidR="00507465" w:rsidRPr="005B0B73">
        <w:rPr>
          <w:rFonts w:eastAsia="Arial" w:cs="Arial"/>
          <w:sz w:val="22"/>
          <w:szCs w:val="22"/>
        </w:rPr>
        <w:t>, data requirements</w:t>
      </w:r>
      <w:r w:rsidR="007518FF" w:rsidRPr="005B0B73">
        <w:rPr>
          <w:rFonts w:eastAsia="Arial" w:cs="Arial"/>
          <w:sz w:val="22"/>
          <w:szCs w:val="22"/>
        </w:rPr>
        <w:t xml:space="preserve"> and World Bank reporting cycles </w:t>
      </w:r>
      <w:r w:rsidR="00507465" w:rsidRPr="005B0B73">
        <w:rPr>
          <w:rFonts w:eastAsia="Arial" w:cs="Arial"/>
          <w:sz w:val="22"/>
          <w:szCs w:val="22"/>
        </w:rPr>
        <w:t xml:space="preserve">which operates on a fiscal year that runs from July 1 to June 30. This 12-month period is used by the Trustee to report on its financial statements, budgets, and operational activities and this misalignment has previously led to delayed publication of UK TCAF annual reviews. </w:t>
      </w:r>
    </w:p>
    <w:p w14:paraId="3990443A" w14:textId="77777777" w:rsidR="003639CB" w:rsidRPr="005B0B73" w:rsidRDefault="003639CB" w:rsidP="003639CB">
      <w:pPr>
        <w:jc w:val="both"/>
        <w:rPr>
          <w:rFonts w:eastAsia="Arial" w:cs="Arial"/>
          <w:sz w:val="22"/>
          <w:szCs w:val="22"/>
        </w:rPr>
      </w:pPr>
    </w:p>
    <w:p w14:paraId="45C65403" w14:textId="77777777" w:rsidR="003639CB" w:rsidRPr="005B0B73" w:rsidRDefault="003639CB" w:rsidP="003639CB">
      <w:pPr>
        <w:jc w:val="both"/>
        <w:textAlignment w:val="baseline"/>
        <w:rPr>
          <w:rFonts w:eastAsia="Arial" w:cs="Arial"/>
          <w:b/>
          <w:bCs/>
          <w:i/>
          <w:iCs/>
          <w:sz w:val="22"/>
          <w:szCs w:val="22"/>
        </w:rPr>
      </w:pPr>
      <w:r w:rsidRPr="005B0B73">
        <w:rPr>
          <w:rFonts w:eastAsia="Arial" w:cs="Arial"/>
          <w:b/>
          <w:bCs/>
          <w:i/>
          <w:iCs/>
          <w:sz w:val="22"/>
          <w:szCs w:val="22"/>
        </w:rPr>
        <w:t>Recommendations for the year ahead</w:t>
      </w:r>
    </w:p>
    <w:p w14:paraId="51D7EB19" w14:textId="77777777" w:rsidR="002057DC" w:rsidRPr="005B0B73" w:rsidRDefault="002057DC" w:rsidP="00D34114">
      <w:pPr>
        <w:jc w:val="both"/>
        <w:rPr>
          <w:rFonts w:eastAsia="Arial" w:cs="Arial"/>
          <w:b/>
          <w:bCs/>
          <w:sz w:val="22"/>
          <w:szCs w:val="22"/>
          <w:lang w:eastAsia="en-GB"/>
        </w:rPr>
      </w:pPr>
    </w:p>
    <w:tbl>
      <w:tblPr>
        <w:tblStyle w:val="TableGrid"/>
        <w:tblW w:w="0" w:type="auto"/>
        <w:tblLook w:val="04A0" w:firstRow="1" w:lastRow="0" w:firstColumn="1" w:lastColumn="0" w:noHBand="0" w:noVBand="1"/>
      </w:tblPr>
      <w:tblGrid>
        <w:gridCol w:w="9016"/>
      </w:tblGrid>
      <w:tr w:rsidR="003639CB" w:rsidRPr="005B0B73" w14:paraId="79300D5F" w14:textId="77777777" w:rsidTr="003639CB">
        <w:tc>
          <w:tcPr>
            <w:tcW w:w="9016" w:type="dxa"/>
          </w:tcPr>
          <w:p w14:paraId="4DCAD3E6" w14:textId="1D038567" w:rsidR="003639CB" w:rsidRPr="005B0B73" w:rsidRDefault="003639CB">
            <w:pPr>
              <w:spacing w:after="160"/>
              <w:rPr>
                <w:rFonts w:eastAsia="Arial" w:cs="Arial"/>
                <w:i/>
                <w:iCs/>
                <w:sz w:val="22"/>
                <w:szCs w:val="22"/>
              </w:rPr>
            </w:pPr>
            <w:r w:rsidRPr="005B0B73">
              <w:rPr>
                <w:rFonts w:eastAsia="Arial" w:cs="Arial"/>
                <w:i/>
                <w:iCs/>
                <w:color w:val="000000" w:themeColor="text1"/>
                <w:sz w:val="22"/>
                <w:szCs w:val="22"/>
              </w:rPr>
              <w:t xml:space="preserve">The </w:t>
            </w:r>
            <w:r w:rsidRPr="005B0B73">
              <w:rPr>
                <w:rFonts w:eastAsia="Arial" w:cs="Arial"/>
                <w:b/>
                <w:bCs/>
                <w:i/>
                <w:iCs/>
                <w:color w:val="000000" w:themeColor="text1"/>
                <w:sz w:val="22"/>
                <w:szCs w:val="22"/>
              </w:rPr>
              <w:t>Trustee</w:t>
            </w:r>
            <w:r w:rsidRPr="005B0B73">
              <w:rPr>
                <w:rFonts w:eastAsia="Arial" w:cs="Arial"/>
                <w:i/>
                <w:iCs/>
                <w:color w:val="000000" w:themeColor="text1"/>
                <w:sz w:val="22"/>
                <w:szCs w:val="22"/>
              </w:rPr>
              <w:t xml:space="preserve"> should</w:t>
            </w:r>
            <w:r w:rsidR="00F163C7" w:rsidRPr="005B0B73">
              <w:rPr>
                <w:rFonts w:eastAsia="Arial" w:cs="Arial"/>
                <w:i/>
                <w:iCs/>
                <w:color w:val="000000" w:themeColor="text1"/>
                <w:sz w:val="22"/>
                <w:szCs w:val="22"/>
              </w:rPr>
              <w:t xml:space="preserve"> work with DESNZ to</w:t>
            </w:r>
            <w:r w:rsidRPr="005B0B73">
              <w:rPr>
                <w:rFonts w:eastAsia="Arial" w:cs="Arial"/>
                <w:i/>
                <w:iCs/>
                <w:color w:val="000000" w:themeColor="text1"/>
                <w:sz w:val="22"/>
                <w:szCs w:val="22"/>
              </w:rPr>
              <w:t xml:space="preserve"> prioritise strengthening TCAF’s reporting and public finance methodology against relevant ICF KPIs over the next year, with particular focus on KPI 6 GHG Emissions and KPI 11 Volume of Public Finance Mobilised </w:t>
            </w:r>
            <w:r w:rsidRPr="005B0B73">
              <w:rPr>
                <w:rFonts w:eastAsia="Arial" w:cs="Arial"/>
                <w:i/>
                <w:iCs/>
                <w:sz w:val="22"/>
                <w:szCs w:val="22"/>
              </w:rPr>
              <w:t xml:space="preserve">to ensure this allows for robust assessment of the programme. </w:t>
            </w:r>
          </w:p>
        </w:tc>
      </w:tr>
    </w:tbl>
    <w:p w14:paraId="43EC0044" w14:textId="77777777" w:rsidR="00424333" w:rsidRPr="005B0B73" w:rsidRDefault="00424333" w:rsidP="4138787B">
      <w:pPr>
        <w:spacing w:line="300" w:lineRule="auto"/>
        <w:jc w:val="both"/>
        <w:rPr>
          <w:rFonts w:eastAsia="Arial" w:cs="Arial"/>
          <w:sz w:val="22"/>
          <w:szCs w:val="22"/>
          <w:lang w:eastAsia="en-GB"/>
        </w:rPr>
      </w:pPr>
    </w:p>
    <w:tbl>
      <w:tblPr>
        <w:tblStyle w:val="TableGrid"/>
        <w:tblW w:w="0" w:type="auto"/>
        <w:tblLook w:val="04A0" w:firstRow="1" w:lastRow="0" w:firstColumn="1" w:lastColumn="0" w:noHBand="0" w:noVBand="1"/>
      </w:tblPr>
      <w:tblGrid>
        <w:gridCol w:w="9016"/>
      </w:tblGrid>
      <w:tr w:rsidR="007518FF" w:rsidRPr="005B0B73" w14:paraId="3216E53B" w14:textId="77777777" w:rsidTr="007518FF">
        <w:tc>
          <w:tcPr>
            <w:tcW w:w="9016" w:type="dxa"/>
          </w:tcPr>
          <w:p w14:paraId="47F8E285" w14:textId="2C42101C" w:rsidR="007518FF" w:rsidRPr="005B0B73" w:rsidRDefault="007518FF" w:rsidP="4138787B">
            <w:pPr>
              <w:spacing w:line="300" w:lineRule="auto"/>
              <w:jc w:val="both"/>
              <w:rPr>
                <w:rFonts w:eastAsia="Arial" w:cs="Arial"/>
                <w:i/>
                <w:iCs/>
                <w:sz w:val="22"/>
                <w:szCs w:val="22"/>
              </w:rPr>
            </w:pPr>
            <w:r w:rsidRPr="005B0B73">
              <w:rPr>
                <w:rFonts w:eastAsia="Arial" w:cs="Arial"/>
                <w:b/>
                <w:i/>
                <w:iCs/>
                <w:color w:val="000000" w:themeColor="text1"/>
                <w:sz w:val="22"/>
                <w:szCs w:val="22"/>
              </w:rPr>
              <w:t>DESNZ</w:t>
            </w:r>
            <w:r w:rsidRPr="005B0B73">
              <w:rPr>
                <w:rFonts w:eastAsia="Arial" w:cs="Arial"/>
                <w:i/>
                <w:iCs/>
                <w:color w:val="000000" w:themeColor="text1"/>
                <w:sz w:val="22"/>
                <w:szCs w:val="22"/>
              </w:rPr>
              <w:t xml:space="preserve"> and the </w:t>
            </w:r>
            <w:r w:rsidRPr="005B0B73">
              <w:rPr>
                <w:rFonts w:eastAsia="Arial" w:cs="Arial"/>
                <w:b/>
                <w:i/>
                <w:iCs/>
                <w:color w:val="000000" w:themeColor="text1"/>
                <w:sz w:val="22"/>
                <w:szCs w:val="22"/>
              </w:rPr>
              <w:t xml:space="preserve">Trustee </w:t>
            </w:r>
            <w:r w:rsidRPr="005B0B73">
              <w:rPr>
                <w:rFonts w:eastAsia="Arial" w:cs="Arial"/>
                <w:i/>
                <w:iCs/>
                <w:color w:val="000000" w:themeColor="text1"/>
                <w:sz w:val="22"/>
                <w:szCs w:val="22"/>
              </w:rPr>
              <w:t xml:space="preserve">should work together to discuss and consider potential improved reporting timeline alignment, </w:t>
            </w:r>
            <w:r w:rsidR="00507465" w:rsidRPr="005B0B73">
              <w:rPr>
                <w:rFonts w:eastAsia="Arial" w:cs="Arial"/>
                <w:i/>
                <w:iCs/>
                <w:color w:val="000000" w:themeColor="text1"/>
                <w:sz w:val="22"/>
                <w:szCs w:val="22"/>
              </w:rPr>
              <w:t>considering</w:t>
            </w:r>
            <w:r w:rsidRPr="005B0B73">
              <w:rPr>
                <w:rFonts w:eastAsia="Arial" w:cs="Arial"/>
                <w:i/>
                <w:iCs/>
                <w:color w:val="000000" w:themeColor="text1"/>
                <w:sz w:val="22"/>
                <w:szCs w:val="22"/>
              </w:rPr>
              <w:t xml:space="preserve"> the World Bank’s reporting cycle and the </w:t>
            </w:r>
            <w:r w:rsidR="00507465" w:rsidRPr="005B0B73">
              <w:rPr>
                <w:rFonts w:eastAsia="Arial" w:cs="Arial"/>
                <w:i/>
                <w:iCs/>
                <w:color w:val="000000" w:themeColor="text1"/>
                <w:sz w:val="22"/>
                <w:szCs w:val="22"/>
              </w:rPr>
              <w:t xml:space="preserve">TCAF </w:t>
            </w:r>
            <w:r w:rsidRPr="005B0B73">
              <w:rPr>
                <w:rFonts w:eastAsia="Arial" w:cs="Arial"/>
                <w:i/>
                <w:iCs/>
                <w:color w:val="000000" w:themeColor="text1"/>
                <w:sz w:val="22"/>
                <w:szCs w:val="22"/>
              </w:rPr>
              <w:t>annual meeting cycle.</w:t>
            </w:r>
          </w:p>
        </w:tc>
      </w:tr>
    </w:tbl>
    <w:p w14:paraId="40884B59" w14:textId="77777777" w:rsidR="007518FF" w:rsidRPr="005B0B73" w:rsidRDefault="007518FF" w:rsidP="4138787B">
      <w:pPr>
        <w:spacing w:line="300" w:lineRule="auto"/>
        <w:jc w:val="both"/>
        <w:rPr>
          <w:rFonts w:eastAsia="Arial" w:cs="Arial"/>
          <w:sz w:val="22"/>
          <w:szCs w:val="22"/>
          <w:lang w:eastAsia="en-GB"/>
        </w:rPr>
      </w:pPr>
    </w:p>
    <w:p w14:paraId="0FF76DDE" w14:textId="12ADC676" w:rsidR="00C201C1" w:rsidRPr="005B0B73" w:rsidRDefault="005B0B73" w:rsidP="005B0B73">
      <w:pPr>
        <w:spacing w:after="160"/>
        <w:rPr>
          <w:rFonts w:eastAsia="Arial" w:cs="Arial"/>
          <w:sz w:val="22"/>
          <w:szCs w:val="22"/>
          <w:lang w:eastAsia="en-GB"/>
        </w:rPr>
      </w:pPr>
      <w:r w:rsidRPr="005B0B73">
        <w:rPr>
          <w:rFonts w:eastAsia="Arial" w:cs="Arial"/>
          <w:sz w:val="22"/>
          <w:szCs w:val="22"/>
          <w:lang w:eastAsia="en-GB"/>
        </w:rPr>
        <w:br w:type="page"/>
      </w:r>
    </w:p>
    <w:tbl>
      <w:tblPr>
        <w:tblStyle w:val="TableGrid"/>
        <w:tblW w:w="0" w:type="auto"/>
        <w:tblLook w:val="04A0" w:firstRow="1" w:lastRow="0" w:firstColumn="1" w:lastColumn="0" w:noHBand="0" w:noVBand="1"/>
      </w:tblPr>
      <w:tblGrid>
        <w:gridCol w:w="9016"/>
      </w:tblGrid>
      <w:tr w:rsidR="00AD77C8" w:rsidRPr="005B0B73" w14:paraId="13F66B93" w14:textId="77777777" w:rsidTr="1FFC5AE9">
        <w:tc>
          <w:tcPr>
            <w:tcW w:w="9016" w:type="dxa"/>
            <w:shd w:val="clear" w:color="auto" w:fill="DEEAF6" w:themeFill="accent5" w:themeFillTint="33"/>
          </w:tcPr>
          <w:p w14:paraId="3D58D529" w14:textId="18E2BCF5" w:rsidR="00CB2873" w:rsidRPr="005B0B73" w:rsidRDefault="00CB2873" w:rsidP="1FFC5AE9">
            <w:pPr>
              <w:jc w:val="both"/>
              <w:rPr>
                <w:rFonts w:eastAsia="Arial" w:cs="Arial"/>
                <w:sz w:val="32"/>
                <w:szCs w:val="32"/>
              </w:rPr>
            </w:pPr>
            <w:r w:rsidRPr="005B0B73">
              <w:rPr>
                <w:rStyle w:val="Heading1Char"/>
                <w:rFonts w:ascii="Arial" w:eastAsia="Arial" w:hAnsi="Arial" w:cs="Arial"/>
                <w:b/>
                <w:bCs/>
                <w:color w:val="auto"/>
              </w:rPr>
              <w:lastRenderedPageBreak/>
              <w:t xml:space="preserve">Section C: Output </w:t>
            </w:r>
            <w:r w:rsidR="00401217" w:rsidRPr="005B0B73">
              <w:rPr>
                <w:rStyle w:val="Heading1Char"/>
                <w:rFonts w:ascii="Arial" w:eastAsia="Arial" w:hAnsi="Arial" w:cs="Arial"/>
                <w:b/>
                <w:bCs/>
                <w:color w:val="auto"/>
              </w:rPr>
              <w:t>s</w:t>
            </w:r>
            <w:r w:rsidRPr="005B0B73">
              <w:rPr>
                <w:rStyle w:val="Heading1Char"/>
                <w:rFonts w:ascii="Arial" w:eastAsia="Arial" w:hAnsi="Arial" w:cs="Arial"/>
                <w:b/>
                <w:bCs/>
                <w:color w:val="auto"/>
              </w:rPr>
              <w:t>coring</w:t>
            </w:r>
            <w:bookmarkEnd w:id="9"/>
            <w:r w:rsidRPr="005B0B73">
              <w:rPr>
                <w:rFonts w:eastAsia="Arial" w:cs="Arial"/>
                <w:sz w:val="32"/>
                <w:szCs w:val="32"/>
              </w:rPr>
              <w:t xml:space="preserve"> </w:t>
            </w:r>
          </w:p>
        </w:tc>
      </w:tr>
    </w:tbl>
    <w:p w14:paraId="055FDF8F" w14:textId="63A97065" w:rsidR="00C22C27" w:rsidRPr="005B0B73" w:rsidRDefault="00953846" w:rsidP="1FFC5AE9">
      <w:pPr>
        <w:pStyle w:val="Heading2"/>
        <w:jc w:val="both"/>
        <w:rPr>
          <w:rFonts w:eastAsia="Arial" w:cs="Arial"/>
        </w:rPr>
      </w:pPr>
      <w:bookmarkStart w:id="10" w:name="_Toc142922629"/>
      <w:r w:rsidRPr="005B0B73">
        <w:rPr>
          <w:rFonts w:eastAsia="Arial" w:cs="Arial"/>
        </w:rPr>
        <w:t xml:space="preserve">Output 1: </w:t>
      </w:r>
      <w:bookmarkEnd w:id="10"/>
      <w:r w:rsidR="00B97AD7" w:rsidRPr="005B0B73">
        <w:rPr>
          <w:rFonts w:eastAsia="Arial" w:cs="Arial"/>
        </w:rPr>
        <w:t>Results-based finance provides necessary incentive to allow implementation of new and innovative GHG emission reduction crediting mechanisms. </w:t>
      </w:r>
    </w:p>
    <w:p w14:paraId="79E880F9" w14:textId="77777777" w:rsidR="00AA65EE" w:rsidRPr="005B0B73" w:rsidRDefault="00AA65EE" w:rsidP="1FFC5AE9">
      <w:pPr>
        <w:rPr>
          <w:rFonts w:eastAsia="Arial" w:cs="Arial"/>
          <w:sz w:val="22"/>
          <w:szCs w:val="22"/>
        </w:rPr>
      </w:pPr>
    </w:p>
    <w:tbl>
      <w:tblPr>
        <w:tblStyle w:val="TableGrid"/>
        <w:tblW w:w="9072" w:type="dxa"/>
        <w:tblInd w:w="-5" w:type="dxa"/>
        <w:tblLook w:val="04A0" w:firstRow="1" w:lastRow="0" w:firstColumn="1" w:lastColumn="0" w:noHBand="0" w:noVBand="1"/>
      </w:tblPr>
      <w:tblGrid>
        <w:gridCol w:w="2141"/>
        <w:gridCol w:w="1315"/>
        <w:gridCol w:w="2738"/>
        <w:gridCol w:w="2878"/>
      </w:tblGrid>
      <w:tr w:rsidR="00CD42AB" w:rsidRPr="005B0B73" w14:paraId="0CA17513" w14:textId="77777777" w:rsidTr="57D37C2B">
        <w:trPr>
          <w:trHeight w:val="300"/>
        </w:trPr>
        <w:tc>
          <w:tcPr>
            <w:tcW w:w="2141" w:type="dxa"/>
            <w:tcBorders>
              <w:top w:val="single" w:sz="4" w:space="0" w:color="auto"/>
              <w:left w:val="single" w:sz="4" w:space="0" w:color="auto"/>
              <w:bottom w:val="single" w:sz="4" w:space="0" w:color="auto"/>
              <w:right w:val="single" w:sz="12" w:space="0" w:color="000000" w:themeColor="text1"/>
            </w:tcBorders>
            <w:shd w:val="clear" w:color="auto" w:fill="DEEAF6" w:themeFill="accent5" w:themeFillTint="33"/>
            <w:hideMark/>
          </w:tcPr>
          <w:p w14:paraId="0801A128" w14:textId="77777777" w:rsidR="003D222C" w:rsidRPr="005B0B73" w:rsidRDefault="003D222C" w:rsidP="1FFC5AE9">
            <w:pPr>
              <w:jc w:val="both"/>
              <w:rPr>
                <w:rFonts w:eastAsia="Arial" w:cs="Arial"/>
                <w:sz w:val="22"/>
                <w:szCs w:val="22"/>
              </w:rPr>
            </w:pPr>
            <w:r w:rsidRPr="005B0B73">
              <w:rPr>
                <w:rFonts w:eastAsia="Arial" w:cs="Arial"/>
                <w:sz w:val="22"/>
                <w:szCs w:val="22"/>
              </w:rPr>
              <w:t xml:space="preserve">Output number: </w:t>
            </w:r>
          </w:p>
        </w:tc>
        <w:tc>
          <w:tcPr>
            <w:tcW w:w="1315" w:type="dxa"/>
            <w:tcBorders>
              <w:top w:val="single" w:sz="12" w:space="0" w:color="000000" w:themeColor="text1"/>
              <w:left w:val="single" w:sz="12" w:space="0" w:color="000000" w:themeColor="text1"/>
              <w:bottom w:val="single" w:sz="4" w:space="0" w:color="auto"/>
              <w:right w:val="single" w:sz="4" w:space="0" w:color="auto"/>
            </w:tcBorders>
          </w:tcPr>
          <w:p w14:paraId="4190402A" w14:textId="73CA6C1C" w:rsidR="003D222C" w:rsidRPr="005B0B73" w:rsidRDefault="00C13CBA" w:rsidP="6BD49E5A">
            <w:pPr>
              <w:jc w:val="both"/>
              <w:rPr>
                <w:rFonts w:eastAsia="Arial" w:cs="Arial"/>
                <w:sz w:val="22"/>
                <w:szCs w:val="22"/>
              </w:rPr>
            </w:pPr>
            <w:r w:rsidRPr="005B0B73">
              <w:rPr>
                <w:rFonts w:eastAsia="Arial" w:cs="Arial"/>
                <w:sz w:val="22"/>
                <w:szCs w:val="22"/>
              </w:rPr>
              <w:t>1</w:t>
            </w:r>
          </w:p>
        </w:tc>
        <w:tc>
          <w:tcPr>
            <w:tcW w:w="2738" w:type="dxa"/>
            <w:tcBorders>
              <w:top w:val="single" w:sz="12" w:space="0" w:color="000000" w:themeColor="text1"/>
              <w:left w:val="single" w:sz="4" w:space="0" w:color="auto"/>
              <w:bottom w:val="single" w:sz="4" w:space="0" w:color="auto"/>
              <w:right w:val="single" w:sz="4" w:space="0" w:color="auto"/>
            </w:tcBorders>
            <w:shd w:val="clear" w:color="auto" w:fill="DEEAF6" w:themeFill="accent5" w:themeFillTint="33"/>
            <w:hideMark/>
          </w:tcPr>
          <w:p w14:paraId="55FA73C8" w14:textId="77777777" w:rsidR="003D222C" w:rsidRPr="005B0B73" w:rsidRDefault="003D222C" w:rsidP="2EB7C0AF">
            <w:pPr>
              <w:jc w:val="both"/>
              <w:rPr>
                <w:rFonts w:eastAsia="Arial" w:cs="Arial"/>
                <w:sz w:val="22"/>
                <w:szCs w:val="22"/>
              </w:rPr>
            </w:pPr>
            <w:r w:rsidRPr="005B0B73">
              <w:rPr>
                <w:rFonts w:eastAsia="Arial" w:cs="Arial"/>
                <w:sz w:val="22"/>
                <w:szCs w:val="22"/>
              </w:rPr>
              <w:t xml:space="preserve">Output Score: </w:t>
            </w:r>
          </w:p>
        </w:tc>
        <w:tc>
          <w:tcPr>
            <w:tcW w:w="2878" w:type="dxa"/>
            <w:tcBorders>
              <w:top w:val="single" w:sz="12" w:space="0" w:color="000000" w:themeColor="text1"/>
              <w:left w:val="single" w:sz="4" w:space="0" w:color="auto"/>
              <w:bottom w:val="single" w:sz="4" w:space="0" w:color="auto"/>
              <w:right w:val="single" w:sz="12" w:space="0" w:color="000000" w:themeColor="text1"/>
            </w:tcBorders>
          </w:tcPr>
          <w:p w14:paraId="0438A869" w14:textId="340791A7" w:rsidR="003D222C" w:rsidRPr="005B0B73" w:rsidRDefault="66A1D79A" w:rsidP="2EB7C0AF">
            <w:pPr>
              <w:jc w:val="both"/>
              <w:rPr>
                <w:rFonts w:eastAsia="Arial" w:cs="Arial"/>
                <w:b/>
                <w:bCs/>
                <w:sz w:val="22"/>
                <w:szCs w:val="22"/>
              </w:rPr>
            </w:pPr>
            <w:r w:rsidRPr="005B0B73">
              <w:rPr>
                <w:rFonts w:eastAsia="Arial" w:cs="Arial"/>
                <w:b/>
                <w:bCs/>
                <w:sz w:val="22"/>
                <w:szCs w:val="22"/>
              </w:rPr>
              <w:t>A</w:t>
            </w:r>
          </w:p>
        </w:tc>
      </w:tr>
      <w:tr w:rsidR="00CD42AB" w:rsidRPr="005B0B73" w14:paraId="322D9463" w14:textId="77777777" w:rsidTr="57D37C2B">
        <w:trPr>
          <w:trHeight w:val="300"/>
        </w:trPr>
        <w:tc>
          <w:tcPr>
            <w:tcW w:w="2141" w:type="dxa"/>
            <w:tcBorders>
              <w:top w:val="single" w:sz="4" w:space="0" w:color="auto"/>
              <w:left w:val="single" w:sz="4" w:space="0" w:color="auto"/>
              <w:bottom w:val="single" w:sz="4" w:space="0" w:color="auto"/>
              <w:right w:val="single" w:sz="12" w:space="0" w:color="000000" w:themeColor="text1"/>
            </w:tcBorders>
            <w:shd w:val="clear" w:color="auto" w:fill="DEEAF6" w:themeFill="accent5" w:themeFillTint="33"/>
            <w:hideMark/>
          </w:tcPr>
          <w:p w14:paraId="291524D5" w14:textId="77777777" w:rsidR="003D222C" w:rsidRPr="005B0B73" w:rsidRDefault="003D222C" w:rsidP="1FFC5AE9">
            <w:pPr>
              <w:jc w:val="both"/>
              <w:rPr>
                <w:rFonts w:eastAsia="Arial" w:cs="Arial"/>
                <w:sz w:val="22"/>
                <w:szCs w:val="22"/>
              </w:rPr>
            </w:pPr>
            <w:r w:rsidRPr="005B0B73">
              <w:rPr>
                <w:rFonts w:eastAsia="Arial" w:cs="Arial"/>
                <w:sz w:val="22"/>
                <w:szCs w:val="22"/>
              </w:rPr>
              <w:t xml:space="preserve">Impact weighting (%):  </w:t>
            </w:r>
          </w:p>
        </w:tc>
        <w:tc>
          <w:tcPr>
            <w:tcW w:w="1315" w:type="dxa"/>
            <w:tcBorders>
              <w:top w:val="single" w:sz="4" w:space="0" w:color="auto"/>
              <w:left w:val="single" w:sz="12" w:space="0" w:color="000000" w:themeColor="text1"/>
              <w:bottom w:val="single" w:sz="4" w:space="0" w:color="auto"/>
              <w:right w:val="single" w:sz="4" w:space="0" w:color="auto"/>
            </w:tcBorders>
            <w:hideMark/>
          </w:tcPr>
          <w:p w14:paraId="2B32CB6F" w14:textId="6E2C0223" w:rsidR="003D222C" w:rsidRPr="005B0B73" w:rsidRDefault="00C13CBA" w:rsidP="6BD49E5A">
            <w:pPr>
              <w:jc w:val="both"/>
              <w:rPr>
                <w:rFonts w:eastAsia="Arial" w:cs="Arial"/>
                <w:sz w:val="22"/>
                <w:szCs w:val="22"/>
              </w:rPr>
            </w:pPr>
            <w:r w:rsidRPr="005B0B73">
              <w:rPr>
                <w:rFonts w:eastAsia="Arial" w:cs="Arial"/>
                <w:sz w:val="22"/>
                <w:szCs w:val="22"/>
              </w:rPr>
              <w:t>40</w:t>
            </w:r>
          </w:p>
        </w:tc>
        <w:tc>
          <w:tcPr>
            <w:tcW w:w="27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6B322CF" w14:textId="77777777" w:rsidR="003D222C" w:rsidRPr="005B0B73" w:rsidRDefault="003D222C" w:rsidP="6BD49E5A">
            <w:pPr>
              <w:jc w:val="both"/>
              <w:rPr>
                <w:rFonts w:eastAsia="Arial" w:cs="Arial"/>
                <w:sz w:val="22"/>
                <w:szCs w:val="22"/>
              </w:rPr>
            </w:pPr>
            <w:r w:rsidRPr="005B0B73">
              <w:rPr>
                <w:rFonts w:eastAsia="Arial" w:cs="Arial"/>
                <w:sz w:val="22"/>
                <w:szCs w:val="22"/>
              </w:rPr>
              <w:t xml:space="preserve">Weighting revised since last AR? </w:t>
            </w:r>
          </w:p>
        </w:tc>
        <w:tc>
          <w:tcPr>
            <w:tcW w:w="2878" w:type="dxa"/>
            <w:tcBorders>
              <w:top w:val="single" w:sz="4" w:space="0" w:color="auto"/>
              <w:left w:val="single" w:sz="4" w:space="0" w:color="auto"/>
              <w:bottom w:val="single" w:sz="4" w:space="0" w:color="auto"/>
              <w:right w:val="single" w:sz="12" w:space="0" w:color="000000" w:themeColor="text1"/>
            </w:tcBorders>
          </w:tcPr>
          <w:p w14:paraId="314B55F6" w14:textId="2F3EB872" w:rsidR="003D222C" w:rsidRPr="005B0B73" w:rsidRDefault="22E1C7DA" w:rsidP="6BD49E5A">
            <w:pPr>
              <w:jc w:val="both"/>
              <w:rPr>
                <w:rFonts w:eastAsia="Arial" w:cs="Arial"/>
                <w:sz w:val="22"/>
                <w:szCs w:val="22"/>
              </w:rPr>
            </w:pPr>
            <w:r w:rsidRPr="005B0B73">
              <w:rPr>
                <w:rFonts w:eastAsia="Arial" w:cs="Arial"/>
                <w:sz w:val="22"/>
                <w:szCs w:val="22"/>
              </w:rPr>
              <w:t>No</w:t>
            </w:r>
          </w:p>
        </w:tc>
      </w:tr>
      <w:tr w:rsidR="00CD42AB" w:rsidRPr="005B0B73" w14:paraId="49FF75D8" w14:textId="77777777" w:rsidTr="57D37C2B">
        <w:trPr>
          <w:trHeight w:val="300"/>
        </w:trPr>
        <w:tc>
          <w:tcPr>
            <w:tcW w:w="2141" w:type="dxa"/>
            <w:tcBorders>
              <w:top w:val="single" w:sz="4" w:space="0" w:color="auto"/>
              <w:left w:val="single" w:sz="4" w:space="0" w:color="auto"/>
              <w:bottom w:val="single" w:sz="4" w:space="0" w:color="auto"/>
              <w:right w:val="single" w:sz="12" w:space="0" w:color="000000" w:themeColor="text1"/>
            </w:tcBorders>
            <w:shd w:val="clear" w:color="auto" w:fill="DEEAF6" w:themeFill="accent5" w:themeFillTint="33"/>
          </w:tcPr>
          <w:p w14:paraId="19A26186" w14:textId="77777777" w:rsidR="003D222C" w:rsidRPr="005B0B73" w:rsidRDefault="003D222C" w:rsidP="57D37C2B">
            <w:pPr>
              <w:jc w:val="both"/>
              <w:rPr>
                <w:rFonts w:eastAsia="Arial" w:cs="Arial"/>
                <w:sz w:val="22"/>
                <w:szCs w:val="22"/>
              </w:rPr>
            </w:pPr>
            <w:r w:rsidRPr="005B0B73">
              <w:rPr>
                <w:rFonts w:eastAsia="Arial" w:cs="Arial"/>
                <w:sz w:val="22"/>
                <w:szCs w:val="22"/>
              </w:rPr>
              <w:t>Risk rating</w:t>
            </w:r>
          </w:p>
        </w:tc>
        <w:tc>
          <w:tcPr>
            <w:tcW w:w="1315" w:type="dxa"/>
            <w:tcBorders>
              <w:top w:val="single" w:sz="4" w:space="0" w:color="auto"/>
              <w:left w:val="single" w:sz="12" w:space="0" w:color="000000" w:themeColor="text1"/>
              <w:bottom w:val="single" w:sz="12" w:space="0" w:color="000000" w:themeColor="text1"/>
              <w:right w:val="single" w:sz="4" w:space="0" w:color="auto"/>
            </w:tcBorders>
          </w:tcPr>
          <w:p w14:paraId="05841711" w14:textId="3E959A0C" w:rsidR="003D222C" w:rsidRPr="005B0B73" w:rsidRDefault="306BB231" w:rsidP="6BD49E5A">
            <w:pPr>
              <w:jc w:val="both"/>
              <w:rPr>
                <w:rFonts w:eastAsia="Arial" w:cs="Arial"/>
                <w:sz w:val="22"/>
                <w:szCs w:val="22"/>
              </w:rPr>
            </w:pPr>
            <w:r w:rsidRPr="005B0B73">
              <w:rPr>
                <w:rFonts w:eastAsia="Arial" w:cs="Arial"/>
                <w:sz w:val="22"/>
                <w:szCs w:val="22"/>
              </w:rPr>
              <w:t>Moderate</w:t>
            </w:r>
          </w:p>
        </w:tc>
        <w:tc>
          <w:tcPr>
            <w:tcW w:w="2738" w:type="dxa"/>
            <w:tcBorders>
              <w:top w:val="single" w:sz="4" w:space="0" w:color="auto"/>
              <w:left w:val="single" w:sz="4" w:space="0" w:color="auto"/>
              <w:bottom w:val="single" w:sz="12" w:space="0" w:color="000000" w:themeColor="text1"/>
              <w:right w:val="single" w:sz="4" w:space="0" w:color="auto"/>
            </w:tcBorders>
            <w:shd w:val="clear" w:color="auto" w:fill="DEEAF6" w:themeFill="accent5" w:themeFillTint="33"/>
          </w:tcPr>
          <w:p w14:paraId="3775A24C" w14:textId="77777777" w:rsidR="003D222C" w:rsidRPr="005B0B73" w:rsidRDefault="003D222C" w:rsidP="6BD49E5A">
            <w:pPr>
              <w:jc w:val="both"/>
              <w:rPr>
                <w:rFonts w:eastAsia="Arial" w:cs="Arial"/>
                <w:sz w:val="22"/>
                <w:szCs w:val="22"/>
              </w:rPr>
            </w:pPr>
            <w:r w:rsidRPr="005B0B73">
              <w:rPr>
                <w:rFonts w:eastAsia="Arial" w:cs="Arial"/>
                <w:sz w:val="22"/>
                <w:szCs w:val="22"/>
              </w:rPr>
              <w:t>Risk revised since last AR?</w:t>
            </w:r>
          </w:p>
        </w:tc>
        <w:tc>
          <w:tcPr>
            <w:tcW w:w="2878" w:type="dxa"/>
            <w:tcBorders>
              <w:top w:val="single" w:sz="4" w:space="0" w:color="auto"/>
              <w:left w:val="single" w:sz="4" w:space="0" w:color="auto"/>
              <w:bottom w:val="single" w:sz="12" w:space="0" w:color="000000" w:themeColor="text1"/>
              <w:right w:val="single" w:sz="12" w:space="0" w:color="000000" w:themeColor="text1"/>
            </w:tcBorders>
          </w:tcPr>
          <w:p w14:paraId="36DFFD26" w14:textId="34BAC205" w:rsidR="003D222C" w:rsidRPr="005B0B73" w:rsidRDefault="3B5A1484" w:rsidP="6BD49E5A">
            <w:pPr>
              <w:jc w:val="both"/>
              <w:rPr>
                <w:rFonts w:eastAsia="Arial" w:cs="Arial"/>
                <w:sz w:val="22"/>
                <w:szCs w:val="22"/>
              </w:rPr>
            </w:pPr>
            <w:r w:rsidRPr="005B0B73">
              <w:rPr>
                <w:rFonts w:eastAsia="Arial" w:cs="Arial"/>
                <w:sz w:val="22"/>
                <w:szCs w:val="22"/>
              </w:rPr>
              <w:t>No</w:t>
            </w:r>
          </w:p>
        </w:tc>
      </w:tr>
    </w:tbl>
    <w:p w14:paraId="70591D61" w14:textId="4B9F6F66" w:rsidR="2D7A97AF" w:rsidRPr="005B0B73" w:rsidRDefault="2D7A97AF" w:rsidP="1FFC5AE9">
      <w:pPr>
        <w:jc w:val="both"/>
        <w:rPr>
          <w:rFonts w:eastAsia="Arial" w:cs="Arial"/>
          <w:b/>
          <w:i/>
          <w:sz w:val="22"/>
          <w:szCs w:val="22"/>
        </w:rPr>
      </w:pPr>
    </w:p>
    <w:tbl>
      <w:tblPr>
        <w:tblStyle w:val="TableGrid"/>
        <w:tblpPr w:leftFromText="180" w:rightFromText="180" w:vertAnchor="text" w:horzAnchor="margin" w:tblpY="-13"/>
        <w:tblOverlap w:val="never"/>
        <w:tblW w:w="9112" w:type="dxa"/>
        <w:tblLook w:val="04A0" w:firstRow="1" w:lastRow="0" w:firstColumn="1" w:lastColumn="0" w:noHBand="0" w:noVBand="1"/>
      </w:tblPr>
      <w:tblGrid>
        <w:gridCol w:w="3681"/>
        <w:gridCol w:w="1843"/>
        <w:gridCol w:w="3588"/>
      </w:tblGrid>
      <w:tr w:rsidR="009840D7" w:rsidRPr="005B0B73" w14:paraId="01F1CCBD" w14:textId="77777777" w:rsidTr="0058047E">
        <w:trPr>
          <w:trHeight w:val="273"/>
        </w:trPr>
        <w:tc>
          <w:tcPr>
            <w:tcW w:w="368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27ADB7B" w14:textId="77777777" w:rsidR="00B8272A" w:rsidRPr="005B0B73" w:rsidRDefault="00B8272A" w:rsidP="1FFC5AE9">
            <w:pPr>
              <w:jc w:val="both"/>
              <w:rPr>
                <w:rFonts w:eastAsia="Arial" w:cs="Arial"/>
                <w:b/>
                <w:bCs/>
                <w:sz w:val="22"/>
                <w:szCs w:val="22"/>
              </w:rPr>
            </w:pPr>
            <w:r w:rsidRPr="005B0B73">
              <w:rPr>
                <w:rFonts w:eastAsia="Arial" w:cs="Arial"/>
                <w:b/>
                <w:bCs/>
                <w:sz w:val="22"/>
                <w:szCs w:val="22"/>
              </w:rPr>
              <w:t>Indicator(s)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42C8B1" w14:textId="77777777" w:rsidR="00B8272A" w:rsidRPr="005B0B73" w:rsidRDefault="00B8272A" w:rsidP="1FFC5AE9">
            <w:pPr>
              <w:rPr>
                <w:rFonts w:eastAsia="Arial" w:cs="Arial"/>
                <w:b/>
                <w:bCs/>
                <w:sz w:val="22"/>
                <w:szCs w:val="22"/>
              </w:rPr>
            </w:pPr>
            <w:r w:rsidRPr="005B0B73">
              <w:rPr>
                <w:rFonts w:eastAsia="Arial" w:cs="Arial"/>
                <w:b/>
                <w:bCs/>
                <w:sz w:val="22"/>
                <w:szCs w:val="22"/>
              </w:rPr>
              <w:t>Milestone(s) for this review</w:t>
            </w:r>
          </w:p>
        </w:tc>
        <w:tc>
          <w:tcPr>
            <w:tcW w:w="358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319DAF6" w14:textId="77777777" w:rsidR="00B8272A" w:rsidRPr="005B0B73" w:rsidRDefault="00B8272A" w:rsidP="1FFC5AE9">
            <w:pPr>
              <w:jc w:val="both"/>
              <w:rPr>
                <w:rFonts w:eastAsia="Arial" w:cs="Arial"/>
                <w:b/>
                <w:bCs/>
                <w:sz w:val="22"/>
                <w:szCs w:val="22"/>
              </w:rPr>
            </w:pPr>
            <w:r w:rsidRPr="005B0B73">
              <w:rPr>
                <w:rFonts w:eastAsia="Arial" w:cs="Arial"/>
                <w:b/>
                <w:bCs/>
                <w:sz w:val="22"/>
                <w:szCs w:val="22"/>
              </w:rPr>
              <w:t xml:space="preserve">Progress </w:t>
            </w:r>
          </w:p>
        </w:tc>
      </w:tr>
      <w:tr w:rsidR="00CD42AB" w:rsidRPr="005B0B73" w14:paraId="7DE65900" w14:textId="77777777" w:rsidTr="0058047E">
        <w:trPr>
          <w:trHeight w:val="1603"/>
        </w:trPr>
        <w:tc>
          <w:tcPr>
            <w:tcW w:w="3681" w:type="dxa"/>
            <w:tcBorders>
              <w:top w:val="single" w:sz="4" w:space="0" w:color="auto"/>
              <w:left w:val="single" w:sz="4" w:space="0" w:color="auto"/>
              <w:bottom w:val="single" w:sz="4" w:space="0" w:color="auto"/>
              <w:right w:val="single" w:sz="4" w:space="0" w:color="auto"/>
            </w:tcBorders>
          </w:tcPr>
          <w:p w14:paraId="56DA4C60" w14:textId="15298493" w:rsidR="004A7D34" w:rsidRPr="005B0B73" w:rsidRDefault="00B8272A" w:rsidP="004A7D34">
            <w:pPr>
              <w:textAlignment w:val="baseline"/>
              <w:rPr>
                <w:rFonts w:eastAsia="Arial" w:cs="Arial"/>
                <w:sz w:val="22"/>
                <w:szCs w:val="22"/>
              </w:rPr>
            </w:pPr>
            <w:r w:rsidRPr="005B0B73">
              <w:rPr>
                <w:rFonts w:eastAsia="Arial" w:cs="Arial"/>
                <w:color w:val="000000" w:themeColor="text1"/>
                <w:sz w:val="22"/>
                <w:szCs w:val="22"/>
              </w:rPr>
              <w:t xml:space="preserve">1.1 </w:t>
            </w:r>
            <w:r w:rsidR="004A7D34" w:rsidRPr="005B0B73">
              <w:rPr>
                <w:rFonts w:eastAsia="Arial" w:cs="Arial"/>
                <w:sz w:val="22"/>
                <w:szCs w:val="22"/>
              </w:rPr>
              <w:t>Number of programmes (cumulative) at</w:t>
            </w:r>
          </w:p>
          <w:p w14:paraId="0ED871C2" w14:textId="7EB6E6E4" w:rsidR="004A7D34" w:rsidRPr="005B0B73" w:rsidRDefault="004A7D34" w:rsidP="004A7D34">
            <w:pPr>
              <w:textAlignment w:val="baseline"/>
              <w:rPr>
                <w:rFonts w:eastAsia="Arial" w:cs="Arial"/>
                <w:sz w:val="22"/>
                <w:szCs w:val="22"/>
              </w:rPr>
            </w:pPr>
            <w:r w:rsidRPr="005B0B73">
              <w:rPr>
                <w:rFonts w:eastAsia="Arial" w:cs="Arial"/>
                <w:sz w:val="22"/>
                <w:szCs w:val="22"/>
              </w:rPr>
              <w:t xml:space="preserve"> a) Pre-PIN (i.e. pre-PIN has been presented by the Trustee) </w:t>
            </w:r>
          </w:p>
          <w:p w14:paraId="0F3F730F" w14:textId="700545ED" w:rsidR="004A7D34" w:rsidRPr="005B0B73" w:rsidRDefault="004A7D34" w:rsidP="004A7D34">
            <w:pPr>
              <w:textAlignment w:val="baseline"/>
              <w:rPr>
                <w:rFonts w:eastAsia="Arial" w:cs="Arial"/>
                <w:color w:val="000000" w:themeColor="text1"/>
                <w:sz w:val="22"/>
                <w:szCs w:val="22"/>
              </w:rPr>
            </w:pPr>
            <w:r w:rsidRPr="005B0B73">
              <w:rPr>
                <w:rFonts w:eastAsia="Arial" w:cs="Arial"/>
                <w:sz w:val="22"/>
                <w:szCs w:val="22"/>
              </w:rPr>
              <w:t xml:space="preserve">b) PIN stage (i.e. PIN has been presented by the Trustee) </w:t>
            </w:r>
          </w:p>
        </w:tc>
        <w:tc>
          <w:tcPr>
            <w:tcW w:w="1843" w:type="dxa"/>
            <w:tcBorders>
              <w:top w:val="single" w:sz="4" w:space="0" w:color="auto"/>
              <w:left w:val="single" w:sz="4" w:space="0" w:color="auto"/>
              <w:bottom w:val="single" w:sz="4" w:space="0" w:color="auto"/>
              <w:right w:val="single" w:sz="4" w:space="0" w:color="auto"/>
            </w:tcBorders>
          </w:tcPr>
          <w:p w14:paraId="3732C57D" w14:textId="17EF2950" w:rsidR="003B3C12" w:rsidRPr="005B0B73" w:rsidRDefault="003B3C12" w:rsidP="003B3C12">
            <w:pPr>
              <w:pStyle w:val="ListParagraph"/>
              <w:numPr>
                <w:ilvl w:val="1"/>
                <w:numId w:val="4"/>
              </w:numPr>
              <w:ind w:left="335"/>
              <w:rPr>
                <w:rFonts w:eastAsia="Arial" w:cs="Arial"/>
                <w:sz w:val="22"/>
                <w:szCs w:val="22"/>
              </w:rPr>
            </w:pPr>
            <w:r w:rsidRPr="005B0B73">
              <w:rPr>
                <w:rFonts w:eastAsia="Arial" w:cs="Arial"/>
                <w:sz w:val="22"/>
                <w:szCs w:val="22"/>
              </w:rPr>
              <w:t>23</w:t>
            </w:r>
          </w:p>
          <w:p w14:paraId="31CF2115" w14:textId="31940E23" w:rsidR="003B3C12" w:rsidRPr="005B0B73" w:rsidRDefault="003B3C12" w:rsidP="003B3C12">
            <w:pPr>
              <w:pStyle w:val="ListParagraph"/>
              <w:numPr>
                <w:ilvl w:val="1"/>
                <w:numId w:val="4"/>
              </w:numPr>
              <w:ind w:left="335"/>
              <w:rPr>
                <w:rFonts w:eastAsia="Arial" w:cs="Arial"/>
                <w:sz w:val="22"/>
                <w:szCs w:val="22"/>
              </w:rPr>
            </w:pPr>
            <w:r w:rsidRPr="005B0B73">
              <w:rPr>
                <w:rFonts w:eastAsia="Arial" w:cs="Arial"/>
                <w:sz w:val="22"/>
                <w:szCs w:val="22"/>
              </w:rPr>
              <w:t>7</w:t>
            </w:r>
          </w:p>
          <w:p w14:paraId="48E02120" w14:textId="1A2C7936" w:rsidR="00B8272A" w:rsidRPr="005B0B73" w:rsidRDefault="00B8272A" w:rsidP="003B3C12">
            <w:pPr>
              <w:pStyle w:val="ListParagraph"/>
              <w:ind w:left="335"/>
              <w:rPr>
                <w:rFonts w:eastAsia="Arial" w:cs="Arial"/>
                <w:sz w:val="22"/>
                <w:szCs w:val="22"/>
              </w:rPr>
            </w:pPr>
          </w:p>
        </w:tc>
        <w:tc>
          <w:tcPr>
            <w:tcW w:w="3588" w:type="dxa"/>
            <w:tcBorders>
              <w:top w:val="single" w:sz="4" w:space="0" w:color="auto"/>
              <w:left w:val="single" w:sz="4" w:space="0" w:color="auto"/>
              <w:bottom w:val="single" w:sz="4" w:space="0" w:color="auto"/>
              <w:right w:val="single" w:sz="4" w:space="0" w:color="auto"/>
            </w:tcBorders>
          </w:tcPr>
          <w:p w14:paraId="6DF53634" w14:textId="12523C64" w:rsidR="00B66924" w:rsidRPr="005B0B73" w:rsidRDefault="37B387D8" w:rsidP="00B66924">
            <w:pPr>
              <w:rPr>
                <w:rFonts w:eastAsia="Arial" w:cs="Arial"/>
                <w:sz w:val="22"/>
                <w:szCs w:val="22"/>
              </w:rPr>
            </w:pPr>
            <w:r w:rsidRPr="005B0B73">
              <w:rPr>
                <w:rFonts w:eastAsia="Arial" w:cs="Arial"/>
                <w:sz w:val="22"/>
                <w:szCs w:val="22"/>
              </w:rPr>
              <w:t>a)</w:t>
            </w:r>
            <w:r w:rsidR="175D6E6D" w:rsidRPr="005B0B73">
              <w:rPr>
                <w:rFonts w:eastAsia="Arial" w:cs="Arial"/>
                <w:sz w:val="22"/>
                <w:szCs w:val="22"/>
              </w:rPr>
              <w:t xml:space="preserve"> </w:t>
            </w:r>
            <w:r w:rsidR="325A9766" w:rsidRPr="005B0B73">
              <w:rPr>
                <w:rFonts w:eastAsia="Arial" w:cs="Arial"/>
                <w:b/>
                <w:bCs/>
                <w:sz w:val="22"/>
                <w:szCs w:val="22"/>
              </w:rPr>
              <w:t>25</w:t>
            </w:r>
            <w:r w:rsidR="3B28571F" w:rsidRPr="005B0B73">
              <w:rPr>
                <w:rFonts w:eastAsia="Arial" w:cs="Arial"/>
                <w:sz w:val="22"/>
                <w:szCs w:val="22"/>
              </w:rPr>
              <w:t xml:space="preserve">: Progress </w:t>
            </w:r>
            <w:proofErr w:type="gramStart"/>
            <w:r w:rsidR="3B28571F" w:rsidRPr="005B0B73">
              <w:rPr>
                <w:rFonts w:eastAsia="Arial" w:cs="Arial"/>
                <w:sz w:val="22"/>
                <w:szCs w:val="22"/>
              </w:rPr>
              <w:t>exceeded</w:t>
            </w:r>
            <w:r w:rsidR="74384FD1" w:rsidRPr="005B0B73">
              <w:rPr>
                <w:rFonts w:eastAsia="Arial" w:cs="Arial"/>
                <w:sz w:val="22"/>
                <w:szCs w:val="22"/>
              </w:rPr>
              <w:t xml:space="preserve"> </w:t>
            </w:r>
            <w:r w:rsidR="009A0227" w:rsidRPr="005B0B73">
              <w:rPr>
                <w:rFonts w:eastAsia="Arial" w:cs="Arial"/>
                <w:sz w:val="22"/>
                <w:szCs w:val="22"/>
              </w:rPr>
              <w:t xml:space="preserve"> expectation</w:t>
            </w:r>
            <w:proofErr w:type="gramEnd"/>
            <w:r w:rsidR="009A0227" w:rsidRPr="005B0B73">
              <w:rPr>
                <w:rFonts w:eastAsia="Arial" w:cs="Arial"/>
                <w:sz w:val="22"/>
                <w:szCs w:val="22"/>
              </w:rPr>
              <w:t xml:space="preserve"> </w:t>
            </w:r>
          </w:p>
          <w:p w14:paraId="60A6E685" w14:textId="77E37847" w:rsidR="0058047E" w:rsidRPr="005B0B73" w:rsidRDefault="37B387D8" w:rsidP="002B7F11">
            <w:pPr>
              <w:rPr>
                <w:rFonts w:eastAsia="Arial" w:cs="Arial"/>
                <w:sz w:val="22"/>
                <w:szCs w:val="22"/>
              </w:rPr>
            </w:pPr>
            <w:r w:rsidRPr="005B0B73">
              <w:rPr>
                <w:rFonts w:eastAsia="Arial" w:cs="Arial"/>
                <w:sz w:val="22"/>
                <w:szCs w:val="22"/>
              </w:rPr>
              <w:t>b)</w:t>
            </w:r>
            <w:r w:rsidR="1DCE7357" w:rsidRPr="005B0B73">
              <w:rPr>
                <w:rFonts w:eastAsia="Arial" w:cs="Arial"/>
                <w:b/>
                <w:bCs/>
                <w:sz w:val="22"/>
                <w:szCs w:val="22"/>
              </w:rPr>
              <w:t xml:space="preserve"> </w:t>
            </w:r>
            <w:r w:rsidR="28954F66" w:rsidRPr="005B0B73">
              <w:rPr>
                <w:rFonts w:eastAsia="Arial" w:cs="Arial"/>
                <w:b/>
                <w:bCs/>
                <w:sz w:val="22"/>
                <w:szCs w:val="22"/>
              </w:rPr>
              <w:t>8</w:t>
            </w:r>
            <w:r w:rsidR="00A27F1B" w:rsidRPr="005B0B73">
              <w:rPr>
                <w:rStyle w:val="FootnoteReference"/>
                <w:rFonts w:eastAsia="Arial" w:cs="Arial"/>
                <w:b/>
                <w:bCs/>
                <w:sz w:val="22"/>
                <w:szCs w:val="22"/>
              </w:rPr>
              <w:footnoteReference w:id="5"/>
            </w:r>
            <w:r w:rsidR="28954F66" w:rsidRPr="005B0B73">
              <w:rPr>
                <w:rFonts w:eastAsia="Arial" w:cs="Arial"/>
                <w:sz w:val="22"/>
                <w:szCs w:val="22"/>
              </w:rPr>
              <w:t>: Progress exceeded</w:t>
            </w:r>
            <w:r w:rsidR="00414452" w:rsidRPr="005B0B73">
              <w:rPr>
                <w:rFonts w:eastAsia="Arial" w:cs="Arial"/>
                <w:sz w:val="22"/>
                <w:szCs w:val="22"/>
              </w:rPr>
              <w:t xml:space="preserve"> expectation</w:t>
            </w:r>
            <w:r w:rsidR="321D8C8F" w:rsidRPr="005B0B73">
              <w:rPr>
                <w:rFonts w:eastAsia="Arial" w:cs="Arial"/>
                <w:sz w:val="22"/>
                <w:szCs w:val="22"/>
              </w:rPr>
              <w:t xml:space="preserve"> </w:t>
            </w:r>
          </w:p>
        </w:tc>
      </w:tr>
      <w:tr w:rsidR="00B66924" w:rsidRPr="005B0B73" w14:paraId="21D32CC1" w14:textId="77777777" w:rsidTr="0058047E">
        <w:trPr>
          <w:trHeight w:val="700"/>
        </w:trPr>
        <w:tc>
          <w:tcPr>
            <w:tcW w:w="3681" w:type="dxa"/>
            <w:tcBorders>
              <w:top w:val="single" w:sz="4" w:space="0" w:color="auto"/>
              <w:left w:val="single" w:sz="4" w:space="0" w:color="auto"/>
              <w:bottom w:val="nil"/>
              <w:right w:val="single" w:sz="4" w:space="0" w:color="auto"/>
            </w:tcBorders>
          </w:tcPr>
          <w:p w14:paraId="7F69BE18" w14:textId="77777777" w:rsidR="003756BA" w:rsidRPr="005B0B73" w:rsidRDefault="00B66924" w:rsidP="1FFC5AE9">
            <w:pPr>
              <w:textAlignment w:val="baseline"/>
              <w:rPr>
                <w:rStyle w:val="normaltextrun"/>
                <w:rFonts w:eastAsia="Arial" w:cs="Arial"/>
                <w:color w:val="000000"/>
                <w:sz w:val="22"/>
                <w:szCs w:val="22"/>
                <w:shd w:val="clear" w:color="auto" w:fill="FFFFFF"/>
              </w:rPr>
            </w:pPr>
            <w:proofErr w:type="gramStart"/>
            <w:r w:rsidRPr="005B0B73">
              <w:rPr>
                <w:rStyle w:val="normaltextrun"/>
                <w:rFonts w:eastAsia="Arial" w:cs="Arial"/>
                <w:color w:val="000000"/>
                <w:sz w:val="22"/>
                <w:szCs w:val="22"/>
                <w:shd w:val="clear" w:color="auto" w:fill="FFFFFF"/>
              </w:rPr>
              <w:t>1.</w:t>
            </w:r>
            <w:r w:rsidR="640A3FBB" w:rsidRPr="005B0B73">
              <w:rPr>
                <w:rStyle w:val="normaltextrun"/>
                <w:rFonts w:eastAsia="Arial" w:cs="Arial"/>
                <w:color w:val="000000"/>
                <w:sz w:val="22"/>
                <w:szCs w:val="22"/>
                <w:shd w:val="clear" w:color="auto" w:fill="FFFFFF"/>
              </w:rPr>
              <w:t>2</w:t>
            </w:r>
            <w:r w:rsidR="003756BA" w:rsidRPr="005B0B73">
              <w:rPr>
                <w:rStyle w:val="normaltextrun"/>
                <w:rFonts w:eastAsia="Arial" w:cs="Arial"/>
                <w:color w:val="000000"/>
                <w:sz w:val="22"/>
                <w:szCs w:val="22"/>
                <w:shd w:val="clear" w:color="auto" w:fill="FFFFFF"/>
              </w:rPr>
              <w:t xml:space="preserve">  Number</w:t>
            </w:r>
            <w:proofErr w:type="gramEnd"/>
            <w:r w:rsidR="003756BA" w:rsidRPr="005B0B73">
              <w:rPr>
                <w:rStyle w:val="normaltextrun"/>
                <w:rFonts w:eastAsia="Arial" w:cs="Arial"/>
                <w:color w:val="000000"/>
                <w:sz w:val="22"/>
                <w:szCs w:val="22"/>
                <w:shd w:val="clear" w:color="auto" w:fill="FFFFFF"/>
              </w:rPr>
              <w:t xml:space="preserve"> of</w:t>
            </w:r>
          </w:p>
          <w:p w14:paraId="3543CF7A" w14:textId="5A55D4B4" w:rsidR="00B66924" w:rsidRPr="005B0B73" w:rsidRDefault="003756BA" w:rsidP="1FFC5AE9">
            <w:pPr>
              <w:textAlignment w:val="baseline"/>
              <w:rPr>
                <w:rFonts w:eastAsia="Arial" w:cs="Arial"/>
                <w:color w:val="000000"/>
                <w:sz w:val="22"/>
                <w:szCs w:val="22"/>
                <w:shd w:val="clear" w:color="auto" w:fill="FFFFFF"/>
              </w:rPr>
            </w:pPr>
            <w:r w:rsidRPr="005B0B73">
              <w:rPr>
                <w:rStyle w:val="normaltextrun"/>
                <w:rFonts w:eastAsia="Arial" w:cs="Arial"/>
                <w:color w:val="000000"/>
                <w:sz w:val="22"/>
                <w:szCs w:val="22"/>
                <w:shd w:val="clear" w:color="auto" w:fill="FFFFFF"/>
              </w:rPr>
              <w:t>(a)  ERPA terms (cumulative)</w:t>
            </w:r>
            <w:r w:rsidR="00B66924" w:rsidRPr="005B0B73">
              <w:rPr>
                <w:rStyle w:val="normaltextrun"/>
                <w:rFonts w:eastAsia="Arial" w:cs="Arial"/>
                <w:color w:val="000000"/>
                <w:sz w:val="22"/>
                <w:szCs w:val="22"/>
                <w:shd w:val="clear" w:color="auto" w:fill="FFFFFF"/>
              </w:rPr>
              <w:t xml:space="preserve"> that are approved by the Facility Board</w:t>
            </w:r>
            <w:r w:rsidR="00B66924" w:rsidRPr="005B0B73">
              <w:rPr>
                <w:rStyle w:val="eop"/>
                <w:rFonts w:eastAsia="Arial" w:cs="Arial"/>
                <w:color w:val="000000"/>
                <w:sz w:val="22"/>
                <w:szCs w:val="22"/>
                <w:shd w:val="clear" w:color="auto" w:fill="FFFFFF"/>
              </w:rPr>
              <w:t> </w:t>
            </w:r>
          </w:p>
        </w:tc>
        <w:tc>
          <w:tcPr>
            <w:tcW w:w="1843" w:type="dxa"/>
            <w:vMerge w:val="restart"/>
            <w:tcBorders>
              <w:top w:val="single" w:sz="4" w:space="0" w:color="auto"/>
              <w:left w:val="single" w:sz="4" w:space="0" w:color="auto"/>
              <w:right w:val="single" w:sz="4" w:space="0" w:color="auto"/>
            </w:tcBorders>
          </w:tcPr>
          <w:p w14:paraId="25A7DA78" w14:textId="77777777" w:rsidR="00B66924" w:rsidRPr="005B0B73" w:rsidRDefault="00B66924" w:rsidP="1FFC5AE9">
            <w:pPr>
              <w:pStyle w:val="ListParagraph"/>
              <w:ind w:left="0"/>
              <w:rPr>
                <w:rFonts w:eastAsia="Arial" w:cs="Arial"/>
                <w:sz w:val="22"/>
                <w:szCs w:val="22"/>
              </w:rPr>
            </w:pPr>
            <w:r w:rsidRPr="005B0B73">
              <w:rPr>
                <w:rFonts w:eastAsia="Arial" w:cs="Arial"/>
                <w:sz w:val="22"/>
                <w:szCs w:val="22"/>
              </w:rPr>
              <w:t>a) 2</w:t>
            </w:r>
          </w:p>
          <w:p w14:paraId="057B5144" w14:textId="508DED8A" w:rsidR="00B66924" w:rsidRPr="005B0B73" w:rsidRDefault="00B66924" w:rsidP="1FFC5AE9">
            <w:pPr>
              <w:pStyle w:val="ListParagraph"/>
              <w:ind w:left="0"/>
              <w:rPr>
                <w:rFonts w:eastAsia="Arial" w:cs="Arial"/>
                <w:sz w:val="22"/>
                <w:szCs w:val="22"/>
              </w:rPr>
            </w:pPr>
            <w:r w:rsidRPr="005B0B73">
              <w:rPr>
                <w:rFonts w:eastAsia="Arial" w:cs="Arial"/>
                <w:sz w:val="22"/>
                <w:szCs w:val="22"/>
              </w:rPr>
              <w:t>b) 2</w:t>
            </w:r>
          </w:p>
        </w:tc>
        <w:tc>
          <w:tcPr>
            <w:tcW w:w="3588" w:type="dxa"/>
            <w:vMerge w:val="restart"/>
            <w:tcBorders>
              <w:top w:val="single" w:sz="4" w:space="0" w:color="auto"/>
              <w:left w:val="single" w:sz="4" w:space="0" w:color="auto"/>
              <w:right w:val="single" w:sz="4" w:space="0" w:color="auto"/>
            </w:tcBorders>
          </w:tcPr>
          <w:p w14:paraId="6A952A78" w14:textId="0F9C66D5" w:rsidR="00B66924" w:rsidRPr="005B0B73" w:rsidRDefault="47DD2563" w:rsidP="00B66924">
            <w:pPr>
              <w:rPr>
                <w:rFonts w:eastAsia="Arial" w:cs="Arial"/>
                <w:sz w:val="22"/>
                <w:szCs w:val="22"/>
              </w:rPr>
            </w:pPr>
            <w:r w:rsidRPr="005B0B73">
              <w:rPr>
                <w:rFonts w:eastAsia="Arial" w:cs="Arial"/>
                <w:sz w:val="22"/>
                <w:szCs w:val="22"/>
              </w:rPr>
              <w:t xml:space="preserve">a) </w:t>
            </w:r>
            <w:r w:rsidR="6035A9C3" w:rsidRPr="005B0B73">
              <w:rPr>
                <w:rFonts w:eastAsia="Arial" w:cs="Arial"/>
                <w:b/>
                <w:bCs/>
                <w:sz w:val="22"/>
                <w:szCs w:val="22"/>
              </w:rPr>
              <w:t>1</w:t>
            </w:r>
            <w:r w:rsidR="3031275C" w:rsidRPr="005B0B73">
              <w:rPr>
                <w:rFonts w:eastAsia="Arial" w:cs="Arial"/>
                <w:sz w:val="22"/>
                <w:szCs w:val="22"/>
              </w:rPr>
              <w:t xml:space="preserve">: </w:t>
            </w:r>
            <w:r w:rsidR="527CFBEE" w:rsidRPr="005B0B73">
              <w:rPr>
                <w:rFonts w:eastAsia="Arial" w:cs="Arial"/>
                <w:sz w:val="22"/>
                <w:szCs w:val="22"/>
              </w:rPr>
              <w:t xml:space="preserve">Progress </w:t>
            </w:r>
            <w:r w:rsidR="2F1A450C" w:rsidRPr="005B0B73">
              <w:rPr>
                <w:rFonts w:eastAsia="Arial" w:cs="Arial"/>
                <w:sz w:val="22"/>
                <w:szCs w:val="22"/>
              </w:rPr>
              <w:t xml:space="preserve">slightly </w:t>
            </w:r>
            <w:r w:rsidR="45274768" w:rsidRPr="005B0B73">
              <w:rPr>
                <w:rFonts w:eastAsia="Arial" w:cs="Arial"/>
                <w:sz w:val="22"/>
                <w:szCs w:val="22"/>
              </w:rPr>
              <w:t>missed</w:t>
            </w:r>
            <w:r w:rsidR="46103E8C" w:rsidRPr="005B0B73">
              <w:rPr>
                <w:rFonts w:eastAsia="Arial" w:cs="Arial"/>
                <w:sz w:val="22"/>
                <w:szCs w:val="22"/>
              </w:rPr>
              <w:t xml:space="preserve"> </w:t>
            </w:r>
          </w:p>
          <w:p w14:paraId="66E95E4A" w14:textId="10AE85DD" w:rsidR="009840D7" w:rsidRPr="005B0B73" w:rsidRDefault="37B387D8" w:rsidP="4138787B">
            <w:pPr>
              <w:rPr>
                <w:rFonts w:eastAsia="Arial" w:cs="Arial"/>
                <w:sz w:val="22"/>
                <w:szCs w:val="22"/>
              </w:rPr>
            </w:pPr>
            <w:r w:rsidRPr="005B0B73">
              <w:rPr>
                <w:rFonts w:eastAsia="Arial" w:cs="Arial"/>
                <w:sz w:val="22"/>
                <w:szCs w:val="22"/>
              </w:rPr>
              <w:t xml:space="preserve">b) </w:t>
            </w:r>
            <w:r w:rsidR="6ED6BAB3" w:rsidRPr="005B0B73">
              <w:rPr>
                <w:rFonts w:eastAsia="Arial" w:cs="Arial"/>
                <w:b/>
                <w:bCs/>
                <w:sz w:val="22"/>
                <w:szCs w:val="22"/>
              </w:rPr>
              <w:t>5</w:t>
            </w:r>
            <w:r w:rsidR="6ED6BAB3" w:rsidRPr="005B0B73">
              <w:rPr>
                <w:rFonts w:eastAsia="Arial" w:cs="Arial"/>
                <w:sz w:val="22"/>
                <w:szCs w:val="22"/>
              </w:rPr>
              <w:t xml:space="preserve">: Progress </w:t>
            </w:r>
            <w:r w:rsidR="6EB803AD" w:rsidRPr="005B0B73">
              <w:rPr>
                <w:rFonts w:eastAsia="Arial" w:cs="Arial"/>
                <w:sz w:val="22"/>
                <w:szCs w:val="22"/>
              </w:rPr>
              <w:t>exceeded</w:t>
            </w:r>
            <w:r w:rsidR="00A27F1B" w:rsidRPr="005B0B73">
              <w:rPr>
                <w:rFonts w:eastAsia="Arial" w:cs="Arial"/>
                <w:sz w:val="22"/>
                <w:szCs w:val="22"/>
              </w:rPr>
              <w:t xml:space="preserve"> expectation</w:t>
            </w:r>
            <w:r w:rsidR="3FE1DD21" w:rsidRPr="005B0B73">
              <w:rPr>
                <w:rFonts w:eastAsia="Arial" w:cs="Arial"/>
                <w:sz w:val="22"/>
                <w:szCs w:val="22"/>
              </w:rPr>
              <w:t xml:space="preserve"> </w:t>
            </w:r>
            <w:r w:rsidR="009840D7" w:rsidRPr="005B0B73">
              <w:rPr>
                <w:rFonts w:cs="Arial"/>
                <w:sz w:val="22"/>
                <w:szCs w:val="22"/>
              </w:rPr>
              <w:br/>
            </w:r>
          </w:p>
        </w:tc>
      </w:tr>
      <w:tr w:rsidR="00B66924" w:rsidRPr="005B0B73" w14:paraId="5425A15E" w14:textId="77777777" w:rsidTr="00736900">
        <w:trPr>
          <w:trHeight w:val="504"/>
        </w:trPr>
        <w:tc>
          <w:tcPr>
            <w:tcW w:w="3681" w:type="dxa"/>
            <w:tcBorders>
              <w:top w:val="nil"/>
              <w:left w:val="single" w:sz="4" w:space="0" w:color="auto"/>
              <w:bottom w:val="single" w:sz="4" w:space="0" w:color="auto"/>
              <w:right w:val="single" w:sz="4" w:space="0" w:color="auto"/>
            </w:tcBorders>
          </w:tcPr>
          <w:p w14:paraId="3D68A2DC" w14:textId="4DCDA05A" w:rsidR="000F559C" w:rsidRPr="005B0B73" w:rsidRDefault="0073601E" w:rsidP="00736900">
            <w:pPr>
              <w:pStyle w:val="ListParagraph"/>
              <w:numPr>
                <w:ilvl w:val="0"/>
                <w:numId w:val="27"/>
              </w:numPr>
              <w:textAlignment w:val="baseline"/>
              <w:rPr>
                <w:rStyle w:val="normaltextrun"/>
                <w:rFonts w:eastAsia="Arial" w:cs="Arial"/>
                <w:color w:val="000000"/>
                <w:sz w:val="22"/>
                <w:szCs w:val="22"/>
                <w:shd w:val="clear" w:color="auto" w:fill="FFFFFF"/>
              </w:rPr>
            </w:pPr>
            <w:r w:rsidRPr="005B0B73">
              <w:rPr>
                <w:rStyle w:val="normaltextrun"/>
                <w:rFonts w:eastAsia="Arial" w:cs="Arial"/>
                <w:color w:val="000000"/>
                <w:sz w:val="22"/>
                <w:szCs w:val="22"/>
                <w:shd w:val="clear" w:color="auto" w:fill="FFFFFF"/>
              </w:rPr>
              <w:t xml:space="preserve">Projects </w:t>
            </w:r>
            <w:r w:rsidR="00B66924" w:rsidRPr="005B0B73">
              <w:rPr>
                <w:rStyle w:val="normaltextrun"/>
                <w:rFonts w:eastAsia="Arial" w:cs="Arial"/>
                <w:color w:val="000000"/>
                <w:sz w:val="22"/>
                <w:szCs w:val="22"/>
                <w:shd w:val="clear" w:color="auto" w:fill="FFFFFF"/>
              </w:rPr>
              <w:t>approved by host country</w:t>
            </w:r>
            <w:r w:rsidR="00B339A0" w:rsidRPr="005B0B73">
              <w:rPr>
                <w:rStyle w:val="FootnoteReference"/>
                <w:rFonts w:eastAsia="Arial" w:cs="Arial"/>
                <w:color w:val="000000"/>
                <w:sz w:val="22"/>
                <w:szCs w:val="22"/>
                <w:shd w:val="clear" w:color="auto" w:fill="FFFFFF"/>
              </w:rPr>
              <w:footnoteReference w:id="6"/>
            </w:r>
          </w:p>
        </w:tc>
        <w:tc>
          <w:tcPr>
            <w:tcW w:w="1843" w:type="dxa"/>
            <w:vMerge/>
          </w:tcPr>
          <w:p w14:paraId="723C94FB" w14:textId="25961309" w:rsidR="00B66924" w:rsidRPr="005B0B73" w:rsidDel="002979D8" w:rsidRDefault="00B66924" w:rsidP="1FFC5AE9">
            <w:pPr>
              <w:pStyle w:val="ListParagraph"/>
              <w:ind w:left="0"/>
              <w:rPr>
                <w:rFonts w:eastAsia="Arial" w:cs="Arial"/>
                <w:sz w:val="22"/>
                <w:szCs w:val="22"/>
              </w:rPr>
            </w:pPr>
          </w:p>
        </w:tc>
        <w:tc>
          <w:tcPr>
            <w:tcW w:w="3588" w:type="dxa"/>
            <w:vMerge/>
          </w:tcPr>
          <w:p w14:paraId="192C50D4" w14:textId="59B8E781" w:rsidR="00B66924" w:rsidRPr="005B0B73" w:rsidRDefault="00B66924" w:rsidP="1FFC5AE9">
            <w:pPr>
              <w:contextualSpacing/>
              <w:rPr>
                <w:rFonts w:eastAsia="Arial" w:cs="Arial"/>
                <w:sz w:val="22"/>
                <w:szCs w:val="22"/>
              </w:rPr>
            </w:pPr>
          </w:p>
        </w:tc>
      </w:tr>
      <w:tr w:rsidR="009840D7" w:rsidRPr="005B0B73" w14:paraId="52C5CFB3" w14:textId="77777777" w:rsidTr="0058047E">
        <w:trPr>
          <w:trHeight w:val="1492"/>
        </w:trPr>
        <w:tc>
          <w:tcPr>
            <w:tcW w:w="3681" w:type="dxa"/>
            <w:tcBorders>
              <w:top w:val="single" w:sz="4" w:space="0" w:color="auto"/>
              <w:left w:val="single" w:sz="4" w:space="0" w:color="auto"/>
              <w:bottom w:val="single" w:sz="4" w:space="0" w:color="auto"/>
              <w:right w:val="single" w:sz="4" w:space="0" w:color="auto"/>
            </w:tcBorders>
          </w:tcPr>
          <w:p w14:paraId="5D101D51" w14:textId="77777777" w:rsidR="0073601E" w:rsidRPr="005B0B73" w:rsidRDefault="00B8272A" w:rsidP="1FFC5AE9">
            <w:pPr>
              <w:textAlignment w:val="baseline"/>
              <w:rPr>
                <w:rStyle w:val="normaltextrun"/>
                <w:rFonts w:eastAsia="Arial" w:cs="Arial"/>
                <w:color w:val="000000"/>
                <w:sz w:val="22"/>
                <w:szCs w:val="22"/>
                <w:shd w:val="clear" w:color="auto" w:fill="FFFFFF"/>
              </w:rPr>
            </w:pPr>
            <w:proofErr w:type="gramStart"/>
            <w:r w:rsidRPr="005B0B73">
              <w:rPr>
                <w:rStyle w:val="normaltextrun"/>
                <w:rFonts w:eastAsia="Arial" w:cs="Arial"/>
                <w:color w:val="000000"/>
                <w:sz w:val="22"/>
                <w:szCs w:val="22"/>
                <w:shd w:val="clear" w:color="auto" w:fill="FFFFFF"/>
              </w:rPr>
              <w:t>1.</w:t>
            </w:r>
            <w:r w:rsidR="5A994C0F" w:rsidRPr="005B0B73">
              <w:rPr>
                <w:rStyle w:val="normaltextrun"/>
                <w:rFonts w:eastAsia="Arial" w:cs="Arial"/>
                <w:color w:val="000000"/>
                <w:sz w:val="22"/>
                <w:szCs w:val="22"/>
                <w:shd w:val="clear" w:color="auto" w:fill="FFFFFF"/>
              </w:rPr>
              <w:t>3</w:t>
            </w:r>
            <w:r w:rsidRPr="005B0B73">
              <w:rPr>
                <w:rStyle w:val="normaltextrun"/>
                <w:rFonts w:eastAsia="Arial" w:cs="Arial"/>
                <w:color w:val="000000"/>
                <w:sz w:val="22"/>
                <w:szCs w:val="22"/>
                <w:shd w:val="clear" w:color="auto" w:fill="FFFFFF"/>
              </w:rPr>
              <w:t xml:space="preserve"> </w:t>
            </w:r>
            <w:r w:rsidR="000F559C" w:rsidRPr="005B0B73">
              <w:rPr>
                <w:rStyle w:val="normaltextrun"/>
                <w:rFonts w:eastAsia="Arial" w:cs="Arial"/>
                <w:color w:val="000000"/>
                <w:sz w:val="22"/>
                <w:szCs w:val="22"/>
                <w:shd w:val="clear" w:color="auto" w:fill="FFFFFF"/>
              </w:rPr>
              <w:t xml:space="preserve"> Volume</w:t>
            </w:r>
            <w:proofErr w:type="gramEnd"/>
            <w:r w:rsidR="000F559C" w:rsidRPr="005B0B73">
              <w:rPr>
                <w:rStyle w:val="normaltextrun"/>
                <w:rFonts w:eastAsia="Arial" w:cs="Arial"/>
                <w:color w:val="000000"/>
                <w:sz w:val="22"/>
                <w:szCs w:val="22"/>
                <w:shd w:val="clear" w:color="auto" w:fill="FFFFFF"/>
              </w:rPr>
              <w:t xml:space="preserve"> of results-based financing disbursed to TCAF programmes in support of crediting interventions that is</w:t>
            </w:r>
          </w:p>
          <w:p w14:paraId="45553E7B" w14:textId="1DA53D2E" w:rsidR="0073601E" w:rsidRPr="005B0B73" w:rsidRDefault="000F559C" w:rsidP="1FFC5AE9">
            <w:pPr>
              <w:textAlignment w:val="baseline"/>
              <w:rPr>
                <w:rStyle w:val="normaltextrun"/>
                <w:rFonts w:eastAsia="Arial" w:cs="Arial"/>
                <w:color w:val="000000"/>
                <w:sz w:val="22"/>
                <w:szCs w:val="22"/>
                <w:shd w:val="clear" w:color="auto" w:fill="FFFFFF"/>
              </w:rPr>
            </w:pPr>
            <w:r w:rsidRPr="005B0B73">
              <w:rPr>
                <w:rStyle w:val="normaltextrun"/>
                <w:rFonts w:eastAsia="Arial" w:cs="Arial"/>
                <w:color w:val="000000"/>
                <w:sz w:val="22"/>
                <w:szCs w:val="22"/>
                <w:shd w:val="clear" w:color="auto" w:fill="FFFFFF"/>
              </w:rPr>
              <w:t>a) climate finance (million $)</w:t>
            </w:r>
          </w:p>
          <w:p w14:paraId="42AC7082" w14:textId="3D26623A" w:rsidR="000F559C" w:rsidRPr="005B0B73" w:rsidRDefault="000F559C" w:rsidP="1FFC5AE9">
            <w:pPr>
              <w:textAlignment w:val="baseline"/>
              <w:rPr>
                <w:rFonts w:eastAsia="Arial" w:cs="Arial"/>
                <w:color w:val="000000"/>
                <w:sz w:val="22"/>
                <w:szCs w:val="22"/>
                <w:shd w:val="clear" w:color="auto" w:fill="FFFFFF"/>
              </w:rPr>
            </w:pPr>
            <w:r w:rsidRPr="005B0B73">
              <w:rPr>
                <w:rStyle w:val="normaltextrun"/>
                <w:rFonts w:eastAsia="Arial" w:cs="Arial"/>
                <w:color w:val="000000"/>
                <w:sz w:val="22"/>
                <w:szCs w:val="22"/>
                <w:shd w:val="clear" w:color="auto" w:fill="FFFFFF"/>
              </w:rPr>
              <w:t>b) carbon finance (million $)</w:t>
            </w:r>
          </w:p>
        </w:tc>
        <w:tc>
          <w:tcPr>
            <w:tcW w:w="1843" w:type="dxa"/>
            <w:tcBorders>
              <w:top w:val="single" w:sz="4" w:space="0" w:color="auto"/>
              <w:left w:val="single" w:sz="4" w:space="0" w:color="auto"/>
              <w:bottom w:val="single" w:sz="4" w:space="0" w:color="auto"/>
              <w:right w:val="single" w:sz="4" w:space="0" w:color="auto"/>
            </w:tcBorders>
          </w:tcPr>
          <w:p w14:paraId="6C651180" w14:textId="0914AC3D" w:rsidR="00B8272A" w:rsidRPr="005B0B73" w:rsidRDefault="00B8272A" w:rsidP="1FFC5AE9">
            <w:pPr>
              <w:pStyle w:val="ListParagraph"/>
              <w:ind w:left="0"/>
              <w:rPr>
                <w:rFonts w:eastAsia="Arial" w:cs="Arial"/>
                <w:sz w:val="22"/>
                <w:szCs w:val="22"/>
              </w:rPr>
            </w:pPr>
            <w:r w:rsidRPr="005B0B73">
              <w:rPr>
                <w:rFonts w:eastAsia="Arial" w:cs="Arial"/>
                <w:sz w:val="22"/>
                <w:szCs w:val="22"/>
              </w:rPr>
              <w:t>a)</w:t>
            </w:r>
            <w:r w:rsidR="009840D7" w:rsidRPr="005B0B73">
              <w:rPr>
                <w:rFonts w:eastAsia="Arial" w:cs="Arial"/>
                <w:sz w:val="22"/>
                <w:szCs w:val="22"/>
              </w:rPr>
              <w:t>16.1</w:t>
            </w:r>
          </w:p>
          <w:p w14:paraId="7C5D5960" w14:textId="7639B791" w:rsidR="00B8272A" w:rsidRPr="005B0B73" w:rsidRDefault="00B8272A" w:rsidP="1FFC5AE9">
            <w:pPr>
              <w:pStyle w:val="ListParagraph"/>
              <w:ind w:left="0"/>
              <w:rPr>
                <w:rFonts w:eastAsia="Arial" w:cs="Arial"/>
                <w:sz w:val="22"/>
                <w:szCs w:val="22"/>
              </w:rPr>
            </w:pPr>
            <w:r w:rsidRPr="005B0B73">
              <w:rPr>
                <w:rFonts w:eastAsia="Arial" w:cs="Arial"/>
                <w:sz w:val="22"/>
                <w:szCs w:val="22"/>
              </w:rPr>
              <w:t xml:space="preserve">b) </w:t>
            </w:r>
            <w:r w:rsidR="009840D7" w:rsidRPr="005B0B73">
              <w:rPr>
                <w:rFonts w:eastAsia="Arial" w:cs="Arial"/>
                <w:sz w:val="22"/>
                <w:szCs w:val="22"/>
              </w:rPr>
              <w:t>8.6</w:t>
            </w:r>
          </w:p>
        </w:tc>
        <w:tc>
          <w:tcPr>
            <w:tcW w:w="3588" w:type="dxa"/>
            <w:tcBorders>
              <w:top w:val="single" w:sz="4" w:space="0" w:color="auto"/>
              <w:left w:val="single" w:sz="4" w:space="0" w:color="auto"/>
              <w:bottom w:val="single" w:sz="4" w:space="0" w:color="auto"/>
              <w:right w:val="single" w:sz="4" w:space="0" w:color="auto"/>
            </w:tcBorders>
          </w:tcPr>
          <w:p w14:paraId="243ABE13" w14:textId="6C8A4595" w:rsidR="00B8272A" w:rsidRPr="005B0B73" w:rsidRDefault="590E6413" w:rsidP="04ABFC0E">
            <w:pPr>
              <w:contextualSpacing/>
              <w:rPr>
                <w:rFonts w:eastAsia="Arial" w:cs="Arial"/>
                <w:sz w:val="22"/>
                <w:szCs w:val="22"/>
              </w:rPr>
            </w:pPr>
            <w:r w:rsidRPr="005B0B73">
              <w:rPr>
                <w:rFonts w:eastAsia="Arial" w:cs="Arial"/>
                <w:sz w:val="22"/>
                <w:szCs w:val="22"/>
              </w:rPr>
              <w:t>a)</w:t>
            </w:r>
            <w:r w:rsidR="1752DEA1" w:rsidRPr="005B0B73">
              <w:rPr>
                <w:rFonts w:eastAsia="Arial" w:cs="Arial"/>
                <w:sz w:val="22"/>
                <w:szCs w:val="22"/>
              </w:rPr>
              <w:t xml:space="preserve"> </w:t>
            </w:r>
            <w:r w:rsidR="1752DEA1" w:rsidRPr="005B0B73">
              <w:rPr>
                <w:rFonts w:eastAsia="Arial" w:cs="Arial"/>
                <w:b/>
                <w:bCs/>
                <w:sz w:val="22"/>
                <w:szCs w:val="22"/>
              </w:rPr>
              <w:t>15</w:t>
            </w:r>
            <w:r w:rsidR="590729DC" w:rsidRPr="005B0B73">
              <w:rPr>
                <w:rFonts w:eastAsia="Arial" w:cs="Arial"/>
                <w:sz w:val="22"/>
                <w:szCs w:val="22"/>
              </w:rPr>
              <w:t>: Progress slightly missed</w:t>
            </w:r>
            <w:r w:rsidR="3317102A" w:rsidRPr="005B0B73">
              <w:rPr>
                <w:rFonts w:eastAsia="Arial" w:cs="Arial"/>
                <w:sz w:val="22"/>
                <w:szCs w:val="22"/>
              </w:rPr>
              <w:t xml:space="preserve"> </w:t>
            </w:r>
            <w:r w:rsidRPr="005B0B73">
              <w:rPr>
                <w:rFonts w:cs="Arial"/>
                <w:sz w:val="22"/>
                <w:szCs w:val="22"/>
              </w:rPr>
              <w:br/>
            </w:r>
            <w:r w:rsidR="590729DC" w:rsidRPr="005B0B73">
              <w:rPr>
                <w:rFonts w:eastAsia="Arial" w:cs="Arial"/>
                <w:sz w:val="22"/>
                <w:szCs w:val="22"/>
              </w:rPr>
              <w:t xml:space="preserve">The third and final ERPA payment for </w:t>
            </w:r>
            <w:proofErr w:type="spellStart"/>
            <w:r w:rsidR="590729DC" w:rsidRPr="005B0B73">
              <w:rPr>
                <w:rFonts w:eastAsia="Arial" w:cs="Arial"/>
                <w:sz w:val="22"/>
                <w:szCs w:val="22"/>
              </w:rPr>
              <w:t>iCRAFT</w:t>
            </w:r>
            <w:proofErr w:type="spellEnd"/>
            <w:r w:rsidR="590729DC" w:rsidRPr="005B0B73">
              <w:rPr>
                <w:rFonts w:eastAsia="Arial" w:cs="Arial"/>
                <w:sz w:val="22"/>
                <w:szCs w:val="22"/>
              </w:rPr>
              <w:t xml:space="preserve"> will take place just outside the review period.</w:t>
            </w:r>
          </w:p>
          <w:p w14:paraId="7C9A9EAA" w14:textId="34F38CB0" w:rsidR="009840D7" w:rsidRPr="005B0B73" w:rsidRDefault="590E6413" w:rsidP="1FFC5AE9">
            <w:pPr>
              <w:contextualSpacing/>
              <w:rPr>
                <w:rFonts w:eastAsia="Arial" w:cs="Arial"/>
                <w:sz w:val="22"/>
                <w:szCs w:val="22"/>
              </w:rPr>
            </w:pPr>
            <w:r w:rsidRPr="005B0B73">
              <w:rPr>
                <w:rFonts w:eastAsia="Arial" w:cs="Arial"/>
                <w:sz w:val="22"/>
                <w:szCs w:val="22"/>
              </w:rPr>
              <w:t xml:space="preserve">b) </w:t>
            </w:r>
            <w:r w:rsidR="590729DC" w:rsidRPr="005B0B73">
              <w:rPr>
                <w:rFonts w:eastAsia="Arial" w:cs="Arial"/>
                <w:b/>
                <w:bCs/>
                <w:sz w:val="22"/>
                <w:szCs w:val="22"/>
              </w:rPr>
              <w:t>0</w:t>
            </w:r>
            <w:r w:rsidR="590729DC" w:rsidRPr="005B0B73">
              <w:rPr>
                <w:rFonts w:eastAsia="Arial" w:cs="Arial"/>
                <w:sz w:val="22"/>
                <w:szCs w:val="22"/>
              </w:rPr>
              <w:t>: Progress not met</w:t>
            </w:r>
          </w:p>
        </w:tc>
      </w:tr>
    </w:tbl>
    <w:p w14:paraId="3A4D1582" w14:textId="78B30266" w:rsidR="00D17247" w:rsidRPr="005B0B73" w:rsidRDefault="00D17247" w:rsidP="383EF129">
      <w:pPr>
        <w:jc w:val="both"/>
        <w:rPr>
          <w:rFonts w:eastAsia="Arial" w:cs="Arial"/>
          <w:b/>
          <w:bCs/>
          <w:sz w:val="22"/>
          <w:szCs w:val="22"/>
        </w:rPr>
      </w:pPr>
    </w:p>
    <w:p w14:paraId="65E82C92" w14:textId="4231724B" w:rsidR="6008620C" w:rsidRPr="005B0B73" w:rsidRDefault="00C02966" w:rsidP="4A07FEDC">
      <w:pPr>
        <w:jc w:val="both"/>
        <w:rPr>
          <w:rFonts w:eastAsia="Arial" w:cs="Arial"/>
          <w:b/>
          <w:sz w:val="22"/>
          <w:szCs w:val="22"/>
        </w:rPr>
      </w:pPr>
      <w:r w:rsidRPr="005B0B73">
        <w:rPr>
          <w:rFonts w:eastAsia="Arial" w:cs="Arial"/>
          <w:b/>
          <w:bCs/>
          <w:sz w:val="22"/>
          <w:szCs w:val="22"/>
        </w:rPr>
        <w:t>O</w:t>
      </w:r>
      <w:r w:rsidR="003D222C" w:rsidRPr="005B0B73">
        <w:rPr>
          <w:rFonts w:eastAsia="Arial" w:cs="Arial"/>
          <w:b/>
          <w:bCs/>
          <w:sz w:val="22"/>
          <w:szCs w:val="22"/>
        </w:rPr>
        <w:t>utput</w:t>
      </w:r>
      <w:r w:rsidRPr="005B0B73">
        <w:rPr>
          <w:rFonts w:eastAsia="Arial" w:cs="Arial"/>
          <w:b/>
          <w:bCs/>
          <w:sz w:val="22"/>
          <w:szCs w:val="22"/>
        </w:rPr>
        <w:t xml:space="preserve"> summary</w:t>
      </w:r>
      <w:r w:rsidR="003D222C" w:rsidRPr="005B0B73">
        <w:rPr>
          <w:rFonts w:eastAsia="Arial" w:cs="Arial"/>
          <w:b/>
          <w:bCs/>
          <w:sz w:val="22"/>
          <w:szCs w:val="22"/>
        </w:rPr>
        <w:t xml:space="preserve"> and supporting narrative for the score</w:t>
      </w:r>
      <w:r w:rsidR="003D222C" w:rsidRPr="005B0B73">
        <w:rPr>
          <w:rFonts w:eastAsia="Arial" w:cs="Arial"/>
          <w:b/>
          <w:sz w:val="22"/>
          <w:szCs w:val="22"/>
        </w:rPr>
        <w:t xml:space="preserve"> </w:t>
      </w:r>
    </w:p>
    <w:p w14:paraId="412D377E" w14:textId="697BB8CC" w:rsidR="00DD78B9" w:rsidRPr="005B0B73" w:rsidRDefault="00DD78B9" w:rsidP="00AB3813">
      <w:pPr>
        <w:spacing w:before="240" w:after="240" w:line="300" w:lineRule="auto"/>
        <w:jc w:val="both"/>
        <w:rPr>
          <w:rFonts w:eastAsia="Arial" w:cs="Arial"/>
          <w:sz w:val="22"/>
          <w:szCs w:val="22"/>
        </w:rPr>
      </w:pPr>
      <w:r w:rsidRPr="005B0B73">
        <w:rPr>
          <w:rFonts w:eastAsia="Arial" w:cs="Arial"/>
          <w:sz w:val="22"/>
          <w:szCs w:val="22"/>
        </w:rPr>
        <w:t xml:space="preserve">Regarding indicator 1.1 the review period saw progress in advancing TCAF’s upstream pipeline and programme approvals, with the programme exceeding targets for </w:t>
      </w:r>
      <w:proofErr w:type="gramStart"/>
      <w:r w:rsidRPr="005B0B73">
        <w:rPr>
          <w:rFonts w:eastAsia="Arial" w:cs="Arial"/>
          <w:sz w:val="22"/>
          <w:szCs w:val="22"/>
        </w:rPr>
        <w:t>a number of</w:t>
      </w:r>
      <w:proofErr w:type="gramEnd"/>
      <w:r w:rsidRPr="005B0B73">
        <w:rPr>
          <w:rFonts w:eastAsia="Arial" w:cs="Arial"/>
          <w:sz w:val="22"/>
          <w:szCs w:val="22"/>
        </w:rPr>
        <w:t xml:space="preserve"> programmes at both Pre-PIN and PIN stage. This reflects momentum in expanding the portfolio across multiple jurisdictions with the addition of new PINs. The addition of new PINs, including Kyrgyz Republic and Ecuador, demonstrates sustained demand and continued engagement with partner countries.</w:t>
      </w:r>
      <w:r w:rsidR="2D748DEF" w:rsidRPr="1C2A4546">
        <w:rPr>
          <w:rFonts w:eastAsia="Arial" w:cs="Arial"/>
          <w:sz w:val="22"/>
          <w:szCs w:val="22"/>
        </w:rPr>
        <w:t xml:space="preserve"> The Trustee should demonstrate how it will grow the </w:t>
      </w:r>
      <w:r w:rsidR="005D6A1C" w:rsidRPr="1C2A4546">
        <w:rPr>
          <w:rFonts w:eastAsia="Arial" w:cs="Arial"/>
          <w:sz w:val="22"/>
          <w:szCs w:val="22"/>
        </w:rPr>
        <w:t>pipeline</w:t>
      </w:r>
      <w:r w:rsidR="2D748DEF" w:rsidRPr="1C2A4546">
        <w:rPr>
          <w:rFonts w:eastAsia="Arial" w:cs="Arial"/>
          <w:sz w:val="22"/>
          <w:szCs w:val="22"/>
        </w:rPr>
        <w:t xml:space="preserve"> beyond its current level, including actions to att</w:t>
      </w:r>
      <w:r w:rsidR="6D9DE58A" w:rsidRPr="1C2A4546">
        <w:rPr>
          <w:rFonts w:eastAsia="Arial" w:cs="Arial"/>
          <w:sz w:val="22"/>
          <w:szCs w:val="22"/>
        </w:rPr>
        <w:t>ract and support new programmes.</w:t>
      </w:r>
    </w:p>
    <w:p w14:paraId="01B413A1" w14:textId="505D1030" w:rsidR="009840D7" w:rsidRPr="005B0B73" w:rsidRDefault="00DD78B9" w:rsidP="00AB3813">
      <w:pPr>
        <w:spacing w:before="240" w:after="240" w:line="300" w:lineRule="auto"/>
        <w:jc w:val="both"/>
        <w:rPr>
          <w:rFonts w:eastAsia="Arial" w:cs="Arial"/>
          <w:sz w:val="22"/>
          <w:szCs w:val="22"/>
        </w:rPr>
      </w:pPr>
      <w:r w:rsidRPr="005B0B73">
        <w:rPr>
          <w:rFonts w:eastAsia="Arial" w:cs="Arial"/>
          <w:sz w:val="22"/>
          <w:szCs w:val="22"/>
        </w:rPr>
        <w:t>Regarding indicator 1.2 p</w:t>
      </w:r>
      <w:r w:rsidR="52F73E0C" w:rsidRPr="005B0B73">
        <w:rPr>
          <w:rFonts w:eastAsia="Arial" w:cs="Arial"/>
          <w:sz w:val="22"/>
          <w:szCs w:val="22"/>
        </w:rPr>
        <w:t xml:space="preserve">rogress was mixed. While the target for ERPA terms approved by the Facility Board was met, further analytical work </w:t>
      </w:r>
      <w:r w:rsidR="00936FF9" w:rsidRPr="005B0B73">
        <w:rPr>
          <w:rFonts w:eastAsia="Arial" w:cs="Arial"/>
          <w:sz w:val="22"/>
          <w:szCs w:val="22"/>
        </w:rPr>
        <w:t>following scrutiny of price</w:t>
      </w:r>
      <w:r w:rsidR="0084705A" w:rsidRPr="005B0B73">
        <w:rPr>
          <w:rFonts w:eastAsia="Arial" w:cs="Arial"/>
          <w:sz w:val="22"/>
          <w:szCs w:val="22"/>
        </w:rPr>
        <w:t xml:space="preserve">s presented </w:t>
      </w:r>
      <w:r w:rsidR="52F73E0C" w:rsidRPr="005B0B73">
        <w:rPr>
          <w:rFonts w:eastAsia="Arial" w:cs="Arial"/>
          <w:sz w:val="22"/>
          <w:szCs w:val="22"/>
        </w:rPr>
        <w:t xml:space="preserve">requested by Contributors </w:t>
      </w:r>
      <w:r w:rsidR="00936FF9" w:rsidRPr="005B0B73">
        <w:rPr>
          <w:rFonts w:eastAsia="Arial" w:cs="Arial"/>
          <w:sz w:val="22"/>
          <w:szCs w:val="22"/>
        </w:rPr>
        <w:t>impacted timelines for</w:t>
      </w:r>
      <w:r w:rsidR="52F73E0C" w:rsidRPr="005B0B73">
        <w:rPr>
          <w:rFonts w:eastAsia="Arial" w:cs="Arial"/>
          <w:sz w:val="22"/>
          <w:szCs w:val="22"/>
        </w:rPr>
        <w:t xml:space="preserve"> endorsement of commercial terms, </w:t>
      </w:r>
      <w:r w:rsidR="52F73E0C" w:rsidRPr="005B0B73">
        <w:rPr>
          <w:rFonts w:eastAsia="Arial" w:cs="Arial"/>
          <w:sz w:val="22"/>
          <w:szCs w:val="22"/>
        </w:rPr>
        <w:lastRenderedPageBreak/>
        <w:t>particularly in the case of Pakistan. In contrast, progress on host country approvals exceeded expectations.</w:t>
      </w:r>
    </w:p>
    <w:p w14:paraId="0E4F9B23" w14:textId="27333091" w:rsidR="00DD78B9" w:rsidRPr="005B0B73" w:rsidRDefault="00DD78B9" w:rsidP="68118A25">
      <w:pPr>
        <w:spacing w:before="240" w:after="240" w:line="300" w:lineRule="auto"/>
        <w:jc w:val="both"/>
        <w:rPr>
          <w:rFonts w:eastAsia="Arial" w:cs="Arial"/>
          <w:sz w:val="22"/>
          <w:szCs w:val="22"/>
        </w:rPr>
      </w:pPr>
      <w:r w:rsidRPr="005B0B73">
        <w:rPr>
          <w:rFonts w:eastAsia="Arial" w:cs="Arial"/>
          <w:sz w:val="22"/>
          <w:szCs w:val="22"/>
        </w:rPr>
        <w:t xml:space="preserve">Regarding indicator 1.3, performance </w:t>
      </w:r>
      <w:r w:rsidR="52F73E0C" w:rsidRPr="005B0B73">
        <w:rPr>
          <w:rFonts w:eastAsia="Arial" w:cs="Arial"/>
          <w:sz w:val="22"/>
          <w:szCs w:val="22"/>
        </w:rPr>
        <w:t xml:space="preserve">was below expectations, with climate finance reaching $15m against a target of $16.1m due to timing delays in final payments for the Uzbekistan </w:t>
      </w:r>
      <w:proofErr w:type="spellStart"/>
      <w:r w:rsidR="52F73E0C" w:rsidRPr="005B0B73">
        <w:rPr>
          <w:rFonts w:eastAsia="Arial" w:cs="Arial"/>
          <w:sz w:val="22"/>
          <w:szCs w:val="22"/>
        </w:rPr>
        <w:t>iCRAFT</w:t>
      </w:r>
      <w:proofErr w:type="spellEnd"/>
      <w:r w:rsidR="52F73E0C" w:rsidRPr="005B0B73">
        <w:rPr>
          <w:rFonts w:eastAsia="Arial" w:cs="Arial"/>
          <w:sz w:val="22"/>
          <w:szCs w:val="22"/>
        </w:rPr>
        <w:t xml:space="preserve"> programme. Carbon finance disbursement was not achieved during the review period</w:t>
      </w:r>
      <w:r w:rsidR="0084705A" w:rsidRPr="005B0B73">
        <w:rPr>
          <w:rFonts w:eastAsia="Arial" w:cs="Arial"/>
          <w:sz w:val="22"/>
          <w:szCs w:val="22"/>
        </w:rPr>
        <w:t xml:space="preserve">. </w:t>
      </w:r>
      <w:r w:rsidRPr="005B0B73">
        <w:rPr>
          <w:rFonts w:eastAsia="Arial" w:cs="Arial"/>
          <w:sz w:val="22"/>
          <w:szCs w:val="22"/>
        </w:rPr>
        <w:t xml:space="preserve"> Whilst the technical work regarding the transaction has progressed, this carbon finance payment cannot be reported on and verified yet due to ongoing legislation development. This is expected to be published the end of summer 2026.</w:t>
      </w:r>
    </w:p>
    <w:p w14:paraId="542A7E19" w14:textId="076DE51A" w:rsidR="009840D7" w:rsidRPr="005B0B73" w:rsidRDefault="52F73E0C" w:rsidP="68118A25">
      <w:pPr>
        <w:spacing w:before="240" w:after="240" w:line="300" w:lineRule="auto"/>
        <w:jc w:val="both"/>
        <w:rPr>
          <w:rFonts w:eastAsia="Arial" w:cs="Arial"/>
          <w:sz w:val="22"/>
          <w:szCs w:val="22"/>
        </w:rPr>
      </w:pPr>
      <w:r w:rsidRPr="005B0B73">
        <w:rPr>
          <w:rFonts w:eastAsia="Arial" w:cs="Arial"/>
          <w:sz w:val="22"/>
          <w:szCs w:val="22"/>
        </w:rPr>
        <w:t xml:space="preserve">Overall, performance reflects strong upstream pipeline growth and continued progress toward programme delivery, but with emerging challenges in converting pipeline into fully approved and disbursing projects, particularly where additional </w:t>
      </w:r>
      <w:r w:rsidR="0084705A" w:rsidRPr="005B0B73">
        <w:rPr>
          <w:rFonts w:eastAsia="Arial" w:cs="Arial"/>
          <w:sz w:val="22"/>
          <w:szCs w:val="22"/>
        </w:rPr>
        <w:t xml:space="preserve">but necessary </w:t>
      </w:r>
      <w:r w:rsidRPr="005B0B73">
        <w:rPr>
          <w:rFonts w:eastAsia="Arial" w:cs="Arial"/>
          <w:sz w:val="22"/>
          <w:szCs w:val="22"/>
        </w:rPr>
        <w:t xml:space="preserve">due diligence is required to ensure </w:t>
      </w:r>
      <w:r w:rsidR="00DD78B9" w:rsidRPr="005B0B73">
        <w:rPr>
          <w:rFonts w:eastAsia="Arial" w:cs="Arial"/>
          <w:sz w:val="22"/>
          <w:szCs w:val="22"/>
        </w:rPr>
        <w:t xml:space="preserve">value for money, </w:t>
      </w:r>
      <w:r w:rsidRPr="005B0B73">
        <w:rPr>
          <w:rFonts w:eastAsia="Arial" w:cs="Arial"/>
          <w:sz w:val="22"/>
          <w:szCs w:val="22"/>
        </w:rPr>
        <w:t>robustness and</w:t>
      </w:r>
      <w:r w:rsidR="0084705A" w:rsidRPr="005B0B73">
        <w:rPr>
          <w:rFonts w:eastAsia="Arial" w:cs="Arial"/>
          <w:sz w:val="22"/>
          <w:szCs w:val="22"/>
        </w:rPr>
        <w:t xml:space="preserve"> environmental</w:t>
      </w:r>
      <w:r w:rsidRPr="005B0B73">
        <w:rPr>
          <w:rFonts w:eastAsia="Arial" w:cs="Arial"/>
          <w:sz w:val="22"/>
          <w:szCs w:val="22"/>
        </w:rPr>
        <w:t xml:space="preserve"> integrity of programme design.</w:t>
      </w:r>
    </w:p>
    <w:p w14:paraId="72F29C21" w14:textId="3B780FA9" w:rsidR="107DAAA3" w:rsidRPr="005B0B73" w:rsidRDefault="107DAAA3" w:rsidP="107DAAA3">
      <w:pPr>
        <w:jc w:val="both"/>
        <w:rPr>
          <w:rFonts w:eastAsia="Arial" w:cs="Arial"/>
          <w:b/>
          <w:i/>
          <w:sz w:val="22"/>
          <w:szCs w:val="22"/>
        </w:rPr>
      </w:pPr>
    </w:p>
    <w:p w14:paraId="56C5C129" w14:textId="051700A8" w:rsidR="009840D7" w:rsidRPr="005B0B73" w:rsidRDefault="003D222C" w:rsidP="3FD4C302">
      <w:pPr>
        <w:jc w:val="both"/>
        <w:rPr>
          <w:rFonts w:eastAsia="Arial" w:cs="Arial"/>
          <w:sz w:val="22"/>
          <w:szCs w:val="22"/>
        </w:rPr>
      </w:pPr>
      <w:r w:rsidRPr="005B0B73">
        <w:rPr>
          <w:rFonts w:eastAsia="Arial" w:cs="Arial"/>
          <w:b/>
          <w:bCs/>
          <w:sz w:val="22"/>
          <w:szCs w:val="22"/>
        </w:rPr>
        <w:t>Progress on recommendations from the previous AR</w:t>
      </w:r>
      <w:r w:rsidR="00690170" w:rsidRPr="005B0B73">
        <w:rPr>
          <w:rFonts w:eastAsia="Arial" w:cs="Arial"/>
          <w:b/>
          <w:bCs/>
          <w:sz w:val="22"/>
          <w:szCs w:val="22"/>
        </w:rPr>
        <w:t xml:space="preserve">, </w:t>
      </w:r>
      <w:r w:rsidRPr="005B0B73">
        <w:rPr>
          <w:rFonts w:eastAsia="Arial" w:cs="Arial"/>
          <w:b/>
          <w:bCs/>
          <w:sz w:val="22"/>
          <w:szCs w:val="22"/>
        </w:rPr>
        <w:t xml:space="preserve">lessons learned this year </w:t>
      </w:r>
    </w:p>
    <w:p w14:paraId="45AAF617" w14:textId="77777777" w:rsidR="00B93BA0" w:rsidRPr="005B0B73" w:rsidRDefault="00B93BA0" w:rsidP="00B93BA0">
      <w:pPr>
        <w:spacing w:line="300" w:lineRule="auto"/>
        <w:jc w:val="both"/>
        <w:rPr>
          <w:rFonts w:eastAsia="Arial" w:cs="Arial"/>
          <w:sz w:val="22"/>
          <w:szCs w:val="22"/>
        </w:rPr>
      </w:pPr>
    </w:p>
    <w:p w14:paraId="4DC1E6B2" w14:textId="1250EE69" w:rsidR="00736900" w:rsidRPr="005B0B73" w:rsidRDefault="00B93BA0" w:rsidP="00B93BA0">
      <w:pPr>
        <w:spacing w:line="300" w:lineRule="auto"/>
        <w:jc w:val="both"/>
        <w:rPr>
          <w:rFonts w:eastAsia="Arial" w:cs="Arial"/>
          <w:sz w:val="22"/>
          <w:szCs w:val="22"/>
        </w:rPr>
      </w:pPr>
      <w:r w:rsidRPr="005B0B73">
        <w:rPr>
          <w:rFonts w:eastAsia="Arial" w:cs="Arial"/>
          <w:sz w:val="22"/>
          <w:szCs w:val="22"/>
        </w:rPr>
        <w:t>Progress under Output 1</w:t>
      </w:r>
      <w:r w:rsidR="00736900" w:rsidRPr="005B0B73">
        <w:rPr>
          <w:rFonts w:eastAsia="Arial" w:cs="Arial"/>
          <w:sz w:val="22"/>
          <w:szCs w:val="22"/>
        </w:rPr>
        <w:t xml:space="preserve"> </w:t>
      </w:r>
      <w:r w:rsidRPr="005B0B73">
        <w:rPr>
          <w:rFonts w:eastAsia="Arial" w:cs="Arial"/>
          <w:sz w:val="22"/>
          <w:szCs w:val="22"/>
        </w:rPr>
        <w:t>has been mixed with good progress on pre-PIN and PIN development, but some delays to commercial term signing</w:t>
      </w:r>
      <w:r w:rsidR="00736900" w:rsidRPr="005B0B73">
        <w:rPr>
          <w:rFonts w:eastAsia="Arial" w:cs="Arial"/>
          <w:sz w:val="22"/>
          <w:szCs w:val="22"/>
        </w:rPr>
        <w:t xml:space="preserve"> and carbon finance reporting delays</w:t>
      </w:r>
      <w:r w:rsidRPr="005B0B73">
        <w:rPr>
          <w:rFonts w:eastAsia="Arial" w:cs="Arial"/>
          <w:sz w:val="22"/>
          <w:szCs w:val="22"/>
        </w:rPr>
        <w:t xml:space="preserve">. </w:t>
      </w:r>
      <w:r w:rsidR="005B0B73">
        <w:rPr>
          <w:rFonts w:eastAsia="Arial" w:cs="Arial"/>
          <w:sz w:val="22"/>
          <w:szCs w:val="22"/>
        </w:rPr>
        <w:t xml:space="preserve"> </w:t>
      </w:r>
      <w:r w:rsidRPr="005B0B73">
        <w:rPr>
          <w:rFonts w:eastAsia="Arial" w:cs="Arial"/>
          <w:sz w:val="22"/>
          <w:szCs w:val="22"/>
        </w:rPr>
        <w:t>Whilst commercial terms were presented for both Pakistan and Kyrgyz Republic agreement was not reached this reporting period due to price negotiations</w:t>
      </w:r>
      <w:r w:rsidR="00736900" w:rsidRPr="005B0B73">
        <w:rPr>
          <w:rFonts w:eastAsia="Arial" w:cs="Arial"/>
          <w:sz w:val="22"/>
          <w:szCs w:val="22"/>
        </w:rPr>
        <w:t>.</w:t>
      </w:r>
      <w:r w:rsidRPr="005B0B73">
        <w:rPr>
          <w:rFonts w:eastAsia="Arial" w:cs="Arial"/>
          <w:sz w:val="22"/>
          <w:szCs w:val="22"/>
        </w:rPr>
        <w:t xml:space="preserve"> The past reporting year has demonstrated a clear progression from strengthening upstream processes towards a more delivery-oriented assessment of performance. The Trustee has prioritised improving the technical robustness and credibility of the pipeline, applying lessons learnt from the program, including enhanced approaches to Article 6 readiness and additionality assessment.</w:t>
      </w:r>
      <w:r w:rsidR="00736900" w:rsidRPr="005B0B73">
        <w:rPr>
          <w:rFonts w:eastAsia="Arial" w:cs="Arial"/>
          <w:sz w:val="22"/>
          <w:szCs w:val="22"/>
        </w:rPr>
        <w:t xml:space="preserve"> </w:t>
      </w:r>
      <w:r w:rsidRPr="005B0B73">
        <w:rPr>
          <w:rFonts w:eastAsia="Arial" w:cs="Arial"/>
          <w:sz w:val="22"/>
          <w:szCs w:val="22"/>
        </w:rPr>
        <w:t xml:space="preserve">However, challenges have emerged in converting this pipeline into fully approved and disbursing programmes. </w:t>
      </w:r>
    </w:p>
    <w:p w14:paraId="233D981E" w14:textId="77777777" w:rsidR="00736900" w:rsidRPr="005B0B73" w:rsidRDefault="00736900" w:rsidP="00B93BA0">
      <w:pPr>
        <w:spacing w:line="300" w:lineRule="auto"/>
        <w:jc w:val="both"/>
        <w:rPr>
          <w:rFonts w:eastAsia="Arial" w:cs="Arial"/>
          <w:sz w:val="22"/>
          <w:szCs w:val="22"/>
        </w:rPr>
      </w:pPr>
    </w:p>
    <w:p w14:paraId="16E6C015" w14:textId="2AF110E8" w:rsidR="00B93BA0" w:rsidRPr="005B0B73" w:rsidRDefault="00B93BA0" w:rsidP="00B93BA0">
      <w:pPr>
        <w:spacing w:line="300" w:lineRule="auto"/>
        <w:jc w:val="both"/>
        <w:rPr>
          <w:rFonts w:eastAsia="Arial" w:cs="Arial"/>
          <w:sz w:val="22"/>
          <w:szCs w:val="22"/>
        </w:rPr>
      </w:pPr>
      <w:r w:rsidRPr="005B0B73">
        <w:rPr>
          <w:rFonts w:eastAsia="Arial" w:cs="Arial"/>
          <w:sz w:val="22"/>
          <w:szCs w:val="22"/>
        </w:rPr>
        <w:t xml:space="preserve">While ERPA terms were approved as planned, additional analytical requirements from Contributors </w:t>
      </w:r>
      <w:r w:rsidR="00736900" w:rsidRPr="005B0B73">
        <w:rPr>
          <w:rFonts w:eastAsia="Arial" w:cs="Arial"/>
          <w:sz w:val="22"/>
          <w:szCs w:val="22"/>
        </w:rPr>
        <w:t>impacted the speed of e</w:t>
      </w:r>
      <w:r w:rsidRPr="005B0B73">
        <w:rPr>
          <w:rFonts w:eastAsia="Arial" w:cs="Arial"/>
          <w:sz w:val="22"/>
          <w:szCs w:val="22"/>
        </w:rPr>
        <w:t xml:space="preserve">ndorsement of commercial terms. Encouragingly, earlier lessons on the importance of early host country engagement, particularly on legal readiness and registries have translated into strong progress on host country approvals, which exceeded expectations. At the same time, risks identified </w:t>
      </w:r>
      <w:r w:rsidR="004D196B" w:rsidRPr="005B0B73">
        <w:rPr>
          <w:rFonts w:eastAsia="Arial" w:cs="Arial"/>
          <w:sz w:val="22"/>
          <w:szCs w:val="22"/>
        </w:rPr>
        <w:t>i</w:t>
      </w:r>
      <w:r w:rsidRPr="005B0B73">
        <w:rPr>
          <w:rFonts w:eastAsia="Arial" w:cs="Arial"/>
          <w:sz w:val="22"/>
          <w:szCs w:val="22"/>
        </w:rPr>
        <w:t>ncluding data gaps and a rapidly evolving carbon market context, have materialised in the form of approval delays and below-target disbursement performance. Overall, this trajectory suggests the key challenge lies in accelerating conversion to contracted and disbursing programmes while maintaining programme integrity and meeting buyer expectations and compliance requirements.</w:t>
      </w:r>
    </w:p>
    <w:p w14:paraId="17731242" w14:textId="77777777" w:rsidR="002D184A" w:rsidRDefault="002D184A" w:rsidP="39CF39FE">
      <w:pPr>
        <w:jc w:val="both"/>
        <w:rPr>
          <w:rFonts w:eastAsia="Arial" w:cs="Arial"/>
          <w:b/>
          <w:bCs/>
          <w:i/>
          <w:iCs/>
          <w:sz w:val="22"/>
          <w:szCs w:val="22"/>
        </w:rPr>
      </w:pPr>
    </w:p>
    <w:p w14:paraId="236D6A30" w14:textId="77777777" w:rsidR="005B0B73" w:rsidRPr="005B0B73" w:rsidRDefault="005B0B73" w:rsidP="39CF39FE">
      <w:pPr>
        <w:jc w:val="both"/>
        <w:rPr>
          <w:rFonts w:eastAsia="Arial" w:cs="Arial"/>
          <w:b/>
          <w:bCs/>
          <w:i/>
          <w:iCs/>
          <w:sz w:val="22"/>
          <w:szCs w:val="22"/>
        </w:rPr>
      </w:pPr>
    </w:p>
    <w:p w14:paraId="388D3AE8" w14:textId="389A63BA" w:rsidR="009840D7" w:rsidRPr="005B0B73" w:rsidRDefault="3B57E738" w:rsidP="009840D7">
      <w:pPr>
        <w:jc w:val="both"/>
        <w:textAlignment w:val="baseline"/>
        <w:rPr>
          <w:rFonts w:eastAsia="Arial" w:cs="Arial"/>
          <w:b/>
          <w:bCs/>
          <w:i/>
          <w:iCs/>
          <w:sz w:val="22"/>
          <w:szCs w:val="22"/>
        </w:rPr>
      </w:pPr>
      <w:r w:rsidRPr="005B0B73">
        <w:rPr>
          <w:rFonts w:eastAsia="Arial" w:cs="Arial"/>
          <w:b/>
          <w:bCs/>
          <w:i/>
          <w:iCs/>
          <w:sz w:val="22"/>
          <w:szCs w:val="22"/>
        </w:rPr>
        <w:t>Recommendations for the year ahead</w:t>
      </w:r>
    </w:p>
    <w:p w14:paraId="41826DE1" w14:textId="77777777" w:rsidR="00341AFC" w:rsidRPr="005B0B73" w:rsidRDefault="00341AFC" w:rsidP="009840D7">
      <w:pPr>
        <w:jc w:val="both"/>
        <w:textAlignment w:val="baseline"/>
        <w:rPr>
          <w:rFonts w:eastAsia="Arial" w:cs="Arial"/>
          <w:b/>
          <w:sz w:val="22"/>
          <w:szCs w:val="22"/>
        </w:rPr>
      </w:pPr>
    </w:p>
    <w:tbl>
      <w:tblPr>
        <w:tblStyle w:val="TableGrid"/>
        <w:tblW w:w="0" w:type="auto"/>
        <w:tblLook w:val="04A0" w:firstRow="1" w:lastRow="0" w:firstColumn="1" w:lastColumn="0" w:noHBand="0" w:noVBand="1"/>
      </w:tblPr>
      <w:tblGrid>
        <w:gridCol w:w="9016"/>
      </w:tblGrid>
      <w:tr w:rsidR="00341AFC" w:rsidRPr="005B0B73" w14:paraId="7EE4FCE0" w14:textId="77777777" w:rsidTr="007743B1">
        <w:tc>
          <w:tcPr>
            <w:tcW w:w="9016" w:type="dxa"/>
          </w:tcPr>
          <w:p w14:paraId="4F6C0ABE" w14:textId="734CE313" w:rsidR="00341AFC" w:rsidRPr="001A222B" w:rsidRDefault="001A222B" w:rsidP="007743B1">
            <w:pPr>
              <w:spacing w:line="300" w:lineRule="auto"/>
              <w:rPr>
                <w:rFonts w:eastAsia="Arial" w:cs="Arial"/>
                <w:i/>
                <w:iCs/>
                <w:sz w:val="22"/>
                <w:szCs w:val="22"/>
              </w:rPr>
            </w:pPr>
            <w:r w:rsidRPr="00AB6FFA">
              <w:rPr>
                <w:rFonts w:eastAsia="Arial" w:cs="Arial"/>
                <w:i/>
                <w:iCs/>
                <w:color w:val="000000" w:themeColor="text1"/>
                <w:sz w:val="22"/>
                <w:szCs w:val="22"/>
              </w:rPr>
              <w:t xml:space="preserve">The </w:t>
            </w:r>
            <w:r w:rsidRPr="00AB6FFA">
              <w:rPr>
                <w:rFonts w:eastAsia="Arial" w:cs="Arial"/>
                <w:b/>
                <w:bCs/>
                <w:i/>
                <w:iCs/>
                <w:color w:val="000000" w:themeColor="text1"/>
                <w:sz w:val="22"/>
                <w:szCs w:val="22"/>
              </w:rPr>
              <w:t>Trustee</w:t>
            </w:r>
            <w:r w:rsidRPr="00AB6FFA">
              <w:rPr>
                <w:rFonts w:eastAsia="Arial" w:cs="Arial"/>
                <w:i/>
                <w:iCs/>
                <w:color w:val="000000" w:themeColor="text1"/>
                <w:sz w:val="22"/>
                <w:szCs w:val="22"/>
              </w:rPr>
              <w:t xml:space="preserve"> should prioritise continued delivery of a robust, high integrity pipeline assessing and mitigating blockers to pipeline expansion to ensure continued value for money. This should include agreement of commercial terms for the Kyrgyz Republic, Pakistan and at least one further program before the end of the review period.</w:t>
            </w:r>
            <w:r>
              <w:rPr>
                <w:rFonts w:eastAsia="Arial" w:cs="Arial"/>
                <w:i/>
                <w:iCs/>
                <w:color w:val="000000" w:themeColor="text1"/>
                <w:sz w:val="22"/>
                <w:szCs w:val="22"/>
              </w:rPr>
              <w:t xml:space="preserve"> </w:t>
            </w:r>
            <w:r w:rsidRPr="001A222B" w:rsidDel="001A222B">
              <w:rPr>
                <w:rFonts w:eastAsia="Arial" w:cs="Arial"/>
                <w:i/>
                <w:iCs/>
                <w:color w:val="000000" w:themeColor="text1"/>
                <w:sz w:val="22"/>
                <w:szCs w:val="22"/>
              </w:rPr>
              <w:t xml:space="preserve"> </w:t>
            </w:r>
          </w:p>
        </w:tc>
      </w:tr>
    </w:tbl>
    <w:p w14:paraId="715575B0" w14:textId="2C14DD1B" w:rsidR="002057DC" w:rsidRPr="005B0B73" w:rsidRDefault="002057DC">
      <w:pPr>
        <w:spacing w:after="160"/>
        <w:rPr>
          <w:rFonts w:eastAsia="Arial" w:cs="Arial"/>
          <w:color w:val="000000" w:themeColor="text1"/>
          <w:sz w:val="22"/>
          <w:szCs w:val="22"/>
        </w:rPr>
      </w:pPr>
    </w:p>
    <w:p w14:paraId="6F13DE51" w14:textId="0B0D510A" w:rsidR="004A367B" w:rsidRPr="005B0B73" w:rsidRDefault="004A367B" w:rsidP="1FFC5AE9">
      <w:pPr>
        <w:pStyle w:val="Heading2"/>
        <w:jc w:val="both"/>
        <w:rPr>
          <w:rFonts w:eastAsia="Arial" w:cs="Arial"/>
        </w:rPr>
      </w:pPr>
      <w:r w:rsidRPr="005B0B73">
        <w:rPr>
          <w:rFonts w:eastAsia="Arial" w:cs="Arial"/>
        </w:rPr>
        <w:t xml:space="preserve">Output 2: </w:t>
      </w:r>
      <w:r w:rsidR="004E5715" w:rsidRPr="005B0B73">
        <w:rPr>
          <w:rFonts w:eastAsia="Arial" w:cs="Arial"/>
        </w:rPr>
        <w:t>Relevant knowledge transferred to participants resulting in increased capacity and readiness for the effective and sustainable management of carbon pricing mechanisms (including baseline methodologies and MRV).  </w:t>
      </w:r>
    </w:p>
    <w:p w14:paraId="6614CA3C" w14:textId="77777777" w:rsidR="00691842" w:rsidRPr="005B0B73" w:rsidRDefault="00691842" w:rsidP="1FFC5AE9">
      <w:pPr>
        <w:rPr>
          <w:rFonts w:eastAsia="Arial" w:cs="Arial"/>
        </w:rPr>
      </w:pPr>
    </w:p>
    <w:tbl>
      <w:tblPr>
        <w:tblStyle w:val="TableGrid"/>
        <w:tblW w:w="9072" w:type="dxa"/>
        <w:tblInd w:w="-5" w:type="dxa"/>
        <w:tblLook w:val="04A0" w:firstRow="1" w:lastRow="0" w:firstColumn="1" w:lastColumn="0" w:noHBand="0" w:noVBand="1"/>
      </w:tblPr>
      <w:tblGrid>
        <w:gridCol w:w="2141"/>
        <w:gridCol w:w="1345"/>
        <w:gridCol w:w="2708"/>
        <w:gridCol w:w="2878"/>
      </w:tblGrid>
      <w:tr w:rsidR="00682776" w:rsidRPr="005B0B73" w14:paraId="1A461D66" w14:textId="77777777" w:rsidTr="60EEDC69">
        <w:trPr>
          <w:trHeight w:val="347"/>
        </w:trPr>
        <w:tc>
          <w:tcPr>
            <w:tcW w:w="214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F004B5" w14:textId="77777777" w:rsidR="00691842" w:rsidRPr="005B0B73" w:rsidRDefault="00691842" w:rsidP="1FFC5AE9">
            <w:pPr>
              <w:jc w:val="both"/>
              <w:rPr>
                <w:rFonts w:eastAsia="Arial" w:cs="Arial"/>
                <w:sz w:val="22"/>
                <w:szCs w:val="22"/>
              </w:rPr>
            </w:pPr>
            <w:r w:rsidRPr="005B0B73">
              <w:rPr>
                <w:rFonts w:eastAsia="Arial" w:cs="Arial"/>
                <w:sz w:val="22"/>
                <w:szCs w:val="22"/>
              </w:rPr>
              <w:t xml:space="preserve">Output number: </w:t>
            </w:r>
          </w:p>
        </w:tc>
        <w:tc>
          <w:tcPr>
            <w:tcW w:w="1345" w:type="dxa"/>
            <w:tcBorders>
              <w:top w:val="single" w:sz="4" w:space="0" w:color="auto"/>
              <w:left w:val="single" w:sz="4" w:space="0" w:color="auto"/>
              <w:bottom w:val="single" w:sz="4" w:space="0" w:color="auto"/>
              <w:right w:val="single" w:sz="4" w:space="0" w:color="auto"/>
            </w:tcBorders>
          </w:tcPr>
          <w:p w14:paraId="77F166EC" w14:textId="1433D316" w:rsidR="00691842" w:rsidRPr="005B0B73" w:rsidRDefault="00D62BA7" w:rsidP="1FFC5AE9">
            <w:pPr>
              <w:jc w:val="both"/>
              <w:rPr>
                <w:rFonts w:eastAsia="Arial" w:cs="Arial"/>
                <w:sz w:val="22"/>
                <w:szCs w:val="22"/>
              </w:rPr>
            </w:pPr>
            <w:r w:rsidRPr="005B0B73">
              <w:rPr>
                <w:rFonts w:eastAsia="Arial" w:cs="Arial"/>
                <w:sz w:val="22"/>
                <w:szCs w:val="22"/>
              </w:rPr>
              <w:t>2</w:t>
            </w:r>
          </w:p>
        </w:tc>
        <w:tc>
          <w:tcPr>
            <w:tcW w:w="27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3065D68" w14:textId="77777777" w:rsidR="00691842" w:rsidRPr="005B0B73" w:rsidRDefault="00691842" w:rsidP="1FFC5AE9">
            <w:pPr>
              <w:jc w:val="both"/>
              <w:rPr>
                <w:rFonts w:eastAsia="Arial" w:cs="Arial"/>
                <w:sz w:val="22"/>
                <w:szCs w:val="22"/>
              </w:rPr>
            </w:pPr>
            <w:r w:rsidRPr="005B0B73">
              <w:rPr>
                <w:rFonts w:eastAsia="Arial" w:cs="Arial"/>
                <w:sz w:val="22"/>
                <w:szCs w:val="22"/>
              </w:rPr>
              <w:t xml:space="preserve">Output Score: </w:t>
            </w:r>
          </w:p>
        </w:tc>
        <w:tc>
          <w:tcPr>
            <w:tcW w:w="2878" w:type="dxa"/>
            <w:tcBorders>
              <w:top w:val="single" w:sz="4" w:space="0" w:color="auto"/>
              <w:left w:val="single" w:sz="4" w:space="0" w:color="auto"/>
              <w:bottom w:val="single" w:sz="4" w:space="0" w:color="auto"/>
              <w:right w:val="single" w:sz="4" w:space="0" w:color="auto"/>
            </w:tcBorders>
          </w:tcPr>
          <w:p w14:paraId="263A0106" w14:textId="67B03940" w:rsidR="00691842" w:rsidRPr="005B0B73" w:rsidRDefault="23E6B1F6" w:rsidP="1FFC5AE9">
            <w:pPr>
              <w:jc w:val="both"/>
              <w:rPr>
                <w:rFonts w:eastAsia="Arial" w:cs="Arial"/>
                <w:b/>
                <w:bCs/>
                <w:sz w:val="22"/>
                <w:szCs w:val="22"/>
              </w:rPr>
            </w:pPr>
            <w:r w:rsidRPr="005B0B73">
              <w:rPr>
                <w:rFonts w:eastAsia="Arial" w:cs="Arial"/>
                <w:b/>
                <w:bCs/>
                <w:sz w:val="22"/>
                <w:szCs w:val="22"/>
              </w:rPr>
              <w:t>A</w:t>
            </w:r>
          </w:p>
        </w:tc>
      </w:tr>
      <w:tr w:rsidR="00682776" w:rsidRPr="005B0B73" w14:paraId="08DC1373" w14:textId="77777777" w:rsidTr="60EEDC69">
        <w:trPr>
          <w:trHeight w:val="345"/>
        </w:trPr>
        <w:tc>
          <w:tcPr>
            <w:tcW w:w="214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E290D9" w14:textId="77777777" w:rsidR="00691842" w:rsidRPr="005B0B73" w:rsidRDefault="00691842" w:rsidP="1FFC5AE9">
            <w:pPr>
              <w:jc w:val="both"/>
              <w:rPr>
                <w:rFonts w:eastAsia="Arial" w:cs="Arial"/>
                <w:sz w:val="22"/>
                <w:szCs w:val="22"/>
              </w:rPr>
            </w:pPr>
            <w:r w:rsidRPr="005B0B73">
              <w:rPr>
                <w:rFonts w:eastAsia="Arial" w:cs="Arial"/>
                <w:sz w:val="22"/>
                <w:szCs w:val="22"/>
              </w:rPr>
              <w:t xml:space="preserve">Impact weighting (%):  </w:t>
            </w:r>
          </w:p>
        </w:tc>
        <w:tc>
          <w:tcPr>
            <w:tcW w:w="1345" w:type="dxa"/>
            <w:tcBorders>
              <w:top w:val="single" w:sz="4" w:space="0" w:color="auto"/>
              <w:left w:val="single" w:sz="4" w:space="0" w:color="auto"/>
              <w:bottom w:val="single" w:sz="4" w:space="0" w:color="auto"/>
              <w:right w:val="single" w:sz="4" w:space="0" w:color="auto"/>
            </w:tcBorders>
            <w:hideMark/>
          </w:tcPr>
          <w:p w14:paraId="24DB908D" w14:textId="5DEC67FF" w:rsidR="00691842" w:rsidRPr="005B0B73" w:rsidRDefault="00D62BA7" w:rsidP="1FFC5AE9">
            <w:pPr>
              <w:jc w:val="both"/>
              <w:rPr>
                <w:rFonts w:eastAsia="Arial" w:cs="Arial"/>
                <w:sz w:val="22"/>
                <w:szCs w:val="22"/>
              </w:rPr>
            </w:pPr>
            <w:r w:rsidRPr="005B0B73">
              <w:rPr>
                <w:rFonts w:eastAsia="Arial" w:cs="Arial"/>
                <w:sz w:val="22"/>
                <w:szCs w:val="22"/>
              </w:rPr>
              <w:t>30</w:t>
            </w:r>
          </w:p>
        </w:tc>
        <w:tc>
          <w:tcPr>
            <w:tcW w:w="27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6454226" w14:textId="77777777" w:rsidR="00691842" w:rsidRPr="005B0B73" w:rsidRDefault="00691842" w:rsidP="1FFC5AE9">
            <w:pPr>
              <w:jc w:val="both"/>
              <w:rPr>
                <w:rFonts w:eastAsia="Arial" w:cs="Arial"/>
                <w:sz w:val="22"/>
                <w:szCs w:val="22"/>
              </w:rPr>
            </w:pPr>
            <w:r w:rsidRPr="005B0B73">
              <w:rPr>
                <w:rFonts w:eastAsia="Arial" w:cs="Arial"/>
                <w:sz w:val="22"/>
                <w:szCs w:val="22"/>
              </w:rPr>
              <w:t xml:space="preserve">Weighting revised since last AR? </w:t>
            </w:r>
          </w:p>
        </w:tc>
        <w:tc>
          <w:tcPr>
            <w:tcW w:w="2878" w:type="dxa"/>
            <w:tcBorders>
              <w:top w:val="single" w:sz="4" w:space="0" w:color="auto"/>
              <w:left w:val="single" w:sz="4" w:space="0" w:color="auto"/>
              <w:bottom w:val="single" w:sz="4" w:space="0" w:color="auto"/>
              <w:right w:val="single" w:sz="4" w:space="0" w:color="auto"/>
            </w:tcBorders>
          </w:tcPr>
          <w:p w14:paraId="7A0765DF" w14:textId="1F396AE3" w:rsidR="00691842" w:rsidRPr="005B0B73" w:rsidRDefault="50EF419C" w:rsidP="1FFC5AE9">
            <w:pPr>
              <w:jc w:val="both"/>
              <w:rPr>
                <w:rFonts w:eastAsia="Arial" w:cs="Arial"/>
                <w:sz w:val="22"/>
                <w:szCs w:val="22"/>
              </w:rPr>
            </w:pPr>
            <w:r w:rsidRPr="005B0B73">
              <w:rPr>
                <w:rFonts w:eastAsia="Arial" w:cs="Arial"/>
                <w:sz w:val="22"/>
                <w:szCs w:val="22"/>
              </w:rPr>
              <w:t>Yes</w:t>
            </w:r>
          </w:p>
        </w:tc>
      </w:tr>
      <w:tr w:rsidR="00682776" w:rsidRPr="005B0B73" w14:paraId="2D4E6664" w14:textId="77777777" w:rsidTr="60EEDC69">
        <w:trPr>
          <w:trHeight w:val="345"/>
        </w:trPr>
        <w:tc>
          <w:tcPr>
            <w:tcW w:w="214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E2EAEE" w14:textId="4EA03118" w:rsidR="00691842" w:rsidRPr="005B0B73" w:rsidRDefault="00691842" w:rsidP="646FD090">
            <w:pPr>
              <w:jc w:val="both"/>
              <w:rPr>
                <w:rFonts w:eastAsia="Arial" w:cs="Arial"/>
                <w:sz w:val="22"/>
                <w:szCs w:val="22"/>
              </w:rPr>
            </w:pPr>
            <w:r w:rsidRPr="005B0B73">
              <w:rPr>
                <w:rFonts w:eastAsia="Arial" w:cs="Arial"/>
                <w:sz w:val="22"/>
                <w:szCs w:val="22"/>
              </w:rPr>
              <w:t>Risk rating</w:t>
            </w:r>
          </w:p>
        </w:tc>
        <w:tc>
          <w:tcPr>
            <w:tcW w:w="1345" w:type="dxa"/>
            <w:tcBorders>
              <w:top w:val="single" w:sz="4" w:space="0" w:color="auto"/>
              <w:left w:val="single" w:sz="4" w:space="0" w:color="auto"/>
              <w:bottom w:val="single" w:sz="4" w:space="0" w:color="auto"/>
              <w:right w:val="single" w:sz="4" w:space="0" w:color="auto"/>
            </w:tcBorders>
          </w:tcPr>
          <w:p w14:paraId="055BA998" w14:textId="5B43CD77" w:rsidR="00691842" w:rsidRPr="005B0B73" w:rsidRDefault="1C5E8AAB" w:rsidP="1FFC5AE9">
            <w:pPr>
              <w:jc w:val="both"/>
              <w:rPr>
                <w:rFonts w:eastAsia="Arial" w:cs="Arial"/>
                <w:sz w:val="22"/>
                <w:szCs w:val="22"/>
              </w:rPr>
            </w:pPr>
            <w:r w:rsidRPr="005B0B73">
              <w:rPr>
                <w:rFonts w:eastAsia="Arial" w:cs="Arial"/>
                <w:sz w:val="22"/>
                <w:szCs w:val="22"/>
              </w:rPr>
              <w:t>M</w:t>
            </w:r>
            <w:r w:rsidR="5EC67F6B" w:rsidRPr="005B0B73">
              <w:rPr>
                <w:rFonts w:eastAsia="Arial" w:cs="Arial"/>
                <w:sz w:val="22"/>
                <w:szCs w:val="22"/>
              </w:rPr>
              <w:t>inor</w:t>
            </w:r>
          </w:p>
        </w:tc>
        <w:tc>
          <w:tcPr>
            <w:tcW w:w="270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85ECE2" w14:textId="77777777" w:rsidR="00691842" w:rsidRPr="005B0B73" w:rsidRDefault="00691842" w:rsidP="1FFC5AE9">
            <w:pPr>
              <w:jc w:val="both"/>
              <w:rPr>
                <w:rFonts w:eastAsia="Arial" w:cs="Arial"/>
                <w:sz w:val="22"/>
                <w:szCs w:val="22"/>
              </w:rPr>
            </w:pPr>
            <w:r w:rsidRPr="005B0B73">
              <w:rPr>
                <w:rFonts w:eastAsia="Arial" w:cs="Arial"/>
                <w:sz w:val="22"/>
                <w:szCs w:val="22"/>
              </w:rPr>
              <w:t>Risk revised since last AR?</w:t>
            </w:r>
          </w:p>
        </w:tc>
        <w:tc>
          <w:tcPr>
            <w:tcW w:w="2878" w:type="dxa"/>
            <w:tcBorders>
              <w:top w:val="single" w:sz="4" w:space="0" w:color="auto"/>
              <w:left w:val="single" w:sz="4" w:space="0" w:color="auto"/>
              <w:bottom w:val="single" w:sz="4" w:space="0" w:color="auto"/>
              <w:right w:val="single" w:sz="4" w:space="0" w:color="auto"/>
            </w:tcBorders>
          </w:tcPr>
          <w:p w14:paraId="34DD6A93" w14:textId="0DE89B32" w:rsidR="00691842" w:rsidRPr="005B0B73" w:rsidRDefault="34078AB3" w:rsidP="1FFC5AE9">
            <w:pPr>
              <w:jc w:val="both"/>
              <w:rPr>
                <w:rFonts w:eastAsia="Arial" w:cs="Arial"/>
                <w:sz w:val="22"/>
                <w:szCs w:val="22"/>
              </w:rPr>
            </w:pPr>
            <w:r w:rsidRPr="005B0B73">
              <w:rPr>
                <w:rFonts w:eastAsia="Arial" w:cs="Arial"/>
                <w:sz w:val="22"/>
                <w:szCs w:val="22"/>
              </w:rPr>
              <w:t>Yes</w:t>
            </w:r>
          </w:p>
        </w:tc>
      </w:tr>
    </w:tbl>
    <w:p w14:paraId="0929171D" w14:textId="77777777" w:rsidR="00F36A1A" w:rsidRPr="005B0B73" w:rsidRDefault="00F36A1A" w:rsidP="1FFC5AE9">
      <w:pPr>
        <w:jc w:val="both"/>
        <w:rPr>
          <w:rFonts w:eastAsia="Arial" w:cs="Arial"/>
          <w:b/>
          <w:bCs/>
          <w:sz w:val="22"/>
          <w:szCs w:val="22"/>
        </w:rPr>
      </w:pPr>
    </w:p>
    <w:tbl>
      <w:tblPr>
        <w:tblStyle w:val="TableGrid"/>
        <w:tblpPr w:leftFromText="180" w:rightFromText="180" w:vertAnchor="text" w:horzAnchor="page" w:tblpX="1462" w:tblpY="-10"/>
        <w:tblOverlap w:val="never"/>
        <w:tblW w:w="9113" w:type="dxa"/>
        <w:tblLook w:val="04A0" w:firstRow="1" w:lastRow="0" w:firstColumn="1" w:lastColumn="0" w:noHBand="0" w:noVBand="1"/>
      </w:tblPr>
      <w:tblGrid>
        <w:gridCol w:w="4270"/>
        <w:gridCol w:w="1679"/>
        <w:gridCol w:w="3164"/>
      </w:tblGrid>
      <w:tr w:rsidR="00AB769B" w:rsidRPr="005B0B73" w14:paraId="72BA5779" w14:textId="77777777" w:rsidTr="004D196B">
        <w:trPr>
          <w:trHeight w:val="929"/>
        </w:trPr>
        <w:tc>
          <w:tcPr>
            <w:tcW w:w="427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749DF7" w14:textId="27D2D21D" w:rsidR="00691842" w:rsidRPr="005B0B73" w:rsidRDefault="00691842" w:rsidP="1FFC5AE9">
            <w:pPr>
              <w:jc w:val="both"/>
              <w:rPr>
                <w:rFonts w:eastAsia="Arial" w:cs="Arial"/>
                <w:b/>
                <w:bCs/>
                <w:sz w:val="22"/>
                <w:szCs w:val="22"/>
              </w:rPr>
            </w:pPr>
            <w:r w:rsidRPr="005B0B73">
              <w:rPr>
                <w:rFonts w:eastAsia="Arial" w:cs="Arial"/>
                <w:b/>
                <w:bCs/>
                <w:sz w:val="22"/>
                <w:szCs w:val="22"/>
              </w:rPr>
              <w:t>Indicator(s)</w:t>
            </w:r>
            <w:r w:rsidR="0001077E" w:rsidRPr="005B0B73">
              <w:rPr>
                <w:rFonts w:eastAsia="Arial" w:cs="Arial"/>
                <w:b/>
                <w:bCs/>
                <w:sz w:val="22"/>
                <w:szCs w:val="22"/>
              </w:rPr>
              <w:t>*</w:t>
            </w:r>
          </w:p>
        </w:tc>
        <w:tc>
          <w:tcPr>
            <w:tcW w:w="167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4DCC454" w14:textId="77777777" w:rsidR="00691842" w:rsidRPr="005B0B73" w:rsidRDefault="00691842" w:rsidP="1FFC5AE9">
            <w:pPr>
              <w:jc w:val="both"/>
              <w:rPr>
                <w:rFonts w:eastAsia="Arial" w:cs="Arial"/>
                <w:b/>
                <w:bCs/>
                <w:sz w:val="22"/>
                <w:szCs w:val="22"/>
              </w:rPr>
            </w:pPr>
            <w:r w:rsidRPr="005B0B73">
              <w:rPr>
                <w:rFonts w:eastAsia="Arial" w:cs="Arial"/>
                <w:b/>
                <w:bCs/>
                <w:sz w:val="22"/>
                <w:szCs w:val="22"/>
              </w:rPr>
              <w:t>Milestone(s) for this review</w:t>
            </w:r>
          </w:p>
        </w:tc>
        <w:tc>
          <w:tcPr>
            <w:tcW w:w="316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4649BD1" w14:textId="77777777" w:rsidR="00691842" w:rsidRPr="005B0B73" w:rsidRDefault="00691842" w:rsidP="1FFC5AE9">
            <w:pPr>
              <w:jc w:val="both"/>
              <w:rPr>
                <w:rFonts w:eastAsia="Arial" w:cs="Arial"/>
                <w:b/>
                <w:bCs/>
                <w:sz w:val="22"/>
                <w:szCs w:val="22"/>
              </w:rPr>
            </w:pPr>
            <w:r w:rsidRPr="005B0B73">
              <w:rPr>
                <w:rFonts w:eastAsia="Arial" w:cs="Arial"/>
                <w:b/>
                <w:bCs/>
                <w:sz w:val="22"/>
                <w:szCs w:val="22"/>
              </w:rPr>
              <w:t xml:space="preserve">Progress </w:t>
            </w:r>
          </w:p>
        </w:tc>
      </w:tr>
      <w:tr w:rsidR="000F559C" w:rsidRPr="005B0B73" w14:paraId="6F627DFA" w14:textId="77777777" w:rsidTr="004D196B">
        <w:trPr>
          <w:trHeight w:val="929"/>
        </w:trPr>
        <w:tc>
          <w:tcPr>
            <w:tcW w:w="4270" w:type="dxa"/>
            <w:tcBorders>
              <w:top w:val="single" w:sz="4" w:space="0" w:color="auto"/>
              <w:left w:val="single" w:sz="4" w:space="0" w:color="auto"/>
              <w:bottom w:val="single" w:sz="4" w:space="0" w:color="auto"/>
              <w:right w:val="single" w:sz="4" w:space="0" w:color="auto"/>
            </w:tcBorders>
          </w:tcPr>
          <w:p w14:paraId="4BD1753E" w14:textId="29C4711C" w:rsidR="002816C9" w:rsidRPr="005B0B73" w:rsidRDefault="002816C9" w:rsidP="1FFC5AE9">
            <w:pPr>
              <w:jc w:val="both"/>
              <w:rPr>
                <w:rFonts w:eastAsia="Arial" w:cs="Arial"/>
                <w:sz w:val="22"/>
                <w:szCs w:val="22"/>
              </w:rPr>
            </w:pPr>
            <w:r w:rsidRPr="005B0B73">
              <w:rPr>
                <w:rFonts w:eastAsia="Arial" w:cs="Arial"/>
                <w:sz w:val="22"/>
                <w:szCs w:val="22"/>
              </w:rPr>
              <w:t xml:space="preserve">2.2. Number of ministries </w:t>
            </w:r>
            <w:r w:rsidR="00690E5E" w:rsidRPr="005B0B73">
              <w:rPr>
                <w:rFonts w:eastAsia="Arial" w:cs="Arial"/>
                <w:sz w:val="22"/>
                <w:szCs w:val="22"/>
              </w:rPr>
              <w:t xml:space="preserve">in host countries </w:t>
            </w:r>
            <w:r w:rsidRPr="005B0B73">
              <w:rPr>
                <w:rFonts w:eastAsia="Arial" w:cs="Arial"/>
                <w:sz w:val="22"/>
                <w:szCs w:val="22"/>
              </w:rPr>
              <w:t>that have received carbon markets capacity building support via TCAF. </w:t>
            </w:r>
          </w:p>
        </w:tc>
        <w:tc>
          <w:tcPr>
            <w:tcW w:w="1679" w:type="dxa"/>
            <w:tcBorders>
              <w:top w:val="single" w:sz="4" w:space="0" w:color="auto"/>
              <w:left w:val="single" w:sz="4" w:space="0" w:color="auto"/>
              <w:bottom w:val="single" w:sz="4" w:space="0" w:color="auto"/>
              <w:right w:val="single" w:sz="4" w:space="0" w:color="auto"/>
            </w:tcBorders>
          </w:tcPr>
          <w:p w14:paraId="3D8B963A" w14:textId="1AF344F5" w:rsidR="002816C9" w:rsidRPr="005B0B73" w:rsidRDefault="4A95D273" w:rsidP="1FFC5AE9">
            <w:pPr>
              <w:jc w:val="both"/>
              <w:rPr>
                <w:rFonts w:eastAsia="Arial" w:cs="Arial"/>
                <w:sz w:val="22"/>
                <w:szCs w:val="22"/>
              </w:rPr>
            </w:pPr>
            <w:r w:rsidRPr="005B0B73">
              <w:rPr>
                <w:rFonts w:eastAsia="Arial" w:cs="Arial"/>
                <w:sz w:val="22"/>
                <w:szCs w:val="22"/>
              </w:rPr>
              <w:t>8</w:t>
            </w:r>
          </w:p>
        </w:tc>
        <w:tc>
          <w:tcPr>
            <w:tcW w:w="3164" w:type="dxa"/>
            <w:tcBorders>
              <w:top w:val="single" w:sz="4" w:space="0" w:color="auto"/>
              <w:left w:val="single" w:sz="4" w:space="0" w:color="auto"/>
              <w:bottom w:val="single" w:sz="4" w:space="0" w:color="auto"/>
              <w:right w:val="single" w:sz="4" w:space="0" w:color="auto"/>
            </w:tcBorders>
          </w:tcPr>
          <w:p w14:paraId="2F0F0C95" w14:textId="6B2FC836" w:rsidR="002816C9" w:rsidRPr="005B0B73" w:rsidRDefault="00734800" w:rsidP="00FA7328">
            <w:pPr>
              <w:pStyle w:val="Heading2"/>
              <w:spacing w:before="0" w:after="240"/>
              <w:contextualSpacing/>
              <w:jc w:val="both"/>
              <w:rPr>
                <w:rFonts w:eastAsia="Arial" w:cs="Arial"/>
                <w:b w:val="0"/>
                <w:bCs w:val="0"/>
                <w:i w:val="0"/>
                <w:iCs w:val="0"/>
                <w:sz w:val="22"/>
                <w:szCs w:val="22"/>
              </w:rPr>
            </w:pPr>
            <w:r w:rsidRPr="005B0B73">
              <w:rPr>
                <w:rFonts w:eastAsia="Arial" w:cs="Arial"/>
                <w:i w:val="0"/>
                <w:iCs w:val="0"/>
                <w:sz w:val="22"/>
                <w:szCs w:val="22"/>
              </w:rPr>
              <w:t>10</w:t>
            </w:r>
            <w:r w:rsidR="00B414BC" w:rsidRPr="005B0B73">
              <w:rPr>
                <w:rStyle w:val="FootnoteReference"/>
                <w:rFonts w:eastAsia="Arial" w:cs="Arial"/>
                <w:b w:val="0"/>
                <w:bCs w:val="0"/>
                <w:i w:val="0"/>
                <w:iCs w:val="0"/>
                <w:sz w:val="22"/>
                <w:szCs w:val="22"/>
              </w:rPr>
              <w:footnoteReference w:id="7"/>
            </w:r>
            <w:r w:rsidRPr="005B0B73">
              <w:rPr>
                <w:rFonts w:eastAsia="Arial" w:cs="Arial"/>
                <w:i w:val="0"/>
                <w:iCs w:val="0"/>
                <w:sz w:val="22"/>
                <w:szCs w:val="22"/>
              </w:rPr>
              <w:t>:</w:t>
            </w:r>
            <w:r w:rsidRPr="005B0B73">
              <w:rPr>
                <w:rFonts w:eastAsia="Arial" w:cs="Arial"/>
                <w:b w:val="0"/>
                <w:bCs w:val="0"/>
                <w:i w:val="0"/>
                <w:iCs w:val="0"/>
                <w:sz w:val="22"/>
                <w:szCs w:val="22"/>
              </w:rPr>
              <w:t xml:space="preserve"> Progress exceeded</w:t>
            </w:r>
            <w:r w:rsidR="00032515" w:rsidRPr="005B0B73">
              <w:rPr>
                <w:rFonts w:eastAsia="Arial" w:cs="Arial"/>
                <w:b w:val="0"/>
                <w:bCs w:val="0"/>
                <w:i w:val="0"/>
                <w:iCs w:val="0"/>
                <w:sz w:val="22"/>
                <w:szCs w:val="22"/>
              </w:rPr>
              <w:t xml:space="preserve"> expectations</w:t>
            </w:r>
            <w:r w:rsidRPr="005B0B73">
              <w:rPr>
                <w:rFonts w:eastAsia="Arial" w:cs="Arial"/>
                <w:b w:val="0"/>
                <w:bCs w:val="0"/>
                <w:i w:val="0"/>
                <w:iCs w:val="0"/>
                <w:sz w:val="22"/>
                <w:szCs w:val="22"/>
              </w:rPr>
              <w:t>.</w:t>
            </w:r>
          </w:p>
        </w:tc>
      </w:tr>
      <w:tr w:rsidR="000F559C" w:rsidRPr="005B0B73" w14:paraId="7A25F946" w14:textId="77777777" w:rsidTr="004D196B">
        <w:trPr>
          <w:trHeight w:val="1384"/>
        </w:trPr>
        <w:tc>
          <w:tcPr>
            <w:tcW w:w="4270" w:type="dxa"/>
            <w:tcBorders>
              <w:top w:val="single" w:sz="4" w:space="0" w:color="auto"/>
              <w:left w:val="single" w:sz="4" w:space="0" w:color="auto"/>
              <w:bottom w:val="single" w:sz="4" w:space="0" w:color="auto"/>
              <w:right w:val="single" w:sz="4" w:space="0" w:color="auto"/>
            </w:tcBorders>
          </w:tcPr>
          <w:p w14:paraId="76643F0F" w14:textId="4D386997" w:rsidR="002816C9" w:rsidRPr="005B0B73" w:rsidRDefault="002816C9" w:rsidP="1FFC5AE9">
            <w:pPr>
              <w:rPr>
                <w:rFonts w:eastAsia="Arial" w:cs="Arial"/>
                <w:sz w:val="22"/>
                <w:szCs w:val="22"/>
              </w:rPr>
            </w:pPr>
            <w:r w:rsidRPr="005B0B73">
              <w:rPr>
                <w:rFonts w:eastAsia="Arial" w:cs="Arial"/>
                <w:sz w:val="22"/>
                <w:szCs w:val="22"/>
              </w:rPr>
              <w:t>2.3 Percentage of ministries reporting that TCAF engagement and knowledge products have significantly improved their capacity to support, participate in or implement broader carbon markets work.</w:t>
            </w:r>
          </w:p>
        </w:tc>
        <w:tc>
          <w:tcPr>
            <w:tcW w:w="1679" w:type="dxa"/>
            <w:tcBorders>
              <w:top w:val="single" w:sz="4" w:space="0" w:color="auto"/>
              <w:left w:val="single" w:sz="4" w:space="0" w:color="auto"/>
              <w:bottom w:val="single" w:sz="4" w:space="0" w:color="auto"/>
              <w:right w:val="single" w:sz="4" w:space="0" w:color="auto"/>
            </w:tcBorders>
          </w:tcPr>
          <w:p w14:paraId="7ED4269F" w14:textId="7E6901D8" w:rsidR="4A95D273" w:rsidRPr="005B0B73" w:rsidRDefault="4A95D273" w:rsidP="71A6B937">
            <w:pPr>
              <w:jc w:val="both"/>
              <w:rPr>
                <w:rFonts w:eastAsia="Arial" w:cs="Arial"/>
                <w:sz w:val="22"/>
                <w:szCs w:val="22"/>
              </w:rPr>
            </w:pPr>
            <w:r w:rsidRPr="005B0B73">
              <w:rPr>
                <w:rFonts w:eastAsia="Arial" w:cs="Arial"/>
                <w:sz w:val="22"/>
                <w:szCs w:val="22"/>
              </w:rPr>
              <w:t>75%</w:t>
            </w:r>
          </w:p>
        </w:tc>
        <w:tc>
          <w:tcPr>
            <w:tcW w:w="3164" w:type="dxa"/>
            <w:tcBorders>
              <w:top w:val="single" w:sz="4" w:space="0" w:color="auto"/>
              <w:left w:val="single" w:sz="4" w:space="0" w:color="auto"/>
              <w:bottom w:val="single" w:sz="4" w:space="0" w:color="auto"/>
              <w:right w:val="single" w:sz="4" w:space="0" w:color="auto"/>
            </w:tcBorders>
          </w:tcPr>
          <w:p w14:paraId="2BDA8B7D" w14:textId="06634B3B" w:rsidR="002816C9" w:rsidRPr="005B0B73" w:rsidRDefault="002B762D" w:rsidP="004D196B">
            <w:pPr>
              <w:pStyle w:val="Heading2"/>
              <w:spacing w:before="0"/>
              <w:contextualSpacing/>
              <w:jc w:val="both"/>
              <w:rPr>
                <w:rFonts w:eastAsia="Arial" w:cs="Arial"/>
                <w:b w:val="0"/>
                <w:bCs w:val="0"/>
                <w:i w:val="0"/>
                <w:iCs w:val="0"/>
                <w:sz w:val="22"/>
                <w:szCs w:val="22"/>
              </w:rPr>
            </w:pPr>
            <w:r w:rsidRPr="005B0B73">
              <w:rPr>
                <w:rFonts w:eastAsia="Arial" w:cs="Arial"/>
                <w:i w:val="0"/>
                <w:iCs w:val="0"/>
                <w:sz w:val="22"/>
                <w:szCs w:val="22"/>
              </w:rPr>
              <w:t>89%</w:t>
            </w:r>
            <w:r w:rsidR="00B414BC" w:rsidRPr="005B0B73">
              <w:rPr>
                <w:rStyle w:val="FootnoteReference"/>
                <w:rFonts w:eastAsia="Arial" w:cs="Arial"/>
                <w:i w:val="0"/>
                <w:iCs w:val="0"/>
                <w:sz w:val="22"/>
                <w:szCs w:val="22"/>
              </w:rPr>
              <w:footnoteReference w:id="8"/>
            </w:r>
            <w:r w:rsidRPr="005B0B73">
              <w:rPr>
                <w:rFonts w:eastAsia="Arial" w:cs="Arial"/>
                <w:i w:val="0"/>
                <w:iCs w:val="0"/>
                <w:sz w:val="22"/>
                <w:szCs w:val="22"/>
              </w:rPr>
              <w:t>:</w:t>
            </w:r>
            <w:r w:rsidRPr="005B0B73">
              <w:rPr>
                <w:rFonts w:eastAsia="Arial" w:cs="Arial"/>
                <w:b w:val="0"/>
                <w:bCs w:val="0"/>
                <w:i w:val="0"/>
                <w:iCs w:val="0"/>
                <w:sz w:val="22"/>
                <w:szCs w:val="22"/>
              </w:rPr>
              <w:t xml:space="preserve"> Progress exceeded</w:t>
            </w:r>
            <w:r w:rsidR="00FA7328" w:rsidRPr="005B0B73">
              <w:rPr>
                <w:rFonts w:eastAsia="Arial" w:cs="Arial"/>
                <w:b w:val="0"/>
                <w:bCs w:val="0"/>
                <w:i w:val="0"/>
                <w:iCs w:val="0"/>
                <w:sz w:val="22"/>
                <w:szCs w:val="22"/>
              </w:rPr>
              <w:t xml:space="preserve"> expectations</w:t>
            </w:r>
            <w:r w:rsidRPr="005B0B73">
              <w:rPr>
                <w:rFonts w:eastAsia="Arial" w:cs="Arial"/>
                <w:b w:val="0"/>
                <w:bCs w:val="0"/>
                <w:i w:val="0"/>
                <w:iCs w:val="0"/>
                <w:sz w:val="22"/>
                <w:szCs w:val="22"/>
              </w:rPr>
              <w:t xml:space="preserve">.  </w:t>
            </w:r>
          </w:p>
        </w:tc>
      </w:tr>
    </w:tbl>
    <w:p w14:paraId="7EE705E3" w14:textId="41ACFA4F" w:rsidR="126F1DDD" w:rsidRPr="005B0B73" w:rsidRDefault="0001077E" w:rsidP="1FFC5AE9">
      <w:pPr>
        <w:jc w:val="both"/>
        <w:rPr>
          <w:rFonts w:eastAsia="Arial" w:cs="Arial"/>
          <w:i/>
          <w:iCs/>
          <w:sz w:val="18"/>
          <w:szCs w:val="18"/>
        </w:rPr>
      </w:pPr>
      <w:r w:rsidRPr="005B0B73">
        <w:rPr>
          <w:rFonts w:eastAsia="Arial" w:cs="Arial"/>
          <w:i/>
          <w:iCs/>
          <w:sz w:val="18"/>
          <w:szCs w:val="18"/>
        </w:rPr>
        <w:t>*To note</w:t>
      </w:r>
      <w:r w:rsidR="009919E7" w:rsidRPr="005B0B73">
        <w:rPr>
          <w:rFonts w:eastAsia="Arial" w:cs="Arial"/>
          <w:i/>
          <w:iCs/>
          <w:sz w:val="18"/>
          <w:szCs w:val="18"/>
        </w:rPr>
        <w:t xml:space="preserve"> the previous indicator</w:t>
      </w:r>
      <w:r w:rsidRPr="005B0B73">
        <w:rPr>
          <w:rFonts w:eastAsia="Arial" w:cs="Arial"/>
          <w:i/>
          <w:iCs/>
          <w:sz w:val="18"/>
          <w:szCs w:val="18"/>
        </w:rPr>
        <w:t xml:space="preserve"> </w:t>
      </w:r>
      <w:r w:rsidR="009919E7" w:rsidRPr="005B0B73">
        <w:rPr>
          <w:rFonts w:eastAsia="Arial" w:cs="Arial"/>
          <w:i/>
          <w:iCs/>
          <w:sz w:val="18"/>
          <w:szCs w:val="18"/>
        </w:rPr>
        <w:t xml:space="preserve">2.1 was removed and replaced with a more appropriate new indicator 2.3 as part of the 2025 TCAF </w:t>
      </w:r>
      <w:proofErr w:type="spellStart"/>
      <w:r w:rsidR="009919E7" w:rsidRPr="005B0B73">
        <w:rPr>
          <w:rFonts w:eastAsia="Arial" w:cs="Arial"/>
          <w:i/>
          <w:iCs/>
          <w:sz w:val="18"/>
          <w:szCs w:val="18"/>
        </w:rPr>
        <w:t>Logframe</w:t>
      </w:r>
      <w:proofErr w:type="spellEnd"/>
      <w:r w:rsidR="009919E7" w:rsidRPr="005B0B73">
        <w:rPr>
          <w:rFonts w:eastAsia="Arial" w:cs="Arial"/>
          <w:i/>
          <w:iCs/>
          <w:sz w:val="18"/>
          <w:szCs w:val="18"/>
        </w:rPr>
        <w:t xml:space="preserve"> refresh. </w:t>
      </w:r>
    </w:p>
    <w:p w14:paraId="5781E6D7" w14:textId="77777777" w:rsidR="0001077E" w:rsidRPr="005B0B73" w:rsidDel="00A215F1" w:rsidRDefault="0001077E" w:rsidP="1FFC5AE9">
      <w:pPr>
        <w:jc w:val="both"/>
        <w:rPr>
          <w:rFonts w:eastAsia="Arial" w:cs="Arial"/>
          <w:b/>
          <w:bCs/>
          <w:i/>
          <w:iCs/>
          <w:sz w:val="22"/>
          <w:szCs w:val="22"/>
        </w:rPr>
      </w:pPr>
    </w:p>
    <w:p w14:paraId="7E33011C" w14:textId="13BABFD7" w:rsidR="3E9F2034" w:rsidRPr="005B0B73" w:rsidRDefault="00F36A1A" w:rsidP="009919E7">
      <w:pPr>
        <w:jc w:val="both"/>
        <w:rPr>
          <w:rFonts w:eastAsia="Arial" w:cs="Arial"/>
          <w:b/>
          <w:i/>
          <w:sz w:val="22"/>
          <w:szCs w:val="22"/>
        </w:rPr>
      </w:pPr>
      <w:bookmarkStart w:id="11" w:name="_Toc142922631"/>
      <w:r w:rsidRPr="005B0B73">
        <w:rPr>
          <w:rFonts w:eastAsia="Arial" w:cs="Arial"/>
          <w:b/>
          <w:i/>
          <w:sz w:val="22"/>
          <w:szCs w:val="22"/>
        </w:rPr>
        <w:t xml:space="preserve">Output summary and supporting narrative for the score </w:t>
      </w:r>
    </w:p>
    <w:p w14:paraId="6C2F83C9" w14:textId="0386DA2B" w:rsidR="38583E16" w:rsidRPr="005B0B73" w:rsidRDefault="0001077E" w:rsidP="00AB3813">
      <w:pPr>
        <w:spacing w:before="240" w:after="240" w:line="300" w:lineRule="auto"/>
        <w:jc w:val="both"/>
        <w:rPr>
          <w:rFonts w:eastAsia="Arial" w:cs="Arial"/>
          <w:sz w:val="22"/>
          <w:szCs w:val="22"/>
          <w:lang w:val="en-US"/>
        </w:rPr>
      </w:pPr>
      <w:r w:rsidRPr="005B0B73">
        <w:rPr>
          <w:rFonts w:eastAsia="Arial" w:cs="Arial"/>
          <w:sz w:val="22"/>
          <w:szCs w:val="22"/>
        </w:rPr>
        <w:t>Regarding indicator 2.2,</w:t>
      </w:r>
      <w:r w:rsidR="00B11B29" w:rsidRPr="005B0B73">
        <w:rPr>
          <w:rFonts w:eastAsia="Arial" w:cs="Arial"/>
          <w:sz w:val="22"/>
          <w:szCs w:val="22"/>
        </w:rPr>
        <w:t xml:space="preserve"> progress exceeded expectations with further capacity building including in Ecuador and the </w:t>
      </w:r>
      <w:r w:rsidR="00341AFC" w:rsidRPr="005B0B73">
        <w:rPr>
          <w:rFonts w:eastAsia="Arial" w:cs="Arial"/>
          <w:sz w:val="22"/>
          <w:szCs w:val="22"/>
        </w:rPr>
        <w:t xml:space="preserve">Kyrgyz Republic. </w:t>
      </w:r>
      <w:r w:rsidR="00341AFC" w:rsidRPr="005B0B73">
        <w:rPr>
          <w:rFonts w:eastAsia="Arial" w:cs="Arial"/>
          <w:sz w:val="22"/>
          <w:szCs w:val="22"/>
          <w:lang w:val="en-US"/>
        </w:rPr>
        <w:t xml:space="preserve">Country engagement deepened, with TCAF providing targeted support on carbon market regulation, institutional capacity, and Article 6 readiness. In Uzbekistan, the government submitted carbon market legislation for internal review, expected to be issued in July 2026. Pakistan's Ministry of Climate Change operationalized new Carbon Market Policy Guidelines, with provincial focal points now active in the approval process. In the Kyrgyz Republic, TCAF is supporting implementation of a newly adopted carbon market regulation (February 2026) and is developing an AI-powered ITMO </w:t>
      </w:r>
      <w:proofErr w:type="spellStart"/>
      <w:r w:rsidR="00341AFC" w:rsidRPr="005B0B73">
        <w:rPr>
          <w:rFonts w:eastAsia="Arial" w:cs="Arial"/>
          <w:sz w:val="22"/>
          <w:szCs w:val="22"/>
          <w:lang w:val="en-US"/>
        </w:rPr>
        <w:t>authorisation</w:t>
      </w:r>
      <w:proofErr w:type="spellEnd"/>
      <w:r w:rsidR="00341AFC" w:rsidRPr="005B0B73">
        <w:rPr>
          <w:rFonts w:eastAsia="Arial" w:cs="Arial"/>
          <w:sz w:val="22"/>
          <w:szCs w:val="22"/>
          <w:lang w:val="en-US"/>
        </w:rPr>
        <w:t xml:space="preserve"> tool. </w:t>
      </w:r>
      <w:r w:rsidR="00341AFC" w:rsidRPr="005B0B73">
        <w:rPr>
          <w:rFonts w:eastAsia="Arial" w:cs="Arial"/>
          <w:sz w:val="22"/>
          <w:szCs w:val="22"/>
        </w:rPr>
        <w:t xml:space="preserve">This capacity building has enabled the progress in the two </w:t>
      </w:r>
      <w:r w:rsidR="6B4D8971" w:rsidRPr="005B0B73">
        <w:rPr>
          <w:rFonts w:eastAsia="Arial" w:cs="Arial"/>
          <w:sz w:val="22"/>
          <w:szCs w:val="22"/>
          <w:lang w:val="en-US"/>
        </w:rPr>
        <w:t>new programs with Ecuador notably triggering a ministerial decree for ITMO authorization in June 2026</w:t>
      </w:r>
      <w:r w:rsidR="00654B9F" w:rsidRPr="005B0B73">
        <w:rPr>
          <w:rFonts w:eastAsia="Arial" w:cs="Arial"/>
          <w:sz w:val="22"/>
          <w:szCs w:val="22"/>
          <w:lang w:val="en-US"/>
        </w:rPr>
        <w:t xml:space="preserve"> (just outside the reporting period)</w:t>
      </w:r>
      <w:r w:rsidR="6B4D8971" w:rsidRPr="005B0B73">
        <w:rPr>
          <w:rFonts w:eastAsia="Arial" w:cs="Arial"/>
          <w:sz w:val="22"/>
          <w:szCs w:val="22"/>
          <w:lang w:val="en-US"/>
        </w:rPr>
        <w:t xml:space="preserve">. </w:t>
      </w:r>
    </w:p>
    <w:p w14:paraId="56B0754F" w14:textId="27009EF5" w:rsidR="107DAAA3" w:rsidRPr="005B0B73" w:rsidRDefault="00341AFC" w:rsidP="00AB3813">
      <w:pPr>
        <w:spacing w:before="240" w:after="240" w:line="300" w:lineRule="auto"/>
        <w:jc w:val="both"/>
        <w:rPr>
          <w:rFonts w:eastAsia="Arial" w:cs="Arial"/>
          <w:sz w:val="22"/>
          <w:szCs w:val="22"/>
          <w:lang w:val="en-US"/>
        </w:rPr>
      </w:pPr>
      <w:r w:rsidRPr="005B0B73">
        <w:rPr>
          <w:rFonts w:eastAsia="Arial" w:cs="Arial"/>
          <w:sz w:val="22"/>
          <w:szCs w:val="22"/>
        </w:rPr>
        <w:t>Regarding indicator 2.3</w:t>
      </w:r>
      <w:r w:rsidRPr="005B0B73">
        <w:rPr>
          <w:rFonts w:eastAsia="Arial" w:cs="Arial"/>
          <w:sz w:val="18"/>
          <w:szCs w:val="18"/>
        </w:rPr>
        <w:t xml:space="preserve"> </w:t>
      </w:r>
      <w:r w:rsidRPr="005B0B73">
        <w:rPr>
          <w:rFonts w:eastAsia="Arial" w:cs="Arial"/>
          <w:sz w:val="22"/>
          <w:szCs w:val="22"/>
        </w:rPr>
        <w:t xml:space="preserve">a joint global knowledge day was organised between TCAF/Ci-Dev/PMI at last year’s Innovate4Climate conference. </w:t>
      </w:r>
      <w:r w:rsidRPr="005B0B73">
        <w:rPr>
          <w:rFonts w:eastAsia="Arial" w:cs="Arial"/>
          <w:sz w:val="22"/>
          <w:szCs w:val="22"/>
          <w:lang w:val="en-US"/>
        </w:rPr>
        <w:t xml:space="preserve">Surveys at the end of these capacity </w:t>
      </w:r>
      <w:r w:rsidRPr="005B0B73">
        <w:rPr>
          <w:rFonts w:eastAsia="Arial" w:cs="Arial"/>
          <w:sz w:val="22"/>
          <w:szCs w:val="22"/>
          <w:lang w:val="en-US"/>
        </w:rPr>
        <w:lastRenderedPageBreak/>
        <w:t xml:space="preserve">building events showed 89% of the Ministries in attendance found the workshops useful and improved their capacity for carbon market participation. </w:t>
      </w:r>
    </w:p>
    <w:p w14:paraId="6A0F4E80" w14:textId="63304F72" w:rsidR="574CE5F9" w:rsidRPr="005B0B73" w:rsidRDefault="574CE5F9" w:rsidP="107DAAA3">
      <w:pPr>
        <w:jc w:val="both"/>
        <w:rPr>
          <w:rFonts w:eastAsia="Arial" w:cs="Arial"/>
          <w:b/>
          <w:i/>
          <w:sz w:val="22"/>
          <w:szCs w:val="22"/>
        </w:rPr>
      </w:pPr>
      <w:r w:rsidRPr="005B0B73">
        <w:rPr>
          <w:rFonts w:eastAsia="Arial" w:cs="Arial"/>
          <w:b/>
          <w:i/>
          <w:sz w:val="22"/>
          <w:szCs w:val="22"/>
        </w:rPr>
        <w:t>Progress on recommendations from the previous AR, lessons learned this year</w:t>
      </w:r>
    </w:p>
    <w:p w14:paraId="36DD140D" w14:textId="14292E30" w:rsidR="107DAAA3" w:rsidRPr="005B0B73" w:rsidRDefault="107DAAA3" w:rsidP="0C4BEBF8">
      <w:pPr>
        <w:jc w:val="both"/>
        <w:rPr>
          <w:rFonts w:eastAsia="Arial" w:cs="Arial"/>
          <w:b/>
          <w:i/>
          <w:sz w:val="22"/>
          <w:szCs w:val="22"/>
        </w:rPr>
      </w:pPr>
    </w:p>
    <w:p w14:paraId="3191E9F9" w14:textId="2E6403D9" w:rsidR="00341AFC" w:rsidRPr="005B0B73" w:rsidRDefault="5C38BBA2" w:rsidP="00AB3813">
      <w:pPr>
        <w:spacing w:line="300" w:lineRule="auto"/>
        <w:jc w:val="both"/>
        <w:rPr>
          <w:rFonts w:eastAsia="Arial" w:cs="Arial"/>
          <w:sz w:val="22"/>
          <w:szCs w:val="22"/>
        </w:rPr>
      </w:pPr>
      <w:r w:rsidRPr="005B0B73">
        <w:rPr>
          <w:rFonts w:eastAsia="Arial" w:cs="Arial"/>
          <w:sz w:val="22"/>
          <w:szCs w:val="22"/>
        </w:rPr>
        <w:t xml:space="preserve">TCAF has made significant strides in </w:t>
      </w:r>
      <w:r w:rsidR="342E3C94" w:rsidRPr="005B0B73">
        <w:rPr>
          <w:rFonts w:eastAsia="Arial" w:cs="Arial"/>
          <w:sz w:val="22"/>
          <w:szCs w:val="22"/>
        </w:rPr>
        <w:t>FY26</w:t>
      </w:r>
      <w:r w:rsidRPr="005B0B73">
        <w:rPr>
          <w:rFonts w:eastAsia="Arial" w:cs="Arial"/>
          <w:sz w:val="22"/>
          <w:szCs w:val="22"/>
        </w:rPr>
        <w:t xml:space="preserve">, moving from a focus on knowledge generation in </w:t>
      </w:r>
      <w:r w:rsidR="7FE5FCB3" w:rsidRPr="005B0B73">
        <w:rPr>
          <w:rFonts w:eastAsia="Arial" w:cs="Arial"/>
          <w:sz w:val="22"/>
          <w:szCs w:val="22"/>
        </w:rPr>
        <w:t>FY</w:t>
      </w:r>
      <w:r w:rsidR="342E3C94" w:rsidRPr="005B0B73">
        <w:rPr>
          <w:rFonts w:eastAsia="Arial" w:cs="Arial"/>
          <w:sz w:val="22"/>
          <w:szCs w:val="22"/>
        </w:rPr>
        <w:t>25</w:t>
      </w:r>
      <w:r w:rsidRPr="005B0B73">
        <w:rPr>
          <w:rFonts w:eastAsia="Arial" w:cs="Arial"/>
          <w:sz w:val="22"/>
          <w:szCs w:val="22"/>
        </w:rPr>
        <w:t xml:space="preserve"> to programme delivery</w:t>
      </w:r>
      <w:r w:rsidR="004D196B" w:rsidRPr="005B0B73">
        <w:rPr>
          <w:rFonts w:eastAsia="Arial" w:cs="Arial"/>
          <w:sz w:val="22"/>
          <w:szCs w:val="22"/>
        </w:rPr>
        <w:t xml:space="preserve"> and continued capacity building</w:t>
      </w:r>
      <w:r w:rsidR="26448107" w:rsidRPr="005B0B73">
        <w:rPr>
          <w:rFonts w:eastAsia="Arial" w:cs="Arial"/>
          <w:sz w:val="22"/>
          <w:szCs w:val="22"/>
        </w:rPr>
        <w:t>.</w:t>
      </w:r>
      <w:r w:rsidRPr="005B0B73">
        <w:rPr>
          <w:rFonts w:eastAsia="Arial" w:cs="Arial"/>
          <w:sz w:val="22"/>
          <w:szCs w:val="22"/>
        </w:rPr>
        <w:t xml:space="preserve"> While </w:t>
      </w:r>
      <w:r w:rsidR="2A35761C" w:rsidRPr="005B0B73">
        <w:rPr>
          <w:rFonts w:eastAsia="Arial" w:cs="Arial"/>
          <w:sz w:val="22"/>
          <w:szCs w:val="22"/>
        </w:rPr>
        <w:t>FY</w:t>
      </w:r>
      <w:r w:rsidRPr="005B0B73">
        <w:rPr>
          <w:rFonts w:eastAsia="Arial" w:cs="Arial"/>
          <w:sz w:val="22"/>
          <w:szCs w:val="22"/>
        </w:rPr>
        <w:t xml:space="preserve">25 highlighted strong progress in producing technical knowledge products and shaping thinking on RBCF and Article 6, outputs were not </w:t>
      </w:r>
      <w:r w:rsidR="004D196B" w:rsidRPr="005B0B73">
        <w:rPr>
          <w:rFonts w:eastAsia="Arial" w:cs="Arial"/>
          <w:sz w:val="22"/>
          <w:szCs w:val="22"/>
        </w:rPr>
        <w:t xml:space="preserve">fully </w:t>
      </w:r>
      <w:r w:rsidRPr="005B0B73">
        <w:rPr>
          <w:rFonts w:eastAsia="Arial" w:cs="Arial"/>
          <w:sz w:val="22"/>
          <w:szCs w:val="22"/>
        </w:rPr>
        <w:t xml:space="preserve">measured due to </w:t>
      </w:r>
      <w:proofErr w:type="spellStart"/>
      <w:r w:rsidRPr="005B0B73">
        <w:rPr>
          <w:rFonts w:eastAsia="Arial" w:cs="Arial"/>
          <w:sz w:val="22"/>
          <w:szCs w:val="22"/>
        </w:rPr>
        <w:t>logframe</w:t>
      </w:r>
      <w:proofErr w:type="spellEnd"/>
      <w:r w:rsidR="004D196B" w:rsidRPr="005B0B73">
        <w:rPr>
          <w:rFonts w:eastAsia="Arial" w:cs="Arial"/>
          <w:sz w:val="22"/>
          <w:szCs w:val="22"/>
        </w:rPr>
        <w:t xml:space="preserve"> design</w:t>
      </w:r>
      <w:r w:rsidRPr="005B0B73">
        <w:rPr>
          <w:rFonts w:eastAsia="Arial" w:cs="Arial"/>
          <w:sz w:val="22"/>
          <w:szCs w:val="22"/>
        </w:rPr>
        <w:t>.</w:t>
      </w:r>
      <w:r w:rsidR="00341AFC" w:rsidRPr="005B0B73">
        <w:rPr>
          <w:rFonts w:eastAsia="Arial" w:cs="Arial"/>
          <w:sz w:val="22"/>
          <w:szCs w:val="22"/>
        </w:rPr>
        <w:t xml:space="preserve"> </w:t>
      </w:r>
      <w:r w:rsidRPr="005B0B73">
        <w:rPr>
          <w:rFonts w:eastAsia="Arial" w:cs="Arial"/>
          <w:sz w:val="22"/>
          <w:szCs w:val="22"/>
        </w:rPr>
        <w:t xml:space="preserve">In contrast, </w:t>
      </w:r>
      <w:r w:rsidR="004D196B" w:rsidRPr="005B0B73">
        <w:rPr>
          <w:rFonts w:eastAsia="Arial" w:cs="Arial"/>
          <w:sz w:val="22"/>
          <w:szCs w:val="22"/>
        </w:rPr>
        <w:t xml:space="preserve">following the </w:t>
      </w:r>
      <w:proofErr w:type="spellStart"/>
      <w:r w:rsidR="004D196B" w:rsidRPr="005B0B73">
        <w:rPr>
          <w:rFonts w:eastAsia="Arial" w:cs="Arial"/>
          <w:sz w:val="22"/>
          <w:szCs w:val="22"/>
        </w:rPr>
        <w:t>logframe</w:t>
      </w:r>
      <w:proofErr w:type="spellEnd"/>
      <w:r w:rsidR="004D196B" w:rsidRPr="005B0B73">
        <w:rPr>
          <w:rFonts w:eastAsia="Arial" w:cs="Arial"/>
          <w:sz w:val="22"/>
          <w:szCs w:val="22"/>
        </w:rPr>
        <w:t xml:space="preserve"> refresh, </w:t>
      </w:r>
      <w:r w:rsidR="002DF061" w:rsidRPr="005B0B73">
        <w:rPr>
          <w:rFonts w:eastAsia="Arial" w:cs="Arial"/>
          <w:sz w:val="22"/>
          <w:szCs w:val="22"/>
        </w:rPr>
        <w:t>FY</w:t>
      </w:r>
      <w:r w:rsidR="09329358" w:rsidRPr="005B0B73">
        <w:rPr>
          <w:rFonts w:eastAsia="Arial" w:cs="Arial"/>
          <w:sz w:val="22"/>
          <w:szCs w:val="22"/>
        </w:rPr>
        <w:t xml:space="preserve">26 </w:t>
      </w:r>
      <w:r w:rsidRPr="005B0B73">
        <w:rPr>
          <w:rFonts w:eastAsia="Arial" w:cs="Arial"/>
          <w:sz w:val="22"/>
          <w:szCs w:val="22"/>
        </w:rPr>
        <w:t xml:space="preserve">demonstrates a more mature phase of delivery, with outputs evidenced through concrete milestones and strengthened country-level engagement on carbon market frameworks. </w:t>
      </w:r>
    </w:p>
    <w:p w14:paraId="3BE14E5C" w14:textId="77777777" w:rsidR="00E21322" w:rsidRPr="005B0B73" w:rsidRDefault="00E21322" w:rsidP="00AB3813">
      <w:pPr>
        <w:jc w:val="both"/>
        <w:rPr>
          <w:rFonts w:eastAsia="Arial" w:cs="Arial"/>
          <w:b/>
          <w:i/>
          <w:sz w:val="22"/>
          <w:szCs w:val="22"/>
        </w:rPr>
      </w:pPr>
    </w:p>
    <w:p w14:paraId="7DB93873" w14:textId="25463A30" w:rsidR="66807BE3" w:rsidRPr="005B0B73" w:rsidRDefault="000978AD" w:rsidP="00AB3813">
      <w:pPr>
        <w:jc w:val="both"/>
        <w:rPr>
          <w:rFonts w:eastAsia="Arial" w:cs="Arial"/>
          <w:b/>
          <w:i/>
          <w:sz w:val="22"/>
          <w:szCs w:val="22"/>
        </w:rPr>
      </w:pPr>
      <w:r w:rsidRPr="005B0B73">
        <w:rPr>
          <w:rFonts w:eastAsia="Arial" w:cs="Arial"/>
          <w:b/>
          <w:i/>
          <w:sz w:val="22"/>
          <w:szCs w:val="22"/>
        </w:rPr>
        <w:t>R</w:t>
      </w:r>
      <w:r w:rsidR="00A2500D" w:rsidRPr="005B0B73">
        <w:rPr>
          <w:rFonts w:eastAsia="Arial" w:cs="Arial"/>
          <w:b/>
          <w:i/>
          <w:sz w:val="22"/>
          <w:szCs w:val="22"/>
        </w:rPr>
        <w:t xml:space="preserve">ecommendations for the year ahead </w:t>
      </w:r>
    </w:p>
    <w:p w14:paraId="209DE7B6" w14:textId="2E414C78" w:rsidR="5CD98ADF" w:rsidRPr="005B0B73" w:rsidRDefault="5CD98ADF" w:rsidP="00AB3813">
      <w:pPr>
        <w:jc w:val="both"/>
        <w:rPr>
          <w:rFonts w:eastAsia="Arial" w:cs="Arial"/>
          <w:b/>
          <w:i/>
          <w:sz w:val="22"/>
          <w:szCs w:val="22"/>
        </w:rPr>
      </w:pPr>
    </w:p>
    <w:p w14:paraId="63198AD0" w14:textId="31512A2D" w:rsidR="00341AFC" w:rsidRPr="005B0B73" w:rsidRDefault="278DB674" w:rsidP="00AB3813">
      <w:pPr>
        <w:spacing w:line="300" w:lineRule="auto"/>
        <w:jc w:val="both"/>
        <w:rPr>
          <w:rFonts w:eastAsia="Arial" w:cs="Arial"/>
          <w:sz w:val="22"/>
          <w:szCs w:val="22"/>
        </w:rPr>
      </w:pPr>
      <w:r w:rsidRPr="005B0B73">
        <w:rPr>
          <w:rFonts w:eastAsia="Arial" w:cs="Arial"/>
          <w:sz w:val="22"/>
          <w:szCs w:val="22"/>
        </w:rPr>
        <w:t xml:space="preserve">As targets have been exceeded, no specific </w:t>
      </w:r>
      <w:r w:rsidR="004E5EFE" w:rsidRPr="005B0B73">
        <w:rPr>
          <w:rFonts w:eastAsia="Arial" w:cs="Arial"/>
          <w:sz w:val="22"/>
          <w:szCs w:val="22"/>
        </w:rPr>
        <w:t xml:space="preserve">new </w:t>
      </w:r>
      <w:r w:rsidRPr="005B0B73">
        <w:rPr>
          <w:rFonts w:eastAsia="Arial" w:cs="Arial"/>
          <w:sz w:val="22"/>
          <w:szCs w:val="22"/>
        </w:rPr>
        <w:t>recommendations are proposed for Output 2.</w:t>
      </w:r>
      <w:r w:rsidR="004E5EFE" w:rsidRPr="005B0B73">
        <w:rPr>
          <w:rFonts w:eastAsia="Arial" w:cs="Arial"/>
          <w:sz w:val="22"/>
          <w:szCs w:val="22"/>
        </w:rPr>
        <w:t xml:space="preserve"> However, the recommendation regarding use of surveys is rolled over, due to its continued relevance</w:t>
      </w:r>
      <w:r w:rsidR="002057DC" w:rsidRPr="005B0B73">
        <w:rPr>
          <w:rFonts w:eastAsia="Arial" w:cs="Arial"/>
          <w:sz w:val="22"/>
          <w:szCs w:val="22"/>
        </w:rPr>
        <w:t xml:space="preserve">: </w:t>
      </w:r>
      <w:r w:rsidR="004E5EFE" w:rsidRPr="005B0B73">
        <w:rPr>
          <w:rFonts w:eastAsia="Arial" w:cs="Arial"/>
          <w:sz w:val="22"/>
          <w:szCs w:val="22"/>
        </w:rPr>
        <w:t xml:space="preserve"> </w:t>
      </w:r>
    </w:p>
    <w:p w14:paraId="1DE5BCF6" w14:textId="77777777" w:rsidR="004E5EFE" w:rsidRPr="005B0B73" w:rsidRDefault="004E5EFE" w:rsidP="1FB3ABE3">
      <w:pPr>
        <w:spacing w:line="300" w:lineRule="auto"/>
        <w:rPr>
          <w:rFonts w:eastAsia="Arial" w:cs="Arial"/>
          <w:sz w:val="22"/>
          <w:szCs w:val="22"/>
        </w:rPr>
      </w:pPr>
    </w:p>
    <w:tbl>
      <w:tblPr>
        <w:tblStyle w:val="TableGrid"/>
        <w:tblW w:w="0" w:type="auto"/>
        <w:tblLook w:val="04A0" w:firstRow="1" w:lastRow="0" w:firstColumn="1" w:lastColumn="0" w:noHBand="0" w:noVBand="1"/>
      </w:tblPr>
      <w:tblGrid>
        <w:gridCol w:w="9016"/>
      </w:tblGrid>
      <w:tr w:rsidR="00341AFC" w:rsidRPr="005B0B73" w14:paraId="3C9AFC7A" w14:textId="77777777" w:rsidTr="00341AFC">
        <w:tc>
          <w:tcPr>
            <w:tcW w:w="9016" w:type="dxa"/>
          </w:tcPr>
          <w:p w14:paraId="3497BF84" w14:textId="53C2E5B5" w:rsidR="00341AFC" w:rsidRPr="005B0B73" w:rsidRDefault="00341AFC" w:rsidP="1FB3ABE3">
            <w:pPr>
              <w:spacing w:line="300" w:lineRule="auto"/>
              <w:rPr>
                <w:rFonts w:eastAsia="Arial" w:cs="Arial"/>
                <w:i/>
                <w:iCs/>
                <w:sz w:val="22"/>
                <w:szCs w:val="22"/>
              </w:rPr>
            </w:pPr>
            <w:r w:rsidRPr="005B0B73">
              <w:rPr>
                <w:rFonts w:eastAsia="Arial" w:cs="Arial"/>
                <w:i/>
                <w:iCs/>
                <w:color w:val="000000" w:themeColor="text1"/>
                <w:sz w:val="22"/>
                <w:szCs w:val="22"/>
              </w:rPr>
              <w:t xml:space="preserve">The </w:t>
            </w:r>
            <w:r w:rsidRPr="005B0B73">
              <w:rPr>
                <w:rFonts w:eastAsia="Arial" w:cs="Arial"/>
                <w:b/>
                <w:bCs/>
                <w:i/>
                <w:iCs/>
                <w:color w:val="000000" w:themeColor="text1"/>
                <w:sz w:val="22"/>
                <w:szCs w:val="22"/>
              </w:rPr>
              <w:t>Trustee</w:t>
            </w:r>
            <w:r w:rsidRPr="005B0B73">
              <w:rPr>
                <w:rFonts w:eastAsia="Arial" w:cs="Arial"/>
                <w:i/>
                <w:iCs/>
                <w:color w:val="000000" w:themeColor="text1"/>
                <w:sz w:val="22"/>
                <w:szCs w:val="22"/>
              </w:rPr>
              <w:t xml:space="preserve"> should continue to enlist the use of surveys at WB led events to better track, incorporate, and present how feedback from key stakeholders such as host ministries, the private sector, and international organisations (e.g. UNFCCC and ICAO) has been taken on board. </w:t>
            </w:r>
          </w:p>
        </w:tc>
      </w:tr>
    </w:tbl>
    <w:p w14:paraId="1B78F294" w14:textId="77777777" w:rsidR="00341AFC" w:rsidRPr="005B0B73" w:rsidRDefault="00341AFC" w:rsidP="1FB3ABE3">
      <w:pPr>
        <w:spacing w:line="300" w:lineRule="auto"/>
        <w:rPr>
          <w:rFonts w:eastAsia="Arial" w:cs="Arial"/>
          <w:sz w:val="22"/>
          <w:szCs w:val="22"/>
        </w:rPr>
      </w:pPr>
    </w:p>
    <w:p w14:paraId="133FE7BA" w14:textId="77777777" w:rsidR="00341AFC" w:rsidRPr="005B0B73" w:rsidRDefault="00341AFC" w:rsidP="1FB3ABE3">
      <w:pPr>
        <w:spacing w:line="300" w:lineRule="auto"/>
        <w:rPr>
          <w:rFonts w:eastAsia="Arial" w:cs="Arial"/>
          <w:sz w:val="22"/>
          <w:szCs w:val="22"/>
        </w:rPr>
      </w:pPr>
    </w:p>
    <w:p w14:paraId="23AE5484" w14:textId="77777777" w:rsidR="00341AFC" w:rsidRPr="005B0B73" w:rsidRDefault="00341AFC" w:rsidP="1FB3ABE3">
      <w:pPr>
        <w:spacing w:line="300" w:lineRule="auto"/>
        <w:rPr>
          <w:rFonts w:eastAsia="Arial" w:cs="Arial"/>
          <w:sz w:val="22"/>
          <w:szCs w:val="22"/>
        </w:rPr>
      </w:pPr>
    </w:p>
    <w:p w14:paraId="1F68EB16" w14:textId="5F012BAC" w:rsidR="700EE826" w:rsidRPr="005B0B73" w:rsidRDefault="700EE826" w:rsidP="700EE826">
      <w:pPr>
        <w:spacing w:line="300" w:lineRule="auto"/>
        <w:rPr>
          <w:rFonts w:eastAsia="Arial" w:cs="Arial"/>
          <w:color w:val="000000" w:themeColor="text1"/>
          <w:sz w:val="22"/>
          <w:szCs w:val="22"/>
          <w:highlight w:val="yellow"/>
        </w:rPr>
      </w:pPr>
    </w:p>
    <w:p w14:paraId="2FC8D967" w14:textId="2D504BBB" w:rsidR="5B0E813B" w:rsidRPr="005B0B73" w:rsidRDefault="5B0E813B" w:rsidP="5B0E813B">
      <w:pPr>
        <w:spacing w:line="300" w:lineRule="auto"/>
        <w:rPr>
          <w:rFonts w:eastAsia="Arial" w:cs="Arial"/>
          <w:color w:val="000000" w:themeColor="text1"/>
          <w:sz w:val="22"/>
          <w:szCs w:val="22"/>
          <w:highlight w:val="yellow"/>
        </w:rPr>
      </w:pPr>
    </w:p>
    <w:p w14:paraId="102FB95F" w14:textId="52C43295" w:rsidR="004A367B" w:rsidRPr="005B0B73" w:rsidRDefault="004A367B" w:rsidP="4194AC9C">
      <w:pPr>
        <w:rPr>
          <w:rFonts w:eastAsia="Arial" w:cs="Arial"/>
          <w:color w:val="000000" w:themeColor="text1"/>
          <w:sz w:val="22"/>
          <w:szCs w:val="22"/>
          <w:highlight w:val="yellow"/>
        </w:rPr>
      </w:pPr>
    </w:p>
    <w:bookmarkEnd w:id="11"/>
    <w:p w14:paraId="0D4136CD" w14:textId="013380A0" w:rsidR="71A6B937" w:rsidRPr="005B0B73" w:rsidRDefault="71A6B937">
      <w:pPr>
        <w:rPr>
          <w:rFonts w:cs="Arial"/>
        </w:rPr>
      </w:pPr>
      <w:r w:rsidRPr="6E60FA4D">
        <w:rPr>
          <w:rFonts w:cs="Arial"/>
        </w:rPr>
        <w:br w:type="page"/>
      </w:r>
    </w:p>
    <w:p w14:paraId="345661C3" w14:textId="365BC310" w:rsidR="004A367B" w:rsidRPr="005B0B73" w:rsidRDefault="004A367B" w:rsidP="1FFC5AE9">
      <w:pPr>
        <w:rPr>
          <w:rFonts w:eastAsia="Arial" w:cs="Arial"/>
          <w:b/>
          <w:bCs/>
          <w:i/>
          <w:iCs/>
          <w:sz w:val="28"/>
          <w:szCs w:val="28"/>
        </w:rPr>
      </w:pPr>
      <w:r w:rsidRPr="005B0B73">
        <w:rPr>
          <w:rFonts w:eastAsia="Arial" w:cs="Arial"/>
          <w:b/>
          <w:bCs/>
          <w:i/>
          <w:iCs/>
          <w:sz w:val="28"/>
          <w:szCs w:val="28"/>
        </w:rPr>
        <w:lastRenderedPageBreak/>
        <w:t xml:space="preserve">Output 3: </w:t>
      </w:r>
      <w:r w:rsidR="00363AE7" w:rsidRPr="005B0B73">
        <w:rPr>
          <w:rFonts w:eastAsia="Arial" w:cs="Arial"/>
          <w:b/>
          <w:bCs/>
          <w:i/>
          <w:iCs/>
          <w:sz w:val="28"/>
          <w:szCs w:val="28"/>
        </w:rPr>
        <w:t>Relevant knowledge transferred to targeted non-participants, including UNFCCC negotiations, by effectively sharing TCAF blueprints and lessons learnt  </w:t>
      </w:r>
    </w:p>
    <w:p w14:paraId="23CF0139" w14:textId="4CB60FB8" w:rsidR="00ED5FD4" w:rsidRPr="005B0B73" w:rsidRDefault="00ED5FD4" w:rsidP="1FFC5AE9">
      <w:pPr>
        <w:rPr>
          <w:rFonts w:eastAsia="Arial" w:cs="Arial"/>
        </w:rPr>
      </w:pPr>
    </w:p>
    <w:tbl>
      <w:tblPr>
        <w:tblStyle w:val="TableGrid"/>
        <w:tblW w:w="9072" w:type="dxa"/>
        <w:tblInd w:w="-5" w:type="dxa"/>
        <w:tblLook w:val="04A0" w:firstRow="1" w:lastRow="0" w:firstColumn="1" w:lastColumn="0" w:noHBand="0" w:noVBand="1"/>
      </w:tblPr>
      <w:tblGrid>
        <w:gridCol w:w="2182"/>
        <w:gridCol w:w="1244"/>
        <w:gridCol w:w="2670"/>
        <w:gridCol w:w="2976"/>
      </w:tblGrid>
      <w:tr w:rsidR="00682776" w:rsidRPr="005B0B73" w14:paraId="0D129A7F" w14:textId="77777777" w:rsidTr="375E2B8B">
        <w:trPr>
          <w:trHeight w:val="347"/>
        </w:trPr>
        <w:tc>
          <w:tcPr>
            <w:tcW w:w="218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4E4F19" w14:textId="77777777" w:rsidR="00ED5FD4" w:rsidRPr="005B0B73" w:rsidRDefault="00ED5FD4" w:rsidP="1FFC5AE9">
            <w:pPr>
              <w:jc w:val="both"/>
              <w:rPr>
                <w:rFonts w:eastAsia="Arial" w:cs="Arial"/>
                <w:sz w:val="22"/>
                <w:szCs w:val="22"/>
              </w:rPr>
            </w:pPr>
            <w:r w:rsidRPr="005B0B73">
              <w:rPr>
                <w:rFonts w:eastAsia="Arial" w:cs="Arial"/>
                <w:sz w:val="22"/>
                <w:szCs w:val="22"/>
              </w:rPr>
              <w:t xml:space="preserve">Output number: </w:t>
            </w:r>
          </w:p>
        </w:tc>
        <w:tc>
          <w:tcPr>
            <w:tcW w:w="1244" w:type="dxa"/>
            <w:tcBorders>
              <w:top w:val="single" w:sz="4" w:space="0" w:color="auto"/>
              <w:left w:val="single" w:sz="4" w:space="0" w:color="auto"/>
              <w:bottom w:val="single" w:sz="4" w:space="0" w:color="auto"/>
              <w:right w:val="single" w:sz="4" w:space="0" w:color="auto"/>
            </w:tcBorders>
          </w:tcPr>
          <w:p w14:paraId="7D3D58F5" w14:textId="46E6E832" w:rsidR="00ED5FD4" w:rsidRPr="005B0B73" w:rsidRDefault="00316F2B" w:rsidP="1FFC5AE9">
            <w:pPr>
              <w:jc w:val="both"/>
              <w:rPr>
                <w:rFonts w:eastAsia="Arial" w:cs="Arial"/>
                <w:sz w:val="22"/>
                <w:szCs w:val="22"/>
              </w:rPr>
            </w:pPr>
            <w:r w:rsidRPr="005B0B73">
              <w:rPr>
                <w:rFonts w:eastAsia="Arial" w:cs="Arial"/>
                <w:sz w:val="22"/>
                <w:szCs w:val="22"/>
              </w:rPr>
              <w:t>3</w:t>
            </w:r>
          </w:p>
        </w:tc>
        <w:tc>
          <w:tcPr>
            <w:tcW w:w="267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58A97E8" w14:textId="77777777" w:rsidR="00ED5FD4" w:rsidRPr="005B0B73" w:rsidRDefault="00ED5FD4" w:rsidP="1FFC5AE9">
            <w:pPr>
              <w:jc w:val="both"/>
              <w:rPr>
                <w:rFonts w:eastAsia="Arial" w:cs="Arial"/>
                <w:sz w:val="22"/>
                <w:szCs w:val="22"/>
              </w:rPr>
            </w:pPr>
            <w:r w:rsidRPr="005B0B73">
              <w:rPr>
                <w:rFonts w:eastAsia="Arial" w:cs="Arial"/>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20F25E26" w14:textId="6E913512" w:rsidR="00ED5FD4" w:rsidRPr="005B0B73" w:rsidRDefault="2AF5DB5D" w:rsidP="1FFC5AE9">
            <w:pPr>
              <w:jc w:val="both"/>
              <w:rPr>
                <w:rFonts w:eastAsia="Arial" w:cs="Arial"/>
                <w:b/>
                <w:bCs/>
                <w:sz w:val="22"/>
                <w:szCs w:val="22"/>
              </w:rPr>
            </w:pPr>
            <w:r w:rsidRPr="005B0B73">
              <w:rPr>
                <w:rFonts w:eastAsia="Arial" w:cs="Arial"/>
                <w:b/>
                <w:bCs/>
                <w:sz w:val="22"/>
                <w:szCs w:val="22"/>
              </w:rPr>
              <w:t>A+</w:t>
            </w:r>
          </w:p>
        </w:tc>
      </w:tr>
      <w:tr w:rsidR="00682776" w:rsidRPr="005B0B73" w14:paraId="71D6D4AA" w14:textId="77777777" w:rsidTr="375E2B8B">
        <w:trPr>
          <w:trHeight w:val="345"/>
        </w:trPr>
        <w:tc>
          <w:tcPr>
            <w:tcW w:w="218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DBDA094" w14:textId="77777777" w:rsidR="00ED5FD4" w:rsidRPr="005B0B73" w:rsidRDefault="00ED5FD4" w:rsidP="1FFC5AE9">
            <w:pPr>
              <w:jc w:val="both"/>
              <w:rPr>
                <w:rFonts w:eastAsia="Arial" w:cs="Arial"/>
                <w:sz w:val="22"/>
                <w:szCs w:val="22"/>
              </w:rPr>
            </w:pPr>
            <w:r w:rsidRPr="005B0B73">
              <w:rPr>
                <w:rFonts w:eastAsia="Arial" w:cs="Arial"/>
                <w:sz w:val="22"/>
                <w:szCs w:val="22"/>
              </w:rPr>
              <w:t xml:space="preserve">Impact weighting (%):  </w:t>
            </w:r>
          </w:p>
        </w:tc>
        <w:tc>
          <w:tcPr>
            <w:tcW w:w="1244" w:type="dxa"/>
            <w:tcBorders>
              <w:top w:val="single" w:sz="4" w:space="0" w:color="auto"/>
              <w:left w:val="single" w:sz="4" w:space="0" w:color="auto"/>
              <w:bottom w:val="single" w:sz="4" w:space="0" w:color="auto"/>
              <w:right w:val="single" w:sz="4" w:space="0" w:color="auto"/>
            </w:tcBorders>
            <w:hideMark/>
          </w:tcPr>
          <w:p w14:paraId="0EC60837" w14:textId="34262BC0" w:rsidR="00ED5FD4" w:rsidRPr="005B0B73" w:rsidRDefault="00316F2B" w:rsidP="1FFC5AE9">
            <w:pPr>
              <w:jc w:val="both"/>
              <w:rPr>
                <w:rFonts w:eastAsia="Arial" w:cs="Arial"/>
                <w:sz w:val="22"/>
                <w:szCs w:val="22"/>
              </w:rPr>
            </w:pPr>
            <w:r w:rsidRPr="005B0B73">
              <w:rPr>
                <w:rFonts w:eastAsia="Arial" w:cs="Arial"/>
                <w:sz w:val="22"/>
                <w:szCs w:val="22"/>
              </w:rPr>
              <w:t>30</w:t>
            </w:r>
          </w:p>
        </w:tc>
        <w:tc>
          <w:tcPr>
            <w:tcW w:w="267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35CD2B" w14:textId="77777777" w:rsidR="00ED5FD4" w:rsidRPr="005B0B73" w:rsidRDefault="00ED5FD4" w:rsidP="1FFC5AE9">
            <w:pPr>
              <w:jc w:val="both"/>
              <w:rPr>
                <w:rFonts w:eastAsia="Arial" w:cs="Arial"/>
                <w:sz w:val="22"/>
                <w:szCs w:val="22"/>
              </w:rPr>
            </w:pPr>
            <w:r w:rsidRPr="005B0B73">
              <w:rPr>
                <w:rFonts w:eastAsia="Arial" w:cs="Arial"/>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510CC462" w14:textId="79449020" w:rsidR="00ED5FD4" w:rsidRPr="005B0B73" w:rsidRDefault="2AF450D0" w:rsidP="1FFC5AE9">
            <w:pPr>
              <w:jc w:val="both"/>
              <w:rPr>
                <w:rFonts w:eastAsia="Arial" w:cs="Arial"/>
                <w:sz w:val="22"/>
                <w:szCs w:val="22"/>
              </w:rPr>
            </w:pPr>
            <w:r w:rsidRPr="005B0B73">
              <w:rPr>
                <w:rFonts w:eastAsia="Arial" w:cs="Arial"/>
                <w:sz w:val="22"/>
                <w:szCs w:val="22"/>
              </w:rPr>
              <w:t>No</w:t>
            </w:r>
          </w:p>
        </w:tc>
      </w:tr>
      <w:tr w:rsidR="00682776" w:rsidRPr="005B0B73" w14:paraId="13EB579E" w14:textId="77777777" w:rsidTr="375E2B8B">
        <w:trPr>
          <w:trHeight w:val="345"/>
        </w:trPr>
        <w:tc>
          <w:tcPr>
            <w:tcW w:w="218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A981A1" w14:textId="77777777" w:rsidR="00ED5FD4" w:rsidRPr="005B0B73" w:rsidRDefault="00ED5FD4" w:rsidP="6493F058">
            <w:pPr>
              <w:jc w:val="both"/>
              <w:rPr>
                <w:rFonts w:eastAsia="Arial" w:cs="Arial"/>
                <w:sz w:val="22"/>
                <w:szCs w:val="22"/>
              </w:rPr>
            </w:pPr>
            <w:r w:rsidRPr="005B0B73">
              <w:rPr>
                <w:rFonts w:eastAsia="Arial" w:cs="Arial"/>
                <w:sz w:val="22"/>
                <w:szCs w:val="22"/>
              </w:rPr>
              <w:t>Risk rating</w:t>
            </w:r>
          </w:p>
        </w:tc>
        <w:tc>
          <w:tcPr>
            <w:tcW w:w="1244" w:type="dxa"/>
            <w:tcBorders>
              <w:top w:val="single" w:sz="4" w:space="0" w:color="auto"/>
              <w:left w:val="single" w:sz="4" w:space="0" w:color="auto"/>
              <w:bottom w:val="single" w:sz="4" w:space="0" w:color="auto"/>
              <w:right w:val="single" w:sz="4" w:space="0" w:color="auto"/>
            </w:tcBorders>
          </w:tcPr>
          <w:p w14:paraId="56DEF1B3" w14:textId="2571323E" w:rsidR="00ED5FD4" w:rsidRPr="005B0B73" w:rsidRDefault="42334D71" w:rsidP="6493F058">
            <w:pPr>
              <w:jc w:val="both"/>
              <w:rPr>
                <w:rFonts w:eastAsia="Arial" w:cs="Arial"/>
                <w:sz w:val="22"/>
                <w:szCs w:val="22"/>
              </w:rPr>
            </w:pPr>
            <w:r w:rsidRPr="005B0B73">
              <w:rPr>
                <w:rFonts w:eastAsia="Arial" w:cs="Arial"/>
                <w:sz w:val="22"/>
                <w:szCs w:val="22"/>
              </w:rPr>
              <w:t>Moderate</w:t>
            </w:r>
          </w:p>
        </w:tc>
        <w:tc>
          <w:tcPr>
            <w:tcW w:w="267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1EB55AA" w14:textId="77777777" w:rsidR="00ED5FD4" w:rsidRPr="005B0B73" w:rsidRDefault="00ED5FD4" w:rsidP="6493F058">
            <w:pPr>
              <w:jc w:val="both"/>
              <w:rPr>
                <w:rFonts w:eastAsia="Arial" w:cs="Arial"/>
                <w:sz w:val="22"/>
                <w:szCs w:val="22"/>
              </w:rPr>
            </w:pPr>
            <w:r w:rsidRPr="005B0B73">
              <w:rPr>
                <w:rFonts w:eastAsia="Arial" w:cs="Arial"/>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7C423B56" w14:textId="3C351E02" w:rsidR="00ED5FD4" w:rsidRPr="005B0B73" w:rsidRDefault="01026F7F" w:rsidP="6493F058">
            <w:pPr>
              <w:jc w:val="both"/>
              <w:rPr>
                <w:rFonts w:eastAsia="Arial" w:cs="Arial"/>
                <w:sz w:val="22"/>
                <w:szCs w:val="22"/>
              </w:rPr>
            </w:pPr>
            <w:r w:rsidRPr="005B0B73">
              <w:rPr>
                <w:rFonts w:eastAsia="Arial" w:cs="Arial"/>
                <w:sz w:val="22"/>
                <w:szCs w:val="22"/>
              </w:rPr>
              <w:t>Yes</w:t>
            </w:r>
          </w:p>
        </w:tc>
      </w:tr>
    </w:tbl>
    <w:p w14:paraId="468D082A" w14:textId="77777777" w:rsidR="00ED5FD4" w:rsidRPr="005B0B73" w:rsidRDefault="00ED5FD4" w:rsidP="1FFC5AE9">
      <w:pPr>
        <w:jc w:val="both"/>
        <w:rPr>
          <w:rFonts w:eastAsia="Arial" w:cs="Arial"/>
          <w:b/>
          <w:bCs/>
          <w:sz w:val="22"/>
          <w:szCs w:val="22"/>
        </w:rPr>
      </w:pPr>
    </w:p>
    <w:tbl>
      <w:tblPr>
        <w:tblStyle w:val="TableGrid"/>
        <w:tblpPr w:leftFromText="180" w:rightFromText="180" w:vertAnchor="text" w:horzAnchor="page" w:tblpX="1462" w:tblpY="-10"/>
        <w:tblOverlap w:val="never"/>
        <w:tblW w:w="9067"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533"/>
        <w:gridCol w:w="1560"/>
        <w:gridCol w:w="2974"/>
      </w:tblGrid>
      <w:tr w:rsidR="00ED5FD4" w:rsidRPr="005B0B73" w14:paraId="1DCF0917" w14:textId="77777777" w:rsidTr="005303FC">
        <w:trPr>
          <w:trHeight w:val="273"/>
        </w:trPr>
        <w:tc>
          <w:tcPr>
            <w:tcW w:w="4533" w:type="dxa"/>
            <w:tcBorders>
              <w:top w:val="single" w:sz="2" w:space="0" w:color="auto"/>
              <w:left w:val="single" w:sz="2" w:space="0" w:color="auto"/>
              <w:right w:val="single" w:sz="2" w:space="0" w:color="auto"/>
            </w:tcBorders>
            <w:shd w:val="clear" w:color="auto" w:fill="DEEAF6" w:themeFill="accent5" w:themeFillTint="33"/>
            <w:hideMark/>
          </w:tcPr>
          <w:p w14:paraId="2B7EFCD7" w14:textId="77777777" w:rsidR="00ED5FD4" w:rsidRPr="005B0B73" w:rsidRDefault="00ED5FD4" w:rsidP="1FFC5AE9">
            <w:pPr>
              <w:jc w:val="both"/>
              <w:rPr>
                <w:rFonts w:eastAsia="Arial" w:cs="Arial"/>
                <w:b/>
                <w:bCs/>
                <w:sz w:val="22"/>
                <w:szCs w:val="22"/>
              </w:rPr>
            </w:pPr>
            <w:r w:rsidRPr="005B0B73">
              <w:rPr>
                <w:rFonts w:eastAsia="Arial" w:cs="Arial"/>
                <w:b/>
                <w:bCs/>
                <w:sz w:val="22"/>
                <w:szCs w:val="22"/>
              </w:rPr>
              <w:t>Indicator(s)</w:t>
            </w:r>
          </w:p>
        </w:tc>
        <w:tc>
          <w:tcPr>
            <w:tcW w:w="1560" w:type="dxa"/>
            <w:tcBorders>
              <w:top w:val="single" w:sz="2" w:space="0" w:color="auto"/>
              <w:left w:val="single" w:sz="2" w:space="0" w:color="auto"/>
              <w:right w:val="single" w:sz="2" w:space="0" w:color="auto"/>
            </w:tcBorders>
            <w:shd w:val="clear" w:color="auto" w:fill="DEEAF6" w:themeFill="accent5" w:themeFillTint="33"/>
            <w:hideMark/>
          </w:tcPr>
          <w:p w14:paraId="41B685D1" w14:textId="77777777" w:rsidR="00ED5FD4" w:rsidRPr="005B0B73" w:rsidRDefault="00ED5FD4" w:rsidP="1FFC5AE9">
            <w:pPr>
              <w:rPr>
                <w:rFonts w:eastAsia="Arial" w:cs="Arial"/>
                <w:b/>
                <w:bCs/>
                <w:sz w:val="22"/>
                <w:szCs w:val="22"/>
              </w:rPr>
            </w:pPr>
            <w:r w:rsidRPr="005B0B73">
              <w:rPr>
                <w:rFonts w:eastAsia="Arial" w:cs="Arial"/>
                <w:b/>
                <w:bCs/>
                <w:sz w:val="22"/>
                <w:szCs w:val="22"/>
              </w:rPr>
              <w:t>Milestone(s) for this review</w:t>
            </w:r>
          </w:p>
        </w:tc>
        <w:tc>
          <w:tcPr>
            <w:tcW w:w="2974" w:type="dxa"/>
            <w:tcBorders>
              <w:top w:val="single" w:sz="2" w:space="0" w:color="auto"/>
              <w:left w:val="single" w:sz="2" w:space="0" w:color="auto"/>
              <w:right w:val="single" w:sz="2" w:space="0" w:color="auto"/>
            </w:tcBorders>
            <w:shd w:val="clear" w:color="auto" w:fill="DEEAF6" w:themeFill="accent5" w:themeFillTint="33"/>
            <w:hideMark/>
          </w:tcPr>
          <w:p w14:paraId="1238883B" w14:textId="77777777" w:rsidR="00ED5FD4" w:rsidRPr="005B0B73" w:rsidRDefault="00ED5FD4" w:rsidP="1FFC5AE9">
            <w:pPr>
              <w:jc w:val="both"/>
              <w:rPr>
                <w:rFonts w:eastAsia="Arial" w:cs="Arial"/>
                <w:b/>
                <w:bCs/>
                <w:sz w:val="22"/>
                <w:szCs w:val="22"/>
              </w:rPr>
            </w:pPr>
            <w:r w:rsidRPr="005B0B73">
              <w:rPr>
                <w:rFonts w:eastAsia="Arial" w:cs="Arial"/>
                <w:b/>
                <w:bCs/>
                <w:sz w:val="22"/>
                <w:szCs w:val="22"/>
              </w:rPr>
              <w:t xml:space="preserve">Progress </w:t>
            </w:r>
          </w:p>
        </w:tc>
      </w:tr>
      <w:tr w:rsidR="00D03677" w:rsidRPr="005B0B73" w14:paraId="0D9D6326" w14:textId="77777777" w:rsidTr="005303FC">
        <w:trPr>
          <w:trHeight w:val="1187"/>
        </w:trPr>
        <w:tc>
          <w:tcPr>
            <w:tcW w:w="4533" w:type="dxa"/>
          </w:tcPr>
          <w:p w14:paraId="3BFA981A" w14:textId="30A4F104" w:rsidR="00D03677" w:rsidRPr="005B0B73" w:rsidRDefault="00D03677" w:rsidP="38C4303B">
            <w:pPr>
              <w:rPr>
                <w:rFonts w:eastAsia="Arial" w:cs="Arial"/>
                <w:sz w:val="22"/>
                <w:szCs w:val="22"/>
              </w:rPr>
            </w:pPr>
            <w:r w:rsidRPr="005B0B73">
              <w:rPr>
                <w:rFonts w:eastAsia="Arial" w:cs="Arial"/>
                <w:sz w:val="22"/>
                <w:szCs w:val="22"/>
              </w:rPr>
              <w:t xml:space="preserve">3.1 a) Number of TCAF knowledge products published  </w:t>
            </w:r>
          </w:p>
          <w:p w14:paraId="2A9C800A" w14:textId="53ADF829" w:rsidR="00D03677" w:rsidRPr="005B0B73" w:rsidRDefault="00D03677" w:rsidP="3CFDEDB0">
            <w:pPr>
              <w:rPr>
                <w:rFonts w:eastAsia="Arial" w:cs="Arial"/>
                <w:sz w:val="22"/>
                <w:szCs w:val="22"/>
              </w:rPr>
            </w:pPr>
            <w:r w:rsidRPr="005B0B73">
              <w:rPr>
                <w:rFonts w:eastAsia="Arial" w:cs="Arial"/>
                <w:sz w:val="22"/>
                <w:szCs w:val="22"/>
              </w:rPr>
              <w:t>b) Cumulative number of downloads of TCAF technical reports</w:t>
            </w:r>
          </w:p>
        </w:tc>
        <w:tc>
          <w:tcPr>
            <w:tcW w:w="1560" w:type="dxa"/>
          </w:tcPr>
          <w:p w14:paraId="50E8BA73" w14:textId="67A25772" w:rsidR="00D03677" w:rsidRPr="005B0B73" w:rsidRDefault="00D03677" w:rsidP="3CFDEDB0">
            <w:pPr>
              <w:rPr>
                <w:rFonts w:eastAsia="Arial" w:cs="Arial"/>
                <w:sz w:val="22"/>
                <w:szCs w:val="22"/>
              </w:rPr>
            </w:pPr>
            <w:r w:rsidRPr="005B0B73">
              <w:rPr>
                <w:rFonts w:eastAsia="Arial" w:cs="Arial"/>
                <w:sz w:val="22"/>
                <w:szCs w:val="22"/>
              </w:rPr>
              <w:t>Milestones start next reporting period.</w:t>
            </w:r>
          </w:p>
        </w:tc>
        <w:tc>
          <w:tcPr>
            <w:tcW w:w="2974" w:type="dxa"/>
          </w:tcPr>
          <w:p w14:paraId="1BF5D28A" w14:textId="09A206BE" w:rsidR="00D03677" w:rsidRPr="005B0B73" w:rsidRDefault="00D03677" w:rsidP="00172BC1">
            <w:pPr>
              <w:pStyle w:val="ListParagraph"/>
              <w:numPr>
                <w:ilvl w:val="0"/>
                <w:numId w:val="46"/>
              </w:numPr>
              <w:rPr>
                <w:rFonts w:eastAsia="Arial" w:cs="Arial"/>
                <w:sz w:val="22"/>
                <w:szCs w:val="22"/>
                <w:lang w:val="en-US"/>
              </w:rPr>
            </w:pPr>
            <w:r w:rsidRPr="005B0B73">
              <w:rPr>
                <w:rFonts w:eastAsia="Arial" w:cs="Arial"/>
                <w:b/>
                <w:bCs/>
                <w:sz w:val="22"/>
                <w:szCs w:val="22"/>
              </w:rPr>
              <w:t>3</w:t>
            </w:r>
            <w:r w:rsidRPr="005B0B73">
              <w:rPr>
                <w:rFonts w:eastAsia="Arial" w:cs="Arial"/>
                <w:sz w:val="22"/>
                <w:szCs w:val="22"/>
              </w:rPr>
              <w:t xml:space="preserve"> </w:t>
            </w:r>
          </w:p>
          <w:p w14:paraId="0B45BE2C" w14:textId="2F33D082" w:rsidR="00D03677" w:rsidRPr="005B0B73" w:rsidRDefault="00D03677" w:rsidP="00D03677">
            <w:pPr>
              <w:pStyle w:val="ListParagraph"/>
              <w:numPr>
                <w:ilvl w:val="0"/>
                <w:numId w:val="46"/>
              </w:numPr>
              <w:rPr>
                <w:rFonts w:eastAsia="Arial" w:cs="Arial"/>
                <w:sz w:val="22"/>
                <w:szCs w:val="22"/>
                <w:lang w:val="en-US"/>
              </w:rPr>
            </w:pPr>
            <w:r w:rsidRPr="005B0B73">
              <w:rPr>
                <w:rFonts w:eastAsia="Arial" w:cs="Arial"/>
                <w:b/>
                <w:bCs/>
                <w:sz w:val="22"/>
                <w:szCs w:val="22"/>
                <w:lang w:val="en-US"/>
              </w:rPr>
              <w:t>1082</w:t>
            </w:r>
            <w:r w:rsidR="005303FC" w:rsidRPr="005B0B73">
              <w:rPr>
                <w:rStyle w:val="FootnoteReference"/>
                <w:rFonts w:eastAsia="Arial" w:cs="Arial"/>
                <w:b/>
                <w:bCs/>
                <w:sz w:val="22"/>
                <w:szCs w:val="22"/>
                <w:lang w:val="en-US"/>
              </w:rPr>
              <w:footnoteReference w:id="9"/>
            </w:r>
            <w:r w:rsidRPr="005B0B73">
              <w:rPr>
                <w:rFonts w:eastAsia="Arial" w:cs="Arial"/>
                <w:sz w:val="22"/>
                <w:szCs w:val="22"/>
                <w:lang w:val="en-US"/>
              </w:rPr>
              <w:t xml:space="preserve"> </w:t>
            </w:r>
          </w:p>
        </w:tc>
      </w:tr>
      <w:tr w:rsidR="0032739C" w:rsidRPr="005B0B73" w14:paraId="1F90D51E" w14:textId="77777777" w:rsidTr="005303FC">
        <w:trPr>
          <w:trHeight w:val="1440"/>
        </w:trPr>
        <w:tc>
          <w:tcPr>
            <w:tcW w:w="4533" w:type="dxa"/>
          </w:tcPr>
          <w:p w14:paraId="69F14F04" w14:textId="45653F84" w:rsidR="0032739C" w:rsidRPr="005B0B73" w:rsidRDefault="0032739C" w:rsidP="00DD78B9">
            <w:pPr>
              <w:pStyle w:val="Heading3"/>
              <w:rPr>
                <w:rFonts w:ascii="Arial" w:eastAsia="Arial" w:hAnsi="Arial" w:cs="Arial"/>
                <w:sz w:val="22"/>
                <w:szCs w:val="22"/>
              </w:rPr>
            </w:pPr>
            <w:r w:rsidRPr="005B0B73">
              <w:rPr>
                <w:rStyle w:val="normaltextrun"/>
                <w:rFonts w:ascii="Arial" w:eastAsia="Arial" w:hAnsi="Arial" w:cs="Arial"/>
                <w:color w:val="auto"/>
                <w:sz w:val="22"/>
                <w:szCs w:val="22"/>
                <w:shd w:val="clear" w:color="auto" w:fill="FFFFFF"/>
              </w:rPr>
              <w:t>3.2 Number of enquiries from non-participating TCAF jurisdictions/sectors/areas that express interest in TCAF-style methodologies (cumulative).</w:t>
            </w:r>
            <w:r w:rsidRPr="005B0B73">
              <w:rPr>
                <w:rStyle w:val="eop"/>
                <w:rFonts w:ascii="Arial" w:eastAsia="Arial" w:hAnsi="Arial" w:cs="Arial"/>
                <w:color w:val="auto"/>
                <w:sz w:val="22"/>
                <w:szCs w:val="22"/>
                <w:shd w:val="clear" w:color="auto" w:fill="FFFFFF"/>
              </w:rPr>
              <w:t> </w:t>
            </w:r>
          </w:p>
        </w:tc>
        <w:tc>
          <w:tcPr>
            <w:tcW w:w="1560" w:type="dxa"/>
          </w:tcPr>
          <w:p w14:paraId="69713EB7" w14:textId="789FCEBA" w:rsidR="0032739C" w:rsidRPr="005B0B73" w:rsidRDefault="0EC06D04" w:rsidP="00DD78B9">
            <w:pPr>
              <w:pStyle w:val="Heading3"/>
              <w:rPr>
                <w:rFonts w:ascii="Arial" w:eastAsia="Arial" w:hAnsi="Arial" w:cs="Arial"/>
                <w:sz w:val="22"/>
                <w:szCs w:val="22"/>
              </w:rPr>
            </w:pPr>
            <w:r w:rsidRPr="005B0B73">
              <w:rPr>
                <w:rFonts w:ascii="Arial" w:eastAsia="Arial" w:hAnsi="Arial" w:cs="Arial"/>
                <w:color w:val="auto"/>
                <w:sz w:val="22"/>
                <w:szCs w:val="22"/>
              </w:rPr>
              <w:t>19</w:t>
            </w:r>
          </w:p>
        </w:tc>
        <w:tc>
          <w:tcPr>
            <w:tcW w:w="2974" w:type="dxa"/>
          </w:tcPr>
          <w:p w14:paraId="387FF2C2" w14:textId="77DAB4A5" w:rsidR="0032739C" w:rsidRPr="005B0B73" w:rsidRDefault="00252011" w:rsidP="00DD78B9">
            <w:pPr>
              <w:pStyle w:val="Heading3"/>
              <w:rPr>
                <w:rFonts w:ascii="Arial" w:eastAsia="Arial" w:hAnsi="Arial" w:cs="Arial"/>
                <w:sz w:val="22"/>
                <w:szCs w:val="22"/>
              </w:rPr>
            </w:pPr>
            <w:r w:rsidRPr="005B0B73">
              <w:rPr>
                <w:rFonts w:ascii="Arial" w:eastAsia="Arial" w:hAnsi="Arial" w:cs="Arial"/>
                <w:b/>
                <w:bCs/>
                <w:color w:val="auto"/>
                <w:sz w:val="22"/>
                <w:szCs w:val="22"/>
              </w:rPr>
              <w:t>21</w:t>
            </w:r>
            <w:r w:rsidR="00D03677" w:rsidRPr="005B0B73">
              <w:rPr>
                <w:rStyle w:val="FootnoteReference"/>
                <w:rFonts w:ascii="Arial" w:eastAsia="Arial" w:hAnsi="Arial" w:cs="Arial"/>
                <w:b/>
                <w:bCs/>
                <w:color w:val="auto"/>
                <w:sz w:val="22"/>
                <w:szCs w:val="22"/>
              </w:rPr>
              <w:footnoteReference w:id="10"/>
            </w:r>
            <w:r w:rsidR="00C173F1" w:rsidRPr="005B0B73">
              <w:rPr>
                <w:rFonts w:ascii="Arial" w:eastAsia="Arial" w:hAnsi="Arial" w:cs="Arial"/>
                <w:color w:val="auto"/>
                <w:sz w:val="22"/>
                <w:szCs w:val="22"/>
              </w:rPr>
              <w:t>: Progress exceed</w:t>
            </w:r>
            <w:r w:rsidR="005303FC" w:rsidRPr="005B0B73">
              <w:rPr>
                <w:rFonts w:ascii="Arial" w:eastAsia="Arial" w:hAnsi="Arial" w:cs="Arial"/>
                <w:color w:val="auto"/>
                <w:sz w:val="22"/>
                <w:szCs w:val="22"/>
              </w:rPr>
              <w:t>ed</w:t>
            </w:r>
            <w:r w:rsidR="00C173F1" w:rsidRPr="005B0B73">
              <w:rPr>
                <w:rFonts w:ascii="Arial" w:eastAsia="Arial" w:hAnsi="Arial" w:cs="Arial"/>
                <w:color w:val="auto"/>
                <w:sz w:val="22"/>
                <w:szCs w:val="22"/>
              </w:rPr>
              <w:t xml:space="preserve"> expectations </w:t>
            </w:r>
          </w:p>
        </w:tc>
      </w:tr>
      <w:tr w:rsidR="0032739C" w:rsidRPr="005B0B73" w14:paraId="72DDA291" w14:textId="77777777" w:rsidTr="005303FC">
        <w:trPr>
          <w:trHeight w:val="1696"/>
        </w:trPr>
        <w:tc>
          <w:tcPr>
            <w:tcW w:w="4533" w:type="dxa"/>
          </w:tcPr>
          <w:p w14:paraId="11CBC8AF" w14:textId="0F80E5E5" w:rsidR="0032739C" w:rsidRPr="005B0B73" w:rsidRDefault="0032739C" w:rsidP="1FFC5AE9">
            <w:pPr>
              <w:rPr>
                <w:rStyle w:val="normaltextrun"/>
                <w:rFonts w:eastAsia="Arial" w:cs="Arial"/>
                <w:color w:val="000000"/>
                <w:sz w:val="22"/>
                <w:szCs w:val="22"/>
                <w:shd w:val="clear" w:color="auto" w:fill="FFFFFF"/>
              </w:rPr>
            </w:pPr>
            <w:r w:rsidRPr="005B0B73">
              <w:rPr>
                <w:rStyle w:val="normaltextrun"/>
                <w:rFonts w:eastAsia="Arial" w:cs="Arial"/>
                <w:color w:val="000000"/>
                <w:sz w:val="22"/>
                <w:szCs w:val="22"/>
                <w:shd w:val="clear" w:color="auto" w:fill="FFFFFF"/>
              </w:rPr>
              <w:t xml:space="preserve">3.3 </w:t>
            </w:r>
            <w:r w:rsidR="00923527" w:rsidRPr="005B0B73">
              <w:rPr>
                <w:rStyle w:val="normaltextrun"/>
                <w:rFonts w:eastAsia="Arial" w:cs="Arial"/>
                <w:color w:val="000000"/>
                <w:sz w:val="22"/>
                <w:szCs w:val="22"/>
                <w:shd w:val="clear" w:color="auto" w:fill="FFFFFF"/>
              </w:rPr>
              <w:t xml:space="preserve">Number of </w:t>
            </w:r>
            <w:r w:rsidR="00167579" w:rsidRPr="005B0B73">
              <w:rPr>
                <w:rStyle w:val="normaltextrun"/>
                <w:rFonts w:eastAsia="Arial" w:cs="Arial"/>
                <w:color w:val="000000"/>
                <w:sz w:val="22"/>
                <w:szCs w:val="22"/>
                <w:shd w:val="clear" w:color="auto" w:fill="FFFFFF"/>
              </w:rPr>
              <w:t>external</w:t>
            </w:r>
            <w:r w:rsidR="00923527" w:rsidRPr="005B0B73">
              <w:rPr>
                <w:rStyle w:val="normaltextrun"/>
                <w:rFonts w:eastAsia="Arial" w:cs="Arial"/>
                <w:color w:val="000000"/>
                <w:sz w:val="22"/>
                <w:szCs w:val="22"/>
                <w:shd w:val="clear" w:color="auto" w:fill="FFFFFF"/>
              </w:rPr>
              <w:t xml:space="preserve"> events delivered by the Trustee to inform and consult on TCAF, build capacity of UNFCCC negotiators, engage the private sector and non-participating jurisdictions, and disseminate programme experience. Not cumulative.</w:t>
            </w:r>
            <w:r w:rsidR="5384C8E1" w:rsidRPr="005B0B73">
              <w:rPr>
                <w:rStyle w:val="normaltextrun"/>
                <w:rFonts w:eastAsia="Arial" w:cs="Arial"/>
                <w:color w:val="000000"/>
                <w:sz w:val="22"/>
                <w:szCs w:val="22"/>
                <w:shd w:val="clear" w:color="auto" w:fill="FFFFFF"/>
              </w:rPr>
              <w:t> </w:t>
            </w:r>
          </w:p>
        </w:tc>
        <w:tc>
          <w:tcPr>
            <w:tcW w:w="1560" w:type="dxa"/>
          </w:tcPr>
          <w:p w14:paraId="51DEA05D" w14:textId="3B6A2EF0" w:rsidR="0032739C" w:rsidRPr="005B0B73" w:rsidRDefault="444D5CD4" w:rsidP="1FFC5AE9">
            <w:pPr>
              <w:rPr>
                <w:rFonts w:eastAsia="Arial" w:cs="Arial"/>
                <w:sz w:val="22"/>
                <w:szCs w:val="22"/>
              </w:rPr>
            </w:pPr>
            <w:r w:rsidRPr="005B0B73">
              <w:rPr>
                <w:rFonts w:eastAsia="Arial" w:cs="Arial"/>
                <w:sz w:val="22"/>
                <w:szCs w:val="22"/>
              </w:rPr>
              <w:t>11</w:t>
            </w:r>
          </w:p>
        </w:tc>
        <w:tc>
          <w:tcPr>
            <w:tcW w:w="2974" w:type="dxa"/>
          </w:tcPr>
          <w:p w14:paraId="64BAF1DD" w14:textId="6BA1BA5A" w:rsidR="00745238" w:rsidRPr="005B0B73" w:rsidRDefault="000A440C" w:rsidP="00DD78B9">
            <w:pPr>
              <w:rPr>
                <w:rFonts w:eastAsia="Arial" w:cs="Arial"/>
                <w:sz w:val="22"/>
                <w:szCs w:val="22"/>
              </w:rPr>
            </w:pPr>
            <w:r w:rsidRPr="005B0B73">
              <w:rPr>
                <w:rFonts w:eastAsia="Arial" w:cs="Arial"/>
                <w:b/>
                <w:bCs/>
                <w:sz w:val="22"/>
                <w:szCs w:val="22"/>
              </w:rPr>
              <w:t>11</w:t>
            </w:r>
            <w:r w:rsidRPr="005B0B73">
              <w:rPr>
                <w:rFonts w:eastAsia="Arial" w:cs="Arial"/>
                <w:sz w:val="22"/>
                <w:szCs w:val="22"/>
              </w:rPr>
              <w:t xml:space="preserve">: Progress met.  </w:t>
            </w:r>
          </w:p>
        </w:tc>
      </w:tr>
      <w:tr w:rsidR="6F5D6587" w:rsidRPr="005B0B73" w14:paraId="25C5028B" w14:textId="77777777" w:rsidTr="005303FC">
        <w:trPr>
          <w:trHeight w:val="300"/>
        </w:trPr>
        <w:tc>
          <w:tcPr>
            <w:tcW w:w="4533" w:type="dxa"/>
          </w:tcPr>
          <w:p w14:paraId="59EAA129" w14:textId="7F8E8729" w:rsidR="6F5D6587" w:rsidRPr="005B0B73" w:rsidRDefault="444D5CD4" w:rsidP="6F5D6587">
            <w:pPr>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 xml:space="preserve">3.4 Percentage of private sector, other relevant stakeholders and non-participating jurisdictions reporting that TCAF engagement has improved their knowledge of TCAF transaction blueprints, opportunities, and lessons learnt.  </w:t>
            </w:r>
          </w:p>
        </w:tc>
        <w:tc>
          <w:tcPr>
            <w:tcW w:w="1560" w:type="dxa"/>
          </w:tcPr>
          <w:p w14:paraId="05846A42" w14:textId="60CE254F" w:rsidR="6F5D6587" w:rsidRPr="005B0B73" w:rsidRDefault="444D5CD4" w:rsidP="6F5D6587">
            <w:pPr>
              <w:rPr>
                <w:rFonts w:eastAsia="Arial" w:cs="Arial"/>
                <w:sz w:val="22"/>
                <w:szCs w:val="22"/>
              </w:rPr>
            </w:pPr>
            <w:r w:rsidRPr="005B0B73">
              <w:rPr>
                <w:rFonts w:eastAsia="Arial" w:cs="Arial"/>
                <w:sz w:val="22"/>
                <w:szCs w:val="22"/>
              </w:rPr>
              <w:t>70%</w:t>
            </w:r>
          </w:p>
        </w:tc>
        <w:tc>
          <w:tcPr>
            <w:tcW w:w="2974" w:type="dxa"/>
          </w:tcPr>
          <w:p w14:paraId="55A09174" w14:textId="1C5114C8" w:rsidR="53BD5B88" w:rsidRPr="005B0B73" w:rsidRDefault="53BD5B88" w:rsidP="35392814">
            <w:pPr>
              <w:rPr>
                <w:rFonts w:eastAsia="Arial" w:cs="Arial"/>
                <w:b/>
                <w:bCs/>
                <w:sz w:val="22"/>
                <w:szCs w:val="22"/>
              </w:rPr>
            </w:pPr>
            <w:r w:rsidRPr="005B0B73">
              <w:rPr>
                <w:rFonts w:eastAsia="Arial" w:cs="Arial"/>
                <w:b/>
                <w:bCs/>
                <w:sz w:val="22"/>
                <w:szCs w:val="22"/>
              </w:rPr>
              <w:t>82%</w:t>
            </w:r>
            <w:r w:rsidR="005303FC" w:rsidRPr="005B0B73">
              <w:rPr>
                <w:rStyle w:val="FootnoteReference"/>
                <w:rFonts w:eastAsia="Arial" w:cs="Arial"/>
                <w:b/>
                <w:bCs/>
                <w:sz w:val="22"/>
                <w:szCs w:val="22"/>
              </w:rPr>
              <w:footnoteReference w:id="11"/>
            </w:r>
            <w:r w:rsidR="005303FC" w:rsidRPr="005B0B73">
              <w:rPr>
                <w:rFonts w:eastAsia="Arial" w:cs="Arial"/>
                <w:b/>
                <w:bCs/>
                <w:sz w:val="22"/>
                <w:szCs w:val="22"/>
              </w:rPr>
              <w:t xml:space="preserve">: </w:t>
            </w:r>
            <w:r w:rsidR="005303FC" w:rsidRPr="005B0B73">
              <w:rPr>
                <w:rFonts w:eastAsia="Arial" w:cs="Arial"/>
                <w:sz w:val="22"/>
                <w:szCs w:val="22"/>
              </w:rPr>
              <w:t>Progress exceeded expectations.</w:t>
            </w:r>
          </w:p>
          <w:p w14:paraId="1585B41E" w14:textId="08900C47" w:rsidR="35392814" w:rsidRPr="005B0B73" w:rsidRDefault="35392814" w:rsidP="35392814">
            <w:pPr>
              <w:rPr>
                <w:rFonts w:eastAsia="Arial" w:cs="Arial"/>
                <w:sz w:val="22"/>
                <w:szCs w:val="22"/>
              </w:rPr>
            </w:pPr>
          </w:p>
          <w:p w14:paraId="166A9DFE" w14:textId="79929169" w:rsidR="53BD5B88" w:rsidRPr="005B0B73" w:rsidRDefault="53BD5B88" w:rsidP="35392814">
            <w:pPr>
              <w:rPr>
                <w:rFonts w:eastAsia="Arial" w:cs="Arial"/>
                <w:sz w:val="22"/>
                <w:szCs w:val="22"/>
              </w:rPr>
            </w:pPr>
          </w:p>
        </w:tc>
      </w:tr>
    </w:tbl>
    <w:p w14:paraId="42F6C68B" w14:textId="1873C216" w:rsidR="00413537" w:rsidRPr="005B0B73" w:rsidRDefault="00413537" w:rsidP="1FFC5AE9">
      <w:pPr>
        <w:jc w:val="both"/>
        <w:rPr>
          <w:rFonts w:eastAsia="Arial" w:cs="Arial"/>
          <w:b/>
          <w:i/>
          <w:sz w:val="22"/>
          <w:szCs w:val="22"/>
        </w:rPr>
      </w:pPr>
    </w:p>
    <w:p w14:paraId="0E789077" w14:textId="793621AF" w:rsidR="51A98BBE" w:rsidRPr="005B0B73" w:rsidRDefault="006F6CD8" w:rsidP="005303FC">
      <w:pPr>
        <w:jc w:val="both"/>
        <w:rPr>
          <w:rFonts w:eastAsia="Arial" w:cs="Arial"/>
          <w:b/>
          <w:i/>
          <w:sz w:val="22"/>
          <w:szCs w:val="22"/>
        </w:rPr>
      </w:pPr>
      <w:r w:rsidRPr="005B0B73">
        <w:rPr>
          <w:rFonts w:eastAsia="Arial" w:cs="Arial"/>
          <w:b/>
          <w:i/>
          <w:sz w:val="22"/>
          <w:szCs w:val="22"/>
        </w:rPr>
        <w:t xml:space="preserve">Output summary and supporting narrative for the score </w:t>
      </w:r>
    </w:p>
    <w:p w14:paraId="0C52BB51" w14:textId="77777777" w:rsidR="005303FC" w:rsidRPr="005B0B73" w:rsidRDefault="005303FC" w:rsidP="005303FC">
      <w:pPr>
        <w:jc w:val="both"/>
        <w:rPr>
          <w:rFonts w:eastAsia="Arial" w:cs="Arial"/>
          <w:b/>
          <w:i/>
          <w:sz w:val="22"/>
          <w:szCs w:val="22"/>
        </w:rPr>
      </w:pPr>
    </w:p>
    <w:p w14:paraId="2AE272D6" w14:textId="104E4960" w:rsidR="002409A0" w:rsidRPr="00D86140" w:rsidRDefault="002057DC" w:rsidP="002409A0">
      <w:pPr>
        <w:jc w:val="both"/>
        <w:rPr>
          <w:rFonts w:eastAsia="Arial" w:cs="Arial"/>
          <w:sz w:val="22"/>
          <w:szCs w:val="22"/>
        </w:rPr>
      </w:pPr>
      <w:r w:rsidRPr="005B0B73">
        <w:rPr>
          <w:rFonts w:eastAsia="Arial" w:cs="Arial"/>
          <w:sz w:val="22"/>
          <w:szCs w:val="22"/>
        </w:rPr>
        <w:t>Regarding indicator 3.1</w:t>
      </w:r>
      <w:r w:rsidR="00AB3813">
        <w:rPr>
          <w:rFonts w:eastAsia="Arial" w:cs="Arial"/>
          <w:sz w:val="22"/>
          <w:szCs w:val="22"/>
        </w:rPr>
        <w:t xml:space="preserve"> TCAF has published three knowledge products</w:t>
      </w:r>
      <w:r w:rsidR="002409A0">
        <w:rPr>
          <w:rFonts w:eastAsia="Arial" w:cs="Arial"/>
          <w:sz w:val="22"/>
          <w:szCs w:val="22"/>
        </w:rPr>
        <w:t xml:space="preserve"> and had increased engagement through downloads and page views.  </w:t>
      </w:r>
      <w:r w:rsidR="00D86140">
        <w:rPr>
          <w:rFonts w:eastAsia="Arial" w:cs="Arial"/>
          <w:sz w:val="22"/>
          <w:szCs w:val="22"/>
        </w:rPr>
        <w:t xml:space="preserve"> </w:t>
      </w:r>
      <w:r w:rsidR="002409A0" w:rsidRPr="005B0B73">
        <w:rPr>
          <w:rFonts w:eastAsia="Arial" w:cs="Arial"/>
          <w:sz w:val="22"/>
          <w:szCs w:val="22"/>
          <w:lang w:val="en-US"/>
        </w:rPr>
        <w:t xml:space="preserve">The TCAF technical work program in FY26 </w:t>
      </w:r>
      <w:r w:rsidR="002409A0">
        <w:rPr>
          <w:rFonts w:eastAsia="Arial" w:cs="Arial"/>
          <w:sz w:val="22"/>
          <w:szCs w:val="22"/>
          <w:lang w:val="en-US"/>
        </w:rPr>
        <w:t xml:space="preserve">was </w:t>
      </w:r>
      <w:r w:rsidR="002409A0" w:rsidRPr="005B0B73">
        <w:rPr>
          <w:rFonts w:eastAsia="Arial" w:cs="Arial"/>
          <w:sz w:val="22"/>
          <w:szCs w:val="22"/>
          <w:lang w:val="en-US"/>
        </w:rPr>
        <w:t>organized in three work streams: RBCF intelligence, Article 6 intelligence, and operational intelligence as per Table 1.</w:t>
      </w:r>
    </w:p>
    <w:p w14:paraId="0AD0AF04" w14:textId="77777777" w:rsidR="00D86140" w:rsidRDefault="00D86140" w:rsidP="002409A0">
      <w:pPr>
        <w:spacing w:after="200" w:line="257" w:lineRule="auto"/>
        <w:jc w:val="both"/>
        <w:rPr>
          <w:rFonts w:eastAsia="Arial" w:cs="Arial"/>
          <w:b/>
          <w:bCs/>
          <w:color w:val="000000" w:themeColor="text1"/>
          <w:sz w:val="22"/>
          <w:szCs w:val="22"/>
          <w:lang w:val="en-AU"/>
        </w:rPr>
      </w:pPr>
    </w:p>
    <w:p w14:paraId="651976AE" w14:textId="77777777" w:rsidR="005542CD" w:rsidRDefault="005542CD" w:rsidP="002409A0">
      <w:pPr>
        <w:spacing w:after="200" w:line="257" w:lineRule="auto"/>
        <w:jc w:val="both"/>
        <w:rPr>
          <w:rFonts w:eastAsia="Arial" w:cs="Arial"/>
          <w:b/>
          <w:bCs/>
          <w:color w:val="000000" w:themeColor="text1"/>
          <w:sz w:val="22"/>
          <w:szCs w:val="22"/>
          <w:lang w:val="en-AU"/>
        </w:rPr>
      </w:pPr>
    </w:p>
    <w:p w14:paraId="4C5C440C" w14:textId="2661A3AB" w:rsidR="002409A0" w:rsidRPr="002409A0" w:rsidRDefault="002409A0" w:rsidP="002409A0">
      <w:pPr>
        <w:spacing w:after="200" w:line="257" w:lineRule="auto"/>
        <w:jc w:val="both"/>
        <w:rPr>
          <w:rFonts w:eastAsia="Arial" w:cs="Arial"/>
          <w:b/>
          <w:bCs/>
          <w:color w:val="000000" w:themeColor="text1"/>
          <w:sz w:val="22"/>
          <w:szCs w:val="22"/>
          <w:lang w:val="en-AU"/>
        </w:rPr>
      </w:pPr>
      <w:r w:rsidRPr="002409A0">
        <w:rPr>
          <w:rFonts w:eastAsia="Arial" w:cs="Arial"/>
          <w:b/>
          <w:bCs/>
          <w:color w:val="000000" w:themeColor="text1"/>
          <w:sz w:val="22"/>
          <w:szCs w:val="22"/>
          <w:lang w:val="en-AU"/>
        </w:rPr>
        <w:lastRenderedPageBreak/>
        <w:t>Table 1: FY2026 TCAF technical work program deliverables</w:t>
      </w:r>
    </w:p>
    <w:tbl>
      <w:tblPr>
        <w:tblStyle w:val="TableGrid"/>
        <w:tblW w:w="0" w:type="auto"/>
        <w:tblLook w:val="04A0" w:firstRow="1" w:lastRow="0" w:firstColumn="1" w:lastColumn="0" w:noHBand="0" w:noVBand="1"/>
      </w:tblPr>
      <w:tblGrid>
        <w:gridCol w:w="2098"/>
        <w:gridCol w:w="6908"/>
      </w:tblGrid>
      <w:tr w:rsidR="002409A0" w:rsidRPr="005B0B73" w14:paraId="78E5000F" w14:textId="77777777" w:rsidTr="007E7149">
        <w:trPr>
          <w:trHeight w:val="300"/>
        </w:trPr>
        <w:tc>
          <w:tcPr>
            <w:tcW w:w="0" w:type="auto"/>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AAB6511" w14:textId="77777777" w:rsidR="002409A0" w:rsidRPr="002409A0" w:rsidRDefault="002409A0" w:rsidP="007743B1">
            <w:pPr>
              <w:rPr>
                <w:rFonts w:eastAsia="Arial" w:cs="Arial"/>
                <w:b/>
                <w:bCs/>
                <w:color w:val="FFFFFF" w:themeColor="background1"/>
                <w:sz w:val="22"/>
                <w:szCs w:val="22"/>
              </w:rPr>
            </w:pPr>
            <w:r w:rsidRPr="002409A0">
              <w:rPr>
                <w:rFonts w:eastAsia="Arial" w:cs="Arial"/>
                <w:b/>
                <w:bCs/>
                <w:color w:val="FFFFFF" w:themeColor="background1"/>
                <w:sz w:val="22"/>
                <w:szCs w:val="22"/>
              </w:rPr>
              <w:t>Work Program</w:t>
            </w:r>
          </w:p>
        </w:tc>
        <w:tc>
          <w:tcPr>
            <w:tcW w:w="0" w:type="auto"/>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C50F572" w14:textId="77777777" w:rsidR="002409A0" w:rsidRPr="002409A0" w:rsidRDefault="002409A0" w:rsidP="007743B1">
            <w:pPr>
              <w:rPr>
                <w:rFonts w:eastAsia="Arial" w:cs="Arial"/>
                <w:b/>
                <w:bCs/>
                <w:color w:val="FFFFFF" w:themeColor="background1"/>
                <w:sz w:val="22"/>
                <w:szCs w:val="22"/>
              </w:rPr>
            </w:pPr>
            <w:r w:rsidRPr="002409A0">
              <w:rPr>
                <w:rFonts w:eastAsia="Arial" w:cs="Arial"/>
                <w:b/>
                <w:bCs/>
                <w:color w:val="FFFFFF" w:themeColor="background1"/>
                <w:sz w:val="22"/>
                <w:szCs w:val="22"/>
              </w:rPr>
              <w:t>Deliverables</w:t>
            </w:r>
          </w:p>
        </w:tc>
      </w:tr>
      <w:tr w:rsidR="002409A0" w:rsidRPr="005B0B73" w14:paraId="1BF727EC" w14:textId="77777777" w:rsidTr="007E7149">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4404427" w14:textId="77777777" w:rsidR="002409A0" w:rsidRPr="005B0B73" w:rsidRDefault="002409A0" w:rsidP="007743B1">
            <w:pPr>
              <w:rPr>
                <w:rFonts w:eastAsia="Arial" w:cs="Arial"/>
                <w:sz w:val="22"/>
                <w:szCs w:val="22"/>
              </w:rPr>
            </w:pPr>
            <w:r w:rsidRPr="005B0B73">
              <w:rPr>
                <w:rFonts w:eastAsia="Arial" w:cs="Arial"/>
                <w:sz w:val="22"/>
                <w:szCs w:val="22"/>
              </w:rPr>
              <w:t>RBCF intelligence</w:t>
            </w:r>
          </w:p>
          <w:p w14:paraId="308333A8" w14:textId="77777777" w:rsidR="002409A0" w:rsidRPr="005B0B73" w:rsidRDefault="002409A0" w:rsidP="007743B1">
            <w:pPr>
              <w:rPr>
                <w:rFonts w:eastAsia="Arial" w:cs="Arial"/>
                <w:sz w:val="22"/>
                <w:szCs w:val="22"/>
              </w:rPr>
            </w:pPr>
            <w:r w:rsidRPr="005B0B73">
              <w:rPr>
                <w:rFonts w:eastAsia="Arial" w:cs="Arial"/>
                <w:sz w:val="22"/>
                <w:szCs w:val="22"/>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461834E" w14:textId="77777777" w:rsidR="002409A0" w:rsidRPr="005B0B73" w:rsidRDefault="002409A0" w:rsidP="007743B1">
            <w:pPr>
              <w:pStyle w:val="ListParagraph"/>
              <w:numPr>
                <w:ilvl w:val="0"/>
                <w:numId w:val="35"/>
              </w:numPr>
              <w:spacing w:after="0"/>
              <w:rPr>
                <w:rFonts w:eastAsia="Arial" w:cs="Arial"/>
                <w:sz w:val="22"/>
                <w:szCs w:val="22"/>
              </w:rPr>
            </w:pPr>
            <w:r w:rsidRPr="005B0B73">
              <w:rPr>
                <w:rFonts w:eastAsia="Arial" w:cs="Arial"/>
                <w:sz w:val="22"/>
                <w:szCs w:val="22"/>
              </w:rPr>
              <w:t>Methodological framework for crediting livestock emission reductions</w:t>
            </w:r>
          </w:p>
        </w:tc>
      </w:tr>
      <w:tr w:rsidR="002409A0" w:rsidRPr="005B0B73" w14:paraId="1952A723" w14:textId="77777777" w:rsidTr="007E7149">
        <w:trPr>
          <w:trHeight w:val="93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3C34161" w14:textId="77777777" w:rsidR="002409A0" w:rsidRPr="005B0B73" w:rsidRDefault="002409A0" w:rsidP="007743B1">
            <w:pPr>
              <w:rPr>
                <w:rFonts w:eastAsia="Arial" w:cs="Arial"/>
                <w:sz w:val="22"/>
                <w:szCs w:val="22"/>
              </w:rPr>
            </w:pPr>
            <w:r w:rsidRPr="005B0B73">
              <w:rPr>
                <w:rFonts w:eastAsia="Arial" w:cs="Arial"/>
                <w:sz w:val="22"/>
                <w:szCs w:val="22"/>
              </w:rPr>
              <w:t>Article 6 intelligence</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4B00C5E" w14:textId="77777777" w:rsidR="002409A0" w:rsidRPr="005B0B73" w:rsidRDefault="002409A0" w:rsidP="007743B1">
            <w:pPr>
              <w:pStyle w:val="ListParagraph"/>
              <w:numPr>
                <w:ilvl w:val="0"/>
                <w:numId w:val="34"/>
              </w:numPr>
              <w:spacing w:after="0"/>
              <w:rPr>
                <w:rFonts w:eastAsia="Arial" w:cs="Arial"/>
                <w:color w:val="000000" w:themeColor="text1"/>
                <w:sz w:val="22"/>
                <w:szCs w:val="22"/>
                <w:lang w:val="en-AU"/>
              </w:rPr>
            </w:pPr>
            <w:r w:rsidRPr="005B0B73">
              <w:rPr>
                <w:rFonts w:eastAsia="Arial" w:cs="Arial"/>
                <w:color w:val="000000" w:themeColor="text1"/>
                <w:sz w:val="22"/>
                <w:szCs w:val="22"/>
                <w:lang w:val="en-AU"/>
              </w:rPr>
              <w:t xml:space="preserve">Policy crediting methodology under Article 6.4 for the transport sector </w:t>
            </w:r>
          </w:p>
          <w:p w14:paraId="10D73BCE" w14:textId="77777777" w:rsidR="002409A0" w:rsidRPr="005B0B73" w:rsidRDefault="002409A0" w:rsidP="007743B1">
            <w:pPr>
              <w:pStyle w:val="ListParagraph"/>
              <w:numPr>
                <w:ilvl w:val="0"/>
                <w:numId w:val="34"/>
              </w:numPr>
              <w:spacing w:after="0"/>
              <w:rPr>
                <w:rFonts w:eastAsia="Arial" w:cs="Arial"/>
                <w:color w:val="000000" w:themeColor="text1"/>
                <w:sz w:val="22"/>
                <w:szCs w:val="22"/>
                <w:lang w:val="en-US"/>
              </w:rPr>
            </w:pPr>
            <w:r w:rsidRPr="005B0B73">
              <w:rPr>
                <w:rFonts w:eastAsia="Arial" w:cs="Arial"/>
                <w:color w:val="000000" w:themeColor="text1"/>
                <w:sz w:val="22"/>
                <w:szCs w:val="22"/>
                <w:lang w:val="en-US"/>
              </w:rPr>
              <w:t>Policy crediting standard under CORSIA</w:t>
            </w:r>
          </w:p>
          <w:p w14:paraId="2C1E1685" w14:textId="77777777" w:rsidR="002409A0" w:rsidRPr="005B0B73" w:rsidRDefault="002409A0" w:rsidP="007743B1">
            <w:pPr>
              <w:pStyle w:val="ListParagraph"/>
              <w:numPr>
                <w:ilvl w:val="0"/>
                <w:numId w:val="34"/>
              </w:numPr>
              <w:spacing w:after="0"/>
              <w:rPr>
                <w:rFonts w:eastAsia="Arial" w:cs="Arial"/>
                <w:color w:val="000000" w:themeColor="text1"/>
                <w:sz w:val="22"/>
                <w:szCs w:val="22"/>
                <w:lang w:val="en-US"/>
              </w:rPr>
            </w:pPr>
            <w:r w:rsidRPr="005B0B73">
              <w:rPr>
                <w:rFonts w:eastAsia="Arial" w:cs="Arial"/>
                <w:color w:val="000000" w:themeColor="text1"/>
                <w:sz w:val="22"/>
                <w:szCs w:val="22"/>
                <w:lang w:val="en-US"/>
              </w:rPr>
              <w:t>Update note on Article 6 after COP30</w:t>
            </w:r>
          </w:p>
        </w:tc>
      </w:tr>
      <w:tr w:rsidR="002409A0" w:rsidRPr="005B0B73" w14:paraId="5D28A66F" w14:textId="77777777" w:rsidTr="007E7149">
        <w:trPr>
          <w:trHeight w:val="42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2E2B3BF" w14:textId="77777777" w:rsidR="002409A0" w:rsidRPr="005B0B73" w:rsidRDefault="002409A0" w:rsidP="007743B1">
            <w:pPr>
              <w:rPr>
                <w:rFonts w:eastAsia="Arial" w:cs="Arial"/>
                <w:sz w:val="22"/>
                <w:szCs w:val="22"/>
              </w:rPr>
            </w:pPr>
            <w:r w:rsidRPr="005B0B73">
              <w:rPr>
                <w:rFonts w:eastAsia="Arial" w:cs="Arial"/>
                <w:sz w:val="22"/>
                <w:szCs w:val="22"/>
              </w:rPr>
              <w:t>Operational intelligence</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E166B8C" w14:textId="77777777" w:rsidR="002409A0" w:rsidRPr="005B0B73" w:rsidRDefault="002409A0" w:rsidP="007743B1">
            <w:pPr>
              <w:pStyle w:val="ListParagraph"/>
              <w:numPr>
                <w:ilvl w:val="0"/>
                <w:numId w:val="33"/>
              </w:numPr>
              <w:spacing w:after="0"/>
              <w:rPr>
                <w:rFonts w:eastAsia="Arial" w:cs="Arial"/>
                <w:color w:val="000000" w:themeColor="text1"/>
                <w:sz w:val="22"/>
                <w:szCs w:val="22"/>
                <w:lang w:val="en-US"/>
              </w:rPr>
            </w:pPr>
            <w:r w:rsidRPr="005B0B73">
              <w:rPr>
                <w:rFonts w:eastAsia="Arial" w:cs="Arial"/>
                <w:color w:val="000000" w:themeColor="text1"/>
                <w:sz w:val="22"/>
                <w:szCs w:val="22"/>
                <w:lang w:val="en-US"/>
              </w:rPr>
              <w:t>Scaled-up crediting: Operationalization within host country carbon market frameworks</w:t>
            </w:r>
          </w:p>
        </w:tc>
      </w:tr>
    </w:tbl>
    <w:p w14:paraId="7B85E296" w14:textId="77777777" w:rsidR="002409A0" w:rsidRPr="005B0B73" w:rsidRDefault="002409A0" w:rsidP="002409A0">
      <w:pPr>
        <w:spacing w:line="257" w:lineRule="auto"/>
        <w:jc w:val="both"/>
        <w:rPr>
          <w:rFonts w:eastAsia="Arial" w:cs="Arial"/>
          <w:sz w:val="22"/>
          <w:szCs w:val="22"/>
          <w:lang w:val="en-US"/>
        </w:rPr>
      </w:pPr>
      <w:r w:rsidRPr="005B0B73">
        <w:rPr>
          <w:rFonts w:eastAsia="Arial" w:cs="Arial"/>
          <w:sz w:val="22"/>
          <w:szCs w:val="22"/>
          <w:lang w:val="en-US"/>
        </w:rPr>
        <w:t xml:space="preserve"> </w:t>
      </w:r>
    </w:p>
    <w:p w14:paraId="41846927" w14:textId="77777777" w:rsidR="00D86140" w:rsidRDefault="002409A0" w:rsidP="002409A0">
      <w:pPr>
        <w:jc w:val="both"/>
        <w:rPr>
          <w:rFonts w:eastAsia="Arial" w:cs="Arial"/>
          <w:sz w:val="22"/>
          <w:szCs w:val="22"/>
        </w:rPr>
      </w:pPr>
      <w:r>
        <w:rPr>
          <w:rFonts w:eastAsia="Arial" w:cs="Arial"/>
          <w:sz w:val="22"/>
          <w:szCs w:val="22"/>
        </w:rPr>
        <w:t xml:space="preserve">Further detail on these work programs and associated knowledge products can be found in Annex 1. </w:t>
      </w:r>
      <w:r w:rsidR="00D86140">
        <w:rPr>
          <w:rFonts w:eastAsia="Arial" w:cs="Arial"/>
          <w:sz w:val="22"/>
          <w:szCs w:val="22"/>
        </w:rPr>
        <w:t xml:space="preserve">  </w:t>
      </w:r>
    </w:p>
    <w:p w14:paraId="432C1D77" w14:textId="77777777" w:rsidR="00D86140" w:rsidRDefault="00D86140" w:rsidP="002409A0">
      <w:pPr>
        <w:jc w:val="both"/>
        <w:rPr>
          <w:rFonts w:eastAsia="Arial" w:cs="Arial"/>
          <w:sz w:val="22"/>
          <w:szCs w:val="22"/>
        </w:rPr>
      </w:pPr>
    </w:p>
    <w:p w14:paraId="1ECB1912" w14:textId="0FC2E732" w:rsidR="002409A0" w:rsidRDefault="002409A0" w:rsidP="002409A0">
      <w:pPr>
        <w:jc w:val="both"/>
        <w:rPr>
          <w:rFonts w:eastAsia="Arial" w:cs="Arial"/>
          <w:sz w:val="22"/>
          <w:szCs w:val="22"/>
        </w:rPr>
      </w:pPr>
      <w:r>
        <w:rPr>
          <w:rStyle w:val="normaltextrun"/>
          <w:rFonts w:eastAsia="Arial" w:cs="Arial"/>
          <w:sz w:val="22"/>
          <w:szCs w:val="22"/>
          <w:shd w:val="clear" w:color="auto" w:fill="FFFFFF"/>
        </w:rPr>
        <w:t xml:space="preserve">Regarding indicator </w:t>
      </w:r>
      <w:r w:rsidRPr="005B0B73">
        <w:rPr>
          <w:rStyle w:val="normaltextrun"/>
          <w:rFonts w:eastAsia="Arial" w:cs="Arial"/>
          <w:sz w:val="22"/>
          <w:szCs w:val="22"/>
          <w:shd w:val="clear" w:color="auto" w:fill="FFFFFF"/>
        </w:rPr>
        <w:t>3.2</w:t>
      </w:r>
      <w:r w:rsidR="00D86140">
        <w:rPr>
          <w:rFonts w:eastAsia="Arial" w:cs="Arial"/>
          <w:sz w:val="22"/>
          <w:szCs w:val="22"/>
        </w:rPr>
        <w:t xml:space="preserve"> </w:t>
      </w:r>
      <w:r w:rsidR="00D86140" w:rsidRPr="00D86140">
        <w:rPr>
          <w:rFonts w:eastAsia="Arial" w:cs="Arial"/>
          <w:sz w:val="22"/>
          <w:szCs w:val="22"/>
        </w:rPr>
        <w:t>progr</w:t>
      </w:r>
      <w:r w:rsidR="00D86140" w:rsidRPr="005B0B73">
        <w:rPr>
          <w:rFonts w:eastAsia="Arial" w:cs="Arial"/>
          <w:sz w:val="22"/>
          <w:szCs w:val="22"/>
        </w:rPr>
        <w:t>ess exceeded expectations</w:t>
      </w:r>
      <w:r w:rsidR="00D86140">
        <w:rPr>
          <w:rFonts w:eastAsia="Arial" w:cs="Arial"/>
          <w:sz w:val="22"/>
          <w:szCs w:val="22"/>
        </w:rPr>
        <w:t xml:space="preserve"> with 21 enquiries. </w:t>
      </w:r>
    </w:p>
    <w:p w14:paraId="6436EA71" w14:textId="77777777" w:rsidR="002409A0" w:rsidRDefault="002409A0" w:rsidP="002409A0">
      <w:pPr>
        <w:jc w:val="both"/>
        <w:rPr>
          <w:rFonts w:eastAsia="Arial" w:cs="Arial"/>
          <w:sz w:val="22"/>
          <w:szCs w:val="22"/>
        </w:rPr>
      </w:pPr>
    </w:p>
    <w:p w14:paraId="0C03B49D" w14:textId="77777777" w:rsidR="00D86140" w:rsidRDefault="002409A0" w:rsidP="002409A0">
      <w:pPr>
        <w:spacing w:line="257" w:lineRule="auto"/>
        <w:jc w:val="both"/>
        <w:rPr>
          <w:rFonts w:eastAsia="Arial" w:cs="Arial"/>
          <w:sz w:val="22"/>
          <w:szCs w:val="22"/>
          <w:lang w:val="en-US"/>
        </w:rPr>
      </w:pPr>
      <w:r>
        <w:rPr>
          <w:rStyle w:val="normaltextrun"/>
          <w:rFonts w:eastAsia="Arial" w:cs="Arial"/>
          <w:sz w:val="22"/>
          <w:szCs w:val="22"/>
          <w:shd w:val="clear" w:color="auto" w:fill="FFFFFF"/>
        </w:rPr>
        <w:t xml:space="preserve">Regarding indicator </w:t>
      </w:r>
      <w:r w:rsidRPr="005B0B73">
        <w:rPr>
          <w:rStyle w:val="normaltextrun"/>
          <w:rFonts w:eastAsia="Arial" w:cs="Arial"/>
          <w:sz w:val="22"/>
          <w:szCs w:val="22"/>
          <w:shd w:val="clear" w:color="auto" w:fill="FFFFFF"/>
        </w:rPr>
        <w:t>3.</w:t>
      </w:r>
      <w:r>
        <w:rPr>
          <w:rStyle w:val="normaltextrun"/>
          <w:rFonts w:eastAsia="Arial" w:cs="Arial"/>
          <w:sz w:val="22"/>
          <w:szCs w:val="22"/>
          <w:shd w:val="clear" w:color="auto" w:fill="FFFFFF"/>
        </w:rPr>
        <w:t xml:space="preserve">3 progress </w:t>
      </w:r>
      <w:r w:rsidR="00D86140">
        <w:rPr>
          <w:rStyle w:val="normaltextrun"/>
          <w:rFonts w:eastAsia="Arial" w:cs="Arial"/>
          <w:sz w:val="22"/>
          <w:szCs w:val="22"/>
          <w:shd w:val="clear" w:color="auto" w:fill="FFFFFF"/>
        </w:rPr>
        <w:t xml:space="preserve">also </w:t>
      </w:r>
      <w:r>
        <w:rPr>
          <w:rStyle w:val="normaltextrun"/>
          <w:rFonts w:eastAsia="Arial" w:cs="Arial"/>
          <w:sz w:val="22"/>
          <w:szCs w:val="22"/>
          <w:shd w:val="clear" w:color="auto" w:fill="FFFFFF"/>
        </w:rPr>
        <w:t xml:space="preserve">met expectations and </w:t>
      </w:r>
      <w:r>
        <w:rPr>
          <w:rFonts w:eastAsia="Arial" w:cs="Arial"/>
          <w:sz w:val="22"/>
          <w:szCs w:val="22"/>
          <w:lang w:val="en-US"/>
        </w:rPr>
        <w:t>t</w:t>
      </w:r>
      <w:r w:rsidRPr="005B0B73">
        <w:rPr>
          <w:rFonts w:eastAsia="Arial" w:cs="Arial"/>
          <w:sz w:val="22"/>
          <w:szCs w:val="22"/>
          <w:lang w:val="en-US"/>
        </w:rPr>
        <w:t>hroughout the year, TCAF facilitated several technical and operational workshops.</w:t>
      </w:r>
    </w:p>
    <w:p w14:paraId="7B822268" w14:textId="77777777" w:rsidR="00D86140" w:rsidRDefault="00D86140" w:rsidP="002409A0">
      <w:pPr>
        <w:spacing w:line="257" w:lineRule="auto"/>
        <w:jc w:val="both"/>
        <w:rPr>
          <w:rFonts w:eastAsia="Arial" w:cs="Arial"/>
          <w:sz w:val="22"/>
          <w:szCs w:val="22"/>
          <w:lang w:val="en-US"/>
        </w:rPr>
      </w:pPr>
    </w:p>
    <w:tbl>
      <w:tblPr>
        <w:tblStyle w:val="TableGrid"/>
        <w:tblW w:w="0" w:type="auto"/>
        <w:shd w:val="clear" w:color="auto" w:fill="EDEDED" w:themeFill="accent3" w:themeFillTint="33"/>
        <w:tblLook w:val="04A0" w:firstRow="1" w:lastRow="0" w:firstColumn="1" w:lastColumn="0" w:noHBand="0" w:noVBand="1"/>
      </w:tblPr>
      <w:tblGrid>
        <w:gridCol w:w="9016"/>
      </w:tblGrid>
      <w:tr w:rsidR="00D86140" w14:paraId="207C4D3D" w14:textId="77777777" w:rsidTr="00D86140">
        <w:tc>
          <w:tcPr>
            <w:tcW w:w="9016" w:type="dxa"/>
            <w:shd w:val="clear" w:color="auto" w:fill="EDEDED" w:themeFill="accent3" w:themeFillTint="33"/>
          </w:tcPr>
          <w:p w14:paraId="6466B87E" w14:textId="213F45D9" w:rsidR="00D86140" w:rsidRDefault="00D86140" w:rsidP="002409A0">
            <w:pPr>
              <w:spacing w:line="257" w:lineRule="auto"/>
              <w:jc w:val="both"/>
              <w:rPr>
                <w:rFonts w:eastAsia="Arial" w:cs="Arial"/>
                <w:b/>
                <w:bCs/>
                <w:sz w:val="22"/>
                <w:szCs w:val="22"/>
                <w:lang w:val="en-US" w:eastAsia="en-US"/>
              </w:rPr>
            </w:pPr>
            <w:r>
              <w:rPr>
                <w:rFonts w:eastAsia="Arial" w:cs="Arial"/>
                <w:b/>
                <w:bCs/>
                <w:sz w:val="22"/>
                <w:szCs w:val="22"/>
                <w:lang w:val="en-US" w:eastAsia="en-US"/>
              </w:rPr>
              <w:t xml:space="preserve">Box 1. </w:t>
            </w:r>
            <w:r w:rsidRPr="00D86140">
              <w:rPr>
                <w:rFonts w:eastAsia="Arial" w:cs="Arial"/>
                <w:b/>
                <w:bCs/>
                <w:sz w:val="22"/>
                <w:szCs w:val="22"/>
                <w:lang w:val="en-US" w:eastAsia="en-US"/>
              </w:rPr>
              <w:t>TCAF external events</w:t>
            </w:r>
            <w:r>
              <w:rPr>
                <w:rFonts w:eastAsia="Arial" w:cs="Arial"/>
                <w:b/>
                <w:bCs/>
                <w:sz w:val="22"/>
                <w:szCs w:val="22"/>
                <w:lang w:val="en-US" w:eastAsia="en-US"/>
              </w:rPr>
              <w:t xml:space="preserve"> highlights</w:t>
            </w:r>
          </w:p>
          <w:p w14:paraId="22B4489E" w14:textId="77777777" w:rsidR="00D86140" w:rsidRDefault="00D86140" w:rsidP="002409A0">
            <w:pPr>
              <w:spacing w:line="257" w:lineRule="auto"/>
              <w:jc w:val="both"/>
              <w:rPr>
                <w:rFonts w:eastAsia="Arial" w:cs="Arial"/>
                <w:b/>
                <w:bCs/>
                <w:sz w:val="22"/>
                <w:szCs w:val="22"/>
                <w:lang w:val="en-US"/>
              </w:rPr>
            </w:pPr>
          </w:p>
          <w:p w14:paraId="217462E0" w14:textId="20568FBF" w:rsidR="00D86140" w:rsidRPr="00D86140" w:rsidRDefault="00D86140" w:rsidP="00D86140">
            <w:pPr>
              <w:pStyle w:val="ListParagraph"/>
              <w:numPr>
                <w:ilvl w:val="0"/>
                <w:numId w:val="49"/>
              </w:numPr>
              <w:spacing w:line="257" w:lineRule="auto"/>
              <w:jc w:val="both"/>
              <w:rPr>
                <w:rStyle w:val="normaltextrun"/>
                <w:rFonts w:eastAsia="Arial" w:cs="Arial"/>
                <w:sz w:val="22"/>
                <w:szCs w:val="22"/>
                <w:lang w:val="en-US"/>
              </w:rPr>
            </w:pPr>
            <w:r w:rsidRPr="00D86140">
              <w:rPr>
                <w:rFonts w:eastAsia="Arial" w:cs="Arial"/>
                <w:sz w:val="22"/>
                <w:szCs w:val="22"/>
                <w:lang w:val="en-US"/>
              </w:rPr>
              <w:t xml:space="preserve">In December 2025, a </w:t>
            </w:r>
            <w:r w:rsidRPr="00D86140">
              <w:rPr>
                <w:rFonts w:eastAsia="Arial" w:cs="Arial"/>
                <w:b/>
                <w:bCs/>
                <w:sz w:val="22"/>
                <w:szCs w:val="22"/>
                <w:lang w:val="en-US"/>
              </w:rPr>
              <w:t xml:space="preserve">two-day workshop in Uzbekistan </w:t>
            </w:r>
            <w:r w:rsidRPr="00D86140">
              <w:rPr>
                <w:rFonts w:eastAsia="Arial" w:cs="Arial"/>
                <w:sz w:val="22"/>
                <w:szCs w:val="22"/>
                <w:lang w:val="en-US"/>
              </w:rPr>
              <w:t xml:space="preserve">focused on the practicalities of implementing the country's carbon market legislation.  In February 2026, the team co-organize </w:t>
            </w:r>
            <w:r w:rsidRPr="00D86140">
              <w:rPr>
                <w:rFonts w:eastAsia="Arial" w:cs="Arial"/>
                <w:b/>
                <w:bCs/>
                <w:sz w:val="22"/>
                <w:szCs w:val="22"/>
                <w:lang w:val="en-US"/>
              </w:rPr>
              <w:t xml:space="preserve">a webinar on “Accelerating Robust and Scalable Measurement, Reporting and Verification” </w:t>
            </w:r>
            <w:r w:rsidRPr="00D86140">
              <w:rPr>
                <w:rFonts w:eastAsia="Arial" w:cs="Arial"/>
                <w:sz w:val="22"/>
                <w:szCs w:val="22"/>
                <w:lang w:val="en-US"/>
              </w:rPr>
              <w:t xml:space="preserve">as part of the Scaling Next Generation Rice Impact Program Webinar Series for Policy Makers across Major Rice Producing Countries in Asia, including Vietnam, China, India, Bangladesh, Sri Lanka. The webinar presented the MRV package developed for large scale </w:t>
            </w:r>
            <w:proofErr w:type="gramStart"/>
            <w:r w:rsidRPr="00D86140">
              <w:rPr>
                <w:rFonts w:eastAsia="Arial" w:cs="Arial"/>
                <w:sz w:val="22"/>
                <w:szCs w:val="22"/>
                <w:lang w:val="en-US"/>
              </w:rPr>
              <w:t>project</w:t>
            </w:r>
            <w:proofErr w:type="gramEnd"/>
            <w:r w:rsidRPr="00D86140">
              <w:rPr>
                <w:rFonts w:eastAsia="Arial" w:cs="Arial"/>
                <w:sz w:val="22"/>
                <w:szCs w:val="22"/>
                <w:lang w:val="en-US"/>
              </w:rPr>
              <w:t xml:space="preserve"> as part of TCAF activities.</w:t>
            </w:r>
          </w:p>
          <w:p w14:paraId="38D32BFF" w14:textId="64E69C08" w:rsidR="00D86140" w:rsidRPr="00D86140" w:rsidRDefault="00D86140" w:rsidP="00D86140">
            <w:pPr>
              <w:pStyle w:val="ListParagraph"/>
              <w:numPr>
                <w:ilvl w:val="0"/>
                <w:numId w:val="49"/>
              </w:numPr>
              <w:jc w:val="both"/>
              <w:rPr>
                <w:rFonts w:eastAsia="Arial" w:cs="Arial"/>
                <w:sz w:val="22"/>
                <w:szCs w:val="22"/>
              </w:rPr>
            </w:pPr>
            <w:r w:rsidRPr="00D86140">
              <w:rPr>
                <w:rFonts w:eastAsia="Arial" w:cs="Arial"/>
                <w:sz w:val="22"/>
                <w:szCs w:val="22"/>
                <w:lang w:val="en-US"/>
              </w:rPr>
              <w:t>A key meeting</w:t>
            </w:r>
            <w:r w:rsidRPr="00D86140">
              <w:rPr>
                <w:rFonts w:eastAsia="Arial"/>
                <w:lang w:val="en-US"/>
              </w:rPr>
              <w:t xml:space="preserve"> </w:t>
            </w:r>
            <w:r w:rsidRPr="00D86140">
              <w:rPr>
                <w:rFonts w:eastAsia="Arial" w:cs="Arial"/>
                <w:sz w:val="22"/>
                <w:szCs w:val="22"/>
                <w:lang w:val="en-US"/>
              </w:rPr>
              <w:t xml:space="preserve">highlight of TCAF's knowledge management efforts was its </w:t>
            </w:r>
            <w:r w:rsidRPr="00D86140">
              <w:rPr>
                <w:rFonts w:eastAsia="Arial" w:cs="Arial"/>
                <w:b/>
                <w:bCs/>
                <w:sz w:val="22"/>
                <w:szCs w:val="22"/>
                <w:lang w:val="en-US"/>
              </w:rPr>
              <w:t xml:space="preserve">collaboration with the Carbon Initiative for Development (Ci-Dev) and the Partnership for Market Implementation (PMI) for a two-day global workshop. </w:t>
            </w:r>
            <w:r w:rsidRPr="00D86140">
              <w:rPr>
                <w:rFonts w:eastAsia="Arial" w:cs="Arial"/>
                <w:sz w:val="22"/>
                <w:szCs w:val="22"/>
                <w:lang w:val="en-US"/>
              </w:rPr>
              <w:t xml:space="preserve">This workshop brought together country representatives and Contributors to discuss Article 6 of the Paris Agreement and international carbon markets. Sessions covered </w:t>
            </w:r>
            <w:proofErr w:type="gramStart"/>
            <w:r w:rsidRPr="00D86140">
              <w:rPr>
                <w:rFonts w:eastAsia="Arial" w:cs="Arial"/>
                <w:sz w:val="22"/>
                <w:szCs w:val="22"/>
                <w:lang w:val="en-US"/>
              </w:rPr>
              <w:t>diverse country</w:t>
            </w:r>
            <w:proofErr w:type="gramEnd"/>
            <w:r w:rsidRPr="00D86140">
              <w:rPr>
                <w:rFonts w:eastAsia="Arial" w:cs="Arial"/>
                <w:sz w:val="22"/>
                <w:szCs w:val="22"/>
                <w:lang w:val="en-US"/>
              </w:rPr>
              <w:t xml:space="preserve"> experiences, innovative solutions, and implementation challenges. Representatives from close to 40 countries explored new insights on international carbon markets and shared new tools, guidance, and support to inform national strategies and policy decisions. Translation services ensured inclusive participation in discussions. Additionally, a global mixer encouraged future collaborations and peer-to-peer learning.</w:t>
            </w:r>
          </w:p>
          <w:p w14:paraId="3255CBE8" w14:textId="515D0675" w:rsidR="00D86140" w:rsidRPr="00D86140" w:rsidRDefault="00D86140" w:rsidP="002409A0">
            <w:pPr>
              <w:pStyle w:val="ListParagraph"/>
              <w:numPr>
                <w:ilvl w:val="0"/>
                <w:numId w:val="49"/>
              </w:numPr>
              <w:spacing w:line="257" w:lineRule="auto"/>
              <w:jc w:val="both"/>
              <w:rPr>
                <w:rFonts w:eastAsia="Arial" w:cs="Arial"/>
                <w:b/>
                <w:bCs/>
                <w:sz w:val="22"/>
                <w:szCs w:val="22"/>
                <w:lang w:val="en-US"/>
              </w:rPr>
            </w:pPr>
            <w:r w:rsidRPr="00D86140">
              <w:rPr>
                <w:rFonts w:eastAsia="Arial" w:cs="Arial"/>
                <w:sz w:val="22"/>
                <w:szCs w:val="22"/>
                <w:lang w:val="en-US"/>
              </w:rPr>
              <w:t xml:space="preserve">TCAF also strengthened knowledge exchange with World Bank operational teams by joining the </w:t>
            </w:r>
            <w:r w:rsidRPr="00D86140">
              <w:rPr>
                <w:rFonts w:eastAsia="Arial" w:cs="Arial"/>
                <w:b/>
                <w:bCs/>
                <w:sz w:val="22"/>
                <w:szCs w:val="22"/>
                <w:lang w:val="en-US"/>
              </w:rPr>
              <w:t>Transport Data, Modelling and Analytics (TDMA) global knowledge webinar</w:t>
            </w:r>
            <w:r w:rsidRPr="00D86140">
              <w:rPr>
                <w:rFonts w:eastAsia="Arial" w:cs="Arial"/>
                <w:sz w:val="22"/>
                <w:szCs w:val="22"/>
                <w:lang w:val="en-US"/>
              </w:rPr>
              <w:t xml:space="preserve"> to present policy MRV methodology tool for measuring ex-post transport decarbonization impacts. The session provided an opportunity to share early experience from applying the tool in the Ecuador diesel fuel subsidy reform policy crediting program, highlighting how robust data, modelling, and MRV approaches can support credible assessment of policy-driven emission reductions in the transport sector. </w:t>
            </w:r>
          </w:p>
        </w:tc>
      </w:tr>
    </w:tbl>
    <w:p w14:paraId="0F40E60B" w14:textId="77777777" w:rsidR="00D86140" w:rsidRDefault="00D86140" w:rsidP="002409A0">
      <w:pPr>
        <w:spacing w:line="257" w:lineRule="auto"/>
        <w:jc w:val="both"/>
        <w:rPr>
          <w:rFonts w:eastAsia="Arial" w:cs="Arial"/>
          <w:sz w:val="22"/>
          <w:szCs w:val="22"/>
          <w:lang w:val="en-US"/>
        </w:rPr>
      </w:pPr>
    </w:p>
    <w:p w14:paraId="37694B88" w14:textId="48D5AFBA" w:rsidR="314AC9EC" w:rsidRPr="005B0B73" w:rsidRDefault="002409A0" w:rsidP="00D86140">
      <w:pPr>
        <w:spacing w:line="257" w:lineRule="auto"/>
        <w:jc w:val="both"/>
        <w:rPr>
          <w:rFonts w:eastAsia="Arial" w:cs="Arial"/>
          <w:sz w:val="22"/>
          <w:szCs w:val="22"/>
          <w:lang w:val="en-US"/>
        </w:rPr>
      </w:pPr>
      <w:r w:rsidRPr="005B0B73">
        <w:rPr>
          <w:rFonts w:eastAsia="Arial" w:cs="Arial"/>
          <w:sz w:val="22"/>
          <w:szCs w:val="22"/>
          <w:lang w:val="en-US"/>
        </w:rPr>
        <w:t xml:space="preserve"> </w:t>
      </w:r>
    </w:p>
    <w:p w14:paraId="103F0941" w14:textId="71154A55" w:rsidR="006F6CD8" w:rsidRPr="00D86140" w:rsidRDefault="00D86140" w:rsidP="71941DF3">
      <w:pPr>
        <w:jc w:val="both"/>
        <w:rPr>
          <w:rStyle w:val="normaltextrun"/>
        </w:rPr>
      </w:pPr>
      <w:r>
        <w:rPr>
          <w:rStyle w:val="normaltextrun"/>
          <w:rFonts w:eastAsia="Arial" w:cs="Arial"/>
          <w:color w:val="000000" w:themeColor="text1"/>
          <w:sz w:val="22"/>
          <w:szCs w:val="22"/>
        </w:rPr>
        <w:lastRenderedPageBreak/>
        <w:t xml:space="preserve">Private sector engagement was also high, with </w:t>
      </w:r>
      <w:r w:rsidRPr="00D86140">
        <w:rPr>
          <w:rStyle w:val="normaltextrun"/>
          <w:rFonts w:eastAsia="Arial" w:cs="Arial"/>
          <w:color w:val="000000" w:themeColor="text1"/>
          <w:sz w:val="22"/>
          <w:szCs w:val="22"/>
        </w:rPr>
        <w:t xml:space="preserve">progress against indicator 3.3 with </w:t>
      </w:r>
      <w:r w:rsidRPr="00D86140">
        <w:rPr>
          <w:rStyle w:val="normaltextrun"/>
          <w:color w:val="000000" w:themeColor="text1"/>
        </w:rPr>
        <w:t>82</w:t>
      </w:r>
      <w:r>
        <w:rPr>
          <w:rStyle w:val="normaltextrun"/>
          <w:color w:val="000000" w:themeColor="text1"/>
        </w:rPr>
        <w:t>%</w:t>
      </w:r>
      <w:r w:rsidRPr="00D86140">
        <w:rPr>
          <w:rStyle w:val="normaltextrun"/>
          <w:color w:val="000000" w:themeColor="text1"/>
        </w:rPr>
        <w:t xml:space="preserve"> of those surveyed </w:t>
      </w:r>
      <w:r w:rsidRPr="005B0B73">
        <w:rPr>
          <w:rStyle w:val="normaltextrun"/>
          <w:rFonts w:eastAsia="Arial" w:cs="Arial"/>
          <w:color w:val="000000" w:themeColor="text1"/>
          <w:sz w:val="22"/>
          <w:szCs w:val="22"/>
        </w:rPr>
        <w:t xml:space="preserve">reporting that TCAF engagement has improved their knowledge of TCAF transaction blueprints, opportunities, and lessons learnt.  </w:t>
      </w:r>
    </w:p>
    <w:p w14:paraId="6E79B04D" w14:textId="77777777" w:rsidR="002409A0" w:rsidRDefault="002409A0" w:rsidP="71941DF3">
      <w:pPr>
        <w:jc w:val="both"/>
        <w:rPr>
          <w:rFonts w:eastAsia="Arial" w:cs="Arial"/>
          <w:sz w:val="22"/>
          <w:szCs w:val="22"/>
          <w:lang w:val="en-US"/>
        </w:rPr>
      </w:pPr>
    </w:p>
    <w:p w14:paraId="7ABB9043" w14:textId="77777777" w:rsidR="002409A0" w:rsidRPr="005B0B73" w:rsidRDefault="002409A0" w:rsidP="71941DF3">
      <w:pPr>
        <w:jc w:val="both"/>
        <w:rPr>
          <w:rFonts w:eastAsia="Arial" w:cs="Arial"/>
          <w:b/>
          <w:i/>
          <w:sz w:val="22"/>
          <w:szCs w:val="22"/>
        </w:rPr>
      </w:pPr>
    </w:p>
    <w:p w14:paraId="2221700E" w14:textId="1ED04E7A" w:rsidR="0078554A" w:rsidRPr="005B0B73" w:rsidRDefault="006F6CD8" w:rsidP="1FFC5AE9">
      <w:pPr>
        <w:jc w:val="both"/>
        <w:rPr>
          <w:rFonts w:eastAsia="Arial" w:cs="Arial"/>
          <w:b/>
          <w:i/>
          <w:sz w:val="22"/>
          <w:szCs w:val="22"/>
        </w:rPr>
      </w:pPr>
      <w:r w:rsidRPr="005B0B73">
        <w:rPr>
          <w:rFonts w:eastAsia="Arial" w:cs="Arial"/>
          <w:b/>
          <w:i/>
          <w:sz w:val="22"/>
          <w:szCs w:val="22"/>
        </w:rPr>
        <w:t>Progress on recommendations from the previous AR, lessons learned this yea</w:t>
      </w:r>
      <w:r w:rsidR="009E3CA8" w:rsidRPr="005B0B73">
        <w:rPr>
          <w:rFonts w:eastAsia="Arial" w:cs="Arial"/>
          <w:b/>
          <w:i/>
          <w:sz w:val="22"/>
          <w:szCs w:val="22"/>
        </w:rPr>
        <w:t>r</w:t>
      </w:r>
    </w:p>
    <w:p w14:paraId="6390AF0A" w14:textId="6A28FBC9" w:rsidR="7133BD69" w:rsidRPr="005B0B73" w:rsidRDefault="7133BD69" w:rsidP="6C37D916">
      <w:pPr>
        <w:jc w:val="both"/>
        <w:rPr>
          <w:rFonts w:eastAsia="Arial" w:cs="Arial"/>
          <w:sz w:val="22"/>
          <w:szCs w:val="22"/>
        </w:rPr>
      </w:pPr>
    </w:p>
    <w:p w14:paraId="07E7290F" w14:textId="54162A37" w:rsidR="00CD15F8" w:rsidRPr="005B0B73" w:rsidRDefault="00D86140" w:rsidP="6C37D916">
      <w:pPr>
        <w:spacing w:line="300" w:lineRule="auto"/>
        <w:jc w:val="both"/>
        <w:rPr>
          <w:rFonts w:eastAsia="Arial" w:cs="Arial"/>
          <w:sz w:val="22"/>
          <w:szCs w:val="22"/>
        </w:rPr>
      </w:pPr>
      <w:r>
        <w:rPr>
          <w:rFonts w:eastAsia="Arial" w:cs="Arial"/>
          <w:sz w:val="22"/>
          <w:szCs w:val="22"/>
        </w:rPr>
        <w:t xml:space="preserve">This reporting period </w:t>
      </w:r>
      <w:proofErr w:type="gramStart"/>
      <w:r>
        <w:rPr>
          <w:rFonts w:eastAsia="Arial" w:cs="Arial"/>
          <w:sz w:val="22"/>
          <w:szCs w:val="22"/>
        </w:rPr>
        <w:t>showed  progress</w:t>
      </w:r>
      <w:proofErr w:type="gramEnd"/>
      <w:r>
        <w:rPr>
          <w:rFonts w:eastAsia="Arial" w:cs="Arial"/>
          <w:sz w:val="22"/>
          <w:szCs w:val="22"/>
        </w:rPr>
        <w:t xml:space="preserve"> </w:t>
      </w:r>
      <w:r w:rsidR="00CD15F8">
        <w:rPr>
          <w:rFonts w:eastAsia="Arial" w:cs="Arial"/>
          <w:sz w:val="22"/>
          <w:szCs w:val="22"/>
        </w:rPr>
        <w:t xml:space="preserve">against the new </w:t>
      </w:r>
      <w:proofErr w:type="spellStart"/>
      <w:r w:rsidR="00CD15F8">
        <w:rPr>
          <w:rFonts w:eastAsia="Arial" w:cs="Arial"/>
          <w:sz w:val="22"/>
          <w:szCs w:val="22"/>
        </w:rPr>
        <w:t>logframe</w:t>
      </w:r>
      <w:proofErr w:type="spellEnd"/>
      <w:r w:rsidR="00CD15F8">
        <w:rPr>
          <w:rFonts w:eastAsia="Arial" w:cs="Arial"/>
          <w:sz w:val="22"/>
          <w:szCs w:val="22"/>
        </w:rPr>
        <w:t xml:space="preserve"> indicators for this output.  </w:t>
      </w:r>
      <w:r w:rsidR="6BB429B7" w:rsidRPr="005B0B73">
        <w:rPr>
          <w:rFonts w:eastAsia="Arial" w:cs="Arial"/>
          <w:sz w:val="22"/>
          <w:szCs w:val="22"/>
        </w:rPr>
        <w:t>While maintaining the same workstream structure</w:t>
      </w:r>
      <w:r w:rsidR="00CD15F8">
        <w:rPr>
          <w:rFonts w:eastAsia="Arial" w:cs="Arial"/>
          <w:sz w:val="22"/>
          <w:szCs w:val="22"/>
        </w:rPr>
        <w:t xml:space="preserve"> as FY25</w:t>
      </w:r>
      <w:r w:rsidR="6BB429B7" w:rsidRPr="005B0B73">
        <w:rPr>
          <w:rFonts w:eastAsia="Arial" w:cs="Arial"/>
          <w:sz w:val="22"/>
          <w:szCs w:val="22"/>
        </w:rPr>
        <w:t xml:space="preserve">, </w:t>
      </w:r>
      <w:r w:rsidR="00CD15F8">
        <w:rPr>
          <w:rFonts w:eastAsia="Arial" w:cs="Arial"/>
          <w:sz w:val="22"/>
          <w:szCs w:val="22"/>
        </w:rPr>
        <w:t xml:space="preserve">in this reporting period </w:t>
      </w:r>
      <w:r w:rsidR="6BB429B7" w:rsidRPr="005B0B73">
        <w:rPr>
          <w:rFonts w:eastAsia="Arial" w:cs="Arial"/>
          <w:sz w:val="22"/>
          <w:szCs w:val="22"/>
        </w:rPr>
        <w:t xml:space="preserve">outputs </w:t>
      </w:r>
      <w:r w:rsidR="00CD15F8">
        <w:rPr>
          <w:rFonts w:eastAsia="Arial" w:cs="Arial"/>
          <w:sz w:val="22"/>
          <w:szCs w:val="22"/>
        </w:rPr>
        <w:t>were</w:t>
      </w:r>
      <w:r w:rsidR="6BB429B7" w:rsidRPr="005B0B73">
        <w:rPr>
          <w:rFonts w:eastAsia="Arial" w:cs="Arial"/>
          <w:sz w:val="22"/>
          <w:szCs w:val="22"/>
        </w:rPr>
        <w:t xml:space="preserve"> more closely aligned to operational needs, including the development of practical methodologies, frameworks and tools directly supporting programme implementation and engagement with evolving Article 6 and CORSIA processes. Knowledge activities also </w:t>
      </w:r>
      <w:r w:rsidR="00CD15F8" w:rsidRPr="005B0B73">
        <w:rPr>
          <w:rFonts w:eastAsia="Arial" w:cs="Arial"/>
          <w:sz w:val="22"/>
          <w:szCs w:val="22"/>
        </w:rPr>
        <w:t>bec</w:t>
      </w:r>
      <w:r w:rsidR="00CD15F8">
        <w:rPr>
          <w:rFonts w:eastAsia="Arial" w:cs="Arial"/>
          <w:sz w:val="22"/>
          <w:szCs w:val="22"/>
        </w:rPr>
        <w:t>ame</w:t>
      </w:r>
      <w:r w:rsidR="6BB429B7" w:rsidRPr="005B0B73">
        <w:rPr>
          <w:rFonts w:eastAsia="Arial" w:cs="Arial"/>
          <w:sz w:val="22"/>
          <w:szCs w:val="22"/>
        </w:rPr>
        <w:t xml:space="preserve"> more targeted and interactive, with greater emphasis on structured workshops, webinars and collaboration with partners and operational teams. This shift has strengthened the relevance and usability of TCAF’s outputs, with clearer pathways to application</w:t>
      </w:r>
      <w:r w:rsidR="4918A698" w:rsidRPr="005B0B73">
        <w:rPr>
          <w:rFonts w:eastAsia="Arial" w:cs="Arial"/>
          <w:sz w:val="22"/>
          <w:szCs w:val="22"/>
        </w:rPr>
        <w:t>.</w:t>
      </w:r>
      <w:r w:rsidR="00CD15F8">
        <w:rPr>
          <w:rFonts w:eastAsia="Arial" w:cs="Arial"/>
          <w:sz w:val="22"/>
          <w:szCs w:val="22"/>
        </w:rPr>
        <w:t xml:space="preserve">  Given there remain opportunities for continued awareness raising on carbon market opportunities (including the CORSIA market) and</w:t>
      </w:r>
      <w:r w:rsidR="00655D71">
        <w:rPr>
          <w:rFonts w:eastAsia="Arial" w:cs="Arial"/>
          <w:sz w:val="22"/>
          <w:szCs w:val="22"/>
        </w:rPr>
        <w:t xml:space="preserve"> </w:t>
      </w:r>
      <w:r w:rsidR="00CD15F8">
        <w:rPr>
          <w:rFonts w:eastAsia="Arial" w:cs="Arial"/>
          <w:sz w:val="22"/>
          <w:szCs w:val="22"/>
        </w:rPr>
        <w:t>evolving buyer needs and requirements</w:t>
      </w:r>
      <w:r w:rsidR="00655D71">
        <w:rPr>
          <w:rFonts w:eastAsia="Arial" w:cs="Arial"/>
          <w:sz w:val="22"/>
          <w:szCs w:val="22"/>
        </w:rPr>
        <w:t xml:space="preserve"> from sources of demand</w:t>
      </w:r>
      <w:r w:rsidR="00CD15F8">
        <w:rPr>
          <w:rFonts w:eastAsia="Arial" w:cs="Arial"/>
          <w:sz w:val="22"/>
          <w:szCs w:val="22"/>
        </w:rPr>
        <w:t>, this work should continue.</w:t>
      </w:r>
    </w:p>
    <w:p w14:paraId="3E8B79F6" w14:textId="77777777" w:rsidR="002C1C04" w:rsidRPr="005B0B73" w:rsidRDefault="002C1C04" w:rsidP="1FFC5AE9">
      <w:pPr>
        <w:jc w:val="both"/>
        <w:rPr>
          <w:rFonts w:eastAsia="Arial" w:cs="Arial"/>
          <w:b/>
          <w:i/>
          <w:sz w:val="22"/>
          <w:szCs w:val="22"/>
        </w:rPr>
      </w:pPr>
    </w:p>
    <w:p w14:paraId="3801A7CF" w14:textId="4627CB60" w:rsidR="004D196B" w:rsidRPr="00CD15F8" w:rsidRDefault="009E3CA8" w:rsidP="31D0DCD5">
      <w:pPr>
        <w:spacing w:after="160"/>
        <w:jc w:val="both"/>
        <w:rPr>
          <w:rFonts w:eastAsia="Arial" w:cs="Arial"/>
          <w:b/>
          <w:bCs/>
          <w:i/>
          <w:iCs/>
          <w:sz w:val="22"/>
          <w:szCs w:val="22"/>
        </w:rPr>
      </w:pPr>
      <w:r w:rsidRPr="005B0B73">
        <w:rPr>
          <w:rFonts w:eastAsia="Arial" w:cs="Arial"/>
          <w:b/>
          <w:bCs/>
          <w:i/>
          <w:iCs/>
          <w:sz w:val="22"/>
          <w:szCs w:val="22"/>
        </w:rPr>
        <w:t>R</w:t>
      </w:r>
      <w:r w:rsidR="006F6CD8" w:rsidRPr="005B0B73">
        <w:rPr>
          <w:rFonts w:eastAsia="Arial" w:cs="Arial"/>
          <w:b/>
          <w:bCs/>
          <w:i/>
          <w:iCs/>
          <w:sz w:val="22"/>
          <w:szCs w:val="22"/>
        </w:rPr>
        <w:t xml:space="preserve">ecommendations for the year ahead </w:t>
      </w:r>
    </w:p>
    <w:tbl>
      <w:tblPr>
        <w:tblStyle w:val="TableGrid"/>
        <w:tblW w:w="0" w:type="auto"/>
        <w:tblLook w:val="04A0" w:firstRow="1" w:lastRow="0" w:firstColumn="1" w:lastColumn="0" w:noHBand="0" w:noVBand="1"/>
      </w:tblPr>
      <w:tblGrid>
        <w:gridCol w:w="9016"/>
      </w:tblGrid>
      <w:tr w:rsidR="004D196B" w:rsidRPr="005B0B73" w14:paraId="36140206" w14:textId="77777777" w:rsidTr="004D196B">
        <w:tc>
          <w:tcPr>
            <w:tcW w:w="9016" w:type="dxa"/>
          </w:tcPr>
          <w:p w14:paraId="4F16BB15" w14:textId="715E5A57" w:rsidR="004D196B" w:rsidRPr="005B0B73" w:rsidRDefault="009A621A" w:rsidP="31D0DCD5">
            <w:pPr>
              <w:spacing w:after="160"/>
              <w:jc w:val="both"/>
              <w:rPr>
                <w:rFonts w:eastAsia="Arial" w:cs="Arial"/>
                <w:i/>
                <w:iCs/>
                <w:color w:val="000000" w:themeColor="text1"/>
                <w:sz w:val="22"/>
                <w:szCs w:val="22"/>
                <w:highlight w:val="yellow"/>
              </w:rPr>
            </w:pPr>
            <w:r w:rsidRPr="005B0B73">
              <w:rPr>
                <w:rFonts w:eastAsia="Arial" w:cs="Arial"/>
                <w:i/>
                <w:iCs/>
                <w:color w:val="000000" w:themeColor="text1"/>
                <w:sz w:val="22"/>
                <w:szCs w:val="22"/>
              </w:rPr>
              <w:t xml:space="preserve">The </w:t>
            </w:r>
            <w:r w:rsidRPr="005B0B73">
              <w:rPr>
                <w:rFonts w:eastAsia="Arial" w:cs="Arial"/>
                <w:b/>
                <w:bCs/>
                <w:i/>
                <w:iCs/>
                <w:color w:val="000000" w:themeColor="text1"/>
                <w:sz w:val="22"/>
                <w:szCs w:val="22"/>
              </w:rPr>
              <w:t>Trustee</w:t>
            </w:r>
            <w:r w:rsidRPr="005B0B73">
              <w:rPr>
                <w:rFonts w:eastAsia="Arial" w:cs="Arial"/>
                <w:i/>
                <w:iCs/>
                <w:color w:val="000000" w:themeColor="text1"/>
                <w:sz w:val="22"/>
                <w:szCs w:val="22"/>
              </w:rPr>
              <w:t xml:space="preserve"> should continue </w:t>
            </w:r>
            <w:r w:rsidRPr="005B0B73">
              <w:rPr>
                <w:rFonts w:eastAsia="Arial" w:cs="Arial"/>
                <w:b/>
                <w:bCs/>
                <w:i/>
                <w:iCs/>
                <w:color w:val="000000" w:themeColor="text1"/>
                <w:sz w:val="22"/>
                <w:szCs w:val="22"/>
              </w:rPr>
              <w:t>to engage</w:t>
            </w:r>
            <w:r w:rsidRPr="005B0B73">
              <w:rPr>
                <w:rFonts w:eastAsia="Arial" w:cs="Arial"/>
                <w:i/>
                <w:iCs/>
                <w:color w:val="000000" w:themeColor="text1"/>
                <w:sz w:val="22"/>
                <w:szCs w:val="22"/>
              </w:rPr>
              <w:t xml:space="preserve"> with a broad spectrum of carbon market stakeholders including standard-setters and sources of demand (sovereign, corporate, airlines), apply lessons learnt to ensure TCAF countries supported are equipped to meet evolving buyer needs and compliance requirements and continue </w:t>
            </w:r>
            <w:r w:rsidRPr="005B0B73">
              <w:rPr>
                <w:rFonts w:eastAsia="Arial" w:cs="Arial"/>
                <w:b/>
                <w:bCs/>
                <w:i/>
                <w:iCs/>
                <w:color w:val="000000" w:themeColor="text1"/>
                <w:sz w:val="22"/>
                <w:szCs w:val="22"/>
              </w:rPr>
              <w:t>to contribute</w:t>
            </w:r>
            <w:r w:rsidRPr="005B0B73">
              <w:rPr>
                <w:rFonts w:eastAsia="Arial" w:cs="Arial"/>
                <w:i/>
                <w:iCs/>
                <w:color w:val="000000" w:themeColor="text1"/>
                <w:sz w:val="22"/>
                <w:szCs w:val="22"/>
              </w:rPr>
              <w:t xml:space="preserve"> to the Paris Agreement Crediting Mechanism’s work.  This work is to be presented at the next annual meeting. </w:t>
            </w:r>
            <w:r w:rsidRPr="005B0B73">
              <w:rPr>
                <w:rFonts w:eastAsia="Arial" w:cs="Arial"/>
                <w:i/>
                <w:iCs/>
                <w:sz w:val="22"/>
                <w:szCs w:val="22"/>
              </w:rPr>
              <w:t xml:space="preserve">Progress should be evidenced through a summary of key engagements, outputs, and outcomes, and presented at the next TCAF </w:t>
            </w:r>
            <w:r w:rsidR="004B26EB">
              <w:rPr>
                <w:rFonts w:eastAsia="Arial" w:cs="Arial"/>
                <w:i/>
                <w:iCs/>
                <w:sz w:val="22"/>
                <w:szCs w:val="22"/>
              </w:rPr>
              <w:t xml:space="preserve">mid-year </w:t>
            </w:r>
            <w:r w:rsidRPr="005B0B73">
              <w:rPr>
                <w:rFonts w:eastAsia="Arial" w:cs="Arial"/>
                <w:i/>
                <w:iCs/>
                <w:sz w:val="22"/>
                <w:szCs w:val="22"/>
              </w:rPr>
              <w:t xml:space="preserve">meeting in </w:t>
            </w:r>
            <w:r w:rsidR="00AF1BE0">
              <w:rPr>
                <w:rFonts w:eastAsia="Arial" w:cs="Arial"/>
                <w:i/>
                <w:iCs/>
                <w:sz w:val="22"/>
                <w:szCs w:val="22"/>
              </w:rPr>
              <w:t xml:space="preserve">early </w:t>
            </w:r>
            <w:r w:rsidRPr="005B0B73">
              <w:rPr>
                <w:rFonts w:eastAsia="Arial" w:cs="Arial"/>
                <w:i/>
                <w:iCs/>
                <w:sz w:val="22"/>
                <w:szCs w:val="22"/>
              </w:rPr>
              <w:t xml:space="preserve">2027. </w:t>
            </w:r>
          </w:p>
        </w:tc>
      </w:tr>
    </w:tbl>
    <w:p w14:paraId="7B5684C5" w14:textId="38F1BCE5" w:rsidR="004D196B" w:rsidRPr="005B0B73" w:rsidRDefault="004D196B" w:rsidP="1FFC5AE9">
      <w:pPr>
        <w:spacing w:after="160"/>
        <w:rPr>
          <w:rFonts w:eastAsia="Arial" w:cs="Arial"/>
        </w:rPr>
      </w:pPr>
      <w:bookmarkStart w:id="12" w:name="_Toc142922632"/>
    </w:p>
    <w:tbl>
      <w:tblPr>
        <w:tblStyle w:val="TableGrid"/>
        <w:tblW w:w="0" w:type="auto"/>
        <w:tblLook w:val="04A0" w:firstRow="1" w:lastRow="0" w:firstColumn="1" w:lastColumn="0" w:noHBand="0" w:noVBand="1"/>
      </w:tblPr>
      <w:tblGrid>
        <w:gridCol w:w="9016"/>
      </w:tblGrid>
      <w:tr w:rsidR="004D196B" w:rsidRPr="005B0B73" w14:paraId="66898F1E" w14:textId="77777777" w:rsidTr="004D196B">
        <w:tc>
          <w:tcPr>
            <w:tcW w:w="9016" w:type="dxa"/>
          </w:tcPr>
          <w:p w14:paraId="79B9C362" w14:textId="4BBCBE0E" w:rsidR="004D196B" w:rsidRPr="005B0B73" w:rsidRDefault="00867EF0" w:rsidP="1FFC5AE9">
            <w:pPr>
              <w:spacing w:after="160"/>
              <w:rPr>
                <w:rFonts w:eastAsia="Arial" w:cs="Arial"/>
                <w:i/>
                <w:iCs/>
              </w:rPr>
            </w:pPr>
            <w:r w:rsidRPr="005B0B73">
              <w:rPr>
                <w:rFonts w:eastAsia="Arial" w:cs="Arial"/>
                <w:i/>
                <w:iCs/>
                <w:color w:val="000000" w:themeColor="text1"/>
                <w:sz w:val="22"/>
                <w:szCs w:val="22"/>
              </w:rPr>
              <w:t xml:space="preserve">The </w:t>
            </w:r>
            <w:r w:rsidRPr="005B0B73">
              <w:rPr>
                <w:rFonts w:eastAsia="Arial" w:cs="Arial"/>
                <w:b/>
                <w:bCs/>
                <w:i/>
                <w:iCs/>
                <w:color w:val="000000" w:themeColor="text1"/>
                <w:sz w:val="22"/>
                <w:szCs w:val="22"/>
              </w:rPr>
              <w:t>Trustee</w:t>
            </w:r>
            <w:r w:rsidRPr="005B0B73">
              <w:rPr>
                <w:rFonts w:eastAsia="Arial" w:cs="Arial"/>
                <w:i/>
                <w:iCs/>
                <w:color w:val="000000" w:themeColor="text1"/>
                <w:sz w:val="22"/>
                <w:szCs w:val="22"/>
              </w:rPr>
              <w:t xml:space="preserve"> should </w:t>
            </w:r>
            <w:r w:rsidRPr="005B0B73">
              <w:rPr>
                <w:rFonts w:eastAsia="Arial" w:cs="Arial"/>
                <w:b/>
                <w:bCs/>
                <w:i/>
                <w:iCs/>
                <w:color w:val="000000" w:themeColor="text1"/>
                <w:sz w:val="22"/>
                <w:szCs w:val="22"/>
              </w:rPr>
              <w:t>raise awareness</w:t>
            </w:r>
            <w:r w:rsidRPr="005B0B73">
              <w:rPr>
                <w:rFonts w:eastAsia="Arial" w:cs="Arial"/>
                <w:i/>
                <w:iCs/>
                <w:color w:val="000000" w:themeColor="text1"/>
                <w:sz w:val="22"/>
                <w:szCs w:val="22"/>
              </w:rPr>
              <w:t xml:space="preserve"> of authorisation and market opportunities and reporting requirements with TCAF supported countries, including the Carbon Offsetting and Reduction Scheme for International Aviation (CORSIA) market and other carbon markets. </w:t>
            </w:r>
            <w:r w:rsidR="00DC3B8C" w:rsidRPr="00DC3B8C">
              <w:rPr>
                <w:rFonts w:eastAsia="Arial" w:cs="Arial"/>
                <w:i/>
                <w:iCs/>
                <w:color w:val="000000" w:themeColor="text1"/>
                <w:sz w:val="22"/>
                <w:szCs w:val="22"/>
              </w:rPr>
              <w:t>This work should also be presented at the next mid-year review meeting in early 2027</w:t>
            </w:r>
          </w:p>
        </w:tc>
      </w:tr>
    </w:tbl>
    <w:p w14:paraId="036B1C89" w14:textId="3CE813DD" w:rsidR="00867EF0" w:rsidRPr="005B0B73" w:rsidRDefault="00867EF0" w:rsidP="1FFC5AE9">
      <w:pPr>
        <w:spacing w:after="160"/>
        <w:rPr>
          <w:rFonts w:eastAsia="Arial" w:cs="Arial"/>
        </w:rPr>
      </w:pPr>
    </w:p>
    <w:p w14:paraId="0F9BFE5D" w14:textId="3750D909" w:rsidR="1FB63933" w:rsidRPr="005B0B73" w:rsidRDefault="00867EF0" w:rsidP="00655D71">
      <w:pPr>
        <w:spacing w:after="160"/>
        <w:rPr>
          <w:rFonts w:eastAsia="Arial" w:cs="Arial"/>
        </w:rPr>
      </w:pPr>
      <w:r w:rsidRPr="005B0B73">
        <w:rPr>
          <w:rFonts w:eastAsia="Arial" w:cs="Arial"/>
        </w:rPr>
        <w:br w:type="page"/>
      </w:r>
    </w:p>
    <w:tbl>
      <w:tblPr>
        <w:tblStyle w:val="TableGrid"/>
        <w:tblW w:w="0" w:type="auto"/>
        <w:tblLook w:val="04A0" w:firstRow="1" w:lastRow="0" w:firstColumn="1" w:lastColumn="0" w:noHBand="0" w:noVBand="1"/>
      </w:tblPr>
      <w:tblGrid>
        <w:gridCol w:w="9016"/>
      </w:tblGrid>
      <w:tr w:rsidR="005B5879" w:rsidRPr="005B0B73" w14:paraId="625A7711" w14:textId="77777777" w:rsidTr="1FFC5AE9">
        <w:tc>
          <w:tcPr>
            <w:tcW w:w="9016" w:type="dxa"/>
            <w:shd w:val="clear" w:color="auto" w:fill="DEEAF6" w:themeFill="accent5" w:themeFillTint="33"/>
          </w:tcPr>
          <w:p w14:paraId="78474CCE" w14:textId="3C339C73" w:rsidR="00CB2873" w:rsidRPr="005B0B73" w:rsidRDefault="00A95D0D" w:rsidP="2761AC03">
            <w:pPr>
              <w:jc w:val="both"/>
              <w:rPr>
                <w:rStyle w:val="Heading1Char"/>
                <w:rFonts w:ascii="Arial" w:eastAsia="Arial" w:hAnsi="Arial" w:cs="Arial"/>
                <w:b/>
                <w:bCs/>
                <w:color w:val="auto"/>
              </w:rPr>
            </w:pPr>
            <w:r w:rsidRPr="005B0B73">
              <w:rPr>
                <w:rStyle w:val="Heading1Char"/>
                <w:rFonts w:ascii="Arial" w:eastAsia="Arial" w:hAnsi="Arial" w:cs="Arial"/>
                <w:b/>
                <w:bCs/>
                <w:color w:val="auto"/>
              </w:rPr>
              <w:lastRenderedPageBreak/>
              <w:t>Section D: Pro</w:t>
            </w:r>
            <w:r w:rsidR="001330CE" w:rsidRPr="005B0B73">
              <w:rPr>
                <w:rStyle w:val="Heading1Char"/>
                <w:rFonts w:ascii="Arial" w:eastAsia="Arial" w:hAnsi="Arial" w:cs="Arial"/>
                <w:b/>
                <w:bCs/>
                <w:color w:val="auto"/>
              </w:rPr>
              <w:t xml:space="preserve">gramme </w:t>
            </w:r>
            <w:r w:rsidRPr="005B0B73">
              <w:rPr>
                <w:rStyle w:val="Heading1Char"/>
                <w:rFonts w:ascii="Arial" w:eastAsia="Arial" w:hAnsi="Arial" w:cs="Arial"/>
                <w:b/>
                <w:bCs/>
                <w:color w:val="auto"/>
              </w:rPr>
              <w:t>performance not captured by outputs</w:t>
            </w:r>
            <w:bookmarkEnd w:id="12"/>
          </w:p>
        </w:tc>
      </w:tr>
    </w:tbl>
    <w:p w14:paraId="358B70D4" w14:textId="7AE9F8AC" w:rsidR="00CB2873" w:rsidRPr="005B0B73" w:rsidRDefault="00CB2873" w:rsidP="1FFC5AE9">
      <w:pPr>
        <w:jc w:val="both"/>
        <w:rPr>
          <w:rFonts w:eastAsia="Arial" w:cs="Arial"/>
          <w:sz w:val="22"/>
          <w:szCs w:val="22"/>
        </w:rPr>
      </w:pPr>
    </w:p>
    <w:p w14:paraId="3A7EBA91" w14:textId="7925B7D5" w:rsidR="3BA167F9" w:rsidRPr="005B0B73" w:rsidRDefault="553EA51C" w:rsidP="39EBCF08">
      <w:pPr>
        <w:spacing w:line="257" w:lineRule="auto"/>
        <w:jc w:val="both"/>
        <w:rPr>
          <w:rFonts w:eastAsia="Arial" w:cs="Arial"/>
          <w:sz w:val="22"/>
          <w:szCs w:val="22"/>
          <w:lang w:val="en-US"/>
        </w:rPr>
      </w:pPr>
      <w:r w:rsidRPr="005B0B73">
        <w:rPr>
          <w:rFonts w:eastAsia="Arial" w:cs="Arial"/>
          <w:sz w:val="22"/>
          <w:szCs w:val="22"/>
        </w:rPr>
        <w:t xml:space="preserve">Not captured by the outputs is </w:t>
      </w:r>
      <w:r w:rsidR="00655D71">
        <w:rPr>
          <w:rFonts w:eastAsia="Arial" w:cs="Arial"/>
          <w:sz w:val="22"/>
          <w:szCs w:val="22"/>
        </w:rPr>
        <w:t>significant work undertaken by t</w:t>
      </w:r>
      <w:r w:rsidRPr="005B0B73">
        <w:rPr>
          <w:rFonts w:eastAsia="Arial" w:cs="Arial"/>
          <w:sz w:val="22"/>
          <w:szCs w:val="22"/>
        </w:rPr>
        <w:t xml:space="preserve">he Trustee to align new programs with Article 6.4 </w:t>
      </w:r>
      <w:r w:rsidR="00655D71">
        <w:rPr>
          <w:rFonts w:eastAsia="Arial" w:cs="Arial"/>
          <w:sz w:val="22"/>
          <w:szCs w:val="22"/>
        </w:rPr>
        <w:t xml:space="preserve">where possible </w:t>
      </w:r>
      <w:r w:rsidRPr="005B0B73">
        <w:rPr>
          <w:rFonts w:eastAsia="Arial" w:cs="Arial"/>
          <w:sz w:val="22"/>
          <w:szCs w:val="22"/>
        </w:rPr>
        <w:t>and in some cases going beyond those requirements.  Specifically, for the Kyrgyz</w:t>
      </w:r>
      <w:r w:rsidR="006F0659" w:rsidRPr="005B0B73">
        <w:rPr>
          <w:rFonts w:eastAsia="Arial" w:cs="Arial"/>
          <w:sz w:val="22"/>
          <w:szCs w:val="22"/>
        </w:rPr>
        <w:t xml:space="preserve"> Republic</w:t>
      </w:r>
      <w:r w:rsidRPr="005B0B73">
        <w:rPr>
          <w:rFonts w:eastAsia="Arial" w:cs="Arial"/>
          <w:sz w:val="22"/>
          <w:szCs w:val="22"/>
        </w:rPr>
        <w:t xml:space="preserve"> and Ecuador programs, the Trustee aligned these policy crediting programs as closely as possible to the requirements of A</w:t>
      </w:r>
      <w:r w:rsidR="00655D71">
        <w:rPr>
          <w:rFonts w:eastAsia="Arial" w:cs="Arial"/>
          <w:sz w:val="22"/>
          <w:szCs w:val="22"/>
        </w:rPr>
        <w:t xml:space="preserve">rticle </w:t>
      </w:r>
      <w:r w:rsidRPr="005B0B73">
        <w:rPr>
          <w:rFonts w:eastAsia="Arial" w:cs="Arial"/>
          <w:sz w:val="22"/>
          <w:szCs w:val="22"/>
        </w:rPr>
        <w:t xml:space="preserve">6.4.  </w:t>
      </w:r>
      <w:r w:rsidRPr="005B0B73">
        <w:rPr>
          <w:rFonts w:eastAsia="Arial" w:cs="Arial"/>
          <w:sz w:val="22"/>
          <w:szCs w:val="22"/>
          <w:lang w:val="en-US"/>
        </w:rPr>
        <w:t>The elements aligned include use of the A6.4 templates for both methodologies and C-PDDs.  As part of this alignment, the Trustee included considerations for additionality, via the A6.4 additionality tool, sustainable development, via the SD tool, leakage, uncertainty, and baseline setting using the A6.4 baseline setting standard</w:t>
      </w:r>
      <w:r w:rsidR="00282033" w:rsidRPr="005B0B73">
        <w:rPr>
          <w:rFonts w:eastAsia="Arial" w:cs="Arial"/>
          <w:sz w:val="22"/>
          <w:szCs w:val="22"/>
          <w:lang w:val="en-US"/>
        </w:rPr>
        <w:t xml:space="preserve">. </w:t>
      </w:r>
      <w:r w:rsidR="00655D71">
        <w:rPr>
          <w:rFonts w:eastAsia="Arial" w:cs="Arial"/>
          <w:sz w:val="22"/>
          <w:szCs w:val="22"/>
          <w:lang w:val="en-US"/>
        </w:rPr>
        <w:t xml:space="preserve"> </w:t>
      </w:r>
    </w:p>
    <w:p w14:paraId="6536545D" w14:textId="77777777" w:rsidR="00282033" w:rsidRPr="005B0B73" w:rsidRDefault="00282033" w:rsidP="39EBCF08">
      <w:pPr>
        <w:spacing w:line="257" w:lineRule="auto"/>
        <w:jc w:val="both"/>
        <w:rPr>
          <w:rFonts w:eastAsia="Arial" w:cs="Arial"/>
          <w:b/>
          <w:bCs/>
          <w:i/>
          <w:iCs/>
          <w:sz w:val="22"/>
          <w:szCs w:val="22"/>
          <w:highlight w:val="yellow"/>
        </w:rPr>
      </w:pPr>
    </w:p>
    <w:p w14:paraId="08F0D7EF" w14:textId="11760EC3" w:rsidR="553EA51C" w:rsidRPr="005B0B73" w:rsidRDefault="553EA51C" w:rsidP="39EBCF0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Also not captured is the time the Trustee has invested into supporting host countries, Uzbekistan in particular, to prepare the Article 6 agreement (the ‘MOPA’) and transaction.</w:t>
      </w:r>
      <w:r w:rsidR="00655D71">
        <w:rPr>
          <w:rFonts w:eastAsia="Arial" w:cs="Arial"/>
          <w:color w:val="000000" w:themeColor="text1"/>
          <w:sz w:val="22"/>
          <w:szCs w:val="22"/>
        </w:rPr>
        <w:t xml:space="preserve"> </w:t>
      </w:r>
      <w:r w:rsidRPr="005B0B73">
        <w:rPr>
          <w:rFonts w:eastAsia="Arial" w:cs="Arial"/>
          <w:color w:val="000000" w:themeColor="text1"/>
          <w:sz w:val="22"/>
          <w:szCs w:val="22"/>
        </w:rPr>
        <w:t>This process requires the coordination of multiple stakeholders within government, along with external support and stakeholders. Support and coordination with the Article 6 credit buyers is also necessary but not captured by the outputs.</w:t>
      </w:r>
    </w:p>
    <w:p w14:paraId="6B85DB1D" w14:textId="13957257" w:rsidR="3BA167F9" w:rsidRPr="005B0B73" w:rsidRDefault="3BA167F9" w:rsidP="3BA167F9">
      <w:pPr>
        <w:spacing w:line="257" w:lineRule="auto"/>
        <w:jc w:val="both"/>
        <w:rPr>
          <w:rFonts w:eastAsia="Arial" w:cs="Arial"/>
          <w:highlight w:val="yellow"/>
        </w:rPr>
      </w:pPr>
    </w:p>
    <w:p w14:paraId="52850E0D" w14:textId="77F32E17" w:rsidR="553EA51C" w:rsidRPr="005B0B73" w:rsidRDefault="553EA51C" w:rsidP="3BA167F9">
      <w:pPr>
        <w:spacing w:line="257" w:lineRule="auto"/>
        <w:jc w:val="both"/>
        <w:rPr>
          <w:rFonts w:cs="Arial"/>
        </w:rPr>
      </w:pPr>
      <w:r w:rsidRPr="005B0B73">
        <w:rPr>
          <w:rFonts w:eastAsia="Arial" w:cs="Arial"/>
          <w:color w:val="000000" w:themeColor="text1"/>
          <w:sz w:val="22"/>
          <w:szCs w:val="22"/>
        </w:rPr>
        <w:t xml:space="preserve"> </w:t>
      </w:r>
    </w:p>
    <w:p w14:paraId="1A4A4994" w14:textId="2AC3BCCD" w:rsidR="3BA167F9" w:rsidRPr="005B0B73" w:rsidRDefault="3BA167F9" w:rsidP="3BA167F9">
      <w:pPr>
        <w:spacing w:line="257" w:lineRule="auto"/>
        <w:jc w:val="both"/>
        <w:rPr>
          <w:rFonts w:cs="Arial"/>
        </w:rPr>
      </w:pPr>
    </w:p>
    <w:p w14:paraId="7EB87CDC" w14:textId="58034873" w:rsidR="3BA167F9" w:rsidRPr="005B0B73" w:rsidRDefault="3BA167F9" w:rsidP="3BA167F9">
      <w:pPr>
        <w:jc w:val="both"/>
        <w:rPr>
          <w:rStyle w:val="normaltextrun"/>
          <w:rFonts w:eastAsia="Arial" w:cs="Arial"/>
          <w:color w:val="000000" w:themeColor="text1"/>
          <w:sz w:val="22"/>
          <w:szCs w:val="22"/>
        </w:rPr>
      </w:pPr>
    </w:p>
    <w:p w14:paraId="27AB23A8" w14:textId="725E6F5B" w:rsidR="7E04AB06" w:rsidRPr="005B0B73" w:rsidRDefault="7E04AB06" w:rsidP="7E04AB06">
      <w:pPr>
        <w:rPr>
          <w:rFonts w:cs="Arial"/>
          <w:highlight w:val="yellow"/>
        </w:rPr>
      </w:pPr>
    </w:p>
    <w:p w14:paraId="631C2FC2" w14:textId="281489A8" w:rsidR="0058747D" w:rsidRPr="005B0B73" w:rsidRDefault="0058747D" w:rsidP="1FFC5AE9">
      <w:pPr>
        <w:jc w:val="both"/>
        <w:rPr>
          <w:rStyle w:val="normaltextrun"/>
          <w:rFonts w:eastAsia="Arial" w:cs="Arial"/>
          <w:color w:val="000000" w:themeColor="text1"/>
          <w:sz w:val="22"/>
          <w:szCs w:val="22"/>
        </w:rPr>
      </w:pPr>
    </w:p>
    <w:p w14:paraId="0B493795" w14:textId="7A0FB311" w:rsidR="009D5A57" w:rsidRPr="005B0B73" w:rsidRDefault="009D5A57" w:rsidP="1FFC5AE9">
      <w:pPr>
        <w:spacing w:after="160"/>
        <w:rPr>
          <w:rFonts w:eastAsia="Arial" w:cs="Arial"/>
        </w:rPr>
      </w:pPr>
      <w:bookmarkStart w:id="13" w:name="_Toc142922633"/>
      <w:r w:rsidRPr="005B0B73">
        <w:rPr>
          <w:rFonts w:eastAsia="Arial" w:cs="Arial"/>
        </w:rPr>
        <w:br w:type="page"/>
      </w:r>
    </w:p>
    <w:p w14:paraId="47558E5C" w14:textId="77777777" w:rsidR="00731A58" w:rsidRPr="005B0B73" w:rsidRDefault="00731A58" w:rsidP="1FFC5AE9">
      <w:pPr>
        <w:rPr>
          <w:rFonts w:eastAsia="Arial" w:cs="Arial"/>
        </w:rPr>
      </w:pPr>
    </w:p>
    <w:tbl>
      <w:tblPr>
        <w:tblStyle w:val="TableGrid"/>
        <w:tblW w:w="0" w:type="auto"/>
        <w:tblLook w:val="04A0" w:firstRow="1" w:lastRow="0" w:firstColumn="1" w:lastColumn="0" w:noHBand="0" w:noVBand="1"/>
      </w:tblPr>
      <w:tblGrid>
        <w:gridCol w:w="9016"/>
      </w:tblGrid>
      <w:tr w:rsidR="005B5879" w:rsidRPr="005B0B73" w14:paraId="406A1DDB" w14:textId="77777777" w:rsidTr="1FFC5AE9">
        <w:tc>
          <w:tcPr>
            <w:tcW w:w="9016" w:type="dxa"/>
            <w:shd w:val="clear" w:color="auto" w:fill="DEEAF6" w:themeFill="accent5" w:themeFillTint="33"/>
          </w:tcPr>
          <w:p w14:paraId="5F18405D" w14:textId="02C24DE1" w:rsidR="00CB2873" w:rsidRPr="005B0B73" w:rsidRDefault="00A95D0D" w:rsidP="1FFC5AE9">
            <w:pPr>
              <w:jc w:val="both"/>
              <w:rPr>
                <w:rFonts w:eastAsia="Arial" w:cs="Arial"/>
              </w:rPr>
            </w:pPr>
            <w:r w:rsidRPr="005B0B73">
              <w:rPr>
                <w:rStyle w:val="Heading1Char"/>
                <w:rFonts w:ascii="Arial" w:eastAsia="Arial" w:hAnsi="Arial" w:cs="Arial"/>
                <w:b/>
                <w:bCs/>
                <w:color w:val="auto"/>
              </w:rPr>
              <w:t>Section E: Risk</w:t>
            </w:r>
            <w:bookmarkEnd w:id="13"/>
            <w:r w:rsidRPr="005B0B73">
              <w:rPr>
                <w:rFonts w:eastAsia="Arial" w:cs="Arial"/>
              </w:rPr>
              <w:t xml:space="preserve"> </w:t>
            </w:r>
          </w:p>
        </w:tc>
      </w:tr>
    </w:tbl>
    <w:p w14:paraId="5EA8DC64" w14:textId="77777777" w:rsidR="005D7CC6" w:rsidRPr="005B0B73" w:rsidRDefault="005D7CC6" w:rsidP="1FFC5AE9">
      <w:pPr>
        <w:jc w:val="both"/>
        <w:rPr>
          <w:rFonts w:eastAsia="Arial" w:cs="Arial"/>
          <w:b/>
          <w:bCs/>
          <w:sz w:val="22"/>
          <w:szCs w:val="22"/>
        </w:rPr>
      </w:pPr>
    </w:p>
    <w:p w14:paraId="7CBD3830" w14:textId="38B8514D" w:rsidR="00B74143" w:rsidRPr="005B0B73" w:rsidRDefault="00B74143" w:rsidP="1FFC5AE9">
      <w:pPr>
        <w:contextualSpacing/>
        <w:jc w:val="both"/>
        <w:rPr>
          <w:rFonts w:eastAsia="Arial" w:cs="Arial"/>
          <w:b/>
          <w:bCs/>
          <w:sz w:val="22"/>
          <w:szCs w:val="22"/>
        </w:rPr>
      </w:pPr>
      <w:bookmarkStart w:id="14" w:name="_Toc142922634"/>
      <w:r w:rsidRPr="005B0B73">
        <w:rPr>
          <w:rStyle w:val="Heading2Char"/>
          <w:rFonts w:eastAsia="Arial" w:cs="Arial"/>
          <w:sz w:val="22"/>
          <w:szCs w:val="22"/>
        </w:rPr>
        <w:t>Overall risk rating</w:t>
      </w:r>
      <w:bookmarkEnd w:id="14"/>
      <w:r w:rsidRPr="005B0B73">
        <w:rPr>
          <w:rFonts w:eastAsia="Arial" w:cs="Arial"/>
          <w:b/>
          <w:bCs/>
          <w:sz w:val="22"/>
          <w:szCs w:val="22"/>
        </w:rPr>
        <w:t xml:space="preserve">:  </w:t>
      </w:r>
      <w:r w:rsidR="005D7CC6" w:rsidRPr="005B0B73">
        <w:rPr>
          <w:rFonts w:eastAsia="Arial" w:cs="Arial"/>
          <w:b/>
          <w:bCs/>
          <w:i/>
          <w:iCs/>
          <w:sz w:val="22"/>
          <w:szCs w:val="22"/>
        </w:rPr>
        <w:t>Moderate</w:t>
      </w:r>
    </w:p>
    <w:p w14:paraId="3C024319" w14:textId="77777777" w:rsidR="005D7CC6" w:rsidRPr="005B0B73" w:rsidRDefault="005D7CC6" w:rsidP="1FFC5AE9">
      <w:pPr>
        <w:contextualSpacing/>
        <w:jc w:val="both"/>
        <w:rPr>
          <w:rFonts w:eastAsia="Arial" w:cs="Arial"/>
          <w:b/>
          <w:bCs/>
          <w:sz w:val="22"/>
          <w:szCs w:val="22"/>
        </w:rPr>
      </w:pPr>
    </w:p>
    <w:tbl>
      <w:tblPr>
        <w:tblW w:w="9024" w:type="dxa"/>
        <w:tblInd w:w="-15" w:type="dxa"/>
        <w:tblBorders>
          <w:top w:val="outset" w:sz="6" w:space="0" w:color="auto"/>
          <w:left w:val="outset" w:sz="6" w:space="0" w:color="auto"/>
          <w:bottom w:val="outset" w:sz="6" w:space="0" w:color="auto"/>
          <w:right w:val="outset" w:sz="6" w:space="0" w:color="auto"/>
        </w:tblBorders>
        <w:tblCellMar>
          <w:top w:w="113" w:type="dxa"/>
          <w:left w:w="113" w:type="dxa"/>
          <w:bottom w:w="113" w:type="dxa"/>
          <w:right w:w="113" w:type="dxa"/>
        </w:tblCellMar>
        <w:tblLook w:val="04A0" w:firstRow="1" w:lastRow="0" w:firstColumn="1" w:lastColumn="0" w:noHBand="0" w:noVBand="1"/>
      </w:tblPr>
      <w:tblGrid>
        <w:gridCol w:w="2659"/>
        <w:gridCol w:w="5119"/>
        <w:gridCol w:w="1246"/>
      </w:tblGrid>
      <w:tr w:rsidR="00301298" w:rsidRPr="005B0B73" w14:paraId="6CB5C3BE" w14:textId="77777777" w:rsidTr="5C03267A">
        <w:trPr>
          <w:trHeight w:val="31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44061"/>
            <w:hideMark/>
          </w:tcPr>
          <w:p w14:paraId="4CB0C50D" w14:textId="77777777" w:rsidR="005D7CC6" w:rsidRPr="005B0B73" w:rsidRDefault="005D7CC6" w:rsidP="17C94509">
            <w:pPr>
              <w:jc w:val="both"/>
              <w:textAlignment w:val="baseline"/>
              <w:rPr>
                <w:rFonts w:eastAsia="Arial" w:cs="Arial"/>
                <w:i/>
                <w:iCs/>
                <w:sz w:val="18"/>
                <w:szCs w:val="18"/>
                <w:lang w:eastAsia="en-GB"/>
              </w:rPr>
            </w:pPr>
            <w:r w:rsidRPr="005B0B73">
              <w:rPr>
                <w:rFonts w:eastAsia="Arial" w:cs="Arial"/>
                <w:i/>
                <w:iCs/>
                <w:color w:val="FFFFFF" w:themeColor="background1"/>
                <w:sz w:val="22"/>
                <w:szCs w:val="22"/>
              </w:rPr>
              <w:t>Risk Type and Description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44061"/>
            <w:hideMark/>
          </w:tcPr>
          <w:p w14:paraId="34847192" w14:textId="4A649830" w:rsidR="005D7CC6" w:rsidRPr="005B0B73" w:rsidRDefault="005D7CC6" w:rsidP="17C94509">
            <w:pPr>
              <w:textAlignment w:val="baseline"/>
              <w:rPr>
                <w:rFonts w:eastAsia="Arial" w:cs="Arial"/>
                <w:i/>
                <w:iCs/>
                <w:sz w:val="18"/>
                <w:szCs w:val="18"/>
                <w:lang w:eastAsia="en-GB"/>
              </w:rPr>
            </w:pPr>
            <w:r w:rsidRPr="005B0B73">
              <w:rPr>
                <w:rFonts w:eastAsia="Arial" w:cs="Arial"/>
                <w:i/>
                <w:iCs/>
                <w:color w:val="FFFFFF" w:themeColor="background1"/>
                <w:sz w:val="22"/>
                <w:szCs w:val="22"/>
                <w:lang w:eastAsia="en-GB"/>
              </w:rPr>
              <w:t>Mitigation</w:t>
            </w:r>
            <w:r w:rsidR="1D07E6CE" w:rsidRPr="005B0B73">
              <w:rPr>
                <w:rFonts w:eastAsia="Arial" w:cs="Arial"/>
                <w:i/>
                <w:iCs/>
                <w:color w:val="FFFFFF" w:themeColor="background1"/>
                <w:sz w:val="22"/>
                <w:szCs w:val="22"/>
                <w:lang w:eastAsia="en-GB"/>
              </w:rPr>
              <w:t xml:space="preserve"> Strategy</w:t>
            </w:r>
            <w:r w:rsidR="37AA94F9" w:rsidRPr="005B0B73">
              <w:rPr>
                <w:rFonts w:eastAsia="Arial" w:cs="Arial"/>
                <w:i/>
                <w:iCs/>
                <w:color w:val="FFFFFF" w:themeColor="background1"/>
                <w:sz w:val="22"/>
                <w:szCs w:val="22"/>
                <w:lang w:eastAsia="en-GB"/>
              </w:rPr>
              <w:t xml:space="preserve">, </w:t>
            </w:r>
            <w:r w:rsidR="1D07E6CE" w:rsidRPr="005B0B73">
              <w:rPr>
                <w:rFonts w:eastAsia="Arial" w:cs="Arial"/>
                <w:i/>
                <w:iCs/>
                <w:color w:val="FFFFFF" w:themeColor="background1"/>
                <w:sz w:val="22"/>
                <w:szCs w:val="22"/>
                <w:lang w:eastAsia="en-GB"/>
              </w:rPr>
              <w:t>Owners</w:t>
            </w:r>
            <w:r w:rsidRPr="005B0B73">
              <w:rPr>
                <w:rFonts w:eastAsia="Arial" w:cs="Arial"/>
                <w:i/>
                <w:iCs/>
                <w:color w:val="FFFFFF" w:themeColor="background1"/>
                <w:sz w:val="22"/>
                <w:szCs w:val="22"/>
                <w:lang w:eastAsia="en-GB"/>
              </w:rPr>
              <w:t> </w:t>
            </w:r>
            <w:r w:rsidR="37AA94F9" w:rsidRPr="005B0B73">
              <w:rPr>
                <w:rFonts w:eastAsia="Arial" w:cs="Arial"/>
                <w:i/>
                <w:iCs/>
                <w:color w:val="FFFFFF" w:themeColor="background1"/>
                <w:sz w:val="22"/>
                <w:szCs w:val="22"/>
                <w:lang w:eastAsia="en-GB"/>
              </w:rPr>
              <w:t>and Timeframe</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44061"/>
            <w:hideMark/>
          </w:tcPr>
          <w:p w14:paraId="5805AC74" w14:textId="77777777" w:rsidR="005D7CC6" w:rsidRPr="005B0B73" w:rsidRDefault="005D7CC6" w:rsidP="17C94509">
            <w:pPr>
              <w:textAlignment w:val="baseline"/>
              <w:rPr>
                <w:rFonts w:eastAsia="Arial" w:cs="Arial"/>
                <w:i/>
                <w:iCs/>
                <w:sz w:val="18"/>
                <w:szCs w:val="18"/>
                <w:lang w:eastAsia="en-GB"/>
              </w:rPr>
            </w:pPr>
            <w:r w:rsidRPr="005B0B73">
              <w:rPr>
                <w:rFonts w:eastAsia="Arial" w:cs="Arial"/>
                <w:i/>
                <w:iCs/>
                <w:color w:val="FFFFFF" w:themeColor="background1"/>
                <w:sz w:val="22"/>
                <w:szCs w:val="22"/>
              </w:rPr>
              <w:t>Residual RAG  </w:t>
            </w:r>
          </w:p>
        </w:tc>
      </w:tr>
      <w:tr w:rsidR="00301298" w:rsidRPr="005B0B73" w14:paraId="0ACF9F61" w14:textId="77777777" w:rsidTr="5C03267A">
        <w:trPr>
          <w:trHeight w:val="55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23358E" w14:textId="36C0F354" w:rsidR="005D7CC6" w:rsidRPr="005B0B73" w:rsidRDefault="04D618FA" w:rsidP="146CFBAE">
            <w:pPr>
              <w:jc w:val="both"/>
              <w:textAlignment w:val="baseline"/>
              <w:rPr>
                <w:rFonts w:eastAsia="Arial" w:cs="Arial"/>
                <w:sz w:val="22"/>
                <w:szCs w:val="22"/>
                <w:lang w:eastAsia="en-GB"/>
              </w:rPr>
            </w:pPr>
            <w:r w:rsidRPr="005B0B73">
              <w:rPr>
                <w:rFonts w:eastAsia="Arial" w:cs="Arial"/>
                <w:b/>
                <w:bCs/>
                <w:sz w:val="22"/>
                <w:szCs w:val="22"/>
              </w:rPr>
              <w:t>Political</w:t>
            </w:r>
            <w:r w:rsidRPr="005B0B73">
              <w:rPr>
                <w:rFonts w:eastAsia="Arial" w:cs="Arial"/>
                <w:sz w:val="22"/>
                <w:szCs w:val="22"/>
              </w:rPr>
              <w:t>: TCAF host governments unwilling or unable to comply with TCAF provisions from the Paris Agreement, resulting in a lack of demand for TCAF.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CA64E9" w14:textId="1107A3C8" w:rsidR="006503D6" w:rsidRPr="005B0B73" w:rsidRDefault="00ED6625" w:rsidP="006503D6">
            <w:pPr>
              <w:spacing w:line="300" w:lineRule="auto"/>
              <w:jc w:val="both"/>
              <w:textAlignment w:val="baseline"/>
              <w:rPr>
                <w:rFonts w:eastAsia="Arial" w:cs="Arial"/>
                <w:sz w:val="22"/>
                <w:szCs w:val="22"/>
              </w:rPr>
            </w:pPr>
            <w:proofErr w:type="gramStart"/>
            <w:r w:rsidRPr="005B0B73">
              <w:rPr>
                <w:rFonts w:eastAsia="Arial" w:cs="Arial"/>
                <w:sz w:val="22"/>
                <w:szCs w:val="22"/>
              </w:rPr>
              <w:t>This </w:t>
            </w:r>
            <w:r w:rsidR="00CB6ED5" w:rsidRPr="005B0B73">
              <w:rPr>
                <w:rFonts w:eastAsia="Arial" w:cs="Arial"/>
                <w:sz w:val="22"/>
                <w:szCs w:val="22"/>
              </w:rPr>
              <w:t xml:space="preserve"> </w:t>
            </w:r>
            <w:r w:rsidR="00CB1E4D" w:rsidRPr="005B0B73">
              <w:rPr>
                <w:rFonts w:eastAsia="Arial" w:cs="Arial"/>
                <w:sz w:val="22"/>
                <w:szCs w:val="22"/>
              </w:rPr>
              <w:t>remains</w:t>
            </w:r>
            <w:proofErr w:type="gramEnd"/>
            <w:r w:rsidR="00CB1E4D" w:rsidRPr="005B0B73">
              <w:rPr>
                <w:rFonts w:eastAsia="Arial" w:cs="Arial"/>
                <w:sz w:val="22"/>
                <w:szCs w:val="22"/>
              </w:rPr>
              <w:t xml:space="preserve"> a </w:t>
            </w:r>
            <w:r w:rsidRPr="005B0B73">
              <w:rPr>
                <w:rFonts w:eastAsia="Arial" w:cs="Arial"/>
                <w:sz w:val="22"/>
                <w:szCs w:val="22"/>
              </w:rPr>
              <w:t xml:space="preserve">major risk </w:t>
            </w:r>
            <w:r w:rsidR="007F6ECE" w:rsidRPr="005B0B73">
              <w:rPr>
                <w:rFonts w:eastAsia="Arial" w:cs="Arial"/>
                <w:sz w:val="22"/>
                <w:szCs w:val="22"/>
              </w:rPr>
              <w:t>in terms of</w:t>
            </w:r>
            <w:r w:rsidRPr="005B0B73">
              <w:rPr>
                <w:rFonts w:eastAsia="Arial" w:cs="Arial"/>
                <w:sz w:val="22"/>
                <w:szCs w:val="22"/>
              </w:rPr>
              <w:t xml:space="preserve"> TCAF governments unable </w:t>
            </w:r>
            <w:r w:rsidR="007F6ECE" w:rsidRPr="005B0B73">
              <w:rPr>
                <w:rFonts w:eastAsia="Arial" w:cs="Arial"/>
                <w:sz w:val="22"/>
                <w:szCs w:val="22"/>
              </w:rPr>
              <w:t xml:space="preserve">to meet TCAF </w:t>
            </w:r>
            <w:r w:rsidRPr="005B0B73">
              <w:rPr>
                <w:rFonts w:eastAsia="Arial" w:cs="Arial"/>
                <w:sz w:val="22"/>
                <w:szCs w:val="22"/>
              </w:rPr>
              <w:t xml:space="preserve">provisions, newly agreed Article 6 rules, in addition to </w:t>
            </w:r>
            <w:r w:rsidR="007F6ECE" w:rsidRPr="005B0B73">
              <w:rPr>
                <w:rFonts w:eastAsia="Arial" w:cs="Arial"/>
                <w:sz w:val="22"/>
                <w:szCs w:val="22"/>
              </w:rPr>
              <w:t xml:space="preserve">increasingly prevalent important but additional domestic requirements around environmental and social integrity from sovereign buyers. </w:t>
            </w:r>
            <w:r w:rsidR="006503D6" w:rsidRPr="005B0B73">
              <w:rPr>
                <w:rFonts w:eastAsia="Arial" w:cs="Arial"/>
                <w:sz w:val="22"/>
                <w:szCs w:val="22"/>
              </w:rPr>
              <w:t xml:space="preserve">That said progress has been made since the last reporting period </w:t>
            </w:r>
            <w:r w:rsidR="00CB6ED5" w:rsidRPr="005B0B73">
              <w:rPr>
                <w:rFonts w:eastAsia="Arial" w:cs="Arial"/>
                <w:sz w:val="22"/>
                <w:szCs w:val="22"/>
              </w:rPr>
              <w:t>including improved A6.4 alignment and</w:t>
            </w:r>
            <w:r w:rsidR="64F509EA" w:rsidRPr="005B0B73">
              <w:rPr>
                <w:rFonts w:eastAsia="Arial" w:cs="Arial"/>
                <w:sz w:val="22"/>
                <w:szCs w:val="22"/>
              </w:rPr>
              <w:t xml:space="preserve"> continued engagement and advancement across key programmes, implementation risks persist in certain contexts (notably Pakistan and Ecuador).</w:t>
            </w:r>
          </w:p>
          <w:p w14:paraId="017FFE71" w14:textId="47AC52AA" w:rsidR="005D7CC6" w:rsidRPr="00655D71" w:rsidRDefault="006503D6" w:rsidP="00655D71">
            <w:pPr>
              <w:spacing w:line="300" w:lineRule="auto"/>
              <w:jc w:val="both"/>
              <w:textAlignment w:val="baseline"/>
              <w:rPr>
                <w:rFonts w:eastAsia="Arial" w:cs="Arial"/>
                <w:sz w:val="22"/>
                <w:szCs w:val="22"/>
              </w:rPr>
            </w:pPr>
            <w:r w:rsidRPr="005B0B73">
              <w:rPr>
                <w:rFonts w:eastAsia="Arial" w:cs="Arial"/>
                <w:sz w:val="22"/>
                <w:szCs w:val="22"/>
              </w:rPr>
              <w:t xml:space="preserve">However, </w:t>
            </w:r>
            <w:r w:rsidR="00CB1E4D" w:rsidRPr="005B0B73">
              <w:rPr>
                <w:rFonts w:eastAsia="Arial" w:cs="Arial"/>
                <w:sz w:val="22"/>
                <w:szCs w:val="22"/>
              </w:rPr>
              <w:t>despite progress</w:t>
            </w:r>
            <w:r w:rsidR="007D1242" w:rsidRPr="005B0B73">
              <w:rPr>
                <w:rFonts w:eastAsia="Arial" w:cs="Arial"/>
                <w:sz w:val="22"/>
                <w:szCs w:val="22"/>
              </w:rPr>
              <w:t xml:space="preserve"> and the fact risks </w:t>
            </w:r>
            <w:proofErr w:type="gramStart"/>
            <w:r w:rsidR="007D1242" w:rsidRPr="005B0B73">
              <w:rPr>
                <w:rFonts w:eastAsia="Arial" w:cs="Arial"/>
                <w:sz w:val="22"/>
                <w:szCs w:val="22"/>
              </w:rPr>
              <w:t xml:space="preserve">are </w:t>
            </w:r>
            <w:r w:rsidR="00CB1E4D" w:rsidRPr="005B0B73">
              <w:rPr>
                <w:rFonts w:eastAsia="Arial" w:cs="Arial"/>
                <w:sz w:val="22"/>
                <w:szCs w:val="22"/>
              </w:rPr>
              <w:t xml:space="preserve"> </w:t>
            </w:r>
            <w:r w:rsidR="007D1242" w:rsidRPr="005B0B73">
              <w:rPr>
                <w:rFonts w:eastAsia="Arial" w:cs="Arial"/>
                <w:sz w:val="22"/>
                <w:szCs w:val="22"/>
              </w:rPr>
              <w:t>reducing</w:t>
            </w:r>
            <w:proofErr w:type="gramEnd"/>
            <w:r w:rsidR="007D1242" w:rsidRPr="005B0B73">
              <w:rPr>
                <w:rFonts w:eastAsia="Arial" w:cs="Arial"/>
                <w:sz w:val="22"/>
                <w:szCs w:val="22"/>
              </w:rPr>
              <w:t xml:space="preserve"> as programmes move through key design, approval, and delivery milestones </w:t>
            </w:r>
            <w:r w:rsidR="00CB1E4D" w:rsidRPr="005B0B73">
              <w:rPr>
                <w:rFonts w:eastAsia="Arial" w:cs="Arial"/>
                <w:sz w:val="22"/>
                <w:szCs w:val="22"/>
              </w:rPr>
              <w:t xml:space="preserve">the Trustee and DESNZ jointly agree </w:t>
            </w:r>
            <w:r w:rsidR="007D1242" w:rsidRPr="005B0B73">
              <w:rPr>
                <w:rFonts w:eastAsia="Arial" w:cs="Arial"/>
                <w:sz w:val="22"/>
                <w:szCs w:val="22"/>
              </w:rPr>
              <w:t xml:space="preserve">overall </w:t>
            </w:r>
            <w:r w:rsidR="00CB1E4D" w:rsidRPr="005B0B73">
              <w:rPr>
                <w:rFonts w:eastAsia="Arial" w:cs="Arial"/>
                <w:sz w:val="22"/>
                <w:szCs w:val="22"/>
              </w:rPr>
              <w:t xml:space="preserve">this </w:t>
            </w:r>
            <w:r w:rsidRPr="005B0B73">
              <w:rPr>
                <w:rFonts w:eastAsia="Arial" w:cs="Arial"/>
                <w:sz w:val="22"/>
                <w:szCs w:val="22"/>
              </w:rPr>
              <w:t>remains a major risk</w:t>
            </w:r>
            <w:r w:rsidR="00CB1E4D" w:rsidRPr="005B0B73">
              <w:rPr>
                <w:rFonts w:eastAsia="Arial" w:cs="Arial"/>
                <w:sz w:val="22"/>
                <w:szCs w:val="22"/>
              </w:rPr>
              <w:t xml:space="preserve">, particularly </w:t>
            </w:r>
            <w:r w:rsidR="00C75383" w:rsidRPr="005B0B73">
              <w:rPr>
                <w:rFonts w:eastAsia="Arial" w:cs="Arial"/>
                <w:sz w:val="22"/>
                <w:szCs w:val="22"/>
              </w:rPr>
              <w:t xml:space="preserve">given </w:t>
            </w:r>
            <w:r w:rsidR="00CB6ED5" w:rsidRPr="005B0B73">
              <w:rPr>
                <w:rFonts w:eastAsia="Arial" w:cs="Arial"/>
                <w:sz w:val="22"/>
                <w:szCs w:val="22"/>
              </w:rPr>
              <w:t xml:space="preserve">the ongoing risk of </w:t>
            </w:r>
            <w:r w:rsidR="00C5176E" w:rsidRPr="005B0B73">
              <w:rPr>
                <w:rFonts w:eastAsia="Arial" w:cs="Arial"/>
                <w:sz w:val="22"/>
                <w:szCs w:val="22"/>
              </w:rPr>
              <w:t xml:space="preserve">mismatch of program design with buyer expectations/domestic requirements and </w:t>
            </w:r>
            <w:r w:rsidR="00C75383" w:rsidRPr="005B0B73">
              <w:rPr>
                <w:rFonts w:eastAsia="Arial" w:cs="Arial"/>
                <w:sz w:val="22"/>
                <w:szCs w:val="22"/>
              </w:rPr>
              <w:t xml:space="preserve">due to the </w:t>
            </w:r>
            <w:proofErr w:type="gramStart"/>
            <w:r w:rsidR="00C75383" w:rsidRPr="005B0B73">
              <w:rPr>
                <w:rFonts w:eastAsia="Arial" w:cs="Arial"/>
                <w:sz w:val="22"/>
                <w:szCs w:val="22"/>
              </w:rPr>
              <w:t>fact</w:t>
            </w:r>
            <w:proofErr w:type="gramEnd"/>
            <w:r w:rsidR="00C75383" w:rsidRPr="005B0B73">
              <w:rPr>
                <w:rFonts w:eastAsia="Arial" w:cs="Arial"/>
                <w:sz w:val="22"/>
                <w:szCs w:val="22"/>
              </w:rPr>
              <w:t xml:space="preserve"> there </w:t>
            </w:r>
            <w:r w:rsidR="00C5176E" w:rsidRPr="005B0B73">
              <w:rPr>
                <w:rFonts w:eastAsia="Arial" w:cs="Arial"/>
                <w:sz w:val="22"/>
                <w:szCs w:val="22"/>
              </w:rPr>
              <w:t xml:space="preserve">have also been </w:t>
            </w:r>
            <w:r w:rsidR="64F509EA" w:rsidRPr="005B0B73">
              <w:rPr>
                <w:rFonts w:eastAsia="Arial" w:cs="Arial"/>
                <w:sz w:val="22"/>
                <w:szCs w:val="22"/>
              </w:rPr>
              <w:t xml:space="preserve">periods of delays linked to price mandate negotiations. </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2650F4E4" w14:textId="0C985713" w:rsidR="005D7CC6" w:rsidRPr="005B0B73" w:rsidRDefault="006503D6" w:rsidP="79E77700">
            <w:pPr>
              <w:ind w:right="15"/>
              <w:rPr>
                <w:rFonts w:eastAsia="Arial" w:cs="Arial"/>
                <w:i/>
                <w:iCs/>
                <w:sz w:val="22"/>
                <w:szCs w:val="22"/>
                <w:lang w:eastAsia="en-GB"/>
              </w:rPr>
            </w:pPr>
            <w:r w:rsidRPr="005B0B73">
              <w:rPr>
                <w:rFonts w:eastAsia="Arial" w:cs="Arial"/>
                <w:i/>
                <w:iCs/>
                <w:sz w:val="22"/>
                <w:szCs w:val="22"/>
              </w:rPr>
              <w:t>Major</w:t>
            </w:r>
          </w:p>
        </w:tc>
      </w:tr>
      <w:tr w:rsidR="00301298" w:rsidRPr="005B0B73" w14:paraId="7F2FA95C" w14:textId="77777777" w:rsidTr="5C03267A">
        <w:trPr>
          <w:trHeight w:val="55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221554" w14:textId="2DA4DAF2" w:rsidR="005D7CC6" w:rsidRPr="005B0B73" w:rsidRDefault="2A688F00" w:rsidP="1C17844F">
            <w:pPr>
              <w:jc w:val="both"/>
              <w:rPr>
                <w:rFonts w:eastAsia="Arial" w:cs="Arial"/>
                <w:i/>
                <w:iCs/>
                <w:sz w:val="22"/>
                <w:szCs w:val="22"/>
                <w:lang w:eastAsia="en-GB"/>
              </w:rPr>
            </w:pPr>
            <w:r w:rsidRPr="005B0B73">
              <w:rPr>
                <w:rFonts w:eastAsia="Arial" w:cs="Arial"/>
                <w:b/>
                <w:bCs/>
                <w:i/>
                <w:iCs/>
                <w:sz w:val="22"/>
                <w:szCs w:val="22"/>
              </w:rPr>
              <w:t>Delivery</w:t>
            </w:r>
            <w:r w:rsidRPr="005B0B73">
              <w:rPr>
                <w:rFonts w:eastAsia="Arial" w:cs="Arial"/>
                <w:i/>
                <w:iCs/>
                <w:sz w:val="22"/>
                <w:szCs w:val="22"/>
              </w:rPr>
              <w:t>: Potential host countries reject the transaction structure, so UK ICF cannot be disbursed to achieve results.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854EFE" w14:textId="3A601DFE" w:rsidR="005D7CC6" w:rsidRPr="00655D71" w:rsidRDefault="42513232" w:rsidP="132B2491">
            <w:pPr>
              <w:spacing w:line="300" w:lineRule="auto"/>
              <w:jc w:val="both"/>
              <w:textAlignment w:val="baseline"/>
              <w:rPr>
                <w:rFonts w:eastAsia="Arial" w:cs="Arial"/>
                <w:sz w:val="22"/>
                <w:szCs w:val="22"/>
              </w:rPr>
            </w:pPr>
            <w:r w:rsidRPr="00655D71">
              <w:rPr>
                <w:rFonts w:eastAsia="Arial" w:cs="Arial"/>
                <w:sz w:val="22"/>
                <w:szCs w:val="22"/>
              </w:rPr>
              <w:t>Since the last Annual Review</w:t>
            </w:r>
            <w:r w:rsidR="00655D71">
              <w:rPr>
                <w:rFonts w:eastAsia="Arial" w:cs="Arial"/>
                <w:sz w:val="22"/>
                <w:szCs w:val="22"/>
              </w:rPr>
              <w:t xml:space="preserve"> reporting period</w:t>
            </w:r>
            <w:r w:rsidRPr="00655D71">
              <w:rPr>
                <w:rFonts w:eastAsia="Arial" w:cs="Arial"/>
                <w:sz w:val="22"/>
                <w:szCs w:val="22"/>
              </w:rPr>
              <w:t>, additional countries have not yet concluded agreements under the same transaction structure, and this risk has therefore not been fully mitigated.</w:t>
            </w:r>
            <w:r w:rsidR="00655D71">
              <w:rPr>
                <w:rFonts w:eastAsia="Arial" w:cs="Arial"/>
                <w:sz w:val="22"/>
                <w:szCs w:val="22"/>
              </w:rPr>
              <w:t xml:space="preserve"> </w:t>
            </w:r>
            <w:r w:rsidR="03C88DD7" w:rsidRPr="132B2491">
              <w:rPr>
                <w:rFonts w:eastAsia="Arial" w:cs="Arial"/>
                <w:sz w:val="22"/>
                <w:szCs w:val="22"/>
              </w:rPr>
              <w:t>Th</w:t>
            </w:r>
            <w:r w:rsidR="03C88DD7" w:rsidRPr="00AB6FFA">
              <w:rPr>
                <w:rFonts w:eastAsia="Arial" w:cs="Arial"/>
                <w:sz w:val="22"/>
                <w:szCs w:val="22"/>
              </w:rPr>
              <w:t>e Kyrgyz Republic has since progressed an agreement under this structure, albeit outside the reporting period.</w:t>
            </w:r>
            <w:r w:rsidR="03C88DD7" w:rsidRPr="132B2491">
              <w:rPr>
                <w:rFonts w:eastAsia="Arial" w:cs="Arial"/>
                <w:sz w:val="22"/>
                <w:szCs w:val="22"/>
              </w:rPr>
              <w:t xml:space="preserve"> </w:t>
            </w:r>
          </w:p>
          <w:p w14:paraId="5745B2DB" w14:textId="6072448F" w:rsidR="005D7CC6" w:rsidRPr="00655D71" w:rsidRDefault="42513232" w:rsidP="50432E6D">
            <w:pPr>
              <w:spacing w:before="210" w:after="210" w:line="300" w:lineRule="auto"/>
              <w:jc w:val="both"/>
              <w:textAlignment w:val="baseline"/>
              <w:rPr>
                <w:rFonts w:eastAsia="Arial" w:cs="Arial"/>
                <w:sz w:val="22"/>
                <w:szCs w:val="22"/>
              </w:rPr>
            </w:pPr>
            <w:r w:rsidRPr="00655D71">
              <w:rPr>
                <w:rFonts w:eastAsia="Arial" w:cs="Arial"/>
                <w:sz w:val="22"/>
                <w:szCs w:val="22"/>
              </w:rPr>
              <w:t>However, progress has been made at earlier stages of the pipeline. Donors have approved projects at various preliminary stages, and a milestone $7.5 million payment was made to the Uzbekistan Innovative Carbon Resource Allocation for Energy Transition (</w:t>
            </w:r>
            <w:proofErr w:type="spellStart"/>
            <w:r w:rsidRPr="00655D71">
              <w:rPr>
                <w:rFonts w:eastAsia="Arial" w:cs="Arial"/>
                <w:sz w:val="22"/>
                <w:szCs w:val="22"/>
              </w:rPr>
              <w:t>iCRAFT</w:t>
            </w:r>
            <w:proofErr w:type="spellEnd"/>
            <w:r w:rsidRPr="00655D71">
              <w:rPr>
                <w:rFonts w:eastAsia="Arial" w:cs="Arial"/>
                <w:sz w:val="22"/>
                <w:szCs w:val="22"/>
              </w:rPr>
              <w:t>) programme in June 2024.</w:t>
            </w:r>
            <w:r w:rsidR="456664E6" w:rsidRPr="00655D71">
              <w:rPr>
                <w:rFonts w:eastAsia="Arial" w:cs="Arial"/>
                <w:sz w:val="22"/>
                <w:szCs w:val="22"/>
              </w:rPr>
              <w:t xml:space="preserve"> </w:t>
            </w:r>
            <w:r w:rsidR="456664E6" w:rsidRPr="00655D71">
              <w:rPr>
                <w:rFonts w:eastAsia="Arial" w:cs="Arial"/>
                <w:sz w:val="21"/>
                <w:szCs w:val="21"/>
              </w:rPr>
              <w:t xml:space="preserve">In addition, the Kyrgyz Republic </w:t>
            </w:r>
            <w:r w:rsidR="0FD7BEC1" w:rsidRPr="00655D71">
              <w:rPr>
                <w:rFonts w:eastAsia="Segoe UI" w:cs="Arial"/>
                <w:sz w:val="21"/>
                <w:szCs w:val="21"/>
              </w:rPr>
              <w:t xml:space="preserve">Innovative Finance for Resilient and Sustainable </w:t>
            </w:r>
            <w:r w:rsidR="0FD7BEC1" w:rsidRPr="00655D71">
              <w:rPr>
                <w:rFonts w:eastAsia="Segoe UI" w:cs="Arial"/>
                <w:sz w:val="21"/>
                <w:szCs w:val="21"/>
              </w:rPr>
              <w:lastRenderedPageBreak/>
              <w:t xml:space="preserve">Energy Transition </w:t>
            </w:r>
            <w:r w:rsidR="456664E6" w:rsidRPr="00655D71">
              <w:rPr>
                <w:rFonts w:eastAsia="Arial" w:cs="Arial"/>
                <w:sz w:val="21"/>
                <w:szCs w:val="21"/>
              </w:rPr>
              <w:t>(</w:t>
            </w:r>
            <w:proofErr w:type="spellStart"/>
            <w:r w:rsidR="456664E6" w:rsidRPr="00655D71">
              <w:rPr>
                <w:rFonts w:eastAsia="Arial" w:cs="Arial"/>
                <w:sz w:val="21"/>
                <w:szCs w:val="21"/>
              </w:rPr>
              <w:t>iFIRST</w:t>
            </w:r>
            <w:proofErr w:type="spellEnd"/>
            <w:r w:rsidR="456664E6" w:rsidRPr="00655D71">
              <w:rPr>
                <w:rFonts w:eastAsia="Arial" w:cs="Arial"/>
                <w:sz w:val="21"/>
                <w:szCs w:val="21"/>
              </w:rPr>
              <w:t xml:space="preserve">) </w:t>
            </w:r>
            <w:r w:rsidR="13E4AFF3" w:rsidRPr="00655D71">
              <w:rPr>
                <w:rFonts w:eastAsia="Arial" w:cs="Arial"/>
                <w:sz w:val="21"/>
                <w:szCs w:val="21"/>
              </w:rPr>
              <w:t xml:space="preserve">program </w:t>
            </w:r>
            <w:r w:rsidR="456664E6" w:rsidRPr="00655D71">
              <w:rPr>
                <w:rFonts w:eastAsia="Arial" w:cs="Arial"/>
                <w:sz w:val="21"/>
                <w:szCs w:val="21"/>
              </w:rPr>
              <w:t xml:space="preserve">has </w:t>
            </w:r>
            <w:r w:rsidR="456664E6" w:rsidRPr="00655D71">
              <w:rPr>
                <w:rFonts w:eastAsia="Arial" w:cs="Arial"/>
                <w:sz w:val="22"/>
                <w:szCs w:val="22"/>
              </w:rPr>
              <w:t>successfully been negotiated</w:t>
            </w:r>
            <w:r w:rsidR="456664E6" w:rsidRPr="00655D71">
              <w:rPr>
                <w:rFonts w:eastAsia="Arial" w:cs="Arial"/>
                <w:sz w:val="21"/>
                <w:szCs w:val="21"/>
              </w:rPr>
              <w:t>, and the Government of the Kyrgyz Republic has submitted the programme to Parliament for ratification.</w:t>
            </w:r>
          </w:p>
          <w:p w14:paraId="19A42272" w14:textId="3445CDBE" w:rsidR="005D7CC6" w:rsidRPr="00655D71" w:rsidRDefault="42513232" w:rsidP="50432E6D">
            <w:pPr>
              <w:spacing w:before="210" w:after="210" w:line="300" w:lineRule="auto"/>
              <w:jc w:val="both"/>
              <w:textAlignment w:val="baseline"/>
              <w:rPr>
                <w:rFonts w:eastAsia="Arial" w:cs="Arial"/>
                <w:sz w:val="22"/>
                <w:szCs w:val="22"/>
              </w:rPr>
            </w:pPr>
            <w:r w:rsidRPr="00655D71">
              <w:rPr>
                <w:rFonts w:eastAsia="Arial" w:cs="Arial"/>
                <w:sz w:val="22"/>
                <w:szCs w:val="22"/>
              </w:rPr>
              <w:t xml:space="preserve">While these developments demonstrate positive momentum, they do not fully mitigate the underlying risk. The rating therefore remains moderate; however, if one to two additional countries </w:t>
            </w:r>
            <w:proofErr w:type="gramStart"/>
            <w:r w:rsidRPr="00655D71">
              <w:rPr>
                <w:rFonts w:eastAsia="Arial" w:cs="Arial"/>
                <w:sz w:val="22"/>
                <w:szCs w:val="22"/>
              </w:rPr>
              <w:t>are able to</w:t>
            </w:r>
            <w:proofErr w:type="gramEnd"/>
            <w:r w:rsidRPr="00655D71">
              <w:rPr>
                <w:rFonts w:eastAsia="Arial" w:cs="Arial"/>
                <w:sz w:val="22"/>
                <w:szCs w:val="22"/>
              </w:rPr>
              <w:t xml:space="preserve"> conclude agreements under the transaction structure, the risk could </w:t>
            </w:r>
            <w:r w:rsidR="00655D71">
              <w:rPr>
                <w:rFonts w:eastAsia="Arial" w:cs="Arial"/>
                <w:sz w:val="22"/>
                <w:szCs w:val="22"/>
              </w:rPr>
              <w:t xml:space="preserve">be downgraded </w:t>
            </w:r>
            <w:r w:rsidRPr="00655D71">
              <w:rPr>
                <w:rFonts w:eastAsia="Arial" w:cs="Arial"/>
                <w:sz w:val="22"/>
                <w:szCs w:val="22"/>
              </w:rPr>
              <w:t>to minor.</w:t>
            </w:r>
          </w:p>
          <w:p w14:paraId="77F5049B" w14:textId="6FEFBDB6" w:rsidR="005D7CC6" w:rsidRPr="00655D71" w:rsidRDefault="005D7CC6" w:rsidP="50432E6D">
            <w:pPr>
              <w:ind w:right="15"/>
              <w:jc w:val="both"/>
              <w:textAlignment w:val="baseline"/>
              <w:rPr>
                <w:rFonts w:eastAsia="Arial" w:cs="Arial"/>
                <w:sz w:val="22"/>
                <w:szCs w:val="22"/>
                <w:lang w:eastAsia="en-GB"/>
              </w:rPr>
            </w:pP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0DBE9F01" w14:textId="77777777" w:rsidR="005D7CC6" w:rsidRPr="00655D71" w:rsidRDefault="04D618FA" w:rsidP="50432E6D">
            <w:pPr>
              <w:ind w:right="15"/>
              <w:textAlignment w:val="baseline"/>
              <w:rPr>
                <w:rFonts w:eastAsia="Arial" w:cs="Arial"/>
                <w:sz w:val="18"/>
                <w:szCs w:val="18"/>
                <w:lang w:eastAsia="en-GB"/>
              </w:rPr>
            </w:pPr>
            <w:r w:rsidRPr="00655D71">
              <w:rPr>
                <w:rFonts w:eastAsia="Arial" w:cs="Arial"/>
                <w:sz w:val="22"/>
                <w:szCs w:val="22"/>
              </w:rPr>
              <w:lastRenderedPageBreak/>
              <w:t>Mod </w:t>
            </w:r>
          </w:p>
          <w:p w14:paraId="64E6A408" w14:textId="29B56C2A" w:rsidR="005D7CC6" w:rsidRPr="00655D71" w:rsidRDefault="04D618FA" w:rsidP="50432E6D">
            <w:pPr>
              <w:ind w:right="15"/>
              <w:textAlignment w:val="baseline"/>
              <w:rPr>
                <w:rFonts w:eastAsia="Arial" w:cs="Arial"/>
                <w:sz w:val="18"/>
                <w:szCs w:val="18"/>
                <w:lang w:eastAsia="en-GB"/>
              </w:rPr>
            </w:pPr>
            <w:r w:rsidRPr="00655D71">
              <w:rPr>
                <w:rFonts w:eastAsia="Arial" w:cs="Arial"/>
                <w:sz w:val="22"/>
                <w:szCs w:val="22"/>
              </w:rPr>
              <w:t> </w:t>
            </w:r>
          </w:p>
        </w:tc>
      </w:tr>
      <w:tr w:rsidR="00301298" w:rsidRPr="005B0B73" w14:paraId="67CA8CF4" w14:textId="77777777" w:rsidTr="5C03267A">
        <w:trPr>
          <w:trHeight w:val="55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81222F" w14:textId="77777777" w:rsidR="005D7CC6" w:rsidRPr="00655D71" w:rsidRDefault="04D618FA" w:rsidP="50432E6D">
            <w:pPr>
              <w:jc w:val="both"/>
              <w:textAlignment w:val="baseline"/>
              <w:rPr>
                <w:rFonts w:eastAsia="Arial" w:cs="Arial"/>
                <w:sz w:val="18"/>
                <w:szCs w:val="18"/>
                <w:lang w:eastAsia="en-GB"/>
              </w:rPr>
            </w:pPr>
            <w:r w:rsidRPr="00655D71">
              <w:rPr>
                <w:rFonts w:eastAsia="Arial" w:cs="Arial"/>
                <w:b/>
                <w:bCs/>
                <w:sz w:val="22"/>
                <w:szCs w:val="22"/>
              </w:rPr>
              <w:t xml:space="preserve">Delivery: </w:t>
            </w:r>
            <w:r w:rsidRPr="00655D71">
              <w:rPr>
                <w:rFonts w:eastAsia="Arial" w:cs="Arial"/>
                <w:sz w:val="22"/>
                <w:szCs w:val="22"/>
              </w:rPr>
              <w:t>Emerging global geopolitical and economic headwinds (e.g. the rising cost of energy) result in host countries deprioritising TCAF interventions.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9BB985" w14:textId="7D902389" w:rsidR="005D7CC6" w:rsidRPr="00655D71" w:rsidRDefault="3EF5EEFD" w:rsidP="5C03267A">
            <w:pPr>
              <w:ind w:right="15"/>
              <w:jc w:val="both"/>
              <w:textAlignment w:val="baseline"/>
              <w:rPr>
                <w:rFonts w:eastAsia="Arial" w:cs="Arial"/>
                <w:sz w:val="22"/>
                <w:szCs w:val="22"/>
                <w:lang w:eastAsia="en-GB"/>
              </w:rPr>
            </w:pPr>
            <w:r w:rsidRPr="00655D71">
              <w:rPr>
                <w:rFonts w:eastAsia="Arial" w:cs="Arial"/>
                <w:sz w:val="22"/>
                <w:szCs w:val="22"/>
                <w:lang w:eastAsia="en-GB"/>
              </w:rPr>
              <w:t>This delivery risk has become more manageable following the implementation of a clearer strategic approach</w:t>
            </w:r>
            <w:r w:rsidR="2F4C4D6C" w:rsidRPr="00655D71">
              <w:rPr>
                <w:rFonts w:eastAsia="Arial" w:cs="Arial"/>
                <w:sz w:val="22"/>
                <w:szCs w:val="22"/>
                <w:lang w:eastAsia="en-GB"/>
              </w:rPr>
              <w:t xml:space="preserve"> </w:t>
            </w:r>
            <w:r w:rsidR="2F4C4D6C" w:rsidRPr="00655D71">
              <w:rPr>
                <w:rFonts w:eastAsia="Arial" w:cs="Arial"/>
                <w:color w:val="000000" w:themeColor="text1"/>
                <w:sz w:val="22"/>
                <w:szCs w:val="22"/>
              </w:rPr>
              <w:t>and the use of Article 6 additionality tools</w:t>
            </w:r>
            <w:r w:rsidR="66BA7F48" w:rsidRPr="00655D71">
              <w:rPr>
                <w:rFonts w:eastAsia="Arial" w:cs="Arial"/>
                <w:color w:val="000000" w:themeColor="text1"/>
                <w:sz w:val="22"/>
                <w:szCs w:val="22"/>
              </w:rPr>
              <w:t xml:space="preserve">. </w:t>
            </w:r>
            <w:r w:rsidR="755081E9" w:rsidRPr="00655D71">
              <w:rPr>
                <w:rFonts w:eastAsia="Arial" w:cs="Arial"/>
                <w:sz w:val="22"/>
                <w:szCs w:val="22"/>
                <w:lang w:eastAsia="en-GB"/>
              </w:rPr>
              <w:t xml:space="preserve">The Trustee </w:t>
            </w:r>
            <w:r w:rsidR="35DC11F4" w:rsidRPr="00655D71">
              <w:rPr>
                <w:rFonts w:eastAsia="Arial" w:cs="Arial"/>
                <w:sz w:val="22"/>
                <w:szCs w:val="22"/>
                <w:lang w:eastAsia="en-GB"/>
              </w:rPr>
              <w:t>has</w:t>
            </w:r>
            <w:r w:rsidR="755081E9" w:rsidRPr="00655D71">
              <w:rPr>
                <w:rFonts w:eastAsia="Arial" w:cs="Arial"/>
                <w:sz w:val="22"/>
                <w:szCs w:val="22"/>
                <w:lang w:eastAsia="en-GB"/>
              </w:rPr>
              <w:t xml:space="preserve"> monitor</w:t>
            </w:r>
            <w:r w:rsidR="596E7E48" w:rsidRPr="00655D71">
              <w:rPr>
                <w:rFonts w:eastAsia="Arial" w:cs="Arial"/>
                <w:sz w:val="22"/>
                <w:szCs w:val="22"/>
                <w:lang w:eastAsia="en-GB"/>
              </w:rPr>
              <w:t>ed</w:t>
            </w:r>
            <w:r w:rsidR="755081E9" w:rsidRPr="00655D71">
              <w:rPr>
                <w:rFonts w:eastAsia="Arial" w:cs="Arial"/>
                <w:sz w:val="22"/>
                <w:szCs w:val="22"/>
                <w:lang w:eastAsia="en-GB"/>
              </w:rPr>
              <w:t xml:space="preserve"> and report</w:t>
            </w:r>
            <w:r w:rsidR="5ECE2BB8" w:rsidRPr="00655D71">
              <w:rPr>
                <w:rFonts w:eastAsia="Arial" w:cs="Arial"/>
                <w:sz w:val="22"/>
                <w:szCs w:val="22"/>
                <w:lang w:eastAsia="en-GB"/>
              </w:rPr>
              <w:t>ed</w:t>
            </w:r>
            <w:r w:rsidR="755081E9" w:rsidRPr="00655D71">
              <w:rPr>
                <w:rFonts w:eastAsia="Arial" w:cs="Arial"/>
                <w:sz w:val="22"/>
                <w:szCs w:val="22"/>
                <w:lang w:eastAsia="en-GB"/>
              </w:rPr>
              <w:t xml:space="preserve"> regularly on changes to the priority assigned to TCAF by host governments</w:t>
            </w:r>
            <w:r w:rsidR="145A70B1" w:rsidRPr="00655D71">
              <w:rPr>
                <w:rFonts w:eastAsia="Arial" w:cs="Arial"/>
                <w:sz w:val="22"/>
                <w:szCs w:val="22"/>
                <w:lang w:eastAsia="en-GB"/>
              </w:rPr>
              <w:t xml:space="preserve"> this reporting period to make contributors aware of risks (e.g. in Vietnam, Nepal and Pakistan)</w:t>
            </w:r>
            <w:r w:rsidR="755081E9" w:rsidRPr="00655D71">
              <w:rPr>
                <w:rFonts w:eastAsia="Arial" w:cs="Arial"/>
                <w:sz w:val="22"/>
                <w:szCs w:val="22"/>
                <w:lang w:eastAsia="en-GB"/>
              </w:rPr>
              <w:t xml:space="preserve">. </w:t>
            </w:r>
            <w:r w:rsidR="01C912E4" w:rsidRPr="00655D71">
              <w:rPr>
                <w:rFonts w:eastAsia="Arial" w:cs="Arial"/>
                <w:sz w:val="22"/>
                <w:szCs w:val="22"/>
                <w:lang w:eastAsia="en-GB"/>
              </w:rPr>
              <w:t>This rating remains moderate.</w:t>
            </w:r>
            <w:r w:rsidR="755081E9" w:rsidRPr="00655D71">
              <w:rPr>
                <w:rFonts w:eastAsia="Arial" w:cs="Arial"/>
                <w:sz w:val="22"/>
                <w:szCs w:val="22"/>
                <w:lang w:eastAsia="en-GB"/>
              </w:rPr>
              <w:t xml:space="preserve"> Impacts will vary by sector (e.g. solid waste management projects may be less exposed than energy sector projects) and risk can therefore be partially mitigated by continuing to pursue a diverse portfolio.</w:t>
            </w:r>
            <w:r w:rsidR="658705E7" w:rsidRPr="00655D71">
              <w:rPr>
                <w:rFonts w:eastAsia="Arial" w:cs="Arial"/>
                <w:sz w:val="22"/>
                <w:szCs w:val="22"/>
                <w:lang w:eastAsia="en-GB"/>
              </w:rPr>
              <w:t xml:space="preserve"> (Owner: Trustee</w:t>
            </w:r>
            <w:r w:rsidR="2A8EAE4A" w:rsidRPr="00655D71">
              <w:rPr>
                <w:rFonts w:eastAsia="Arial" w:cs="Arial"/>
                <w:sz w:val="22"/>
                <w:szCs w:val="22"/>
                <w:lang w:eastAsia="en-GB"/>
              </w:rPr>
              <w:t xml:space="preserve">. Timeframe: </w:t>
            </w:r>
            <w:r w:rsidR="500242A2" w:rsidRPr="00655D71">
              <w:rPr>
                <w:rFonts w:eastAsia="Arial" w:cs="Arial"/>
                <w:sz w:val="22"/>
                <w:szCs w:val="22"/>
                <w:lang w:eastAsia="en-GB"/>
              </w:rPr>
              <w:t>6 monthly updates)</w:t>
            </w:r>
            <w:r w:rsidR="03BB51FD" w:rsidRPr="00655D71">
              <w:rPr>
                <w:rFonts w:eastAsia="Arial" w:cs="Arial"/>
                <w:sz w:val="22"/>
                <w:szCs w:val="22"/>
                <w:lang w:eastAsia="en-GB"/>
              </w:rPr>
              <w:t xml:space="preserve"> </w:t>
            </w:r>
          </w:p>
          <w:p w14:paraId="54F56FCD" w14:textId="28B4AC45" w:rsidR="005D7CC6" w:rsidRPr="00655D71" w:rsidRDefault="005D7CC6" w:rsidP="4138787B">
            <w:pPr>
              <w:ind w:right="15"/>
              <w:jc w:val="both"/>
              <w:textAlignment w:val="baseline"/>
              <w:rPr>
                <w:rFonts w:eastAsia="Arial" w:cs="Arial"/>
                <w:sz w:val="22"/>
                <w:szCs w:val="22"/>
                <w:lang w:eastAsia="en-GB"/>
              </w:rPr>
            </w:pPr>
          </w:p>
          <w:p w14:paraId="0F095758" w14:textId="0EE322C4" w:rsidR="005D7CC6" w:rsidRPr="00655D71" w:rsidRDefault="005D7CC6" w:rsidP="269D3BB3">
            <w:pPr>
              <w:ind w:right="15"/>
              <w:jc w:val="both"/>
              <w:textAlignment w:val="baseline"/>
              <w:rPr>
                <w:rFonts w:eastAsia="Arial" w:cs="Arial"/>
                <w:sz w:val="22"/>
                <w:szCs w:val="22"/>
                <w:lang w:eastAsia="en-GB"/>
              </w:rPr>
            </w:pP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74687E84" w14:textId="77777777" w:rsidR="005D7CC6" w:rsidRPr="00655D71" w:rsidRDefault="04D618FA" w:rsidP="50432E6D">
            <w:pPr>
              <w:ind w:right="15"/>
              <w:textAlignment w:val="baseline"/>
              <w:rPr>
                <w:rFonts w:eastAsia="Arial" w:cs="Arial"/>
                <w:sz w:val="18"/>
                <w:szCs w:val="18"/>
                <w:lang w:eastAsia="en-GB"/>
              </w:rPr>
            </w:pPr>
            <w:r w:rsidRPr="00655D71">
              <w:rPr>
                <w:rFonts w:eastAsia="Arial" w:cs="Arial"/>
                <w:sz w:val="22"/>
                <w:szCs w:val="22"/>
              </w:rPr>
              <w:t>Mod </w:t>
            </w:r>
          </w:p>
        </w:tc>
      </w:tr>
      <w:tr w:rsidR="00301298" w:rsidRPr="005B0B73" w14:paraId="0E234FA8" w14:textId="77777777" w:rsidTr="5C03267A">
        <w:trPr>
          <w:trHeight w:val="55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8E6858" w14:textId="77777777" w:rsidR="005D7CC6" w:rsidRPr="00655D71" w:rsidRDefault="04D618FA" w:rsidP="50432E6D">
            <w:pPr>
              <w:jc w:val="both"/>
              <w:textAlignment w:val="baseline"/>
              <w:rPr>
                <w:rFonts w:eastAsia="Arial" w:cs="Arial"/>
                <w:sz w:val="18"/>
                <w:szCs w:val="18"/>
                <w:lang w:eastAsia="en-GB"/>
              </w:rPr>
            </w:pPr>
            <w:r w:rsidRPr="00655D71">
              <w:rPr>
                <w:rFonts w:eastAsia="Arial" w:cs="Arial"/>
                <w:b/>
                <w:bCs/>
                <w:sz w:val="22"/>
                <w:szCs w:val="22"/>
              </w:rPr>
              <w:t>Political</w:t>
            </w:r>
            <w:r w:rsidRPr="00655D71">
              <w:rPr>
                <w:rFonts w:eastAsia="Arial" w:cs="Arial"/>
                <w:sz w:val="22"/>
                <w:szCs w:val="22"/>
              </w:rPr>
              <w:t>: Change in host country government jeopardises TCAF activity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45F3E6" w14:textId="622EB694" w:rsidR="005D7CC6" w:rsidRPr="00655D71" w:rsidRDefault="115DA455" w:rsidP="00655D71">
            <w:pPr>
              <w:spacing w:line="300" w:lineRule="auto"/>
              <w:jc w:val="both"/>
              <w:textAlignment w:val="baseline"/>
              <w:rPr>
                <w:rFonts w:eastAsia="Arial" w:cs="Arial"/>
                <w:sz w:val="22"/>
                <w:szCs w:val="22"/>
                <w:lang w:eastAsia="en-GB"/>
              </w:rPr>
            </w:pPr>
            <w:r w:rsidRPr="00655D71">
              <w:rPr>
                <w:rFonts w:eastAsia="Arial" w:cs="Arial"/>
                <w:sz w:val="22"/>
                <w:szCs w:val="22"/>
                <w:lang w:eastAsia="en-GB"/>
              </w:rPr>
              <w:t xml:space="preserve">This remains a moderate risk. </w:t>
            </w:r>
            <w:r w:rsidR="04D618FA" w:rsidRPr="00655D71">
              <w:rPr>
                <w:rFonts w:eastAsia="Arial" w:cs="Arial"/>
                <w:sz w:val="22"/>
                <w:szCs w:val="22"/>
                <w:lang w:eastAsia="en-GB"/>
              </w:rPr>
              <w:t xml:space="preserve">World Bank country offices remain alert to broader political changes and the priorities of host governments and continues to assess these in TCAF proposals. </w:t>
            </w:r>
            <w:r w:rsidR="621C96A7" w:rsidRPr="00655D71">
              <w:rPr>
                <w:rFonts w:eastAsia="Arial" w:cs="Arial"/>
                <w:sz w:val="22"/>
                <w:szCs w:val="22"/>
                <w:lang w:eastAsia="en-GB"/>
              </w:rPr>
              <w:t>Developments in Vietnam have illustrated how political and administrative changes can delay or disrupt programme progression, reinforcing the relevance of this risk.</w:t>
            </w:r>
            <w:r w:rsidR="00655D71">
              <w:rPr>
                <w:rFonts w:eastAsia="Arial" w:cs="Arial"/>
                <w:sz w:val="22"/>
                <w:szCs w:val="22"/>
                <w:lang w:eastAsia="en-GB"/>
              </w:rPr>
              <w:t xml:space="preserve"> </w:t>
            </w:r>
            <w:r w:rsidR="04D618FA" w:rsidRPr="00655D71">
              <w:rPr>
                <w:rFonts w:eastAsia="Arial" w:cs="Arial"/>
                <w:sz w:val="22"/>
                <w:szCs w:val="22"/>
                <w:lang w:eastAsia="en-GB"/>
              </w:rPr>
              <w:t>UK uses embassies and high commissions to understand likely local views and promote benefits of participation to them. However, while bi-partisan support for TCAF can be pursued, it may be impossible to fully mitigate the risk of policy change under a new administration. </w:t>
            </w:r>
            <w:r w:rsidR="379C8594" w:rsidRPr="00655D71">
              <w:rPr>
                <w:rFonts w:eastAsia="Arial" w:cs="Arial"/>
                <w:sz w:val="22"/>
                <w:szCs w:val="22"/>
                <w:lang w:eastAsia="en-GB"/>
              </w:rPr>
              <w:t>(Owner: Trustee</w:t>
            </w:r>
            <w:r w:rsidR="0C6D95ED" w:rsidRPr="00655D71">
              <w:rPr>
                <w:rFonts w:eastAsia="Arial" w:cs="Arial"/>
                <w:sz w:val="22"/>
                <w:szCs w:val="22"/>
                <w:lang w:eastAsia="en-GB"/>
              </w:rPr>
              <w:t>. Timeframe: 6 monthly updates</w:t>
            </w:r>
            <w:r w:rsidR="379C8594" w:rsidRPr="00655D71">
              <w:rPr>
                <w:rFonts w:eastAsia="Arial" w:cs="Arial"/>
                <w:sz w:val="22"/>
                <w:szCs w:val="22"/>
                <w:lang w:eastAsia="en-GB"/>
              </w:rPr>
              <w:t>)</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60AAA907" w14:textId="77777777" w:rsidR="005D7CC6" w:rsidRPr="00655D71" w:rsidRDefault="04D618FA" w:rsidP="50432E6D">
            <w:pPr>
              <w:ind w:right="15"/>
              <w:textAlignment w:val="baseline"/>
              <w:rPr>
                <w:rFonts w:eastAsia="Arial" w:cs="Arial"/>
                <w:sz w:val="18"/>
                <w:szCs w:val="18"/>
                <w:lang w:eastAsia="en-GB"/>
              </w:rPr>
            </w:pPr>
            <w:r w:rsidRPr="00655D71">
              <w:rPr>
                <w:rFonts w:eastAsia="Arial" w:cs="Arial"/>
                <w:sz w:val="22"/>
                <w:szCs w:val="22"/>
              </w:rPr>
              <w:t>Mod </w:t>
            </w:r>
          </w:p>
        </w:tc>
      </w:tr>
      <w:tr w:rsidR="00301298" w:rsidRPr="005B0B73" w14:paraId="14EC5AF0" w14:textId="77777777" w:rsidTr="5C03267A">
        <w:trPr>
          <w:trHeight w:val="55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B398E6" w14:textId="77777777" w:rsidR="005D7CC6" w:rsidRPr="005B0B73" w:rsidRDefault="04D618FA" w:rsidP="50432E6D">
            <w:pPr>
              <w:jc w:val="both"/>
              <w:textAlignment w:val="baseline"/>
              <w:rPr>
                <w:rFonts w:eastAsia="Arial" w:cs="Arial"/>
                <w:i/>
                <w:iCs/>
                <w:sz w:val="18"/>
                <w:szCs w:val="18"/>
                <w:lang w:eastAsia="en-GB"/>
              </w:rPr>
            </w:pPr>
            <w:r w:rsidRPr="005B0B73">
              <w:rPr>
                <w:rFonts w:eastAsia="Arial" w:cs="Arial"/>
                <w:b/>
                <w:bCs/>
                <w:i/>
                <w:iCs/>
                <w:sz w:val="22"/>
                <w:szCs w:val="22"/>
              </w:rPr>
              <w:t>Financial/Reputational</w:t>
            </w:r>
            <w:r w:rsidRPr="005B0B73">
              <w:rPr>
                <w:rFonts w:eastAsia="Arial" w:cs="Arial"/>
                <w:i/>
                <w:iCs/>
                <w:sz w:val="22"/>
                <w:szCs w:val="22"/>
              </w:rPr>
              <w:t xml:space="preserve">: UK pays for non-additional activity (i.e. </w:t>
            </w:r>
            <w:r w:rsidRPr="005B0B73">
              <w:rPr>
                <w:rFonts w:eastAsia="Arial" w:cs="Arial"/>
                <w:i/>
                <w:iCs/>
                <w:sz w:val="22"/>
                <w:szCs w:val="22"/>
              </w:rPr>
              <w:lastRenderedPageBreak/>
              <w:t>that would happen in the absence of TCAF)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3A6675" w14:textId="6C214019" w:rsidR="00E85F8E" w:rsidRPr="00E85F8E" w:rsidRDefault="3C14C8D3" w:rsidP="4138787B">
            <w:pPr>
              <w:jc w:val="both"/>
              <w:textAlignment w:val="baseline"/>
              <w:rPr>
                <w:rFonts w:eastAsia="Arial" w:cs="Arial"/>
                <w:sz w:val="22"/>
                <w:szCs w:val="22"/>
                <w:lang w:eastAsia="en-GB"/>
              </w:rPr>
            </w:pPr>
            <w:r w:rsidRPr="00E85F8E">
              <w:rPr>
                <w:rFonts w:eastAsia="Arial" w:cs="Arial"/>
                <w:sz w:val="22"/>
                <w:szCs w:val="22"/>
                <w:lang w:eastAsia="en-GB"/>
              </w:rPr>
              <w:lastRenderedPageBreak/>
              <w:t>T</w:t>
            </w:r>
            <w:r w:rsidR="132EA2A6" w:rsidRPr="00E85F8E">
              <w:rPr>
                <w:rFonts w:eastAsia="Arial" w:cs="Arial"/>
                <w:sz w:val="22"/>
                <w:szCs w:val="22"/>
                <w:lang w:eastAsia="en-GB"/>
              </w:rPr>
              <w:t>his</w:t>
            </w:r>
            <w:r w:rsidR="04D618FA" w:rsidRPr="00E85F8E">
              <w:rPr>
                <w:rFonts w:eastAsia="Arial" w:cs="Arial"/>
                <w:sz w:val="22"/>
                <w:szCs w:val="22"/>
                <w:lang w:eastAsia="en-GB"/>
              </w:rPr>
              <w:t xml:space="preserve"> review period saw </w:t>
            </w:r>
            <w:r w:rsidR="379A4CC3" w:rsidRPr="00E85F8E">
              <w:rPr>
                <w:rFonts w:eastAsia="Arial" w:cs="Arial"/>
                <w:sz w:val="22"/>
                <w:szCs w:val="22"/>
                <w:lang w:eastAsia="en-GB"/>
              </w:rPr>
              <w:t>criticism of some of the first Article 6 transactions</w:t>
            </w:r>
            <w:r w:rsidR="04D618FA" w:rsidRPr="00E85F8E">
              <w:rPr>
                <w:rFonts w:eastAsia="Arial" w:cs="Arial"/>
                <w:sz w:val="22"/>
                <w:szCs w:val="22"/>
                <w:lang w:eastAsia="en-GB"/>
              </w:rPr>
              <w:t xml:space="preserve">. Under TCAF, </w:t>
            </w:r>
            <w:r w:rsidR="7EE39FF1" w:rsidRPr="00E85F8E">
              <w:rPr>
                <w:rFonts w:eastAsia="Arial" w:cs="Arial"/>
                <w:sz w:val="22"/>
                <w:szCs w:val="22"/>
                <w:lang w:eastAsia="en-GB"/>
              </w:rPr>
              <w:t xml:space="preserve">conservative </w:t>
            </w:r>
            <w:r w:rsidR="04D618FA" w:rsidRPr="00E85F8E">
              <w:rPr>
                <w:rFonts w:eastAsia="Arial" w:cs="Arial"/>
                <w:sz w:val="22"/>
                <w:szCs w:val="22"/>
                <w:lang w:eastAsia="en-GB"/>
              </w:rPr>
              <w:t xml:space="preserve">baseline setting helps ensure non-additional effort </w:t>
            </w:r>
            <w:r w:rsidR="04D618FA" w:rsidRPr="00E85F8E">
              <w:rPr>
                <w:rFonts w:eastAsia="Arial" w:cs="Arial"/>
                <w:sz w:val="22"/>
                <w:szCs w:val="22"/>
                <w:lang w:eastAsia="en-GB"/>
              </w:rPr>
              <w:lastRenderedPageBreak/>
              <w:t xml:space="preserve">is not credited. </w:t>
            </w:r>
            <w:r w:rsidR="086EE172" w:rsidRPr="00E85F8E">
              <w:rPr>
                <w:rFonts w:eastAsia="Arial" w:cs="Arial"/>
                <w:sz w:val="22"/>
                <w:szCs w:val="22"/>
                <w:lang w:eastAsia="en-GB"/>
              </w:rPr>
              <w:t>This review period has seen improvements in this area</w:t>
            </w:r>
            <w:r w:rsidR="5CF1749C" w:rsidRPr="00E85F8E">
              <w:rPr>
                <w:rFonts w:eastAsia="Arial" w:cs="Arial"/>
                <w:sz w:val="22"/>
                <w:szCs w:val="22"/>
                <w:lang w:eastAsia="en-GB"/>
              </w:rPr>
              <w:t xml:space="preserve"> and further mitigations </w:t>
            </w:r>
            <w:r w:rsidR="00E85F8E">
              <w:rPr>
                <w:rFonts w:eastAsia="Arial" w:cs="Arial"/>
                <w:sz w:val="22"/>
                <w:szCs w:val="22"/>
                <w:lang w:eastAsia="en-GB"/>
              </w:rPr>
              <w:t>application of ta</w:t>
            </w:r>
            <w:r w:rsidR="5CF1749C" w:rsidRPr="00E85F8E">
              <w:rPr>
                <w:rFonts w:eastAsia="Arial" w:cs="Arial"/>
                <w:sz w:val="22"/>
                <w:szCs w:val="22"/>
                <w:lang w:eastAsia="en-GB"/>
              </w:rPr>
              <w:t xml:space="preserve"> two-step approval process</w:t>
            </w:r>
            <w:r w:rsidR="00E85F8E">
              <w:rPr>
                <w:rFonts w:eastAsia="Arial" w:cs="Arial"/>
                <w:sz w:val="22"/>
                <w:szCs w:val="22"/>
                <w:lang w:eastAsia="en-GB"/>
              </w:rPr>
              <w:t xml:space="preserve"> on additionality and baseline setting</w:t>
            </w:r>
            <w:r w:rsidR="561F2B5D" w:rsidRPr="00E85F8E">
              <w:rPr>
                <w:rFonts w:eastAsia="Arial" w:cs="Arial"/>
                <w:sz w:val="22"/>
                <w:szCs w:val="22"/>
                <w:lang w:eastAsia="en-GB"/>
              </w:rPr>
              <w:t xml:space="preserve">. </w:t>
            </w:r>
            <w:r w:rsidR="04D618FA" w:rsidRPr="00E85F8E">
              <w:rPr>
                <w:rFonts w:eastAsia="Arial" w:cs="Arial"/>
                <w:sz w:val="22"/>
                <w:szCs w:val="22"/>
                <w:lang w:eastAsia="en-GB"/>
              </w:rPr>
              <w:t>Where host NDC data is non-specific, extra modelling or capacity building will help to develop a suitable approach. UK units are not used to ‘offset’ emissions elsewhere, which lowers our exposure to some criticism, but the case for TCAF support in new projects must be clear and not unduly influenced by a desire to commit remaining funds.</w:t>
            </w:r>
            <w:r w:rsidR="2525F8D8" w:rsidRPr="00E85F8E">
              <w:rPr>
                <w:rFonts w:eastAsia="Arial" w:cs="Arial"/>
                <w:sz w:val="22"/>
                <w:szCs w:val="22"/>
                <w:lang w:eastAsia="en-GB"/>
              </w:rPr>
              <w:t xml:space="preserve"> </w:t>
            </w:r>
            <w:r w:rsidR="00E85F8E">
              <w:rPr>
                <w:rFonts w:eastAsia="Arial" w:cs="Arial"/>
                <w:sz w:val="22"/>
                <w:szCs w:val="22"/>
                <w:lang w:eastAsia="en-GB"/>
              </w:rPr>
              <w:t xml:space="preserve">Regarding social and environmental safeguards, new programs have also been designed with increased SDG monitoring and reporting.  </w:t>
            </w:r>
          </w:p>
          <w:p w14:paraId="33FDAA97" w14:textId="7C67A408" w:rsidR="005D7CC6" w:rsidRPr="00E85F8E" w:rsidRDefault="04D618FA" w:rsidP="29E6789B">
            <w:pPr>
              <w:jc w:val="both"/>
              <w:textAlignment w:val="baseline"/>
              <w:rPr>
                <w:rFonts w:eastAsia="Arial" w:cs="Arial"/>
                <w:sz w:val="18"/>
                <w:szCs w:val="18"/>
                <w:lang w:eastAsia="en-GB"/>
              </w:rPr>
            </w:pPr>
            <w:r w:rsidRPr="00E85F8E">
              <w:rPr>
                <w:rFonts w:eastAsia="Arial" w:cs="Arial"/>
                <w:sz w:val="22"/>
                <w:szCs w:val="22"/>
                <w:lang w:eastAsia="en-GB"/>
              </w:rPr>
              <w:t> </w:t>
            </w:r>
            <w:r w:rsidR="379C8594" w:rsidRPr="00E85F8E">
              <w:rPr>
                <w:rFonts w:eastAsia="Arial" w:cs="Arial"/>
                <w:sz w:val="22"/>
                <w:szCs w:val="22"/>
                <w:lang w:eastAsia="en-GB"/>
              </w:rPr>
              <w:t>(Owners: Trustee, UK</w:t>
            </w:r>
            <w:r w:rsidR="0C6D95ED" w:rsidRPr="00E85F8E">
              <w:rPr>
                <w:rFonts w:eastAsia="Arial" w:cs="Arial"/>
                <w:sz w:val="22"/>
                <w:szCs w:val="22"/>
                <w:lang w:eastAsia="en-GB"/>
              </w:rPr>
              <w:t>. Timeframe: ongoing</w:t>
            </w:r>
            <w:r w:rsidR="379C8594" w:rsidRPr="00E85F8E">
              <w:rPr>
                <w:rFonts w:eastAsia="Arial" w:cs="Arial"/>
                <w:sz w:val="22"/>
                <w:szCs w:val="22"/>
                <w:lang w:eastAsia="en-GB"/>
              </w:rPr>
              <w:t>)</w:t>
            </w:r>
            <w:r w:rsidRPr="00E85F8E">
              <w:rPr>
                <w:rFonts w:eastAsia="Arial" w:cs="Arial"/>
                <w:sz w:val="22"/>
                <w:szCs w:val="22"/>
                <w:lang w:eastAsia="en-GB"/>
              </w:rPr>
              <w:t> </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25862039" w14:textId="77777777" w:rsidR="005D7CC6" w:rsidRPr="005B0B73" w:rsidRDefault="04D618FA" w:rsidP="50432E6D">
            <w:pPr>
              <w:ind w:right="15"/>
              <w:textAlignment w:val="baseline"/>
              <w:rPr>
                <w:rFonts w:eastAsia="Arial" w:cs="Arial"/>
                <w:i/>
                <w:iCs/>
                <w:sz w:val="18"/>
                <w:szCs w:val="18"/>
                <w:lang w:eastAsia="en-GB"/>
              </w:rPr>
            </w:pPr>
            <w:r w:rsidRPr="005B0B73">
              <w:rPr>
                <w:rFonts w:eastAsia="Arial" w:cs="Arial"/>
                <w:i/>
                <w:iCs/>
                <w:sz w:val="22"/>
                <w:szCs w:val="22"/>
              </w:rPr>
              <w:lastRenderedPageBreak/>
              <w:t>Mod </w:t>
            </w:r>
          </w:p>
          <w:p w14:paraId="258EFB7B" w14:textId="77777777" w:rsidR="005D7CC6" w:rsidRPr="005B0B73" w:rsidRDefault="04D618FA" w:rsidP="50432E6D">
            <w:pPr>
              <w:textAlignment w:val="baseline"/>
              <w:rPr>
                <w:rFonts w:eastAsia="Arial" w:cs="Arial"/>
                <w:i/>
                <w:iCs/>
                <w:sz w:val="18"/>
                <w:szCs w:val="18"/>
                <w:lang w:eastAsia="en-GB"/>
              </w:rPr>
            </w:pPr>
            <w:r w:rsidRPr="005B0B73">
              <w:rPr>
                <w:rFonts w:eastAsia="Arial" w:cs="Arial"/>
                <w:i/>
                <w:iCs/>
                <w:sz w:val="22"/>
                <w:szCs w:val="22"/>
              </w:rPr>
              <w:t> </w:t>
            </w:r>
          </w:p>
          <w:p w14:paraId="7952702D" w14:textId="77777777" w:rsidR="005D7CC6" w:rsidRPr="005B0B73" w:rsidRDefault="04D618FA" w:rsidP="50432E6D">
            <w:pPr>
              <w:textAlignment w:val="baseline"/>
              <w:rPr>
                <w:rFonts w:eastAsia="Arial" w:cs="Arial"/>
                <w:i/>
                <w:iCs/>
                <w:sz w:val="18"/>
                <w:szCs w:val="18"/>
                <w:lang w:eastAsia="en-GB"/>
              </w:rPr>
            </w:pPr>
            <w:r w:rsidRPr="005B0B73">
              <w:rPr>
                <w:rFonts w:eastAsia="Arial" w:cs="Arial"/>
                <w:i/>
                <w:iCs/>
                <w:sz w:val="22"/>
                <w:szCs w:val="22"/>
              </w:rPr>
              <w:t> </w:t>
            </w:r>
          </w:p>
          <w:p w14:paraId="6AA66E06" w14:textId="77777777" w:rsidR="005D7CC6" w:rsidRPr="005B0B73" w:rsidRDefault="04D618FA" w:rsidP="50432E6D">
            <w:pPr>
              <w:textAlignment w:val="baseline"/>
              <w:rPr>
                <w:rFonts w:eastAsia="Arial" w:cs="Arial"/>
                <w:i/>
                <w:iCs/>
                <w:sz w:val="18"/>
                <w:szCs w:val="18"/>
                <w:lang w:eastAsia="en-GB"/>
              </w:rPr>
            </w:pPr>
            <w:r w:rsidRPr="005B0B73">
              <w:rPr>
                <w:rFonts w:eastAsia="Arial" w:cs="Arial"/>
                <w:i/>
                <w:iCs/>
                <w:sz w:val="22"/>
                <w:szCs w:val="22"/>
              </w:rPr>
              <w:lastRenderedPageBreak/>
              <w:t> </w:t>
            </w:r>
          </w:p>
          <w:p w14:paraId="0DD7C9CE" w14:textId="77777777" w:rsidR="005D7CC6" w:rsidRPr="005B0B73" w:rsidRDefault="04D618FA" w:rsidP="50432E6D">
            <w:pPr>
              <w:textAlignment w:val="baseline"/>
              <w:rPr>
                <w:rFonts w:eastAsia="Arial" w:cs="Arial"/>
                <w:i/>
                <w:iCs/>
                <w:sz w:val="18"/>
                <w:szCs w:val="18"/>
                <w:lang w:eastAsia="en-GB"/>
              </w:rPr>
            </w:pPr>
            <w:r w:rsidRPr="005B0B73">
              <w:rPr>
                <w:rFonts w:eastAsia="Arial" w:cs="Arial"/>
                <w:i/>
                <w:iCs/>
                <w:sz w:val="22"/>
                <w:szCs w:val="22"/>
              </w:rPr>
              <w:t> </w:t>
            </w:r>
          </w:p>
          <w:p w14:paraId="2A658D59" w14:textId="77777777" w:rsidR="005D7CC6" w:rsidRPr="005B0B73" w:rsidRDefault="04D618FA" w:rsidP="50432E6D">
            <w:pPr>
              <w:textAlignment w:val="baseline"/>
              <w:rPr>
                <w:rFonts w:eastAsia="Arial" w:cs="Arial"/>
                <w:i/>
                <w:iCs/>
                <w:sz w:val="18"/>
                <w:szCs w:val="18"/>
                <w:lang w:eastAsia="en-GB"/>
              </w:rPr>
            </w:pPr>
            <w:r w:rsidRPr="005B0B73">
              <w:rPr>
                <w:rFonts w:eastAsia="Arial" w:cs="Arial"/>
                <w:i/>
                <w:iCs/>
                <w:sz w:val="22"/>
                <w:szCs w:val="22"/>
              </w:rPr>
              <w:t> </w:t>
            </w:r>
          </w:p>
        </w:tc>
      </w:tr>
      <w:tr w:rsidR="00301298" w:rsidRPr="005B0B73" w14:paraId="58C20CE8" w14:textId="77777777" w:rsidTr="5C03267A">
        <w:trPr>
          <w:trHeight w:val="79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D27033" w14:textId="77777777" w:rsidR="005D7CC6" w:rsidRPr="00E85F8E" w:rsidRDefault="04D618FA" w:rsidP="50432E6D">
            <w:pPr>
              <w:jc w:val="both"/>
              <w:textAlignment w:val="baseline"/>
              <w:rPr>
                <w:rFonts w:eastAsia="Arial" w:cs="Arial"/>
                <w:sz w:val="18"/>
                <w:szCs w:val="18"/>
                <w:lang w:eastAsia="en-GB"/>
              </w:rPr>
            </w:pPr>
            <w:r w:rsidRPr="00E85F8E">
              <w:rPr>
                <w:rFonts w:eastAsia="Arial" w:cs="Arial"/>
                <w:b/>
                <w:bCs/>
                <w:sz w:val="22"/>
                <w:szCs w:val="22"/>
              </w:rPr>
              <w:lastRenderedPageBreak/>
              <w:t>Delivery/reputational</w:t>
            </w:r>
            <w:r w:rsidRPr="00E85F8E">
              <w:rPr>
                <w:rFonts w:eastAsia="Arial" w:cs="Arial"/>
                <w:sz w:val="22"/>
                <w:szCs w:val="22"/>
              </w:rPr>
              <w:t>: hosts decide that TCAF emission reductions contractually committed to Contributor countries are required for their NDC achievement.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270A9F" w14:textId="0B54E313" w:rsidR="005D7CC6" w:rsidRPr="00E85F8E" w:rsidRDefault="3A0C8AAF" w:rsidP="50432E6D">
            <w:pPr>
              <w:ind w:right="45"/>
              <w:jc w:val="both"/>
              <w:textAlignment w:val="baseline"/>
              <w:rPr>
                <w:rFonts w:eastAsia="Arial" w:cs="Arial"/>
                <w:sz w:val="18"/>
                <w:szCs w:val="18"/>
                <w:lang w:eastAsia="en-GB"/>
              </w:rPr>
            </w:pPr>
            <w:r w:rsidRPr="00E85F8E">
              <w:rPr>
                <w:rFonts w:eastAsia="Arial" w:cs="Arial"/>
                <w:sz w:val="22"/>
                <w:szCs w:val="22"/>
                <w:lang w:eastAsia="en-GB"/>
              </w:rPr>
              <w:t xml:space="preserve">This remains a minor risk. </w:t>
            </w:r>
            <w:r w:rsidR="04D618FA" w:rsidRPr="00E85F8E">
              <w:rPr>
                <w:rFonts w:eastAsia="Arial" w:cs="Arial"/>
                <w:sz w:val="22"/>
                <w:szCs w:val="22"/>
                <w:lang w:eastAsia="en-GB"/>
              </w:rPr>
              <w:t>A UK decision for its share of TCAF abatement to remain with the host country has reduced this risk to zero on the UK side. Should another TCAF Contributor insist on a transfer in a case where a host country requires TCAF funded abatement for their own NDC achievement, the risk of association with this is likely to be low for the UK. Furthermore, the Trustee’s engagement with host countries in advance of a deal being agreed is ensuring host countries are aware of this risk and able to consider mitigation strategies. </w:t>
            </w:r>
            <w:r w:rsidR="5F3FB16A" w:rsidRPr="00E85F8E">
              <w:rPr>
                <w:rFonts w:eastAsia="Arial" w:cs="Arial"/>
                <w:sz w:val="22"/>
                <w:szCs w:val="22"/>
                <w:lang w:eastAsia="en-GB"/>
              </w:rPr>
              <w:t>(Owners: other Contributors, Trustee</w:t>
            </w:r>
            <w:r w:rsidR="338F6227" w:rsidRPr="00E85F8E">
              <w:rPr>
                <w:rFonts w:eastAsia="Arial" w:cs="Arial"/>
                <w:sz w:val="22"/>
                <w:szCs w:val="22"/>
                <w:lang w:eastAsia="en-GB"/>
              </w:rPr>
              <w:t>. Timeframe: ongoing</w:t>
            </w:r>
            <w:r w:rsidR="5F3FB16A" w:rsidRPr="00E85F8E">
              <w:rPr>
                <w:rFonts w:eastAsia="Arial" w:cs="Arial"/>
                <w:sz w:val="22"/>
                <w:szCs w:val="22"/>
                <w:lang w:eastAsia="en-GB"/>
              </w:rPr>
              <w:t>)</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70AD47" w:themeFill="accent6"/>
            <w:hideMark/>
          </w:tcPr>
          <w:p w14:paraId="5ECF7B82" w14:textId="77777777" w:rsidR="005D7CC6" w:rsidRPr="00E85F8E" w:rsidRDefault="04D618FA" w:rsidP="50432E6D">
            <w:pPr>
              <w:textAlignment w:val="baseline"/>
              <w:rPr>
                <w:rFonts w:eastAsia="Arial" w:cs="Arial"/>
                <w:sz w:val="18"/>
                <w:szCs w:val="18"/>
                <w:lang w:eastAsia="en-GB"/>
              </w:rPr>
            </w:pPr>
            <w:r w:rsidRPr="00E85F8E">
              <w:rPr>
                <w:rFonts w:eastAsia="Arial" w:cs="Arial"/>
                <w:sz w:val="22"/>
                <w:szCs w:val="22"/>
              </w:rPr>
              <w:t>Min </w:t>
            </w:r>
          </w:p>
        </w:tc>
      </w:tr>
      <w:tr w:rsidR="00301298" w:rsidRPr="005B0B73" w14:paraId="571FBD44" w14:textId="77777777" w:rsidTr="5C03267A">
        <w:trPr>
          <w:trHeight w:val="525"/>
        </w:trPr>
        <w:tc>
          <w:tcPr>
            <w:tcW w:w="26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760297" w14:textId="77777777" w:rsidR="005D7CC6" w:rsidRPr="00E85F8E" w:rsidRDefault="04D618FA" w:rsidP="50432E6D">
            <w:pPr>
              <w:jc w:val="both"/>
              <w:textAlignment w:val="baseline"/>
              <w:rPr>
                <w:rFonts w:eastAsia="Arial" w:cs="Arial"/>
                <w:sz w:val="18"/>
                <w:szCs w:val="18"/>
                <w:lang w:eastAsia="en-GB"/>
              </w:rPr>
            </w:pPr>
            <w:r w:rsidRPr="00E85F8E">
              <w:rPr>
                <w:rFonts w:eastAsia="Arial" w:cs="Arial"/>
                <w:b/>
                <w:bCs/>
                <w:sz w:val="22"/>
                <w:szCs w:val="22"/>
              </w:rPr>
              <w:t>Financial</w:t>
            </w:r>
            <w:r w:rsidRPr="00E85F8E">
              <w:rPr>
                <w:rFonts w:eastAsia="Arial" w:cs="Arial"/>
                <w:sz w:val="22"/>
                <w:szCs w:val="22"/>
              </w:rPr>
              <w:t>: Fraud or corruption in the host country  </w:t>
            </w:r>
          </w:p>
        </w:tc>
        <w:tc>
          <w:tcPr>
            <w:tcW w:w="51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4E1A51" w14:textId="10599F5F" w:rsidR="005D7CC6" w:rsidRPr="00E85F8E" w:rsidRDefault="3F0666FE" w:rsidP="50432E6D">
            <w:pPr>
              <w:ind w:right="45"/>
              <w:jc w:val="both"/>
              <w:textAlignment w:val="baseline"/>
              <w:rPr>
                <w:rFonts w:eastAsia="Arial" w:cs="Arial"/>
                <w:sz w:val="18"/>
                <w:szCs w:val="18"/>
                <w:lang w:eastAsia="en-GB"/>
              </w:rPr>
            </w:pPr>
            <w:r w:rsidRPr="00E85F8E">
              <w:rPr>
                <w:rFonts w:eastAsia="Arial" w:cs="Arial"/>
                <w:sz w:val="22"/>
                <w:szCs w:val="22"/>
                <w:lang w:eastAsia="en-GB"/>
              </w:rPr>
              <w:t xml:space="preserve">This remains a minor risk. </w:t>
            </w:r>
            <w:r w:rsidR="04D618FA" w:rsidRPr="00E85F8E">
              <w:rPr>
                <w:rFonts w:eastAsia="Arial" w:cs="Arial"/>
                <w:sz w:val="22"/>
                <w:szCs w:val="22"/>
                <w:lang w:eastAsia="en-GB"/>
              </w:rPr>
              <w:t>World Bank due diligence and risk management processes are in place to manage delivery and potential fraud. </w:t>
            </w:r>
            <w:r w:rsidR="5F3FB16A" w:rsidRPr="00E85F8E">
              <w:rPr>
                <w:rFonts w:eastAsia="Arial" w:cs="Arial"/>
                <w:sz w:val="22"/>
                <w:szCs w:val="22"/>
                <w:lang w:eastAsia="en-GB"/>
              </w:rPr>
              <w:t>(Owner: Trustee</w:t>
            </w:r>
            <w:r w:rsidR="338F6227" w:rsidRPr="00E85F8E">
              <w:rPr>
                <w:rFonts w:eastAsia="Arial" w:cs="Arial"/>
                <w:sz w:val="22"/>
                <w:szCs w:val="22"/>
                <w:lang w:eastAsia="en-GB"/>
              </w:rPr>
              <w:t xml:space="preserve">. Timeframe: </w:t>
            </w:r>
            <w:r w:rsidR="66E8E292" w:rsidRPr="00E85F8E">
              <w:rPr>
                <w:rFonts w:eastAsia="Arial" w:cs="Arial"/>
                <w:sz w:val="22"/>
                <w:szCs w:val="22"/>
                <w:lang w:eastAsia="en-GB"/>
              </w:rPr>
              <w:t>ongoing</w:t>
            </w:r>
            <w:r w:rsidR="5F3FB16A" w:rsidRPr="00E85F8E">
              <w:rPr>
                <w:rFonts w:eastAsia="Arial" w:cs="Arial"/>
                <w:sz w:val="22"/>
                <w:szCs w:val="22"/>
                <w:lang w:eastAsia="en-GB"/>
              </w:rPr>
              <w:t>)</w:t>
            </w:r>
          </w:p>
        </w:tc>
        <w:tc>
          <w:tcPr>
            <w:tcW w:w="12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70AD47" w:themeFill="accent6"/>
            <w:hideMark/>
          </w:tcPr>
          <w:p w14:paraId="50548FDC" w14:textId="77777777" w:rsidR="005D7CC6" w:rsidRPr="00E85F8E" w:rsidRDefault="04D618FA" w:rsidP="50432E6D">
            <w:pPr>
              <w:textAlignment w:val="baseline"/>
              <w:rPr>
                <w:rFonts w:eastAsia="Arial" w:cs="Arial"/>
                <w:sz w:val="18"/>
                <w:szCs w:val="18"/>
                <w:lang w:eastAsia="en-GB"/>
              </w:rPr>
            </w:pPr>
            <w:r w:rsidRPr="00E85F8E">
              <w:rPr>
                <w:rFonts w:eastAsia="Arial" w:cs="Arial"/>
                <w:sz w:val="22"/>
                <w:szCs w:val="22"/>
              </w:rPr>
              <w:t>Min </w:t>
            </w:r>
          </w:p>
        </w:tc>
      </w:tr>
    </w:tbl>
    <w:p w14:paraId="0FAE8876" w14:textId="77777777" w:rsidR="00E725B2" w:rsidRPr="005B0B73" w:rsidRDefault="00E725B2" w:rsidP="1FFC5AE9">
      <w:pPr>
        <w:jc w:val="both"/>
        <w:textAlignment w:val="baseline"/>
        <w:rPr>
          <w:rFonts w:eastAsia="Arial" w:cs="Arial"/>
          <w:sz w:val="18"/>
          <w:szCs w:val="18"/>
          <w:lang w:eastAsia="en-GB"/>
        </w:rPr>
      </w:pPr>
      <w:r w:rsidRPr="005B0B73">
        <w:rPr>
          <w:rFonts w:eastAsia="Arial" w:cs="Arial"/>
          <w:sz w:val="22"/>
          <w:szCs w:val="22"/>
        </w:rPr>
        <w:t> </w:t>
      </w:r>
    </w:p>
    <w:p w14:paraId="71F38833" w14:textId="7FFAE3FC" w:rsidR="009559E1" w:rsidRPr="005B0B73" w:rsidRDefault="009559E1" w:rsidP="1FFC5AE9">
      <w:pPr>
        <w:spacing w:before="40" w:after="40"/>
        <w:jc w:val="both"/>
        <w:rPr>
          <w:rFonts w:eastAsia="Arial" w:cs="Arial"/>
          <w:sz w:val="22"/>
          <w:szCs w:val="22"/>
        </w:rPr>
      </w:pPr>
      <w:r w:rsidRPr="005B0B73">
        <w:rPr>
          <w:rStyle w:val="Heading2Char"/>
          <w:rFonts w:eastAsia="Arial" w:cs="Arial"/>
        </w:rPr>
        <w:t>Overview of risk management</w:t>
      </w:r>
      <w:r w:rsidRPr="005B0B73">
        <w:rPr>
          <w:rFonts w:eastAsia="Arial" w:cs="Arial"/>
          <w:sz w:val="22"/>
          <w:szCs w:val="22"/>
        </w:rPr>
        <w:t xml:space="preserve"> </w:t>
      </w:r>
    </w:p>
    <w:p w14:paraId="0C7CBE79" w14:textId="40269296" w:rsidR="0CC370C8" w:rsidRPr="005B0B73" w:rsidRDefault="0CC370C8" w:rsidP="0CC370C8">
      <w:pPr>
        <w:spacing w:before="40" w:after="40"/>
        <w:jc w:val="both"/>
        <w:rPr>
          <w:rFonts w:eastAsia="Arial" w:cs="Arial"/>
          <w:sz w:val="22"/>
          <w:szCs w:val="22"/>
        </w:rPr>
      </w:pPr>
    </w:p>
    <w:p w14:paraId="7384ACA6" w14:textId="096D906E" w:rsidR="2138D1C6" w:rsidRPr="00E85F8E" w:rsidRDefault="2149373C" w:rsidP="00E85F8E">
      <w:pPr>
        <w:spacing w:before="40" w:after="40" w:line="257" w:lineRule="auto"/>
        <w:jc w:val="both"/>
        <w:rPr>
          <w:rFonts w:eastAsia="Arial" w:cs="Arial"/>
          <w:color w:val="000000" w:themeColor="text1"/>
          <w:sz w:val="22"/>
          <w:szCs w:val="22"/>
        </w:rPr>
      </w:pPr>
      <w:r w:rsidRPr="005B0B73">
        <w:rPr>
          <w:rFonts w:eastAsia="Arial" w:cs="Arial"/>
          <w:color w:val="000000" w:themeColor="text1"/>
          <w:sz w:val="22"/>
          <w:szCs w:val="22"/>
        </w:rPr>
        <w:t xml:space="preserve">The overall risk rating remains ‘moderate’. Agreement of overarching Article 6 rules at COP29 in November 2024, increases in host country understanding and improved joint support and events across support providers and the other World Bank carbon funds has have created a more certain environment for TCAF projects. </w:t>
      </w:r>
      <w:r w:rsidR="00E85F8E">
        <w:rPr>
          <w:rFonts w:eastAsia="Arial" w:cs="Arial"/>
          <w:color w:val="000000" w:themeColor="text1"/>
          <w:sz w:val="22"/>
          <w:szCs w:val="22"/>
        </w:rPr>
        <w:t xml:space="preserve">That said this reporting period has seen further market developments in terms of sovereign buyer requirements and preferences which the TCAF programme will need to actively respond to.  </w:t>
      </w:r>
      <w:r w:rsidRPr="005B0B73">
        <w:rPr>
          <w:rFonts w:eastAsia="Arial" w:cs="Arial"/>
          <w:color w:val="000000" w:themeColor="text1"/>
          <w:sz w:val="22"/>
          <w:szCs w:val="22"/>
        </w:rPr>
        <w:t>Whilst reputation risks remain, this review period has seen improvements in this area and further mitigations. Finally, all grants financed by Trust Funds continue to be subject to the World Bank's operational policies and procedures that apply to their financing, including the Bank's framework on governance and anti-corruption.</w:t>
      </w:r>
      <w:r w:rsidR="3B166073" w:rsidRPr="005B0B73">
        <w:rPr>
          <w:rFonts w:eastAsia="Arial" w:cs="Arial"/>
          <w:color w:val="000000" w:themeColor="text1"/>
          <w:sz w:val="22"/>
          <w:szCs w:val="22"/>
        </w:rPr>
        <w:t xml:space="preserve">  </w:t>
      </w:r>
      <w:r w:rsidRPr="005B0B73">
        <w:rPr>
          <w:rFonts w:eastAsia="Arial" w:cs="Arial"/>
          <w:color w:val="000000" w:themeColor="text1"/>
          <w:sz w:val="22"/>
          <w:szCs w:val="22"/>
        </w:rPr>
        <w:t xml:space="preserve">TCAF remains a piloting facility for innovative crediting, so a higher risk tolerance is factored into this overall score.  Upcoming actions proactively managing the evolving risks. DESNZ remains content with the Bank’s approaches to reporting risks and mitigations to Contributors on a quarterly basis. </w:t>
      </w:r>
    </w:p>
    <w:p w14:paraId="7ECE51E2" w14:textId="134F83EB" w:rsidR="0CC370C8" w:rsidRPr="005B0B73" w:rsidRDefault="0CC370C8" w:rsidP="0CC370C8">
      <w:pPr>
        <w:spacing w:before="40" w:after="40"/>
        <w:jc w:val="both"/>
        <w:rPr>
          <w:rFonts w:eastAsia="Arial" w:cs="Arial"/>
          <w:sz w:val="22"/>
          <w:szCs w:val="22"/>
        </w:rPr>
      </w:pPr>
    </w:p>
    <w:p w14:paraId="2467C502" w14:textId="0DC97ABB" w:rsidR="001717CE" w:rsidRPr="005B0B73" w:rsidRDefault="001717CE" w:rsidP="1FFC5AE9">
      <w:pPr>
        <w:rPr>
          <w:rFonts w:eastAsia="Arial" w:cs="Arial"/>
        </w:rPr>
      </w:pPr>
      <w:bookmarkStart w:id="15" w:name="_Toc142922638"/>
    </w:p>
    <w:tbl>
      <w:tblPr>
        <w:tblStyle w:val="TableGrid"/>
        <w:tblW w:w="0" w:type="auto"/>
        <w:tblLook w:val="04A0" w:firstRow="1" w:lastRow="0" w:firstColumn="1" w:lastColumn="0" w:noHBand="0" w:noVBand="1"/>
      </w:tblPr>
      <w:tblGrid>
        <w:gridCol w:w="9016"/>
      </w:tblGrid>
      <w:tr w:rsidR="005B5879" w:rsidRPr="005B0B73" w14:paraId="3775346F" w14:textId="77777777" w:rsidTr="1FFC5AE9">
        <w:tc>
          <w:tcPr>
            <w:tcW w:w="9016" w:type="dxa"/>
            <w:shd w:val="clear" w:color="auto" w:fill="DEEAF6" w:themeFill="accent5" w:themeFillTint="33"/>
          </w:tcPr>
          <w:p w14:paraId="64B9656F" w14:textId="44BD7E86" w:rsidR="00CB2873" w:rsidRPr="005B0B73" w:rsidRDefault="00A95D0D" w:rsidP="1FFC5AE9">
            <w:pPr>
              <w:jc w:val="both"/>
              <w:rPr>
                <w:rFonts w:eastAsia="Arial" w:cs="Arial"/>
              </w:rPr>
            </w:pPr>
            <w:r w:rsidRPr="005B0B73">
              <w:rPr>
                <w:rStyle w:val="Heading1Char"/>
                <w:rFonts w:ascii="Arial" w:eastAsia="Arial" w:hAnsi="Arial" w:cs="Arial"/>
                <w:b/>
                <w:bCs/>
                <w:color w:val="auto"/>
              </w:rPr>
              <w:t>Section F: Programme management: delivery, VfM, commercial and financial performance</w:t>
            </w:r>
            <w:bookmarkEnd w:id="15"/>
            <w:r w:rsidRPr="005B0B73">
              <w:rPr>
                <w:rFonts w:eastAsia="Arial" w:cs="Arial"/>
              </w:rPr>
              <w:t xml:space="preserve"> </w:t>
            </w:r>
          </w:p>
        </w:tc>
      </w:tr>
    </w:tbl>
    <w:p w14:paraId="6268AFF3" w14:textId="7623B8C4" w:rsidR="00CB2873" w:rsidRPr="005B0B73" w:rsidRDefault="00CB2873" w:rsidP="1FFC5AE9">
      <w:pPr>
        <w:jc w:val="both"/>
        <w:rPr>
          <w:rFonts w:eastAsia="Arial" w:cs="Arial"/>
          <w:sz w:val="22"/>
          <w:szCs w:val="22"/>
        </w:rPr>
      </w:pPr>
    </w:p>
    <w:p w14:paraId="2C3EF177" w14:textId="2FA40DF9" w:rsidR="00D0302B" w:rsidRPr="005B0B73" w:rsidRDefault="003D222C" w:rsidP="1FFC5AE9">
      <w:pPr>
        <w:jc w:val="both"/>
        <w:rPr>
          <w:rFonts w:eastAsia="Arial" w:cs="Arial"/>
          <w:b/>
          <w:bCs/>
          <w:sz w:val="22"/>
          <w:szCs w:val="22"/>
        </w:rPr>
      </w:pPr>
      <w:bookmarkStart w:id="16" w:name="_Toc142922639"/>
      <w:r w:rsidRPr="005B0B73">
        <w:rPr>
          <w:rStyle w:val="Heading2Char"/>
          <w:rFonts w:eastAsia="Arial" w:cs="Arial"/>
        </w:rPr>
        <w:t>Summa</w:t>
      </w:r>
      <w:r w:rsidR="00272DF1" w:rsidRPr="005B0B73">
        <w:rPr>
          <w:rStyle w:val="Heading2Char"/>
          <w:rFonts w:eastAsia="Arial" w:cs="Arial"/>
        </w:rPr>
        <w:t>ry of</w:t>
      </w:r>
      <w:r w:rsidRPr="005B0B73">
        <w:rPr>
          <w:rStyle w:val="Heading2Char"/>
          <w:rFonts w:eastAsia="Arial" w:cs="Arial"/>
        </w:rPr>
        <w:t xml:space="preserve"> the performance of partners and </w:t>
      </w:r>
      <w:r w:rsidR="00BF633B" w:rsidRPr="005B0B73">
        <w:rPr>
          <w:rStyle w:val="Heading2Char"/>
          <w:rFonts w:eastAsia="Arial" w:cs="Arial"/>
        </w:rPr>
        <w:t>DESNZ</w:t>
      </w:r>
      <w:r w:rsidRPr="005B0B73">
        <w:rPr>
          <w:rStyle w:val="Heading2Char"/>
          <w:rFonts w:eastAsia="Arial" w:cs="Arial"/>
        </w:rPr>
        <w:t>, notably on commercial and financial issues, and including consideration of VfM.</w:t>
      </w:r>
      <w:bookmarkEnd w:id="16"/>
      <w:r w:rsidRPr="005B0B73">
        <w:rPr>
          <w:rFonts w:eastAsia="Arial" w:cs="Arial"/>
          <w:b/>
          <w:bCs/>
          <w:sz w:val="22"/>
          <w:szCs w:val="22"/>
        </w:rPr>
        <w:t xml:space="preserve"> </w:t>
      </w:r>
    </w:p>
    <w:p w14:paraId="60DE9E7B" w14:textId="6DB6037A" w:rsidR="00992D92" w:rsidRPr="005B0B73" w:rsidRDefault="00992D92" w:rsidP="1FFC5AE9">
      <w:pPr>
        <w:jc w:val="both"/>
        <w:rPr>
          <w:rFonts w:eastAsia="Arial" w:cs="Arial"/>
          <w:sz w:val="22"/>
          <w:szCs w:val="22"/>
        </w:rPr>
      </w:pPr>
    </w:p>
    <w:p w14:paraId="156E9878" w14:textId="31684A39" w:rsidR="71285FDA" w:rsidRPr="005B0B73" w:rsidRDefault="6F83B1F2" w:rsidP="0F238098">
      <w:pPr>
        <w:spacing w:line="257" w:lineRule="auto"/>
        <w:jc w:val="both"/>
        <w:rPr>
          <w:rFonts w:eastAsia="Arial" w:cs="Arial"/>
          <w:sz w:val="22"/>
          <w:szCs w:val="22"/>
        </w:rPr>
      </w:pPr>
      <w:r w:rsidRPr="005B0B73">
        <w:rPr>
          <w:rFonts w:eastAsia="Arial" w:cs="Arial"/>
          <w:sz w:val="22"/>
          <w:szCs w:val="22"/>
        </w:rPr>
        <w:t xml:space="preserve">The Trustee remains committed to the success of the TCAF programme over this review period, with good working relationship with partners and contributors. The UK continues to enjoy a close, collegiate partnership with the Trustee and other Contributors. The programme continues to make progress on the delivery of the Uzbekistan </w:t>
      </w:r>
      <w:proofErr w:type="spellStart"/>
      <w:r w:rsidRPr="005B0B73">
        <w:rPr>
          <w:rFonts w:eastAsia="Arial" w:cs="Arial"/>
          <w:sz w:val="22"/>
          <w:szCs w:val="22"/>
        </w:rPr>
        <w:t>iCRAFT</w:t>
      </w:r>
      <w:proofErr w:type="spellEnd"/>
      <w:r w:rsidRPr="005B0B73">
        <w:rPr>
          <w:rFonts w:eastAsia="Arial" w:cs="Arial"/>
          <w:sz w:val="22"/>
          <w:szCs w:val="22"/>
        </w:rPr>
        <w:t xml:space="preserve"> project, while there </w:t>
      </w:r>
      <w:r w:rsidR="3F2DB517" w:rsidRPr="005B0B73">
        <w:rPr>
          <w:rFonts w:eastAsia="Arial" w:cs="Arial"/>
          <w:sz w:val="22"/>
          <w:szCs w:val="22"/>
        </w:rPr>
        <w:t xml:space="preserve">are </w:t>
      </w:r>
      <w:r w:rsidRPr="005B0B73">
        <w:rPr>
          <w:rFonts w:eastAsia="Arial" w:cs="Arial"/>
          <w:sz w:val="22"/>
          <w:szCs w:val="22"/>
        </w:rPr>
        <w:t xml:space="preserve">other projects in the advance stage in the pipeline including those in Vietnam, Pakistan, Nepal and </w:t>
      </w:r>
      <w:r w:rsidR="00E36E07" w:rsidRPr="005B0B73">
        <w:rPr>
          <w:rFonts w:eastAsia="Arial" w:cs="Arial"/>
          <w:sz w:val="22"/>
          <w:szCs w:val="22"/>
        </w:rPr>
        <w:t>t</w:t>
      </w:r>
      <w:r w:rsidR="00494A55" w:rsidRPr="005B0B73">
        <w:rPr>
          <w:rFonts w:eastAsia="Arial" w:cs="Arial"/>
          <w:sz w:val="22"/>
          <w:szCs w:val="22"/>
        </w:rPr>
        <w:t>he Kyrgyz Republic</w:t>
      </w:r>
      <w:r w:rsidRPr="005B0B73">
        <w:rPr>
          <w:rFonts w:eastAsia="Arial" w:cs="Arial"/>
          <w:sz w:val="22"/>
          <w:szCs w:val="22"/>
        </w:rPr>
        <w:t>. The annual report provided further details on several areas of the programme delivery and finances, including facility management issues, and knowledge management activities.</w:t>
      </w:r>
    </w:p>
    <w:p w14:paraId="7A132692" w14:textId="1187FFE8" w:rsidR="55053582" w:rsidRPr="005B0B73" w:rsidRDefault="55053582" w:rsidP="55053582">
      <w:pPr>
        <w:spacing w:line="257" w:lineRule="auto"/>
        <w:jc w:val="both"/>
        <w:rPr>
          <w:rFonts w:eastAsia="Arial" w:cs="Arial"/>
          <w:b/>
          <w:bCs/>
          <w:color w:val="000000" w:themeColor="text1"/>
          <w:sz w:val="22"/>
          <w:szCs w:val="22"/>
        </w:rPr>
      </w:pPr>
    </w:p>
    <w:p w14:paraId="7D288950" w14:textId="5D4E469A"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t>Economy</w:t>
      </w:r>
    </w:p>
    <w:p w14:paraId="458E9BF6" w14:textId="595E8376"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t xml:space="preserve"> </w:t>
      </w:r>
    </w:p>
    <w:p w14:paraId="4416359B" w14:textId="364AB8D5"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The total actual use of funds for FY26 is $8.70 million while the planned amount is $22.54 million, leaving a gap of $13.83 million. The reflects lower actual expenses than forecast across all major items, except meetings, with significantly less RBF payments and fees than planned. Both planned and actual use of funds were below those recorded for last year by 34% and 14%, respectively, which indicates lower costs of delivery and operating the programme in the current year compared to last year.</w:t>
      </w:r>
    </w:p>
    <w:p w14:paraId="73EEF111" w14:textId="09E42B14"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 xml:space="preserve"> </w:t>
      </w:r>
    </w:p>
    <w:p w14:paraId="6875B323" w14:textId="5C18B379" w:rsidR="71285FDA" w:rsidRPr="005B0B73" w:rsidRDefault="6F83B1F2" w:rsidP="0F238098">
      <w:pPr>
        <w:spacing w:after="60" w:line="257" w:lineRule="auto"/>
        <w:jc w:val="both"/>
        <w:rPr>
          <w:rFonts w:eastAsia="Arial" w:cs="Arial"/>
          <w:color w:val="000000" w:themeColor="text1"/>
          <w:sz w:val="22"/>
          <w:szCs w:val="22"/>
        </w:rPr>
      </w:pPr>
      <w:r w:rsidRPr="005B0B73">
        <w:rPr>
          <w:rFonts w:eastAsia="Arial" w:cs="Arial"/>
          <w:sz w:val="22"/>
          <w:szCs w:val="22"/>
        </w:rPr>
        <w:t xml:space="preserve">Fewer tasks were carried out and processed in the Trustee’s systems (e.g., CATS and EMS) during the year, while there was lower use of back-office staff time than expected. The higher than planned meeting expenses is due to the in-person TCAF annual meeting held in June 2026. </w:t>
      </w:r>
      <w:r w:rsidRPr="005B0B73">
        <w:rPr>
          <w:rFonts w:eastAsia="Arial" w:cs="Arial"/>
          <w:color w:val="000000" w:themeColor="text1"/>
          <w:sz w:val="22"/>
          <w:szCs w:val="22"/>
        </w:rPr>
        <w:t xml:space="preserve">Some programs are advancing through the preparation phase slower than anticipated (e.g., ERPA/MOPA signing) and associated planned knowledge management and communications activities did not materialize as expected. Related costs </w:t>
      </w:r>
      <w:r w:rsidR="0B6FFE0E" w:rsidRPr="005B0B73">
        <w:rPr>
          <w:rFonts w:eastAsia="Arial" w:cs="Arial"/>
          <w:color w:val="000000" w:themeColor="text1"/>
          <w:sz w:val="22"/>
          <w:szCs w:val="22"/>
        </w:rPr>
        <w:t>have</w:t>
      </w:r>
      <w:r w:rsidRPr="005B0B73">
        <w:rPr>
          <w:rFonts w:eastAsia="Arial" w:cs="Arial"/>
          <w:color w:val="000000" w:themeColor="text1"/>
          <w:sz w:val="22"/>
          <w:szCs w:val="22"/>
        </w:rPr>
        <w:t xml:space="preserve"> been well managed and most of </w:t>
      </w:r>
      <w:r w:rsidR="240D93E6" w:rsidRPr="005B0B73">
        <w:rPr>
          <w:rFonts w:eastAsia="Arial" w:cs="Arial"/>
          <w:color w:val="000000" w:themeColor="text1"/>
          <w:sz w:val="22"/>
          <w:szCs w:val="22"/>
        </w:rPr>
        <w:t>them</w:t>
      </w:r>
      <w:r w:rsidRPr="005B0B73">
        <w:rPr>
          <w:rFonts w:eastAsia="Arial" w:cs="Arial"/>
          <w:color w:val="000000" w:themeColor="text1"/>
          <w:sz w:val="22"/>
          <w:szCs w:val="22"/>
        </w:rPr>
        <w:t xml:space="preserve"> are now shifted into FY27, as the Trustee expects to sign new ERPAs/MOPAs in the new fiscal year. This demonstrates good value for money in the current year.</w:t>
      </w:r>
    </w:p>
    <w:p w14:paraId="2BB5EF91" w14:textId="5354E493" w:rsidR="71285FDA" w:rsidRPr="005B0B73" w:rsidRDefault="6F83B1F2" w:rsidP="0F238098">
      <w:pPr>
        <w:spacing w:line="257" w:lineRule="auto"/>
        <w:jc w:val="both"/>
        <w:rPr>
          <w:rFonts w:eastAsia="Arial" w:cs="Arial"/>
          <w:sz w:val="22"/>
          <w:szCs w:val="22"/>
        </w:rPr>
      </w:pPr>
      <w:r w:rsidRPr="005B0B73">
        <w:rPr>
          <w:rFonts w:eastAsia="Arial" w:cs="Arial"/>
          <w:sz w:val="22"/>
          <w:szCs w:val="22"/>
        </w:rPr>
        <w:t xml:space="preserve"> </w:t>
      </w:r>
    </w:p>
    <w:p w14:paraId="45E61E7F" w14:textId="68EEDE2E"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t>Efficiency</w:t>
      </w:r>
    </w:p>
    <w:p w14:paraId="2E6E90CC" w14:textId="7692DF08" w:rsidR="00293479" w:rsidRPr="005B0B73" w:rsidRDefault="00293479" w:rsidP="0F238098">
      <w:pPr>
        <w:spacing w:line="257" w:lineRule="auto"/>
        <w:jc w:val="both"/>
        <w:rPr>
          <w:rFonts w:eastAsia="Arial" w:cs="Arial"/>
          <w:color w:val="000000" w:themeColor="text1"/>
          <w:sz w:val="22"/>
          <w:szCs w:val="22"/>
        </w:rPr>
      </w:pPr>
    </w:p>
    <w:p w14:paraId="58D0BC5F" w14:textId="1D74007B"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The deployment of the Facility resources has been as efficient as possible. TCAF continues to deliver greater outputs despite the complexity of larger scale carbon market transactions, need for significant ministerial coordination and political will, and evolving carbon market rules and best practice. Administrative costs and programme expenses were lower than expected. With these lower-than-expected costs, TCAF was able to make good progress, as many output indicators exceeded their milestones. For example, five (5) projects were approved by host country against a target of two (2</w:t>
      </w:r>
      <w:r w:rsidRPr="1C2A4546">
        <w:rPr>
          <w:rFonts w:eastAsia="Arial" w:cs="Arial"/>
          <w:color w:val="000000" w:themeColor="text1"/>
          <w:sz w:val="22"/>
          <w:szCs w:val="22"/>
        </w:rPr>
        <w:t>)</w:t>
      </w:r>
      <w:r w:rsidR="3A02878C" w:rsidRPr="1C2A4546">
        <w:rPr>
          <w:rFonts w:eastAsia="Arial" w:cs="Arial"/>
          <w:color w:val="000000" w:themeColor="text1"/>
          <w:sz w:val="22"/>
          <w:szCs w:val="22"/>
        </w:rPr>
        <w:t xml:space="preserve"> </w:t>
      </w:r>
      <w:r w:rsidR="3A02878C" w:rsidRPr="453EBEE6">
        <w:rPr>
          <w:rFonts w:eastAsia="Arial" w:cs="Arial"/>
          <w:color w:val="000000" w:themeColor="text1"/>
          <w:sz w:val="22"/>
          <w:szCs w:val="22"/>
        </w:rPr>
        <w:t>(see output 1.2b</w:t>
      </w:r>
      <w:r w:rsidRPr="005B0B73">
        <w:rPr>
          <w:rFonts w:eastAsia="Arial" w:cs="Arial"/>
          <w:color w:val="000000" w:themeColor="text1"/>
          <w:sz w:val="22"/>
          <w:szCs w:val="22"/>
        </w:rPr>
        <w:t>); 10 ministries in host countries received carbon markets capacity building support against a target of 8; while 89% of ministries reported that TCAF engagement and knowledge products have significantly improved their capacity to support, participate in or implement broader carbon markets work. </w:t>
      </w:r>
    </w:p>
    <w:p w14:paraId="111CC030" w14:textId="14072186"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 xml:space="preserve"> </w:t>
      </w:r>
    </w:p>
    <w:p w14:paraId="1B3103BB" w14:textId="0673DBD2"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lastRenderedPageBreak/>
        <w:t>Effectiveness</w:t>
      </w:r>
    </w:p>
    <w:p w14:paraId="6D23F70C" w14:textId="4B7364F7" w:rsidR="00293479" w:rsidRPr="005B0B73" w:rsidRDefault="00293479" w:rsidP="0F238098">
      <w:pPr>
        <w:spacing w:line="257" w:lineRule="auto"/>
        <w:jc w:val="both"/>
        <w:rPr>
          <w:rFonts w:eastAsia="Arial" w:cs="Arial"/>
          <w:color w:val="000000" w:themeColor="text1"/>
          <w:sz w:val="22"/>
          <w:szCs w:val="22"/>
        </w:rPr>
      </w:pPr>
    </w:p>
    <w:p w14:paraId="729F3385" w14:textId="48BB90E1"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TCAF continues to produce outputs that are significantly influencing positive climate outcomes and impacts in the participating and non-participating jurisdictions. Four (4) participating jurisdictions implemented TCAF mechanisms; 23.6MtCO2e directly resulting from implementation of TCAF mechanisms in supported jurisdictions; and five (5) climate change mitigation programs in non-participating jurisdictions use TCAF programme design elements or refer to TCAF interventions. These do not only meet milestones, but they also represent significant improvement compared to last year, suggesting increasing effectiveness of TCAF programme.</w:t>
      </w:r>
    </w:p>
    <w:p w14:paraId="223DB2B4" w14:textId="47DDA055" w:rsidR="71285FDA" w:rsidRPr="005B0B73" w:rsidRDefault="6F83B1F2" w:rsidP="0F238098">
      <w:pPr>
        <w:spacing w:line="257" w:lineRule="auto"/>
        <w:jc w:val="both"/>
        <w:rPr>
          <w:rFonts w:eastAsia="Arial" w:cs="Arial"/>
          <w:color w:val="000000" w:themeColor="text1"/>
          <w:sz w:val="22"/>
          <w:szCs w:val="22"/>
        </w:rPr>
      </w:pPr>
      <w:r w:rsidRPr="005B0B73">
        <w:rPr>
          <w:rFonts w:eastAsia="Arial" w:cs="Arial"/>
          <w:color w:val="000000" w:themeColor="text1"/>
          <w:sz w:val="22"/>
          <w:szCs w:val="22"/>
        </w:rPr>
        <w:t xml:space="preserve"> </w:t>
      </w:r>
    </w:p>
    <w:p w14:paraId="2BF4E3C7" w14:textId="27B411FB"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t>Equity</w:t>
      </w:r>
    </w:p>
    <w:p w14:paraId="7E09D87F" w14:textId="7436D0BB" w:rsidR="71285FDA" w:rsidRPr="005B0B73" w:rsidRDefault="6F83B1F2" w:rsidP="0F238098">
      <w:pPr>
        <w:spacing w:line="257" w:lineRule="auto"/>
        <w:jc w:val="both"/>
        <w:rPr>
          <w:rFonts w:eastAsia="Arial" w:cs="Arial"/>
          <w:b/>
          <w:bCs/>
          <w:color w:val="000000" w:themeColor="text1"/>
          <w:sz w:val="22"/>
          <w:szCs w:val="22"/>
        </w:rPr>
      </w:pPr>
      <w:r w:rsidRPr="005B0B73">
        <w:rPr>
          <w:rFonts w:eastAsia="Arial" w:cs="Arial"/>
          <w:b/>
          <w:bCs/>
          <w:color w:val="000000" w:themeColor="text1"/>
          <w:sz w:val="22"/>
          <w:szCs w:val="22"/>
        </w:rPr>
        <w:t xml:space="preserve"> </w:t>
      </w:r>
    </w:p>
    <w:p w14:paraId="0A13FB44" w14:textId="30B9E98E" w:rsidR="71285FDA" w:rsidRPr="005B0B73" w:rsidRDefault="6F83B1F2" w:rsidP="0F238098">
      <w:pPr>
        <w:jc w:val="both"/>
        <w:rPr>
          <w:rFonts w:eastAsia="Arial" w:cs="Arial"/>
          <w:sz w:val="22"/>
          <w:szCs w:val="22"/>
        </w:rPr>
      </w:pPr>
      <w:r w:rsidRPr="005B0B73">
        <w:rPr>
          <w:rFonts w:eastAsia="Arial" w:cs="Arial"/>
          <w:sz w:val="22"/>
          <w:szCs w:val="22"/>
        </w:rPr>
        <w:t xml:space="preserve">As TCAF engages with potential host countries, from an equity perspective it is important that the Trustee helps hosts understand the costs and options for achieving their NDCs and how the TCAF activity does not make this more expensive or adversely affect local populations. The Trustee has demonstrated consideration of equity issues (e.g. the distributional effects of a carbon pricing intervention on one sector’s informal workers) in proposals. Capacity building activities under TCAF follow the World Bank’s Investment Project Financing process, which includes gender mainstreaming. The UK also strongly advocated for gender equality, disability and social inclusion (GEDSI) and to be embedded across TCAF while aligning with the Sustainable Development Goals (SDGs). Finally, TCAF Contributors have agreed not to pursue the cheapest available abatement in host countries, as this could lead to NDC achievement becoming more costly for the host country.  </w:t>
      </w:r>
    </w:p>
    <w:p w14:paraId="34585F7D" w14:textId="77777777" w:rsidR="00015BA6" w:rsidRPr="005B0B73" w:rsidRDefault="00015BA6" w:rsidP="1FFC5AE9">
      <w:pPr>
        <w:jc w:val="both"/>
        <w:rPr>
          <w:rFonts w:eastAsia="Arial" w:cs="Arial"/>
          <w:b/>
          <w:bCs/>
          <w:color w:val="000000" w:themeColor="text1"/>
          <w:sz w:val="22"/>
          <w:szCs w:val="22"/>
        </w:rPr>
      </w:pPr>
    </w:p>
    <w:p w14:paraId="1AA502F7" w14:textId="4A4821CE" w:rsidR="0014342D" w:rsidRPr="005B0B73" w:rsidRDefault="0014342D" w:rsidP="1FFC5AE9">
      <w:pPr>
        <w:textAlignment w:val="baseline"/>
        <w:rPr>
          <w:rFonts w:eastAsia="Arial" w:cs="Arial"/>
          <w:color w:val="FF0000"/>
          <w:sz w:val="22"/>
          <w:szCs w:val="22"/>
          <w:lang w:eastAsia="en-GB"/>
        </w:rPr>
      </w:pPr>
    </w:p>
    <w:p w14:paraId="26B0C257" w14:textId="5C18E9B3" w:rsidR="00A078BF" w:rsidRDefault="00D17466" w:rsidP="1FFC5AE9">
      <w:pPr>
        <w:textAlignment w:val="baseline"/>
        <w:rPr>
          <w:rFonts w:eastAsia="Arial" w:cs="Arial"/>
          <w:b/>
          <w:bCs/>
          <w:sz w:val="22"/>
          <w:szCs w:val="22"/>
        </w:rPr>
      </w:pPr>
      <w:r w:rsidRPr="005B0B73">
        <w:rPr>
          <w:rFonts w:eastAsia="Arial" w:cs="Arial"/>
          <w:b/>
          <w:bCs/>
          <w:sz w:val="22"/>
          <w:szCs w:val="22"/>
        </w:rPr>
        <w:t xml:space="preserve">Paris Alignment Assessment </w:t>
      </w:r>
    </w:p>
    <w:p w14:paraId="679978F9" w14:textId="77777777" w:rsidR="00053740" w:rsidRPr="00053740" w:rsidRDefault="00053740" w:rsidP="1FFC5AE9">
      <w:pPr>
        <w:textAlignment w:val="baseline"/>
        <w:rPr>
          <w:rFonts w:eastAsia="Arial" w:cs="Arial"/>
          <w:b/>
          <w:bCs/>
          <w:sz w:val="22"/>
          <w:szCs w:val="22"/>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5"/>
        <w:gridCol w:w="5495"/>
      </w:tblGrid>
      <w:tr w:rsidR="00387F4B" w:rsidRPr="005B0B73" w14:paraId="1A70F4D2" w14:textId="77777777" w:rsidTr="1FFC5AE9">
        <w:trPr>
          <w:trHeight w:val="300"/>
        </w:trPr>
        <w:tc>
          <w:tcPr>
            <w:tcW w:w="3505" w:type="dxa"/>
            <w:tcBorders>
              <w:top w:val="single" w:sz="6" w:space="0" w:color="A3A3A3"/>
              <w:left w:val="single" w:sz="6" w:space="0" w:color="A3A3A3"/>
              <w:bottom w:val="single" w:sz="6" w:space="0" w:color="A3A3A3"/>
              <w:right w:val="single" w:sz="6" w:space="0" w:color="A3A3A3"/>
            </w:tcBorders>
            <w:shd w:val="clear" w:color="auto" w:fill="002060"/>
            <w:hideMark/>
          </w:tcPr>
          <w:p w14:paraId="661C5859" w14:textId="77777777" w:rsidR="00A078BF" w:rsidRPr="005B0B73" w:rsidRDefault="00A078BF" w:rsidP="1FFC5AE9">
            <w:pPr>
              <w:textAlignment w:val="baseline"/>
              <w:rPr>
                <w:rFonts w:eastAsia="Arial" w:cs="Arial"/>
                <w:sz w:val="22"/>
                <w:szCs w:val="22"/>
                <w:lang w:eastAsia="en-GB"/>
              </w:rPr>
            </w:pPr>
            <w:r w:rsidRPr="005B0B73">
              <w:rPr>
                <w:rFonts w:eastAsia="Arial" w:cs="Arial"/>
                <w:b/>
                <w:bCs/>
                <w:sz w:val="22"/>
                <w:szCs w:val="22"/>
              </w:rPr>
              <w:t>Paris alignment pillar</w:t>
            </w:r>
            <w:r w:rsidRPr="005B0B73">
              <w:rPr>
                <w:rFonts w:eastAsia="Arial" w:cs="Arial"/>
                <w:sz w:val="22"/>
                <w:szCs w:val="22"/>
              </w:rPr>
              <w:t> </w:t>
            </w:r>
          </w:p>
        </w:tc>
        <w:tc>
          <w:tcPr>
            <w:tcW w:w="5495" w:type="dxa"/>
            <w:tcBorders>
              <w:top w:val="single" w:sz="6" w:space="0" w:color="A3A3A3"/>
              <w:left w:val="single" w:sz="6" w:space="0" w:color="A3A3A3"/>
              <w:bottom w:val="single" w:sz="6" w:space="0" w:color="A3A3A3"/>
              <w:right w:val="single" w:sz="6" w:space="0" w:color="A3A3A3"/>
            </w:tcBorders>
            <w:shd w:val="clear" w:color="auto" w:fill="002060"/>
            <w:hideMark/>
          </w:tcPr>
          <w:p w14:paraId="687638E1" w14:textId="77777777" w:rsidR="00A078BF" w:rsidRPr="005B0B73" w:rsidRDefault="00A078BF" w:rsidP="1FFC5AE9">
            <w:pPr>
              <w:textAlignment w:val="baseline"/>
              <w:rPr>
                <w:rFonts w:eastAsia="Arial" w:cs="Arial"/>
                <w:sz w:val="22"/>
                <w:szCs w:val="22"/>
                <w:lang w:eastAsia="en-GB"/>
              </w:rPr>
            </w:pPr>
            <w:r w:rsidRPr="005B0B73">
              <w:rPr>
                <w:rFonts w:eastAsia="Arial" w:cs="Arial"/>
                <w:b/>
                <w:bCs/>
                <w:sz w:val="22"/>
                <w:szCs w:val="22"/>
              </w:rPr>
              <w:t>Description of activity</w:t>
            </w:r>
            <w:r w:rsidRPr="005B0B73">
              <w:rPr>
                <w:rFonts w:eastAsia="Arial" w:cs="Arial"/>
                <w:sz w:val="22"/>
                <w:szCs w:val="22"/>
              </w:rPr>
              <w:t> </w:t>
            </w:r>
          </w:p>
        </w:tc>
      </w:tr>
      <w:tr w:rsidR="00387F4B" w:rsidRPr="005B0B73" w14:paraId="749069FA" w14:textId="77777777" w:rsidTr="1FFC5AE9">
        <w:trPr>
          <w:trHeight w:val="300"/>
        </w:trPr>
        <w:tc>
          <w:tcPr>
            <w:tcW w:w="3505" w:type="dxa"/>
            <w:tcBorders>
              <w:top w:val="single" w:sz="6" w:space="0" w:color="A3A3A3"/>
              <w:left w:val="single" w:sz="6" w:space="0" w:color="A3A3A3"/>
              <w:bottom w:val="single" w:sz="6" w:space="0" w:color="A3A3A3"/>
              <w:right w:val="single" w:sz="6" w:space="0" w:color="A3A3A3"/>
            </w:tcBorders>
            <w:hideMark/>
          </w:tcPr>
          <w:p w14:paraId="7A6CD109" w14:textId="77777777" w:rsidR="00A078BF" w:rsidRPr="005B0B73" w:rsidRDefault="00A078BF"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How have you taken a proportional approach to climate and environment risk assurance? </w:t>
            </w:r>
          </w:p>
        </w:tc>
        <w:tc>
          <w:tcPr>
            <w:tcW w:w="5495" w:type="dxa"/>
            <w:tcBorders>
              <w:top w:val="single" w:sz="6" w:space="0" w:color="A3A3A3"/>
              <w:left w:val="single" w:sz="6" w:space="0" w:color="A3A3A3"/>
              <w:bottom w:val="single" w:sz="6" w:space="0" w:color="A3A3A3"/>
              <w:right w:val="single" w:sz="6" w:space="0" w:color="A3A3A3"/>
            </w:tcBorders>
            <w:hideMark/>
          </w:tcPr>
          <w:p w14:paraId="3B9C41AD" w14:textId="325A33DC" w:rsidR="00A078BF" w:rsidRPr="005B0B73" w:rsidRDefault="000963C3"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 xml:space="preserve">Risks will be monitored through the </w:t>
            </w:r>
            <w:r w:rsidR="006A33E6" w:rsidRPr="005B0B73">
              <w:rPr>
                <w:rStyle w:val="normaltextrun"/>
                <w:rFonts w:eastAsia="Arial" w:cs="Arial"/>
                <w:color w:val="000000" w:themeColor="text1"/>
                <w:sz w:val="22"/>
                <w:szCs w:val="22"/>
              </w:rPr>
              <w:t>standard</w:t>
            </w:r>
            <w:r w:rsidRPr="005B0B73">
              <w:rPr>
                <w:rStyle w:val="normaltextrun"/>
                <w:rFonts w:eastAsia="Arial" w:cs="Arial"/>
                <w:color w:val="000000" w:themeColor="text1"/>
                <w:sz w:val="22"/>
                <w:szCs w:val="22"/>
              </w:rPr>
              <w:t xml:space="preserve"> ICF risk management processes.  </w:t>
            </w:r>
          </w:p>
        </w:tc>
      </w:tr>
      <w:tr w:rsidR="00387F4B" w:rsidRPr="005B0B73" w14:paraId="6A00BECF" w14:textId="77777777" w:rsidTr="1FFC5AE9">
        <w:trPr>
          <w:trHeight w:val="300"/>
        </w:trPr>
        <w:tc>
          <w:tcPr>
            <w:tcW w:w="3505" w:type="dxa"/>
            <w:tcBorders>
              <w:top w:val="single" w:sz="6" w:space="0" w:color="A3A3A3"/>
              <w:left w:val="single" w:sz="6" w:space="0" w:color="A3A3A3"/>
              <w:bottom w:val="single" w:sz="6" w:space="0" w:color="A3A3A3"/>
              <w:right w:val="single" w:sz="6" w:space="0" w:color="A3A3A3"/>
            </w:tcBorders>
            <w:hideMark/>
          </w:tcPr>
          <w:p w14:paraId="633E9DBF" w14:textId="77777777" w:rsidR="00A078BF" w:rsidRPr="005B0B73" w:rsidRDefault="00A078BF"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How have you taken a proportional approach to using shadow carbon pricing? </w:t>
            </w:r>
          </w:p>
        </w:tc>
        <w:tc>
          <w:tcPr>
            <w:tcW w:w="5495" w:type="dxa"/>
            <w:tcBorders>
              <w:top w:val="single" w:sz="6" w:space="0" w:color="A3A3A3"/>
              <w:left w:val="single" w:sz="6" w:space="0" w:color="A3A3A3"/>
              <w:bottom w:val="single" w:sz="6" w:space="0" w:color="A3A3A3"/>
              <w:right w:val="single" w:sz="6" w:space="0" w:color="A3A3A3"/>
            </w:tcBorders>
            <w:hideMark/>
          </w:tcPr>
          <w:p w14:paraId="74368106" w14:textId="4518E7BC" w:rsidR="00A078BF" w:rsidRPr="005B0B73" w:rsidRDefault="3A128544"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 xml:space="preserve">Yes, as the nature of the TCAF programme is to use carbon pricing to support clean energy access in low-income countries. </w:t>
            </w:r>
            <w:r w:rsidR="6C3B96F5" w:rsidRPr="005B0B73">
              <w:rPr>
                <w:rStyle w:val="normaltextrun"/>
                <w:rFonts w:eastAsia="Arial" w:cs="Arial"/>
                <w:color w:val="000000" w:themeColor="text1"/>
                <w:sz w:val="22"/>
                <w:szCs w:val="22"/>
              </w:rPr>
              <w:t>TCAF</w:t>
            </w:r>
            <w:r w:rsidRPr="005B0B73">
              <w:rPr>
                <w:rStyle w:val="normaltextrun"/>
                <w:rFonts w:eastAsia="Arial" w:cs="Arial"/>
                <w:color w:val="000000" w:themeColor="text1"/>
                <w:sz w:val="22"/>
                <w:szCs w:val="22"/>
              </w:rPr>
              <w:t xml:space="preserve"> uses performance payments to support projects in low-income countries that use clean and efficient technologies. These payments are based on reduced emissions.  </w:t>
            </w:r>
          </w:p>
        </w:tc>
      </w:tr>
      <w:tr w:rsidR="00387F4B" w:rsidRPr="005B0B73" w14:paraId="35F953ED" w14:textId="77777777" w:rsidTr="1FFC5AE9">
        <w:trPr>
          <w:trHeight w:val="300"/>
        </w:trPr>
        <w:tc>
          <w:tcPr>
            <w:tcW w:w="3505" w:type="dxa"/>
            <w:tcBorders>
              <w:top w:val="single" w:sz="6" w:space="0" w:color="A3A3A3"/>
              <w:left w:val="single" w:sz="6" w:space="0" w:color="A3A3A3"/>
              <w:bottom w:val="single" w:sz="6" w:space="0" w:color="A3A3A3"/>
              <w:right w:val="single" w:sz="6" w:space="0" w:color="A3A3A3"/>
            </w:tcBorders>
            <w:hideMark/>
          </w:tcPr>
          <w:p w14:paraId="39A50050" w14:textId="77777777" w:rsidR="00A078BF" w:rsidRPr="005B0B73" w:rsidRDefault="00A078BF"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Does the programme adhere to HMG’s fossil fuel policy? </w:t>
            </w:r>
          </w:p>
        </w:tc>
        <w:tc>
          <w:tcPr>
            <w:tcW w:w="5495" w:type="dxa"/>
            <w:tcBorders>
              <w:top w:val="single" w:sz="6" w:space="0" w:color="A3A3A3"/>
              <w:left w:val="single" w:sz="6" w:space="0" w:color="A3A3A3"/>
              <w:bottom w:val="single" w:sz="6" w:space="0" w:color="A3A3A3"/>
              <w:right w:val="single" w:sz="6" w:space="0" w:color="A3A3A3"/>
            </w:tcBorders>
            <w:hideMark/>
          </w:tcPr>
          <w:p w14:paraId="0A09D33C" w14:textId="5B23BB2A" w:rsidR="00A078BF" w:rsidRPr="005B0B73" w:rsidRDefault="004476E1"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 xml:space="preserve">Yes, this programme does not include elements relating to fossil fuel support and thus does not </w:t>
            </w:r>
            <w:r w:rsidR="00767D56" w:rsidRPr="005B0B73">
              <w:rPr>
                <w:rStyle w:val="normaltextrun"/>
                <w:rFonts w:eastAsia="Arial" w:cs="Arial"/>
                <w:color w:val="000000" w:themeColor="text1"/>
                <w:sz w:val="22"/>
                <w:szCs w:val="22"/>
              </w:rPr>
              <w:t>undermine</w:t>
            </w:r>
            <w:r w:rsidRPr="005B0B73">
              <w:rPr>
                <w:rStyle w:val="normaltextrun"/>
                <w:rFonts w:eastAsia="Arial" w:cs="Arial"/>
                <w:color w:val="000000" w:themeColor="text1"/>
                <w:sz w:val="22"/>
                <w:szCs w:val="22"/>
              </w:rPr>
              <w:t xml:space="preserve"> the fossil fuel policy. </w:t>
            </w:r>
          </w:p>
        </w:tc>
      </w:tr>
      <w:tr w:rsidR="00387F4B" w:rsidRPr="005B0B73" w14:paraId="7B6A7934" w14:textId="77777777" w:rsidTr="1FFC5AE9">
        <w:trPr>
          <w:trHeight w:val="710"/>
        </w:trPr>
        <w:tc>
          <w:tcPr>
            <w:tcW w:w="3505" w:type="dxa"/>
            <w:tcBorders>
              <w:top w:val="single" w:sz="6" w:space="0" w:color="A3A3A3"/>
              <w:left w:val="single" w:sz="6" w:space="0" w:color="A3A3A3"/>
              <w:bottom w:val="single" w:sz="6" w:space="0" w:color="A3A3A3"/>
              <w:right w:val="single" w:sz="6" w:space="0" w:color="A3A3A3"/>
            </w:tcBorders>
            <w:hideMark/>
          </w:tcPr>
          <w:p w14:paraId="39158E9A" w14:textId="77777777" w:rsidR="00A078BF" w:rsidRPr="005B0B73" w:rsidRDefault="00A078BF"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Are you ensuring the programme does not undermine impacted countries climate plans? </w:t>
            </w:r>
          </w:p>
        </w:tc>
        <w:tc>
          <w:tcPr>
            <w:tcW w:w="5495" w:type="dxa"/>
            <w:tcBorders>
              <w:top w:val="single" w:sz="6" w:space="0" w:color="A3A3A3"/>
              <w:left w:val="single" w:sz="6" w:space="0" w:color="A3A3A3"/>
              <w:bottom w:val="single" w:sz="6" w:space="0" w:color="A3A3A3"/>
              <w:right w:val="single" w:sz="6" w:space="0" w:color="A3A3A3"/>
            </w:tcBorders>
            <w:hideMark/>
          </w:tcPr>
          <w:p w14:paraId="0B0C8C2E" w14:textId="2B6A3A36" w:rsidR="00A078BF" w:rsidRPr="005B0B73" w:rsidRDefault="0FB9F0C5" w:rsidP="1FFC5AE9">
            <w:pPr>
              <w:textAlignment w:val="baseline"/>
              <w:rPr>
                <w:rStyle w:val="normaltextrun"/>
                <w:rFonts w:eastAsia="Arial" w:cs="Arial"/>
                <w:color w:val="000000" w:themeColor="text1"/>
                <w:sz w:val="22"/>
                <w:szCs w:val="22"/>
              </w:rPr>
            </w:pPr>
            <w:r w:rsidRPr="005B0B73">
              <w:rPr>
                <w:rStyle w:val="normaltextrun"/>
                <w:rFonts w:eastAsia="Arial" w:cs="Arial"/>
                <w:color w:val="000000" w:themeColor="text1"/>
                <w:sz w:val="22"/>
                <w:szCs w:val="22"/>
              </w:rPr>
              <w:t>Yes, we make sure to engage with post in the region to ensure TCAF project</w:t>
            </w:r>
            <w:r w:rsidRPr="005B0B73">
              <w:rPr>
                <w:rStyle w:val="normaltextrun"/>
                <w:rFonts w:eastAsia="Arial" w:cs="Arial"/>
                <w:sz w:val="22"/>
                <w:szCs w:val="22"/>
              </w:rPr>
              <w:t xml:space="preserve">s are integrated within country climate plans. </w:t>
            </w:r>
            <w:r w:rsidRPr="005B0B73">
              <w:rPr>
                <w:rStyle w:val="normaltextrun"/>
                <w:rFonts w:eastAsia="Arial" w:cs="Arial"/>
                <w:color w:val="000000" w:themeColor="text1"/>
                <w:sz w:val="22"/>
                <w:szCs w:val="22"/>
              </w:rPr>
              <w:t xml:space="preserve"> </w:t>
            </w:r>
          </w:p>
        </w:tc>
      </w:tr>
    </w:tbl>
    <w:p w14:paraId="2FB3F23F" w14:textId="3EC81C5A" w:rsidR="00992D92" w:rsidRPr="005B0B73" w:rsidRDefault="00992D92" w:rsidP="1FFC5AE9">
      <w:pPr>
        <w:rPr>
          <w:rFonts w:eastAsia="Arial" w:cs="Arial"/>
          <w:sz w:val="22"/>
          <w:szCs w:val="22"/>
          <w:lang w:eastAsia="en-GB"/>
        </w:rPr>
      </w:pPr>
    </w:p>
    <w:tbl>
      <w:tblPr>
        <w:tblStyle w:val="TableGrid"/>
        <w:tblW w:w="9144" w:type="dxa"/>
        <w:tblInd w:w="-5" w:type="dxa"/>
        <w:tblLook w:val="04A0" w:firstRow="1" w:lastRow="0" w:firstColumn="1" w:lastColumn="0" w:noHBand="0" w:noVBand="1"/>
      </w:tblPr>
      <w:tblGrid>
        <w:gridCol w:w="4508"/>
        <w:gridCol w:w="4636"/>
      </w:tblGrid>
      <w:tr w:rsidR="00B158D6" w:rsidRPr="005B0B73" w14:paraId="237FE329" w14:textId="77777777" w:rsidTr="774F0152">
        <w:trPr>
          <w:trHeight w:val="300"/>
        </w:trPr>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1FF5132" w14:textId="577DCAB9" w:rsidR="003D222C" w:rsidRPr="005B0B73" w:rsidRDefault="003D222C" w:rsidP="1FFC5AE9">
            <w:pPr>
              <w:jc w:val="both"/>
              <w:rPr>
                <w:rFonts w:eastAsia="Arial" w:cs="Arial"/>
                <w:sz w:val="22"/>
                <w:szCs w:val="22"/>
              </w:rPr>
            </w:pPr>
            <w:r w:rsidRPr="005B0B73">
              <w:rPr>
                <w:rFonts w:eastAsia="Arial" w:cs="Arial"/>
                <w:sz w:val="22"/>
                <w:szCs w:val="22"/>
              </w:rPr>
              <w:t>Date of last narrative financial report</w:t>
            </w:r>
          </w:p>
        </w:tc>
        <w:tc>
          <w:tcPr>
            <w:tcW w:w="4636" w:type="dxa"/>
            <w:tcBorders>
              <w:top w:val="single" w:sz="4" w:space="0" w:color="auto"/>
              <w:left w:val="single" w:sz="4" w:space="0" w:color="auto"/>
              <w:bottom w:val="single" w:sz="4" w:space="0" w:color="auto"/>
              <w:right w:val="single" w:sz="4" w:space="0" w:color="auto"/>
            </w:tcBorders>
          </w:tcPr>
          <w:p w14:paraId="3228518D" w14:textId="3B71089D" w:rsidR="5111B638" w:rsidRPr="005B0B73" w:rsidRDefault="00C53132" w:rsidP="730A916B">
            <w:pPr>
              <w:pStyle w:val="Heading2"/>
              <w:contextualSpacing/>
              <w:jc w:val="both"/>
              <w:rPr>
                <w:rFonts w:eastAsia="Arial" w:cs="Arial"/>
                <w:b w:val="0"/>
                <w:bCs w:val="0"/>
                <w:i w:val="0"/>
                <w:iCs w:val="0"/>
                <w:sz w:val="22"/>
                <w:szCs w:val="22"/>
              </w:rPr>
            </w:pPr>
            <w:r>
              <w:rPr>
                <w:rFonts w:eastAsia="Arial" w:cs="Arial"/>
                <w:b w:val="0"/>
                <w:bCs w:val="0"/>
                <w:i w:val="0"/>
                <w:iCs w:val="0"/>
                <w:sz w:val="22"/>
                <w:szCs w:val="22"/>
              </w:rPr>
              <w:t>J</w:t>
            </w:r>
            <w:r w:rsidR="00481CDB" w:rsidRPr="005B0B73">
              <w:rPr>
                <w:rFonts w:eastAsia="Arial" w:cs="Arial"/>
                <w:b w:val="0"/>
                <w:bCs w:val="0"/>
                <w:i w:val="0"/>
                <w:iCs w:val="0"/>
                <w:sz w:val="22"/>
                <w:szCs w:val="22"/>
              </w:rPr>
              <w:t xml:space="preserve">une </w:t>
            </w:r>
            <w:r w:rsidR="00D601B8" w:rsidRPr="005B0B73">
              <w:rPr>
                <w:rFonts w:eastAsia="Arial" w:cs="Arial"/>
                <w:b w:val="0"/>
                <w:bCs w:val="0"/>
                <w:i w:val="0"/>
                <w:iCs w:val="0"/>
                <w:sz w:val="22"/>
                <w:szCs w:val="22"/>
              </w:rPr>
              <w:t>2025</w:t>
            </w:r>
            <w:r w:rsidR="7D57FFBE" w:rsidRPr="005B0B73">
              <w:rPr>
                <w:rFonts w:eastAsia="Arial" w:cs="Arial"/>
                <w:b w:val="0"/>
                <w:bCs w:val="0"/>
                <w:i w:val="0"/>
                <w:iCs w:val="0"/>
                <w:sz w:val="22"/>
                <w:szCs w:val="22"/>
              </w:rPr>
              <w:t xml:space="preserve"> (Date of FY25 Annual Meeting 9 July 2026)</w:t>
            </w:r>
          </w:p>
          <w:p w14:paraId="0AEFFEA6" w14:textId="400174C0" w:rsidR="5111B638" w:rsidRPr="005B0B73" w:rsidRDefault="5111B638" w:rsidP="1FFC5AE9">
            <w:pPr>
              <w:jc w:val="both"/>
              <w:rPr>
                <w:rFonts w:eastAsia="Arial" w:cs="Arial"/>
                <w:sz w:val="22"/>
                <w:szCs w:val="22"/>
              </w:rPr>
            </w:pPr>
          </w:p>
        </w:tc>
      </w:tr>
      <w:tr w:rsidR="00B158D6" w:rsidRPr="005B0B73" w14:paraId="1FE89B21" w14:textId="77777777" w:rsidTr="774F0152">
        <w:trPr>
          <w:trHeight w:val="300"/>
        </w:trPr>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3A69BE" w14:textId="77777777" w:rsidR="003D222C" w:rsidRPr="005B0B73" w:rsidRDefault="003D222C" w:rsidP="1FFC5AE9">
            <w:pPr>
              <w:jc w:val="both"/>
              <w:rPr>
                <w:rFonts w:eastAsia="Arial" w:cs="Arial"/>
                <w:sz w:val="22"/>
                <w:szCs w:val="22"/>
              </w:rPr>
            </w:pPr>
            <w:r w:rsidRPr="005B0B73">
              <w:rPr>
                <w:rFonts w:eastAsia="Arial" w:cs="Arial"/>
                <w:sz w:val="22"/>
                <w:szCs w:val="22"/>
              </w:rPr>
              <w:t>Date of last audited annual statement</w:t>
            </w:r>
          </w:p>
        </w:tc>
        <w:tc>
          <w:tcPr>
            <w:tcW w:w="4636" w:type="dxa"/>
            <w:tcBorders>
              <w:top w:val="single" w:sz="4" w:space="0" w:color="auto"/>
              <w:left w:val="single" w:sz="4" w:space="0" w:color="auto"/>
              <w:bottom w:val="single" w:sz="4" w:space="0" w:color="auto"/>
              <w:right w:val="single" w:sz="4" w:space="0" w:color="auto"/>
            </w:tcBorders>
          </w:tcPr>
          <w:p w14:paraId="33D8AAD0" w14:textId="2E929034" w:rsidR="5111B638" w:rsidRPr="005B0B73" w:rsidRDefault="00D601B8" w:rsidP="730A916B">
            <w:pPr>
              <w:pStyle w:val="Heading2"/>
              <w:contextualSpacing/>
              <w:jc w:val="both"/>
              <w:rPr>
                <w:rFonts w:eastAsia="Arial" w:cs="Arial"/>
                <w:b w:val="0"/>
                <w:bCs w:val="0"/>
                <w:i w:val="0"/>
                <w:iCs w:val="0"/>
                <w:sz w:val="22"/>
                <w:szCs w:val="22"/>
              </w:rPr>
            </w:pPr>
            <w:r w:rsidRPr="005B0B73">
              <w:rPr>
                <w:rFonts w:eastAsia="Arial" w:cs="Arial"/>
                <w:b w:val="0"/>
                <w:bCs w:val="0"/>
                <w:i w:val="0"/>
                <w:iCs w:val="0"/>
                <w:sz w:val="22"/>
                <w:szCs w:val="22"/>
              </w:rPr>
              <w:t>June 2025</w:t>
            </w:r>
            <w:r w:rsidR="00053740">
              <w:rPr>
                <w:rFonts w:eastAsia="Arial" w:cs="Arial"/>
                <w:b w:val="0"/>
                <w:bCs w:val="0"/>
                <w:i w:val="0"/>
                <w:iCs w:val="0"/>
                <w:sz w:val="22"/>
                <w:szCs w:val="22"/>
              </w:rPr>
              <w:t xml:space="preserve"> </w:t>
            </w:r>
          </w:p>
          <w:p w14:paraId="3D32DDC3" w14:textId="5EE7B5DE" w:rsidR="5111B638" w:rsidRPr="005B0B73" w:rsidRDefault="5111B638" w:rsidP="1FFC5AE9">
            <w:pPr>
              <w:jc w:val="both"/>
              <w:rPr>
                <w:rFonts w:eastAsia="Arial" w:cs="Arial"/>
                <w:sz w:val="22"/>
                <w:szCs w:val="22"/>
              </w:rPr>
            </w:pPr>
          </w:p>
        </w:tc>
      </w:tr>
    </w:tbl>
    <w:p w14:paraId="4AB97E44" w14:textId="6E151068" w:rsidR="002409A0" w:rsidRPr="00AB6FFA" w:rsidRDefault="002409A0" w:rsidP="1FFC5AE9">
      <w:pPr>
        <w:spacing w:after="160"/>
        <w:jc w:val="both"/>
        <w:rPr>
          <w:rFonts w:eastAsia="Arial" w:cs="Arial"/>
          <w:b/>
          <w:bCs/>
          <w:sz w:val="22"/>
          <w:szCs w:val="22"/>
          <w:u w:val="single"/>
        </w:rPr>
      </w:pPr>
    </w:p>
    <w:p w14:paraId="55479EC0" w14:textId="0F445255" w:rsidR="002409A0" w:rsidRPr="00AB6FFA" w:rsidRDefault="002409A0" w:rsidP="00AB6FFA">
      <w:pPr>
        <w:spacing w:after="160"/>
        <w:rPr>
          <w:b/>
          <w:bCs/>
          <w:u w:val="single"/>
        </w:rPr>
      </w:pPr>
      <w:r w:rsidRPr="00AB6FFA">
        <w:rPr>
          <w:b/>
          <w:bCs/>
          <w:u w:val="single"/>
        </w:rPr>
        <w:t>Annex 1. Further information on TCAF technical work program deliverable progress</w:t>
      </w:r>
    </w:p>
    <w:p w14:paraId="13BFADCA" w14:textId="77777777" w:rsidR="002409A0" w:rsidRPr="002409A0" w:rsidRDefault="002409A0" w:rsidP="002409A0">
      <w:pPr>
        <w:pStyle w:val="ListParagraph"/>
        <w:numPr>
          <w:ilvl w:val="0"/>
          <w:numId w:val="48"/>
        </w:numPr>
        <w:shd w:val="clear" w:color="auto" w:fill="FFFFFF" w:themeFill="background1"/>
        <w:spacing w:before="240"/>
        <w:jc w:val="both"/>
        <w:rPr>
          <w:rFonts w:eastAsia="Arial" w:cs="Arial"/>
          <w:color w:val="000000" w:themeColor="text1"/>
          <w:sz w:val="22"/>
          <w:szCs w:val="22"/>
          <w:lang w:val="en-US"/>
        </w:rPr>
      </w:pPr>
      <w:r w:rsidRPr="002409A0">
        <w:rPr>
          <w:rFonts w:eastAsia="Arial" w:cs="Arial"/>
          <w:b/>
          <w:bCs/>
          <w:color w:val="000000" w:themeColor="text1"/>
          <w:sz w:val="22"/>
          <w:szCs w:val="22"/>
          <w:lang w:val="en-US"/>
        </w:rPr>
        <w:t>The Methodological framework for crediting livestock emission reductions</w:t>
      </w:r>
      <w:r w:rsidRPr="002409A0">
        <w:rPr>
          <w:rFonts w:eastAsia="Arial" w:cs="Arial"/>
          <w:color w:val="000000" w:themeColor="text1"/>
          <w:sz w:val="22"/>
          <w:szCs w:val="22"/>
          <w:lang w:val="en-US"/>
        </w:rPr>
        <w:t xml:space="preserve"> is being developed as a guidance for task teams and project developers on the features of </w:t>
      </w:r>
      <w:proofErr w:type="gramStart"/>
      <w:r w:rsidRPr="002409A0">
        <w:rPr>
          <w:rFonts w:eastAsia="Arial" w:cs="Arial"/>
          <w:color w:val="000000" w:themeColor="text1"/>
          <w:sz w:val="22"/>
          <w:szCs w:val="22"/>
          <w:lang w:val="en-US"/>
        </w:rPr>
        <w:t>an operationally</w:t>
      </w:r>
      <w:proofErr w:type="gramEnd"/>
      <w:r w:rsidRPr="002409A0">
        <w:rPr>
          <w:rFonts w:eastAsia="Arial" w:cs="Arial"/>
          <w:color w:val="000000" w:themeColor="text1"/>
          <w:sz w:val="22"/>
          <w:szCs w:val="22"/>
          <w:lang w:val="en-US"/>
        </w:rPr>
        <w:t xml:space="preserve"> feasible livestock crediting mechanisms, including MRV systems, baseline and additionality, financing structures, institutional arrangements, benefit-sharing, and farmer participation. For each feature, the framework differentiates practical considerations for project design and implementation at scale, across crediting mechanism (RBCF, VCM, etc.). The note is being produced in collaboration with The Alliance of Biodiversity International and the International Center for Tropical Agriculture (CIAT). It is based on insights from real livestock crediting projects. A review of at least 10 livestock crediting projects/programs has been completed (VCM and RBCF, and other innovative mechanisms), and insights from the projects are currently being analyzed to identify key features of operational success. The next step is interviews with key stakeholders to solidify insights from the completed review process. The resulting note will be relatively short and operational, with short deep dives into each feature of the framework. </w:t>
      </w:r>
    </w:p>
    <w:p w14:paraId="3B7AE8A3" w14:textId="77777777" w:rsidR="002409A0" w:rsidRPr="002409A0" w:rsidRDefault="002409A0" w:rsidP="002409A0">
      <w:pPr>
        <w:pStyle w:val="ListParagraph"/>
        <w:numPr>
          <w:ilvl w:val="0"/>
          <w:numId w:val="48"/>
        </w:numPr>
        <w:spacing w:before="240" w:line="257" w:lineRule="auto"/>
        <w:jc w:val="both"/>
        <w:rPr>
          <w:rFonts w:eastAsia="Arial" w:cs="Arial"/>
          <w:sz w:val="22"/>
          <w:szCs w:val="22"/>
          <w:lang w:val="en-US"/>
        </w:rPr>
      </w:pPr>
      <w:r w:rsidRPr="002409A0">
        <w:rPr>
          <w:rFonts w:eastAsia="Arial" w:cs="Arial"/>
          <w:b/>
          <w:bCs/>
          <w:sz w:val="22"/>
          <w:szCs w:val="22"/>
          <w:lang w:val="en-US"/>
        </w:rPr>
        <w:t xml:space="preserve">The policy crediting methodology under Article 6.4 for the transport sector </w:t>
      </w:r>
      <w:r w:rsidRPr="002409A0">
        <w:rPr>
          <w:rFonts w:eastAsia="Arial" w:cs="Arial"/>
          <w:sz w:val="22"/>
          <w:szCs w:val="22"/>
          <w:lang w:val="en-US"/>
        </w:rPr>
        <w:t>was originally planned for the Nepal e-vehicle transport sector policy crediting program. With a shift in the portfolio to the Ecuador diesel subsidy program the scope of the methodology changed accordingly. The methodology is finalized using Art 6.4 methodology template and following the guidance provided in the Art 6.4 baseline, additionality, and leakage standard. It will be applied to the Ecuador program and submitted to the Art 6.4 Supervisory Board (SB). As scaled-up crediting is not yet integrated into Art 6.4 the TCAF team does not expect near-term approval of the methodology but a positive impact on SB decision meeting on scaled-up crediting through providing an example of a policy crediting methodology and related pilot program. The methodology has been developed in-house by the TCAF team.</w:t>
      </w:r>
    </w:p>
    <w:p w14:paraId="08F47D60" w14:textId="27A32270" w:rsidR="002409A0" w:rsidRPr="002409A0" w:rsidRDefault="002409A0" w:rsidP="002409A0">
      <w:pPr>
        <w:pStyle w:val="ListParagraph"/>
        <w:numPr>
          <w:ilvl w:val="0"/>
          <w:numId w:val="48"/>
        </w:numPr>
        <w:spacing w:line="257" w:lineRule="auto"/>
        <w:jc w:val="both"/>
        <w:rPr>
          <w:rFonts w:eastAsia="Arial" w:cs="Arial"/>
          <w:sz w:val="22"/>
          <w:szCs w:val="22"/>
          <w:lang w:val="en-US"/>
        </w:rPr>
      </w:pPr>
      <w:r w:rsidRPr="002409A0">
        <w:rPr>
          <w:rFonts w:eastAsia="Arial" w:cs="Arial"/>
          <w:b/>
          <w:bCs/>
          <w:sz w:val="22"/>
          <w:szCs w:val="22"/>
          <w:lang w:val="en-US"/>
        </w:rPr>
        <w:t xml:space="preserve">The policy crediting standard under CORSIA </w:t>
      </w:r>
      <w:r w:rsidRPr="002409A0">
        <w:rPr>
          <w:rFonts w:eastAsia="Arial" w:cs="Arial"/>
          <w:sz w:val="22"/>
          <w:szCs w:val="22"/>
          <w:lang w:val="en-US"/>
        </w:rPr>
        <w:t>has been extended in scope to a methodology framework for policy crediting. Instead of establishing a single new standard, the approach has shifted to include policy crediting into multiple existing standards under CORSIA and Art 6.4. The methodological framework has been developed in-house by the TCAF team in close collaboration with the World Bank Prosperity (macro-fiscal) global practice informed by the reality of World Bank policy lending operations. The substance of the framework will be discussed at the forthcoming consultation on policy crediting on June 24, 2026, in London. Considering the consultation the framework will be refined and then shared with TCAF Contributors for their review before finalization.</w:t>
      </w:r>
    </w:p>
    <w:p w14:paraId="428BC75A" w14:textId="48B0608F" w:rsidR="002409A0" w:rsidRPr="002409A0" w:rsidRDefault="002409A0" w:rsidP="002409A0">
      <w:pPr>
        <w:pStyle w:val="ListParagraph"/>
        <w:numPr>
          <w:ilvl w:val="0"/>
          <w:numId w:val="48"/>
        </w:numPr>
        <w:spacing w:line="257" w:lineRule="auto"/>
        <w:jc w:val="both"/>
        <w:rPr>
          <w:rFonts w:eastAsia="Arial" w:cs="Arial"/>
          <w:sz w:val="22"/>
          <w:szCs w:val="22"/>
          <w:lang w:val="en-US"/>
        </w:rPr>
      </w:pPr>
      <w:r w:rsidRPr="002409A0">
        <w:rPr>
          <w:rFonts w:eastAsia="Arial" w:cs="Arial"/>
          <w:b/>
          <w:bCs/>
          <w:sz w:val="22"/>
          <w:szCs w:val="22"/>
          <w:lang w:val="en-US"/>
        </w:rPr>
        <w:t>The update note on Article 6 after COP30</w:t>
      </w:r>
      <w:r w:rsidRPr="002409A0">
        <w:rPr>
          <w:rFonts w:eastAsia="Arial" w:cs="Arial"/>
          <w:sz w:val="22"/>
          <w:szCs w:val="22"/>
          <w:lang w:val="en-US"/>
        </w:rPr>
        <w:t xml:space="preserve"> was finalized in December 2025 and shared with TCAF Contributors. For TCAF program development gaining a deeper insight into the technical expert reviews for cooperative approaches has been the most interesting result of this work. The note was produced jointly by consultancy Climate Focus and the TCAF team.</w:t>
      </w:r>
    </w:p>
    <w:p w14:paraId="076BAB21" w14:textId="14309D68" w:rsidR="002409A0" w:rsidRPr="002409A0" w:rsidRDefault="002409A0" w:rsidP="002409A0">
      <w:pPr>
        <w:pStyle w:val="ListParagraph"/>
        <w:numPr>
          <w:ilvl w:val="0"/>
          <w:numId w:val="48"/>
        </w:numPr>
        <w:spacing w:line="257" w:lineRule="auto"/>
        <w:jc w:val="both"/>
        <w:rPr>
          <w:rFonts w:eastAsia="Arial" w:cs="Arial"/>
          <w:sz w:val="22"/>
          <w:szCs w:val="22"/>
          <w:lang w:val="en-US"/>
        </w:rPr>
      </w:pPr>
      <w:r w:rsidRPr="002409A0">
        <w:rPr>
          <w:rFonts w:eastAsia="Arial" w:cs="Arial"/>
          <w:b/>
          <w:bCs/>
          <w:sz w:val="22"/>
          <w:szCs w:val="22"/>
          <w:lang w:val="en-US"/>
        </w:rPr>
        <w:t xml:space="preserve">The note </w:t>
      </w:r>
      <w:r>
        <w:rPr>
          <w:rFonts w:eastAsia="Arial" w:cs="Arial"/>
          <w:b/>
          <w:bCs/>
          <w:sz w:val="22"/>
          <w:szCs w:val="22"/>
          <w:lang w:val="en-US"/>
        </w:rPr>
        <w:t xml:space="preserve">on </w:t>
      </w:r>
      <w:r w:rsidRPr="002409A0">
        <w:rPr>
          <w:rFonts w:eastAsia="Arial" w:cs="Arial"/>
          <w:b/>
          <w:bCs/>
          <w:sz w:val="22"/>
          <w:szCs w:val="22"/>
          <w:lang w:val="en-US"/>
        </w:rPr>
        <w:t>Scaled-up crediting:</w:t>
      </w:r>
      <w:r w:rsidRPr="002409A0">
        <w:rPr>
          <w:rFonts w:eastAsia="Arial" w:cs="Arial"/>
          <w:sz w:val="22"/>
          <w:szCs w:val="22"/>
          <w:lang w:val="en-US"/>
        </w:rPr>
        <w:t xml:space="preserve"> Operationalization within host country carbon market frameworks is under development by the TCAF team. A focus area is managing potential overlaps of policy crediting programs with other crediting activities, a topic on which TCAF host countries have requested further guidance.</w:t>
      </w:r>
    </w:p>
    <w:p w14:paraId="4890C5E3" w14:textId="7CC99B23" w:rsidR="002409A0" w:rsidRPr="005B0B73" w:rsidRDefault="002409A0" w:rsidP="002409A0">
      <w:pPr>
        <w:spacing w:line="257" w:lineRule="auto"/>
        <w:ind w:firstLine="60"/>
        <w:jc w:val="both"/>
        <w:rPr>
          <w:rFonts w:eastAsia="Arial" w:cs="Arial"/>
          <w:sz w:val="22"/>
          <w:szCs w:val="22"/>
          <w:lang w:val="en-US"/>
        </w:rPr>
      </w:pPr>
    </w:p>
    <w:p w14:paraId="75047871" w14:textId="77777777" w:rsidR="002409A0" w:rsidRPr="002409A0" w:rsidRDefault="002409A0" w:rsidP="002409A0">
      <w:pPr>
        <w:pStyle w:val="ListParagraph"/>
        <w:numPr>
          <w:ilvl w:val="0"/>
          <w:numId w:val="48"/>
        </w:numPr>
        <w:spacing w:line="257" w:lineRule="auto"/>
        <w:jc w:val="both"/>
        <w:rPr>
          <w:rFonts w:eastAsia="Arial" w:cs="Arial"/>
          <w:sz w:val="22"/>
          <w:szCs w:val="22"/>
          <w:lang w:val="en-US"/>
        </w:rPr>
      </w:pPr>
      <w:r w:rsidRPr="002409A0">
        <w:rPr>
          <w:rFonts w:eastAsia="Arial" w:cs="Arial"/>
          <w:b/>
          <w:bCs/>
          <w:sz w:val="22"/>
          <w:szCs w:val="22"/>
          <w:lang w:val="en-US"/>
        </w:rPr>
        <w:lastRenderedPageBreak/>
        <w:t>Conclusion of TCAF work on engineered carbon dioxide removals (</w:t>
      </w:r>
      <w:proofErr w:type="spellStart"/>
      <w:r w:rsidRPr="002409A0">
        <w:rPr>
          <w:rFonts w:eastAsia="Arial" w:cs="Arial"/>
          <w:b/>
          <w:bCs/>
          <w:sz w:val="22"/>
          <w:szCs w:val="22"/>
          <w:lang w:val="en-US"/>
        </w:rPr>
        <w:t>eCDR</w:t>
      </w:r>
      <w:proofErr w:type="spellEnd"/>
      <w:r w:rsidRPr="002409A0">
        <w:rPr>
          <w:rFonts w:eastAsia="Arial" w:cs="Arial"/>
          <w:b/>
          <w:bCs/>
          <w:sz w:val="22"/>
          <w:szCs w:val="22"/>
          <w:lang w:val="en-US"/>
        </w:rPr>
        <w:t>).</w:t>
      </w:r>
      <w:r w:rsidRPr="002409A0">
        <w:rPr>
          <w:rFonts w:eastAsia="Arial" w:cs="Arial"/>
          <w:sz w:val="22"/>
          <w:szCs w:val="22"/>
          <w:lang w:val="en-US"/>
        </w:rPr>
        <w:t xml:space="preserve"> In addition to this work program, the TCAF team concluded the two-year scoping work on </w:t>
      </w:r>
      <w:proofErr w:type="spellStart"/>
      <w:r w:rsidRPr="002409A0">
        <w:rPr>
          <w:rFonts w:eastAsia="Arial" w:cs="Arial"/>
          <w:sz w:val="22"/>
          <w:szCs w:val="22"/>
          <w:lang w:val="en-US"/>
        </w:rPr>
        <w:t>eCDR</w:t>
      </w:r>
      <w:proofErr w:type="spellEnd"/>
      <w:r w:rsidRPr="002409A0">
        <w:rPr>
          <w:rFonts w:eastAsia="Arial" w:cs="Arial"/>
          <w:sz w:val="22"/>
          <w:szCs w:val="22"/>
          <w:lang w:val="en-US"/>
        </w:rPr>
        <w:t xml:space="preserve"> in providing a summarizing Knowledge Note: Engineered Carbon Dioxide Removals and in holding a related webinar. The </w:t>
      </w:r>
      <w:proofErr w:type="spellStart"/>
      <w:r w:rsidRPr="002409A0">
        <w:rPr>
          <w:rFonts w:eastAsia="Arial" w:cs="Arial"/>
          <w:sz w:val="22"/>
          <w:szCs w:val="22"/>
          <w:lang w:val="en-US"/>
        </w:rPr>
        <w:t>eCDR</w:t>
      </w:r>
      <w:proofErr w:type="spellEnd"/>
      <w:r w:rsidRPr="002409A0">
        <w:rPr>
          <w:rFonts w:eastAsia="Arial" w:cs="Arial"/>
          <w:sz w:val="22"/>
          <w:szCs w:val="22"/>
          <w:lang w:val="en-US"/>
        </w:rPr>
        <w:t xml:space="preserve"> work has shown that there is a strong momentum in carbon markets towards durable removals but that </w:t>
      </w:r>
      <w:proofErr w:type="spellStart"/>
      <w:r w:rsidRPr="002409A0">
        <w:rPr>
          <w:rFonts w:eastAsia="Arial" w:cs="Arial"/>
          <w:sz w:val="22"/>
          <w:szCs w:val="22"/>
          <w:lang w:val="en-US"/>
        </w:rPr>
        <w:t>eCDR</w:t>
      </w:r>
      <w:proofErr w:type="spellEnd"/>
      <w:r w:rsidRPr="002409A0">
        <w:rPr>
          <w:rFonts w:eastAsia="Arial" w:cs="Arial"/>
          <w:sz w:val="22"/>
          <w:szCs w:val="22"/>
          <w:lang w:val="en-US"/>
        </w:rPr>
        <w:t xml:space="preserve"> crediting currently mostly bypasses developing countries despite comparative cost advantages. The work has identified knowledge and capacity gaps and ways to overcome them to facilitate access of developing countries to </w:t>
      </w:r>
      <w:proofErr w:type="spellStart"/>
      <w:r w:rsidRPr="002409A0">
        <w:rPr>
          <w:rFonts w:eastAsia="Arial" w:cs="Arial"/>
          <w:sz w:val="22"/>
          <w:szCs w:val="22"/>
          <w:lang w:val="en-US"/>
        </w:rPr>
        <w:t>eCDR</w:t>
      </w:r>
      <w:proofErr w:type="spellEnd"/>
      <w:r w:rsidRPr="002409A0">
        <w:rPr>
          <w:rFonts w:eastAsia="Arial" w:cs="Arial"/>
          <w:sz w:val="22"/>
          <w:szCs w:val="22"/>
          <w:lang w:val="en-US"/>
        </w:rPr>
        <w:t xml:space="preserve"> opportunities.</w:t>
      </w:r>
    </w:p>
    <w:p w14:paraId="5C787224" w14:textId="77777777" w:rsidR="002409A0" w:rsidRPr="005B0B73" w:rsidRDefault="002409A0" w:rsidP="1FFC5AE9">
      <w:pPr>
        <w:spacing w:after="160"/>
        <w:jc w:val="both"/>
        <w:rPr>
          <w:rFonts w:eastAsia="Arial" w:cs="Arial"/>
          <w:sz w:val="22"/>
          <w:szCs w:val="22"/>
        </w:rPr>
      </w:pPr>
    </w:p>
    <w:sectPr w:rsidR="002409A0" w:rsidRPr="005B0B73" w:rsidSect="00740805">
      <w:headerReference w:type="default" r:id="rId17"/>
      <w:footerReference w:type="even" r:id="rId18"/>
      <w:footerReference w:type="default" r:id="rId19"/>
      <w:headerReference w:type="first" r:id="rId20"/>
      <w:pgSz w:w="11906" w:h="16838"/>
      <w:pgMar w:top="709" w:right="1440" w:bottom="709"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10BE" w14:textId="77777777" w:rsidR="00F524DD" w:rsidRDefault="00F524DD" w:rsidP="003D222C">
      <w:r>
        <w:separator/>
      </w:r>
    </w:p>
  </w:endnote>
  <w:endnote w:type="continuationSeparator" w:id="0">
    <w:p w14:paraId="59C7B2E2" w14:textId="77777777" w:rsidR="00F524DD" w:rsidRDefault="00F524DD" w:rsidP="003D222C">
      <w:r>
        <w:continuationSeparator/>
      </w:r>
    </w:p>
  </w:endnote>
  <w:endnote w:type="continuationNotice" w:id="1">
    <w:p w14:paraId="274E2C48" w14:textId="77777777" w:rsidR="00F524DD" w:rsidRDefault="00F52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1487" w14:textId="18ED4002" w:rsidR="00F23B73" w:rsidRDefault="00F23B73">
    <w:pPr>
      <w:pStyle w:val="Footer"/>
    </w:pPr>
    <w:r>
      <w:rPr>
        <w:noProof/>
      </w:rPr>
      <mc:AlternateContent>
        <mc:Choice Requires="wps">
          <w:drawing>
            <wp:anchor distT="0" distB="0" distL="0" distR="0" simplePos="0" relativeHeight="251658240" behindDoc="0" locked="0" layoutInCell="1" allowOverlap="1" wp14:anchorId="60BD5182" wp14:editId="537E0CBD">
              <wp:simplePos x="635" y="635"/>
              <wp:positionH relativeFrom="page">
                <wp:align>right</wp:align>
              </wp:positionH>
              <wp:positionV relativeFrom="page">
                <wp:align>bottom</wp:align>
              </wp:positionV>
              <wp:extent cx="1172210" cy="357505"/>
              <wp:effectExtent l="0" t="0" r="0" b="0"/>
              <wp:wrapNone/>
              <wp:docPr id="1083424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68C07B74" w14:textId="3B4CFB77" w:rsidR="00F23B73" w:rsidRPr="00F23B73" w:rsidRDefault="00F23B73" w:rsidP="00F23B73">
                          <w:pPr>
                            <w:rPr>
                              <w:rFonts w:ascii="Aptos" w:eastAsia="Aptos" w:hAnsi="Aptos" w:cs="Aptos"/>
                              <w:noProof/>
                              <w:color w:val="000000"/>
                              <w:sz w:val="20"/>
                              <w:szCs w:val="20"/>
                            </w:rPr>
                          </w:pPr>
                          <w:r w:rsidRPr="00F23B7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60BD5182">
              <v:stroke joinstyle="miter"/>
              <v:path gradientshapeok="t" o:connecttype="rect"/>
            </v:shapetype>
            <v:shape id="Text Box 2" style="position:absolute;margin-left:41.1pt;margin-top:0;width:92.3pt;height:28.15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">
              <v:textbox style="mso-fit-shape-to-text:t" inset="0,0,20pt,15pt">
                <w:txbxContent>
                  <w:p w:rsidRPr="00F23B73" w:rsidR="00F23B73" w:rsidP="00F23B73" w:rsidRDefault="00F23B73" w14:paraId="68C07B74" w14:textId="3B4CFB77">
                    <w:pPr>
                      <w:rPr>
                        <w:rFonts w:ascii="Aptos" w:hAnsi="Aptos" w:eastAsia="Aptos" w:cs="Aptos"/>
                        <w:noProof/>
                        <w:color w:val="000000"/>
                        <w:sz w:val="20"/>
                        <w:szCs w:val="20"/>
                      </w:rPr>
                    </w:pPr>
                    <w:r w:rsidRPr="00F23B73">
                      <w:rPr>
                        <w:rFonts w:ascii="Aptos" w:hAnsi="Apto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D46B" w14:textId="1A3A59A9" w:rsidR="00920D19" w:rsidRDefault="00F524DD">
    <w:pPr>
      <w:pStyle w:val="Footer"/>
      <w:jc w:val="right"/>
    </w:pPr>
    <w:sdt>
      <w:sdtPr>
        <w:id w:val="-484779427"/>
        <w:docPartObj>
          <w:docPartGallery w:val="Page Numbers (Bottom of Page)"/>
          <w:docPartUnique/>
        </w:docPartObj>
      </w:sdtPr>
      <w:sdtEndPr>
        <w:rPr>
          <w:noProof/>
        </w:rPr>
      </w:sdtEndPr>
      <w:sdtContent>
        <w:r w:rsidR="00920D19">
          <w:fldChar w:fldCharType="begin"/>
        </w:r>
        <w:r w:rsidR="00920D19">
          <w:instrText xml:space="preserve"> PAGE   \* MERGEFORMAT </w:instrText>
        </w:r>
        <w:r w:rsidR="00920D19">
          <w:fldChar w:fldCharType="separate"/>
        </w:r>
        <w:r w:rsidR="2761AC03">
          <w:t>2</w:t>
        </w:r>
        <w:r w:rsidR="00920D19">
          <w:fldChar w:fldCharType="end"/>
        </w:r>
      </w:sdtContent>
    </w:sdt>
  </w:p>
  <w:p w14:paraId="1D872792" w14:textId="7AB6B85B" w:rsidR="00920D19" w:rsidRDefault="0092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BACC" w14:textId="77777777" w:rsidR="00F524DD" w:rsidRDefault="00F524DD" w:rsidP="003D222C">
      <w:r>
        <w:separator/>
      </w:r>
    </w:p>
  </w:footnote>
  <w:footnote w:type="continuationSeparator" w:id="0">
    <w:p w14:paraId="64D79627" w14:textId="77777777" w:rsidR="00F524DD" w:rsidRDefault="00F524DD" w:rsidP="003D222C">
      <w:r>
        <w:continuationSeparator/>
      </w:r>
    </w:p>
  </w:footnote>
  <w:footnote w:type="continuationNotice" w:id="1">
    <w:p w14:paraId="7A5496BB" w14:textId="77777777" w:rsidR="00F524DD" w:rsidRDefault="00F524DD"/>
  </w:footnote>
  <w:footnote w:id="2">
    <w:p w14:paraId="08A4FAF1" w14:textId="67ED59A1" w:rsidR="00DA7687" w:rsidRDefault="00DA7687">
      <w:pPr>
        <w:pStyle w:val="FootnoteText"/>
      </w:pPr>
      <w:r>
        <w:rPr>
          <w:rStyle w:val="FootnoteReference"/>
        </w:rPr>
        <w:footnoteRef/>
      </w:r>
      <w:r>
        <w:t xml:space="preserve"> The </w:t>
      </w:r>
      <w:hyperlink r:id="rId1" w:history="1">
        <w:r w:rsidRPr="00E04AF1">
          <w:rPr>
            <w:rStyle w:val="Hyperlink"/>
          </w:rPr>
          <w:t>UK TCAF Business case</w:t>
        </w:r>
      </w:hyperlink>
      <w:r>
        <w:t xml:space="preserve"> set out </w:t>
      </w:r>
      <w:r w:rsidR="00E42158">
        <w:t>a t</w:t>
      </w:r>
      <w:r w:rsidR="00E42158" w:rsidRPr="00E42158">
        <w:t xml:space="preserve">arget fund capitalisation </w:t>
      </w:r>
      <w:r w:rsidR="00E42158">
        <w:t xml:space="preserve">of </w:t>
      </w:r>
      <w:r w:rsidR="00E42158" w:rsidRPr="00E42158">
        <w:t xml:space="preserve">$500 million </w:t>
      </w:r>
      <w:r w:rsidR="00E42158">
        <w:t>w</w:t>
      </w:r>
      <w:r w:rsidR="00272058">
        <w:t>ith</w:t>
      </w:r>
      <w:r w:rsidR="00E42158">
        <w:t xml:space="preserve"> </w:t>
      </w:r>
      <w:r>
        <w:t>expectations</w:t>
      </w:r>
      <w:r w:rsidR="00272058">
        <w:t xml:space="preserve"> of</w:t>
      </w:r>
      <w:r>
        <w:t xml:space="preserve"> </w:t>
      </w:r>
      <w:r w:rsidR="00E04AF1">
        <w:t>u</w:t>
      </w:r>
      <w:r w:rsidR="00E04AF1" w:rsidRPr="00E04AF1">
        <w:t xml:space="preserve">p to 10 </w:t>
      </w:r>
      <w:r w:rsidR="00E04AF1">
        <w:t xml:space="preserve">programmes supported </w:t>
      </w:r>
      <w:r w:rsidR="00E04AF1" w:rsidRPr="00E04AF1">
        <w:t>(at $500 million capitalisation)</w:t>
      </w:r>
      <w:r w:rsidR="00E42158">
        <w:t xml:space="preserve"> and up</w:t>
      </w:r>
      <w:r w:rsidR="00E42158" w:rsidRPr="00E04AF1">
        <w:t xml:space="preserve"> to 5</w:t>
      </w:r>
      <w:r w:rsidR="00E42158">
        <w:t xml:space="preserve"> programmes supported</w:t>
      </w:r>
      <w:r w:rsidR="00E42158" w:rsidRPr="00E04AF1">
        <w:t xml:space="preserve"> (at $250 million capitalisation)</w:t>
      </w:r>
      <w:r w:rsidR="00E42158">
        <w:t xml:space="preserve">. </w:t>
      </w:r>
    </w:p>
  </w:footnote>
  <w:footnote w:id="3">
    <w:p w14:paraId="7452D4B8" w14:textId="38FDEBB3" w:rsidR="004D3197" w:rsidRPr="00424333" w:rsidRDefault="004D3197" w:rsidP="00424333">
      <w:pPr>
        <w:spacing w:line="257" w:lineRule="auto"/>
        <w:rPr>
          <w:rFonts w:eastAsia="Arial" w:cs="Arial"/>
          <w:sz w:val="20"/>
          <w:szCs w:val="20"/>
        </w:rPr>
      </w:pPr>
      <w:r>
        <w:rPr>
          <w:rStyle w:val="FootnoteReference"/>
        </w:rPr>
        <w:footnoteRef/>
      </w:r>
      <w:r>
        <w:t xml:space="preserve"> </w:t>
      </w:r>
      <w:r w:rsidRPr="00424333">
        <w:rPr>
          <w:sz w:val="20"/>
          <w:szCs w:val="20"/>
        </w:rPr>
        <w:t xml:space="preserve">To note for 2025 this is not reported as </w:t>
      </w:r>
      <w:r w:rsidRPr="00424333">
        <w:rPr>
          <w:rFonts w:eastAsia="Arial" w:cs="Arial"/>
          <w:sz w:val="20"/>
          <w:szCs w:val="20"/>
        </w:rPr>
        <w:t xml:space="preserve">2025 data is still undergoing verification. </w:t>
      </w:r>
    </w:p>
  </w:footnote>
  <w:footnote w:id="4">
    <w:p w14:paraId="26AE12EE" w14:textId="00A90131" w:rsidR="00424333" w:rsidRPr="00424333" w:rsidRDefault="00424333" w:rsidP="00424333">
      <w:pPr>
        <w:rPr>
          <w:sz w:val="20"/>
          <w:szCs w:val="20"/>
        </w:rPr>
      </w:pPr>
      <w:r>
        <w:rPr>
          <w:rStyle w:val="FootnoteReference"/>
        </w:rPr>
        <w:footnoteRef/>
      </w:r>
      <w:r>
        <w:t xml:space="preserve"> </w:t>
      </w:r>
      <w:r w:rsidRPr="00424333">
        <w:rPr>
          <w:sz w:val="20"/>
          <w:szCs w:val="20"/>
        </w:rPr>
        <w:t>The Pak-FLOW project is being replicated in Tanzania and in other provinces not participating in TCAF</w:t>
      </w:r>
      <w:r w:rsidR="005F2C45">
        <w:rPr>
          <w:sz w:val="20"/>
          <w:szCs w:val="20"/>
        </w:rPr>
        <w:t>.</w:t>
      </w:r>
    </w:p>
  </w:footnote>
  <w:footnote w:id="5">
    <w:p w14:paraId="7722FE59" w14:textId="7047A02A" w:rsidR="00A27F1B" w:rsidRPr="00A27F1B" w:rsidRDefault="00A27F1B">
      <w:pPr>
        <w:pStyle w:val="FootnoteText"/>
      </w:pPr>
      <w:r w:rsidRPr="00A27F1B">
        <w:rPr>
          <w:rStyle w:val="FootnoteReference"/>
        </w:rPr>
        <w:footnoteRef/>
      </w:r>
      <w:r w:rsidRPr="00A27F1B">
        <w:t xml:space="preserve"> </w:t>
      </w:r>
      <w:r w:rsidRPr="00A27F1B">
        <w:rPr>
          <w:rFonts w:eastAsia="Arial" w:cs="Arial"/>
          <w:sz w:val="18"/>
          <w:szCs w:val="18"/>
        </w:rPr>
        <w:t xml:space="preserve">Uzbekistan PIN (June 2022), India: EESL (2019), Colombia Solid Waste Management (June 2022), Vietnam Low Carbon Rice (June 2023), </w:t>
      </w:r>
      <w:r w:rsidRPr="00A27F1B">
        <w:rPr>
          <w:rFonts w:eastAsia="Arial" w:cs="Arial"/>
          <w:sz w:val="18"/>
          <w:szCs w:val="18"/>
          <w:lang w:val="en-US"/>
        </w:rPr>
        <w:t xml:space="preserve">Pakistan Wastewater (June 2024), </w:t>
      </w:r>
      <w:r w:rsidRPr="00A27F1B">
        <w:rPr>
          <w:rFonts w:eastAsia="Arial" w:cs="Arial"/>
          <w:color w:val="000000" w:themeColor="text1"/>
          <w:sz w:val="18"/>
          <w:szCs w:val="18"/>
        </w:rPr>
        <w:t>Nepal Clean Air Policy (December 2024), Kyrgyz Republic (June 2025), Ecuador (December 2025).</w:t>
      </w:r>
    </w:p>
  </w:footnote>
  <w:footnote w:id="6">
    <w:p w14:paraId="43F676BC" w14:textId="626BF5F5" w:rsidR="00B339A0" w:rsidRPr="00A27F1B" w:rsidRDefault="00B339A0">
      <w:pPr>
        <w:pStyle w:val="FootnoteText"/>
      </w:pPr>
      <w:r w:rsidRPr="00A27F1B">
        <w:rPr>
          <w:rStyle w:val="FootnoteReference"/>
        </w:rPr>
        <w:footnoteRef/>
      </w:r>
      <w:r w:rsidRPr="00A27F1B">
        <w:t xml:space="preserve"> </w:t>
      </w:r>
      <w:r w:rsidRPr="00A27F1B">
        <w:rPr>
          <w:rFonts w:eastAsia="Arial" w:cs="Arial"/>
          <w:sz w:val="18"/>
          <w:szCs w:val="18"/>
        </w:rPr>
        <w:t xml:space="preserve">Submission of the PIN by the Host Country is considered approval. </w:t>
      </w:r>
    </w:p>
  </w:footnote>
  <w:footnote w:id="7">
    <w:p w14:paraId="23209DCE" w14:textId="77777777" w:rsidR="00B414BC" w:rsidRPr="00B414BC" w:rsidRDefault="00B414BC" w:rsidP="00B414BC">
      <w:pPr>
        <w:pStyle w:val="FootnoteText"/>
        <w:rPr>
          <w:sz w:val="18"/>
          <w:szCs w:val="18"/>
        </w:rPr>
      </w:pPr>
      <w:r w:rsidRPr="00B414BC">
        <w:rPr>
          <w:rStyle w:val="FootnoteReference"/>
          <w:sz w:val="18"/>
          <w:szCs w:val="18"/>
        </w:rPr>
        <w:footnoteRef/>
      </w:r>
      <w:r w:rsidRPr="00B414BC">
        <w:rPr>
          <w:sz w:val="18"/>
          <w:szCs w:val="18"/>
        </w:rPr>
        <w:t xml:space="preserve"> </w:t>
      </w:r>
      <w:r w:rsidRPr="00DD78B9">
        <w:rPr>
          <w:rFonts w:eastAsia="Arial" w:cs="Arial"/>
          <w:sz w:val="18"/>
          <w:szCs w:val="18"/>
        </w:rPr>
        <w:t xml:space="preserve">In addition to last year, capacity building has been provided to Ministries in Ecuador and </w:t>
      </w:r>
      <w:r w:rsidRPr="00B414BC">
        <w:rPr>
          <w:rFonts w:eastAsia="Arial" w:cs="Arial"/>
          <w:sz w:val="18"/>
          <w:szCs w:val="18"/>
        </w:rPr>
        <w:t xml:space="preserve">the </w:t>
      </w:r>
      <w:r w:rsidRPr="00DD78B9">
        <w:rPr>
          <w:rFonts w:eastAsia="Arial" w:cs="Arial"/>
          <w:sz w:val="18"/>
          <w:szCs w:val="18"/>
        </w:rPr>
        <w:t>Kyrgyz</w:t>
      </w:r>
      <w:r w:rsidRPr="00B414BC">
        <w:rPr>
          <w:rFonts w:eastAsia="Arial" w:cs="Arial"/>
          <w:sz w:val="18"/>
          <w:szCs w:val="18"/>
        </w:rPr>
        <w:t xml:space="preserve"> Republic</w:t>
      </w:r>
    </w:p>
  </w:footnote>
  <w:footnote w:id="8">
    <w:p w14:paraId="052CFADF" w14:textId="5A3B9B31" w:rsidR="00B414BC" w:rsidRDefault="00B414BC">
      <w:pPr>
        <w:pStyle w:val="FootnoteText"/>
      </w:pPr>
      <w:r w:rsidRPr="00B414BC">
        <w:rPr>
          <w:rStyle w:val="FootnoteReference"/>
          <w:sz w:val="18"/>
          <w:szCs w:val="18"/>
        </w:rPr>
        <w:footnoteRef/>
      </w:r>
      <w:r w:rsidRPr="00B414BC">
        <w:rPr>
          <w:sz w:val="18"/>
          <w:szCs w:val="18"/>
        </w:rPr>
        <w:t xml:space="preserve"> </w:t>
      </w:r>
      <w:r w:rsidRPr="00B414BC">
        <w:rPr>
          <w:rFonts w:eastAsia="Arial" w:cs="Arial"/>
          <w:sz w:val="18"/>
          <w:szCs w:val="18"/>
        </w:rPr>
        <w:t>Surveys at the end of capacity building events showed 89% of the Ministries in attendance found the workshops useful and improved their capacity for carbon market participation.</w:t>
      </w:r>
    </w:p>
  </w:footnote>
  <w:footnote w:id="9">
    <w:p w14:paraId="71D2DFBE" w14:textId="411DEBDE" w:rsidR="005303FC" w:rsidRDefault="005303FC">
      <w:pPr>
        <w:pStyle w:val="FootnoteText"/>
      </w:pPr>
      <w:r>
        <w:rPr>
          <w:rStyle w:val="FootnoteReference"/>
        </w:rPr>
        <w:footnoteRef/>
      </w:r>
      <w:r>
        <w:t xml:space="preserve"> In </w:t>
      </w:r>
      <w:r w:rsidRPr="005303FC">
        <w:rPr>
          <w:rFonts w:eastAsia="Arial" w:cs="Arial"/>
          <w:sz w:val="18"/>
          <w:szCs w:val="18"/>
        </w:rPr>
        <w:t>addition there were 10,459 page views</w:t>
      </w:r>
      <w:r>
        <w:rPr>
          <w:rFonts w:eastAsia="Arial" w:cs="Arial"/>
          <w:sz w:val="18"/>
          <w:szCs w:val="18"/>
        </w:rPr>
        <w:t xml:space="preserve">. </w:t>
      </w:r>
    </w:p>
  </w:footnote>
  <w:footnote w:id="10">
    <w:p w14:paraId="22B8E8CA" w14:textId="5FB5552E" w:rsidR="00D03677" w:rsidRDefault="00D03677">
      <w:pPr>
        <w:pStyle w:val="FootnoteText"/>
      </w:pPr>
      <w:r>
        <w:rPr>
          <w:rStyle w:val="FootnoteReference"/>
        </w:rPr>
        <w:footnoteRef/>
      </w:r>
      <w:r>
        <w:t xml:space="preserve"> </w:t>
      </w:r>
      <w:r w:rsidRPr="00D03677">
        <w:rPr>
          <w:rFonts w:eastAsia="Arial" w:cs="Arial"/>
          <w:sz w:val="18"/>
          <w:szCs w:val="18"/>
        </w:rPr>
        <w:t>25 pre-PINs have been submitted to the Trustee over time, with the intent to apply a TCAF methodology to the proposed program. 6 out of the 22 proposed programs have passed the PIN stage, taking into account conditional approval/endorsement by Contributors</w:t>
      </w:r>
      <w:r w:rsidRPr="4138787B">
        <w:rPr>
          <w:rFonts w:eastAsia="Arial" w:cs="Arial"/>
          <w:sz w:val="22"/>
          <w:szCs w:val="22"/>
        </w:rPr>
        <w:t>.</w:t>
      </w:r>
    </w:p>
  </w:footnote>
  <w:footnote w:id="11">
    <w:p w14:paraId="6D96F36D" w14:textId="2781C61D" w:rsidR="005303FC" w:rsidRDefault="005303FC">
      <w:pPr>
        <w:pStyle w:val="FootnoteText"/>
      </w:pPr>
      <w:r>
        <w:rPr>
          <w:rStyle w:val="FootnoteReference"/>
        </w:rPr>
        <w:footnoteRef/>
      </w:r>
      <w:r>
        <w:t xml:space="preserve"> </w:t>
      </w:r>
      <w:r w:rsidRPr="005303FC">
        <w:rPr>
          <w:rFonts w:eastAsia="Arial" w:cs="Arial"/>
          <w:sz w:val="18"/>
          <w:szCs w:val="18"/>
        </w:rPr>
        <w:t>This percentage is based on the survey results from the Global Knowledge Forum</w:t>
      </w:r>
      <w:r w:rsidR="006F0659">
        <w:rPr>
          <w:rFonts w:eastAsia="Arial" w:cs="Arial"/>
          <w:sz w:val="18"/>
          <w:szCs w:val="18"/>
        </w:rPr>
        <w:t xml:space="preserve"> (May 2025)</w:t>
      </w:r>
      <w:r>
        <w:rPr>
          <w:rFonts w:eastAsia="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CC06" w14:textId="2AA822FF" w:rsidR="00E5596C" w:rsidRPr="00B00598" w:rsidRDefault="2761AC03" w:rsidP="2761AC03">
    <w:pPr>
      <w:pStyle w:val="Header"/>
      <w:pBdr>
        <w:bottom w:val="single" w:sz="2" w:space="3" w:color="2B7EE2"/>
      </w:pBdr>
      <w:rPr>
        <w:color w:val="041E42"/>
        <w:sz w:val="22"/>
        <w:szCs w:val="22"/>
      </w:rPr>
    </w:pPr>
    <w:r w:rsidRPr="2761AC03">
      <w:rPr>
        <w:color w:val="041E42"/>
        <w:sz w:val="22"/>
        <w:szCs w:val="22"/>
      </w:rPr>
      <w:t xml:space="preserve">TCAF Annual Review: Apr </w:t>
    </w:r>
    <w:r w:rsidR="003C19AC" w:rsidRPr="2761AC03">
      <w:rPr>
        <w:color w:val="041E42"/>
        <w:sz w:val="22"/>
        <w:szCs w:val="22"/>
      </w:rPr>
      <w:t>202</w:t>
    </w:r>
    <w:r w:rsidR="00E5596C">
      <w:rPr>
        <w:color w:val="041E42"/>
        <w:sz w:val="22"/>
        <w:szCs w:val="22"/>
      </w:rPr>
      <w:t>5</w:t>
    </w:r>
    <w:r w:rsidR="003C19AC" w:rsidRPr="2761AC03">
      <w:rPr>
        <w:color w:val="041E42"/>
        <w:sz w:val="22"/>
        <w:szCs w:val="22"/>
      </w:rPr>
      <w:t xml:space="preserve"> </w:t>
    </w:r>
    <w:r w:rsidRPr="2761AC03">
      <w:rPr>
        <w:color w:val="041E42"/>
        <w:sz w:val="22"/>
        <w:szCs w:val="22"/>
      </w:rPr>
      <w:t xml:space="preserve">– Mar </w:t>
    </w:r>
    <w:r w:rsidR="003C19AC" w:rsidRPr="2761AC03">
      <w:rPr>
        <w:color w:val="041E42"/>
        <w:sz w:val="22"/>
        <w:szCs w:val="22"/>
      </w:rPr>
      <w:t>202</w:t>
    </w:r>
    <w:r w:rsidR="00E5596C">
      <w:rPr>
        <w:color w:val="041E42"/>
        <w:sz w:val="22"/>
        <w:szCs w:val="22"/>
      </w:rPr>
      <w:t>6</w:t>
    </w:r>
  </w:p>
  <w:p w14:paraId="0FC91CB9" w14:textId="77777777" w:rsidR="00164467" w:rsidRDefault="00164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A78C" w14:textId="2ECCA5CD" w:rsidR="00C67FEB" w:rsidRDefault="2761AC03">
    <w:pPr>
      <w:pStyle w:val="Header"/>
    </w:pPr>
    <w:r>
      <w:rPr>
        <w:noProof/>
      </w:rPr>
      <w:drawing>
        <wp:inline distT="0" distB="0" distL="0" distR="0" wp14:anchorId="653BEA8C" wp14:editId="729D0AD5">
          <wp:extent cx="2131029" cy="936702"/>
          <wp:effectExtent l="0" t="0" r="0" b="0"/>
          <wp:docPr id="1165208529" name="Picture 116520852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208529"/>
                  <pic:cNvPicPr/>
                </pic:nvPicPr>
                <pic:blipFill>
                  <a:blip r:embed="rId1">
                    <a:extLst>
                      <a:ext uri="{28A0092B-C50C-407E-A947-70E740481C1C}">
                        <a14:useLocalDpi xmlns:a14="http://schemas.microsoft.com/office/drawing/2010/main" val="0"/>
                      </a:ext>
                    </a:extLst>
                  </a:blip>
                  <a:stretch>
                    <a:fillRect/>
                  </a:stretch>
                </pic:blipFill>
                <pic:spPr>
                  <a:xfrm>
                    <a:off x="0" y="0"/>
                    <a:ext cx="2131029" cy="936702"/>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1kP1u9M6JwNsaz" int2:id="hbZ7wzE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45C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7E336E"/>
    <w:multiLevelType w:val="hybridMultilevel"/>
    <w:tmpl w:val="A170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C582B"/>
    <w:multiLevelType w:val="hybridMultilevel"/>
    <w:tmpl w:val="5066E156"/>
    <w:lvl w:ilvl="0" w:tplc="3894F7F2">
      <w:start w:val="1"/>
      <w:numFmt w:val="bullet"/>
      <w:lvlText w:val="·"/>
      <w:lvlJc w:val="left"/>
      <w:pPr>
        <w:ind w:left="720" w:hanging="360"/>
      </w:pPr>
      <w:rPr>
        <w:rFonts w:ascii="Symbol" w:hAnsi="Symbol" w:hint="default"/>
      </w:rPr>
    </w:lvl>
    <w:lvl w:ilvl="1" w:tplc="C2AA8B78">
      <w:start w:val="1"/>
      <w:numFmt w:val="bullet"/>
      <w:lvlText w:val="o"/>
      <w:lvlJc w:val="left"/>
      <w:pPr>
        <w:ind w:left="1440" w:hanging="360"/>
      </w:pPr>
      <w:rPr>
        <w:rFonts w:ascii="Courier New" w:hAnsi="Courier New" w:hint="default"/>
      </w:rPr>
    </w:lvl>
    <w:lvl w:ilvl="2" w:tplc="EBD602AA">
      <w:start w:val="1"/>
      <w:numFmt w:val="bullet"/>
      <w:lvlText w:val=""/>
      <w:lvlJc w:val="left"/>
      <w:pPr>
        <w:ind w:left="2160" w:hanging="360"/>
      </w:pPr>
      <w:rPr>
        <w:rFonts w:ascii="Wingdings" w:hAnsi="Wingdings" w:hint="default"/>
      </w:rPr>
    </w:lvl>
    <w:lvl w:ilvl="3" w:tplc="ADF622CC">
      <w:start w:val="1"/>
      <w:numFmt w:val="bullet"/>
      <w:lvlText w:val=""/>
      <w:lvlJc w:val="left"/>
      <w:pPr>
        <w:ind w:left="2880" w:hanging="360"/>
      </w:pPr>
      <w:rPr>
        <w:rFonts w:ascii="Symbol" w:hAnsi="Symbol" w:hint="default"/>
      </w:rPr>
    </w:lvl>
    <w:lvl w:ilvl="4" w:tplc="5346F5F4">
      <w:start w:val="1"/>
      <w:numFmt w:val="bullet"/>
      <w:lvlText w:val="o"/>
      <w:lvlJc w:val="left"/>
      <w:pPr>
        <w:ind w:left="3600" w:hanging="360"/>
      </w:pPr>
      <w:rPr>
        <w:rFonts w:ascii="Courier New" w:hAnsi="Courier New" w:hint="default"/>
      </w:rPr>
    </w:lvl>
    <w:lvl w:ilvl="5" w:tplc="1DB066D6">
      <w:start w:val="1"/>
      <w:numFmt w:val="bullet"/>
      <w:lvlText w:val=""/>
      <w:lvlJc w:val="left"/>
      <w:pPr>
        <w:ind w:left="4320" w:hanging="360"/>
      </w:pPr>
      <w:rPr>
        <w:rFonts w:ascii="Wingdings" w:hAnsi="Wingdings" w:hint="default"/>
      </w:rPr>
    </w:lvl>
    <w:lvl w:ilvl="6" w:tplc="784693BE">
      <w:start w:val="1"/>
      <w:numFmt w:val="bullet"/>
      <w:lvlText w:val=""/>
      <w:lvlJc w:val="left"/>
      <w:pPr>
        <w:ind w:left="5040" w:hanging="360"/>
      </w:pPr>
      <w:rPr>
        <w:rFonts w:ascii="Symbol" w:hAnsi="Symbol" w:hint="default"/>
      </w:rPr>
    </w:lvl>
    <w:lvl w:ilvl="7" w:tplc="6E80A752">
      <w:start w:val="1"/>
      <w:numFmt w:val="bullet"/>
      <w:lvlText w:val="o"/>
      <w:lvlJc w:val="left"/>
      <w:pPr>
        <w:ind w:left="5760" w:hanging="360"/>
      </w:pPr>
      <w:rPr>
        <w:rFonts w:ascii="Courier New" w:hAnsi="Courier New" w:hint="default"/>
      </w:rPr>
    </w:lvl>
    <w:lvl w:ilvl="8" w:tplc="687E02A2">
      <w:start w:val="1"/>
      <w:numFmt w:val="bullet"/>
      <w:lvlText w:val=""/>
      <w:lvlJc w:val="left"/>
      <w:pPr>
        <w:ind w:left="6480" w:hanging="360"/>
      </w:pPr>
      <w:rPr>
        <w:rFonts w:ascii="Wingdings" w:hAnsi="Wingdings" w:hint="default"/>
      </w:rPr>
    </w:lvl>
  </w:abstractNum>
  <w:abstractNum w:abstractNumId="3" w15:restartNumberingAfterBreak="0">
    <w:nsid w:val="10AFB89A"/>
    <w:multiLevelType w:val="hybridMultilevel"/>
    <w:tmpl w:val="FFFFFFFF"/>
    <w:lvl w:ilvl="0" w:tplc="79B46F30">
      <w:start w:val="1"/>
      <w:numFmt w:val="bullet"/>
      <w:lvlText w:val="-"/>
      <w:lvlJc w:val="left"/>
      <w:pPr>
        <w:ind w:left="720" w:hanging="360"/>
      </w:pPr>
      <w:rPr>
        <w:rFonts w:ascii="Aptos" w:hAnsi="Aptos" w:hint="default"/>
      </w:rPr>
    </w:lvl>
    <w:lvl w:ilvl="1" w:tplc="0CDC9520">
      <w:start w:val="1"/>
      <w:numFmt w:val="bullet"/>
      <w:lvlText w:val="o"/>
      <w:lvlJc w:val="left"/>
      <w:pPr>
        <w:ind w:left="1440" w:hanging="360"/>
      </w:pPr>
      <w:rPr>
        <w:rFonts w:ascii="Courier New" w:hAnsi="Courier New" w:hint="default"/>
      </w:rPr>
    </w:lvl>
    <w:lvl w:ilvl="2" w:tplc="867CCDDE">
      <w:start w:val="1"/>
      <w:numFmt w:val="bullet"/>
      <w:lvlText w:val=""/>
      <w:lvlJc w:val="left"/>
      <w:pPr>
        <w:ind w:left="2160" w:hanging="360"/>
      </w:pPr>
      <w:rPr>
        <w:rFonts w:ascii="Wingdings" w:hAnsi="Wingdings" w:hint="default"/>
      </w:rPr>
    </w:lvl>
    <w:lvl w:ilvl="3" w:tplc="3E6287C2">
      <w:start w:val="1"/>
      <w:numFmt w:val="bullet"/>
      <w:lvlText w:val=""/>
      <w:lvlJc w:val="left"/>
      <w:pPr>
        <w:ind w:left="2880" w:hanging="360"/>
      </w:pPr>
      <w:rPr>
        <w:rFonts w:ascii="Symbol" w:hAnsi="Symbol" w:hint="default"/>
      </w:rPr>
    </w:lvl>
    <w:lvl w:ilvl="4" w:tplc="90D49C7E">
      <w:start w:val="1"/>
      <w:numFmt w:val="bullet"/>
      <w:lvlText w:val="o"/>
      <w:lvlJc w:val="left"/>
      <w:pPr>
        <w:ind w:left="3600" w:hanging="360"/>
      </w:pPr>
      <w:rPr>
        <w:rFonts w:ascii="Courier New" w:hAnsi="Courier New" w:hint="default"/>
      </w:rPr>
    </w:lvl>
    <w:lvl w:ilvl="5" w:tplc="0EFAEF80">
      <w:start w:val="1"/>
      <w:numFmt w:val="bullet"/>
      <w:lvlText w:val=""/>
      <w:lvlJc w:val="left"/>
      <w:pPr>
        <w:ind w:left="4320" w:hanging="360"/>
      </w:pPr>
      <w:rPr>
        <w:rFonts w:ascii="Wingdings" w:hAnsi="Wingdings" w:hint="default"/>
      </w:rPr>
    </w:lvl>
    <w:lvl w:ilvl="6" w:tplc="A078A60A">
      <w:start w:val="1"/>
      <w:numFmt w:val="bullet"/>
      <w:lvlText w:val=""/>
      <w:lvlJc w:val="left"/>
      <w:pPr>
        <w:ind w:left="5040" w:hanging="360"/>
      </w:pPr>
      <w:rPr>
        <w:rFonts w:ascii="Symbol" w:hAnsi="Symbol" w:hint="default"/>
      </w:rPr>
    </w:lvl>
    <w:lvl w:ilvl="7" w:tplc="5E4E4470">
      <w:start w:val="1"/>
      <w:numFmt w:val="bullet"/>
      <w:lvlText w:val="o"/>
      <w:lvlJc w:val="left"/>
      <w:pPr>
        <w:ind w:left="5760" w:hanging="360"/>
      </w:pPr>
      <w:rPr>
        <w:rFonts w:ascii="Courier New" w:hAnsi="Courier New" w:hint="default"/>
      </w:rPr>
    </w:lvl>
    <w:lvl w:ilvl="8" w:tplc="DA3E28D4">
      <w:start w:val="1"/>
      <w:numFmt w:val="bullet"/>
      <w:lvlText w:val=""/>
      <w:lvlJc w:val="left"/>
      <w:pPr>
        <w:ind w:left="6480" w:hanging="360"/>
      </w:pPr>
      <w:rPr>
        <w:rFonts w:ascii="Wingdings" w:hAnsi="Wingdings" w:hint="default"/>
      </w:rPr>
    </w:lvl>
  </w:abstractNum>
  <w:abstractNum w:abstractNumId="4" w15:restartNumberingAfterBreak="0">
    <w:nsid w:val="1137813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ED2480"/>
    <w:multiLevelType w:val="hybridMultilevel"/>
    <w:tmpl w:val="8C4CE97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219197"/>
    <w:multiLevelType w:val="hybridMultilevel"/>
    <w:tmpl w:val="E4E018E8"/>
    <w:lvl w:ilvl="0" w:tplc="D90075B4">
      <w:start w:val="1"/>
      <w:numFmt w:val="bullet"/>
      <w:lvlText w:val="·"/>
      <w:lvlJc w:val="left"/>
      <w:pPr>
        <w:ind w:left="720" w:hanging="360"/>
      </w:pPr>
      <w:rPr>
        <w:rFonts w:ascii="Symbol" w:hAnsi="Symbol" w:hint="default"/>
      </w:rPr>
    </w:lvl>
    <w:lvl w:ilvl="1" w:tplc="E00CAC4C">
      <w:start w:val="1"/>
      <w:numFmt w:val="bullet"/>
      <w:lvlText w:val="o"/>
      <w:lvlJc w:val="left"/>
      <w:pPr>
        <w:ind w:left="1440" w:hanging="360"/>
      </w:pPr>
      <w:rPr>
        <w:rFonts w:ascii="Symbol" w:hAnsi="Symbol" w:hint="default"/>
      </w:rPr>
    </w:lvl>
    <w:lvl w:ilvl="2" w:tplc="7AD8398C">
      <w:start w:val="1"/>
      <w:numFmt w:val="bullet"/>
      <w:lvlText w:val=""/>
      <w:lvlJc w:val="left"/>
      <w:pPr>
        <w:ind w:left="2160" w:hanging="360"/>
      </w:pPr>
      <w:rPr>
        <w:rFonts w:ascii="Wingdings" w:hAnsi="Wingdings" w:hint="default"/>
      </w:rPr>
    </w:lvl>
    <w:lvl w:ilvl="3" w:tplc="1E7E0AE8">
      <w:start w:val="1"/>
      <w:numFmt w:val="bullet"/>
      <w:lvlText w:val=""/>
      <w:lvlJc w:val="left"/>
      <w:pPr>
        <w:ind w:left="2880" w:hanging="360"/>
      </w:pPr>
      <w:rPr>
        <w:rFonts w:ascii="Symbol" w:hAnsi="Symbol" w:hint="default"/>
      </w:rPr>
    </w:lvl>
    <w:lvl w:ilvl="4" w:tplc="D742B7BC">
      <w:start w:val="1"/>
      <w:numFmt w:val="bullet"/>
      <w:lvlText w:val="o"/>
      <w:lvlJc w:val="left"/>
      <w:pPr>
        <w:ind w:left="3600" w:hanging="360"/>
      </w:pPr>
      <w:rPr>
        <w:rFonts w:ascii="Courier New" w:hAnsi="Courier New" w:hint="default"/>
      </w:rPr>
    </w:lvl>
    <w:lvl w:ilvl="5" w:tplc="2FB6A962">
      <w:start w:val="1"/>
      <w:numFmt w:val="bullet"/>
      <w:lvlText w:val=""/>
      <w:lvlJc w:val="left"/>
      <w:pPr>
        <w:ind w:left="4320" w:hanging="360"/>
      </w:pPr>
      <w:rPr>
        <w:rFonts w:ascii="Wingdings" w:hAnsi="Wingdings" w:hint="default"/>
      </w:rPr>
    </w:lvl>
    <w:lvl w:ilvl="6" w:tplc="92A09B02">
      <w:start w:val="1"/>
      <w:numFmt w:val="bullet"/>
      <w:lvlText w:val=""/>
      <w:lvlJc w:val="left"/>
      <w:pPr>
        <w:ind w:left="5040" w:hanging="360"/>
      </w:pPr>
      <w:rPr>
        <w:rFonts w:ascii="Symbol" w:hAnsi="Symbol" w:hint="default"/>
      </w:rPr>
    </w:lvl>
    <w:lvl w:ilvl="7" w:tplc="05722B9A">
      <w:start w:val="1"/>
      <w:numFmt w:val="bullet"/>
      <w:lvlText w:val="o"/>
      <w:lvlJc w:val="left"/>
      <w:pPr>
        <w:ind w:left="5760" w:hanging="360"/>
      </w:pPr>
      <w:rPr>
        <w:rFonts w:ascii="Courier New" w:hAnsi="Courier New" w:hint="default"/>
      </w:rPr>
    </w:lvl>
    <w:lvl w:ilvl="8" w:tplc="3F261042">
      <w:start w:val="1"/>
      <w:numFmt w:val="bullet"/>
      <w:lvlText w:val=""/>
      <w:lvlJc w:val="left"/>
      <w:pPr>
        <w:ind w:left="6480" w:hanging="360"/>
      </w:pPr>
      <w:rPr>
        <w:rFonts w:ascii="Wingdings" w:hAnsi="Wingdings" w:hint="default"/>
      </w:rPr>
    </w:lvl>
  </w:abstractNum>
  <w:abstractNum w:abstractNumId="7" w15:restartNumberingAfterBreak="0">
    <w:nsid w:val="1BE733D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CE41A4C"/>
    <w:multiLevelType w:val="hybridMultilevel"/>
    <w:tmpl w:val="0A7A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9813AA"/>
    <w:multiLevelType w:val="multilevel"/>
    <w:tmpl w:val="27C6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F4A17"/>
    <w:multiLevelType w:val="hybridMultilevel"/>
    <w:tmpl w:val="10BEA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81246"/>
    <w:multiLevelType w:val="hybridMultilevel"/>
    <w:tmpl w:val="0BDC7456"/>
    <w:lvl w:ilvl="0" w:tplc="CD945B10">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2B115F1"/>
    <w:multiLevelType w:val="hybridMultilevel"/>
    <w:tmpl w:val="2C087EE4"/>
    <w:lvl w:ilvl="0" w:tplc="4D4A8BD6">
      <w:start w:val="2024"/>
      <w:numFmt w:val="bullet"/>
      <w:lvlText w:val="-"/>
      <w:lvlJc w:val="left"/>
      <w:pPr>
        <w:ind w:left="720" w:hanging="360"/>
      </w:pPr>
      <w:rPr>
        <w:rFonts w:ascii="Arial" w:eastAsia="Arial"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56738"/>
    <w:multiLevelType w:val="hybridMultilevel"/>
    <w:tmpl w:val="FFFFFFFF"/>
    <w:lvl w:ilvl="0" w:tplc="DE6C53FC">
      <w:start w:val="1"/>
      <w:numFmt w:val="decimal"/>
      <w:lvlText w:val="%1."/>
      <w:lvlJc w:val="left"/>
      <w:pPr>
        <w:ind w:left="720" w:hanging="360"/>
      </w:pPr>
    </w:lvl>
    <w:lvl w:ilvl="1" w:tplc="66E4957A">
      <w:start w:val="1"/>
      <w:numFmt w:val="lowerLetter"/>
      <w:lvlText w:val="%2."/>
      <w:lvlJc w:val="left"/>
      <w:pPr>
        <w:ind w:left="1440" w:hanging="360"/>
      </w:pPr>
    </w:lvl>
    <w:lvl w:ilvl="2" w:tplc="04D2671E">
      <w:start w:val="1"/>
      <w:numFmt w:val="lowerRoman"/>
      <w:lvlText w:val="%3."/>
      <w:lvlJc w:val="right"/>
      <w:pPr>
        <w:ind w:left="2160" w:hanging="180"/>
      </w:pPr>
    </w:lvl>
    <w:lvl w:ilvl="3" w:tplc="7632B62A">
      <w:start w:val="1"/>
      <w:numFmt w:val="decimal"/>
      <w:lvlText w:val="%4."/>
      <w:lvlJc w:val="left"/>
      <w:pPr>
        <w:ind w:left="2880" w:hanging="360"/>
      </w:pPr>
    </w:lvl>
    <w:lvl w:ilvl="4" w:tplc="119284F8">
      <w:start w:val="1"/>
      <w:numFmt w:val="lowerLetter"/>
      <w:lvlText w:val="%5."/>
      <w:lvlJc w:val="left"/>
      <w:pPr>
        <w:ind w:left="3600" w:hanging="360"/>
      </w:pPr>
    </w:lvl>
    <w:lvl w:ilvl="5" w:tplc="B08EA562">
      <w:start w:val="1"/>
      <w:numFmt w:val="lowerRoman"/>
      <w:lvlText w:val="%6."/>
      <w:lvlJc w:val="right"/>
      <w:pPr>
        <w:ind w:left="4320" w:hanging="180"/>
      </w:pPr>
    </w:lvl>
    <w:lvl w:ilvl="6" w:tplc="11A43CFA">
      <w:start w:val="1"/>
      <w:numFmt w:val="decimal"/>
      <w:lvlText w:val="%7."/>
      <w:lvlJc w:val="left"/>
      <w:pPr>
        <w:ind w:left="5040" w:hanging="360"/>
      </w:pPr>
    </w:lvl>
    <w:lvl w:ilvl="7" w:tplc="C576E03A">
      <w:start w:val="1"/>
      <w:numFmt w:val="lowerLetter"/>
      <w:lvlText w:val="%8."/>
      <w:lvlJc w:val="left"/>
      <w:pPr>
        <w:ind w:left="5760" w:hanging="360"/>
      </w:pPr>
    </w:lvl>
    <w:lvl w:ilvl="8" w:tplc="A8B47D08">
      <w:start w:val="1"/>
      <w:numFmt w:val="lowerRoman"/>
      <w:lvlText w:val="%9."/>
      <w:lvlJc w:val="right"/>
      <w:pPr>
        <w:ind w:left="6480" w:hanging="180"/>
      </w:pPr>
    </w:lvl>
  </w:abstractNum>
  <w:abstractNum w:abstractNumId="14" w15:restartNumberingAfterBreak="0">
    <w:nsid w:val="27E0BB7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0C657C5"/>
    <w:multiLevelType w:val="hybridMultilevel"/>
    <w:tmpl w:val="F4E0F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5E480E"/>
    <w:multiLevelType w:val="hybridMultilevel"/>
    <w:tmpl w:val="4692D750"/>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CE05C9"/>
    <w:multiLevelType w:val="hybridMultilevel"/>
    <w:tmpl w:val="4EF2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263CE"/>
    <w:multiLevelType w:val="multilevel"/>
    <w:tmpl w:val="51CA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4D3480"/>
    <w:multiLevelType w:val="multilevel"/>
    <w:tmpl w:val="8F2C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C09DF8"/>
    <w:multiLevelType w:val="hybridMultilevel"/>
    <w:tmpl w:val="FFFFFFFF"/>
    <w:lvl w:ilvl="0" w:tplc="7C3472B4">
      <w:start w:val="1"/>
      <w:numFmt w:val="decimal"/>
      <w:lvlText w:val="%1."/>
      <w:lvlJc w:val="left"/>
      <w:pPr>
        <w:ind w:left="1080" w:hanging="360"/>
      </w:pPr>
    </w:lvl>
    <w:lvl w:ilvl="1" w:tplc="D074765E">
      <w:start w:val="1"/>
      <w:numFmt w:val="lowerLetter"/>
      <w:lvlText w:val="%2."/>
      <w:lvlJc w:val="left"/>
      <w:pPr>
        <w:ind w:left="1800" w:hanging="360"/>
      </w:pPr>
    </w:lvl>
    <w:lvl w:ilvl="2" w:tplc="754C6ED2">
      <w:start w:val="1"/>
      <w:numFmt w:val="lowerRoman"/>
      <w:lvlText w:val="%3."/>
      <w:lvlJc w:val="right"/>
      <w:pPr>
        <w:ind w:left="2520" w:hanging="180"/>
      </w:pPr>
    </w:lvl>
    <w:lvl w:ilvl="3" w:tplc="F5AEC490">
      <w:start w:val="1"/>
      <w:numFmt w:val="decimal"/>
      <w:lvlText w:val="%4."/>
      <w:lvlJc w:val="left"/>
      <w:pPr>
        <w:ind w:left="3240" w:hanging="360"/>
      </w:pPr>
    </w:lvl>
    <w:lvl w:ilvl="4" w:tplc="420ACA00">
      <w:start w:val="1"/>
      <w:numFmt w:val="lowerLetter"/>
      <w:lvlText w:val="%5."/>
      <w:lvlJc w:val="left"/>
      <w:pPr>
        <w:ind w:left="3960" w:hanging="360"/>
      </w:pPr>
    </w:lvl>
    <w:lvl w:ilvl="5" w:tplc="FC528D50">
      <w:start w:val="1"/>
      <w:numFmt w:val="lowerRoman"/>
      <w:lvlText w:val="%6."/>
      <w:lvlJc w:val="right"/>
      <w:pPr>
        <w:ind w:left="4680" w:hanging="180"/>
      </w:pPr>
    </w:lvl>
    <w:lvl w:ilvl="6" w:tplc="AFF01694">
      <w:start w:val="1"/>
      <w:numFmt w:val="decimal"/>
      <w:lvlText w:val="%7."/>
      <w:lvlJc w:val="left"/>
      <w:pPr>
        <w:ind w:left="5400" w:hanging="360"/>
      </w:pPr>
    </w:lvl>
    <w:lvl w:ilvl="7" w:tplc="94AC31DE">
      <w:start w:val="1"/>
      <w:numFmt w:val="lowerLetter"/>
      <w:lvlText w:val="%8."/>
      <w:lvlJc w:val="left"/>
      <w:pPr>
        <w:ind w:left="6120" w:hanging="360"/>
      </w:pPr>
    </w:lvl>
    <w:lvl w:ilvl="8" w:tplc="7AEADE84">
      <w:start w:val="1"/>
      <w:numFmt w:val="lowerRoman"/>
      <w:lvlText w:val="%9."/>
      <w:lvlJc w:val="right"/>
      <w:pPr>
        <w:ind w:left="6840" w:hanging="180"/>
      </w:pPr>
    </w:lvl>
  </w:abstractNum>
  <w:abstractNum w:abstractNumId="21" w15:restartNumberingAfterBreak="0">
    <w:nsid w:val="431D70B2"/>
    <w:multiLevelType w:val="multilevel"/>
    <w:tmpl w:val="33F4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913E8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7042CF"/>
    <w:multiLevelType w:val="multilevel"/>
    <w:tmpl w:val="666C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8C2A89"/>
    <w:multiLevelType w:val="hybridMultilevel"/>
    <w:tmpl w:val="8D58CB04"/>
    <w:lvl w:ilvl="0" w:tplc="E99456A6">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A680CD"/>
    <w:multiLevelType w:val="hybridMultilevel"/>
    <w:tmpl w:val="FFFFFFFF"/>
    <w:lvl w:ilvl="0" w:tplc="129896B8">
      <w:start w:val="1"/>
      <w:numFmt w:val="decimal"/>
      <w:lvlText w:val="%1."/>
      <w:lvlJc w:val="left"/>
      <w:pPr>
        <w:ind w:left="1080" w:hanging="360"/>
      </w:pPr>
    </w:lvl>
    <w:lvl w:ilvl="1" w:tplc="9BDAA498">
      <w:start w:val="1"/>
      <w:numFmt w:val="lowerLetter"/>
      <w:lvlText w:val="%2."/>
      <w:lvlJc w:val="left"/>
      <w:pPr>
        <w:ind w:left="1800" w:hanging="360"/>
      </w:pPr>
    </w:lvl>
    <w:lvl w:ilvl="2" w:tplc="F18E935E">
      <w:start w:val="1"/>
      <w:numFmt w:val="lowerRoman"/>
      <w:lvlText w:val="%3."/>
      <w:lvlJc w:val="right"/>
      <w:pPr>
        <w:ind w:left="2520" w:hanging="180"/>
      </w:pPr>
    </w:lvl>
    <w:lvl w:ilvl="3" w:tplc="F4ACF53A">
      <w:start w:val="1"/>
      <w:numFmt w:val="decimal"/>
      <w:lvlText w:val="%4."/>
      <w:lvlJc w:val="left"/>
      <w:pPr>
        <w:ind w:left="3240" w:hanging="360"/>
      </w:pPr>
    </w:lvl>
    <w:lvl w:ilvl="4" w:tplc="32E4CDF4">
      <w:start w:val="1"/>
      <w:numFmt w:val="lowerLetter"/>
      <w:lvlText w:val="%5."/>
      <w:lvlJc w:val="left"/>
      <w:pPr>
        <w:ind w:left="3960" w:hanging="360"/>
      </w:pPr>
    </w:lvl>
    <w:lvl w:ilvl="5" w:tplc="9ABCB472">
      <w:start w:val="1"/>
      <w:numFmt w:val="lowerRoman"/>
      <w:lvlText w:val="%6."/>
      <w:lvlJc w:val="right"/>
      <w:pPr>
        <w:ind w:left="4680" w:hanging="180"/>
      </w:pPr>
    </w:lvl>
    <w:lvl w:ilvl="6" w:tplc="1BAAA88E">
      <w:start w:val="1"/>
      <w:numFmt w:val="decimal"/>
      <w:lvlText w:val="%7."/>
      <w:lvlJc w:val="left"/>
      <w:pPr>
        <w:ind w:left="5400" w:hanging="360"/>
      </w:pPr>
    </w:lvl>
    <w:lvl w:ilvl="7" w:tplc="D9D0B020">
      <w:start w:val="1"/>
      <w:numFmt w:val="lowerLetter"/>
      <w:lvlText w:val="%8."/>
      <w:lvlJc w:val="left"/>
      <w:pPr>
        <w:ind w:left="6120" w:hanging="360"/>
      </w:pPr>
    </w:lvl>
    <w:lvl w:ilvl="8" w:tplc="63DED15A">
      <w:start w:val="1"/>
      <w:numFmt w:val="lowerRoman"/>
      <w:lvlText w:val="%9."/>
      <w:lvlJc w:val="right"/>
      <w:pPr>
        <w:ind w:left="6840" w:hanging="180"/>
      </w:pPr>
    </w:lvl>
  </w:abstractNum>
  <w:abstractNum w:abstractNumId="26" w15:restartNumberingAfterBreak="0">
    <w:nsid w:val="4FC87CCA"/>
    <w:multiLevelType w:val="multilevel"/>
    <w:tmpl w:val="622E0AA4"/>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7" w15:restartNumberingAfterBreak="0">
    <w:nsid w:val="51C0043B"/>
    <w:multiLevelType w:val="hybridMultilevel"/>
    <w:tmpl w:val="11CE6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C76D98"/>
    <w:multiLevelType w:val="multilevel"/>
    <w:tmpl w:val="AFE8FCA4"/>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ascii="Arial" w:eastAsia="Times New Roman" w:hAnsi="Arial" w:cs="Arial"/>
      </w:rPr>
    </w:lvl>
    <w:lvl w:ilvl="2">
      <w:start w:val="1"/>
      <w:numFmt w:val="decimal"/>
      <w:lvlText w:val="%3."/>
      <w:lvlJc w:val="left"/>
      <w:pPr>
        <w:ind w:left="2160" w:hanging="360"/>
      </w:pPr>
      <w:rPr>
        <w:rFonts w:cs="Arial" w:hint="default"/>
        <w:color w:val="000000" w:themeColor="text1"/>
        <w:sz w:val="22"/>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305CB30"/>
    <w:multiLevelType w:val="hybridMultilevel"/>
    <w:tmpl w:val="059EF824"/>
    <w:lvl w:ilvl="0" w:tplc="39700DF2">
      <w:start w:val="1"/>
      <w:numFmt w:val="bullet"/>
      <w:lvlText w:val=""/>
      <w:lvlJc w:val="left"/>
      <w:pPr>
        <w:ind w:left="1080" w:hanging="360"/>
      </w:pPr>
      <w:rPr>
        <w:rFonts w:ascii="Symbol" w:hAnsi="Symbol" w:hint="default"/>
      </w:rPr>
    </w:lvl>
    <w:lvl w:ilvl="1" w:tplc="4B98685A">
      <w:start w:val="1"/>
      <w:numFmt w:val="bullet"/>
      <w:lvlText w:val=""/>
      <w:lvlJc w:val="left"/>
      <w:pPr>
        <w:ind w:left="1800" w:hanging="360"/>
      </w:pPr>
      <w:rPr>
        <w:rFonts w:ascii="Symbol" w:hAnsi="Symbol" w:hint="default"/>
      </w:rPr>
    </w:lvl>
    <w:lvl w:ilvl="2" w:tplc="B590CB2E">
      <w:start w:val="1"/>
      <w:numFmt w:val="bullet"/>
      <w:lvlText w:val=""/>
      <w:lvlJc w:val="left"/>
      <w:pPr>
        <w:ind w:left="2520" w:hanging="360"/>
      </w:pPr>
      <w:rPr>
        <w:rFonts w:ascii="Wingdings" w:hAnsi="Wingdings" w:hint="default"/>
      </w:rPr>
    </w:lvl>
    <w:lvl w:ilvl="3" w:tplc="2F789A02">
      <w:start w:val="1"/>
      <w:numFmt w:val="bullet"/>
      <w:lvlText w:val=""/>
      <w:lvlJc w:val="left"/>
      <w:pPr>
        <w:ind w:left="3240" w:hanging="360"/>
      </w:pPr>
      <w:rPr>
        <w:rFonts w:ascii="Symbol" w:hAnsi="Symbol" w:hint="default"/>
      </w:rPr>
    </w:lvl>
    <w:lvl w:ilvl="4" w:tplc="E85A8C2E">
      <w:start w:val="1"/>
      <w:numFmt w:val="bullet"/>
      <w:lvlText w:val="o"/>
      <w:lvlJc w:val="left"/>
      <w:pPr>
        <w:ind w:left="3960" w:hanging="360"/>
      </w:pPr>
      <w:rPr>
        <w:rFonts w:ascii="Courier New" w:hAnsi="Courier New" w:hint="default"/>
      </w:rPr>
    </w:lvl>
    <w:lvl w:ilvl="5" w:tplc="641A9E2A">
      <w:start w:val="1"/>
      <w:numFmt w:val="bullet"/>
      <w:lvlText w:val=""/>
      <w:lvlJc w:val="left"/>
      <w:pPr>
        <w:ind w:left="4680" w:hanging="360"/>
      </w:pPr>
      <w:rPr>
        <w:rFonts w:ascii="Wingdings" w:hAnsi="Wingdings" w:hint="default"/>
      </w:rPr>
    </w:lvl>
    <w:lvl w:ilvl="6" w:tplc="634EFED8">
      <w:start w:val="1"/>
      <w:numFmt w:val="bullet"/>
      <w:lvlText w:val=""/>
      <w:lvlJc w:val="left"/>
      <w:pPr>
        <w:ind w:left="5400" w:hanging="360"/>
      </w:pPr>
      <w:rPr>
        <w:rFonts w:ascii="Symbol" w:hAnsi="Symbol" w:hint="default"/>
      </w:rPr>
    </w:lvl>
    <w:lvl w:ilvl="7" w:tplc="5CA6B88A">
      <w:start w:val="1"/>
      <w:numFmt w:val="bullet"/>
      <w:lvlText w:val="o"/>
      <w:lvlJc w:val="left"/>
      <w:pPr>
        <w:ind w:left="6120" w:hanging="360"/>
      </w:pPr>
      <w:rPr>
        <w:rFonts w:ascii="Courier New" w:hAnsi="Courier New" w:hint="default"/>
      </w:rPr>
    </w:lvl>
    <w:lvl w:ilvl="8" w:tplc="0E9493DE">
      <w:start w:val="1"/>
      <w:numFmt w:val="bullet"/>
      <w:lvlText w:val=""/>
      <w:lvlJc w:val="left"/>
      <w:pPr>
        <w:ind w:left="6840" w:hanging="360"/>
      </w:pPr>
      <w:rPr>
        <w:rFonts w:ascii="Wingdings" w:hAnsi="Wingdings" w:hint="default"/>
      </w:rPr>
    </w:lvl>
  </w:abstractNum>
  <w:abstractNum w:abstractNumId="30" w15:restartNumberingAfterBreak="0">
    <w:nsid w:val="555B7C91"/>
    <w:multiLevelType w:val="hybridMultilevel"/>
    <w:tmpl w:val="FFFFFFFF"/>
    <w:lvl w:ilvl="0" w:tplc="79DC7DDC">
      <w:start w:val="1"/>
      <w:numFmt w:val="bullet"/>
      <w:lvlText w:val=""/>
      <w:lvlJc w:val="left"/>
      <w:pPr>
        <w:ind w:left="720" w:hanging="360"/>
      </w:pPr>
      <w:rPr>
        <w:rFonts w:ascii="Symbol" w:hAnsi="Symbol" w:hint="default"/>
      </w:rPr>
    </w:lvl>
    <w:lvl w:ilvl="1" w:tplc="D95668F8">
      <w:start w:val="1"/>
      <w:numFmt w:val="bullet"/>
      <w:lvlText w:val="o"/>
      <w:lvlJc w:val="left"/>
      <w:pPr>
        <w:ind w:left="1440" w:hanging="360"/>
      </w:pPr>
      <w:rPr>
        <w:rFonts w:ascii="Courier New" w:hAnsi="Courier New" w:hint="default"/>
      </w:rPr>
    </w:lvl>
    <w:lvl w:ilvl="2" w:tplc="903857C8">
      <w:start w:val="1"/>
      <w:numFmt w:val="bullet"/>
      <w:lvlText w:val=""/>
      <w:lvlJc w:val="left"/>
      <w:pPr>
        <w:ind w:left="2160" w:hanging="360"/>
      </w:pPr>
      <w:rPr>
        <w:rFonts w:ascii="Wingdings" w:hAnsi="Wingdings" w:hint="default"/>
      </w:rPr>
    </w:lvl>
    <w:lvl w:ilvl="3" w:tplc="1870E9AE">
      <w:start w:val="1"/>
      <w:numFmt w:val="bullet"/>
      <w:lvlText w:val=""/>
      <w:lvlJc w:val="left"/>
      <w:pPr>
        <w:ind w:left="2880" w:hanging="360"/>
      </w:pPr>
      <w:rPr>
        <w:rFonts w:ascii="Symbol" w:hAnsi="Symbol" w:hint="default"/>
      </w:rPr>
    </w:lvl>
    <w:lvl w:ilvl="4" w:tplc="4BD6E6C4">
      <w:start w:val="1"/>
      <w:numFmt w:val="bullet"/>
      <w:lvlText w:val="o"/>
      <w:lvlJc w:val="left"/>
      <w:pPr>
        <w:ind w:left="3600" w:hanging="360"/>
      </w:pPr>
      <w:rPr>
        <w:rFonts w:ascii="Courier New" w:hAnsi="Courier New" w:hint="default"/>
      </w:rPr>
    </w:lvl>
    <w:lvl w:ilvl="5" w:tplc="9B64B298">
      <w:start w:val="1"/>
      <w:numFmt w:val="bullet"/>
      <w:lvlText w:val=""/>
      <w:lvlJc w:val="left"/>
      <w:pPr>
        <w:ind w:left="4320" w:hanging="360"/>
      </w:pPr>
      <w:rPr>
        <w:rFonts w:ascii="Wingdings" w:hAnsi="Wingdings" w:hint="default"/>
      </w:rPr>
    </w:lvl>
    <w:lvl w:ilvl="6" w:tplc="0F883700">
      <w:start w:val="1"/>
      <w:numFmt w:val="bullet"/>
      <w:lvlText w:val=""/>
      <w:lvlJc w:val="left"/>
      <w:pPr>
        <w:ind w:left="5040" w:hanging="360"/>
      </w:pPr>
      <w:rPr>
        <w:rFonts w:ascii="Symbol" w:hAnsi="Symbol" w:hint="default"/>
      </w:rPr>
    </w:lvl>
    <w:lvl w:ilvl="7" w:tplc="8C0ACD18">
      <w:start w:val="1"/>
      <w:numFmt w:val="bullet"/>
      <w:lvlText w:val="o"/>
      <w:lvlJc w:val="left"/>
      <w:pPr>
        <w:ind w:left="5760" w:hanging="360"/>
      </w:pPr>
      <w:rPr>
        <w:rFonts w:ascii="Courier New" w:hAnsi="Courier New" w:hint="default"/>
      </w:rPr>
    </w:lvl>
    <w:lvl w:ilvl="8" w:tplc="99ACEA80">
      <w:start w:val="1"/>
      <w:numFmt w:val="bullet"/>
      <w:lvlText w:val=""/>
      <w:lvlJc w:val="left"/>
      <w:pPr>
        <w:ind w:left="6480" w:hanging="360"/>
      </w:pPr>
      <w:rPr>
        <w:rFonts w:ascii="Wingdings" w:hAnsi="Wingdings" w:hint="default"/>
      </w:rPr>
    </w:lvl>
  </w:abstractNum>
  <w:abstractNum w:abstractNumId="31" w15:restartNumberingAfterBreak="0">
    <w:nsid w:val="59222C8F"/>
    <w:multiLevelType w:val="hybridMultilevel"/>
    <w:tmpl w:val="0FAC92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4A1F72"/>
    <w:multiLevelType w:val="hybridMultilevel"/>
    <w:tmpl w:val="FFFFFFFF"/>
    <w:lvl w:ilvl="0" w:tplc="177C68B2">
      <w:start w:val="1"/>
      <w:numFmt w:val="decimal"/>
      <w:lvlText w:val="%1."/>
      <w:lvlJc w:val="left"/>
      <w:pPr>
        <w:ind w:left="360" w:hanging="360"/>
      </w:pPr>
    </w:lvl>
    <w:lvl w:ilvl="1" w:tplc="CCD22F8C">
      <w:start w:val="1"/>
      <w:numFmt w:val="lowerLetter"/>
      <w:lvlText w:val="%2."/>
      <w:lvlJc w:val="left"/>
      <w:pPr>
        <w:ind w:left="1080" w:hanging="360"/>
      </w:pPr>
    </w:lvl>
    <w:lvl w:ilvl="2" w:tplc="851049D0">
      <w:start w:val="1"/>
      <w:numFmt w:val="lowerRoman"/>
      <w:lvlText w:val="%3."/>
      <w:lvlJc w:val="right"/>
      <w:pPr>
        <w:ind w:left="1800" w:hanging="180"/>
      </w:pPr>
    </w:lvl>
    <w:lvl w:ilvl="3" w:tplc="1AC2EAF4">
      <w:start w:val="1"/>
      <w:numFmt w:val="decimal"/>
      <w:lvlText w:val="%4."/>
      <w:lvlJc w:val="left"/>
      <w:pPr>
        <w:ind w:left="2520" w:hanging="360"/>
      </w:pPr>
    </w:lvl>
    <w:lvl w:ilvl="4" w:tplc="25C8E552">
      <w:start w:val="1"/>
      <w:numFmt w:val="lowerLetter"/>
      <w:lvlText w:val="%5."/>
      <w:lvlJc w:val="left"/>
      <w:pPr>
        <w:ind w:left="3240" w:hanging="360"/>
      </w:pPr>
    </w:lvl>
    <w:lvl w:ilvl="5" w:tplc="2766B852">
      <w:start w:val="1"/>
      <w:numFmt w:val="lowerRoman"/>
      <w:lvlText w:val="%6."/>
      <w:lvlJc w:val="right"/>
      <w:pPr>
        <w:ind w:left="3960" w:hanging="180"/>
      </w:pPr>
    </w:lvl>
    <w:lvl w:ilvl="6" w:tplc="95043DE8">
      <w:start w:val="1"/>
      <w:numFmt w:val="decimal"/>
      <w:lvlText w:val="%7."/>
      <w:lvlJc w:val="left"/>
      <w:pPr>
        <w:ind w:left="4680" w:hanging="360"/>
      </w:pPr>
    </w:lvl>
    <w:lvl w:ilvl="7" w:tplc="3B325C9C">
      <w:start w:val="1"/>
      <w:numFmt w:val="lowerLetter"/>
      <w:lvlText w:val="%8."/>
      <w:lvlJc w:val="left"/>
      <w:pPr>
        <w:ind w:left="5400" w:hanging="360"/>
      </w:pPr>
    </w:lvl>
    <w:lvl w:ilvl="8" w:tplc="4510EB82">
      <w:start w:val="1"/>
      <w:numFmt w:val="lowerRoman"/>
      <w:lvlText w:val="%9."/>
      <w:lvlJc w:val="right"/>
      <w:pPr>
        <w:ind w:left="6120" w:hanging="180"/>
      </w:pPr>
    </w:lvl>
  </w:abstractNum>
  <w:abstractNum w:abstractNumId="33" w15:restartNumberingAfterBreak="0">
    <w:nsid w:val="5A2210B6"/>
    <w:multiLevelType w:val="hybridMultilevel"/>
    <w:tmpl w:val="ABFC5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ACB486"/>
    <w:multiLevelType w:val="hybridMultilevel"/>
    <w:tmpl w:val="10C225F8"/>
    <w:lvl w:ilvl="0" w:tplc="1CD8CE62">
      <w:start w:val="1"/>
      <w:numFmt w:val="bullet"/>
      <w:lvlText w:val="·"/>
      <w:lvlJc w:val="left"/>
      <w:pPr>
        <w:ind w:left="720" w:hanging="360"/>
      </w:pPr>
      <w:rPr>
        <w:rFonts w:ascii="Symbol" w:hAnsi="Symbol" w:hint="default"/>
      </w:rPr>
    </w:lvl>
    <w:lvl w:ilvl="1" w:tplc="1ACA03AA">
      <w:start w:val="1"/>
      <w:numFmt w:val="bullet"/>
      <w:lvlText w:val="o"/>
      <w:lvlJc w:val="left"/>
      <w:pPr>
        <w:ind w:left="1440" w:hanging="360"/>
      </w:pPr>
      <w:rPr>
        <w:rFonts w:ascii="Courier New" w:hAnsi="Courier New" w:hint="default"/>
      </w:rPr>
    </w:lvl>
    <w:lvl w:ilvl="2" w:tplc="EF1E0CD4">
      <w:start w:val="1"/>
      <w:numFmt w:val="bullet"/>
      <w:lvlText w:val=""/>
      <w:lvlJc w:val="left"/>
      <w:pPr>
        <w:ind w:left="2160" w:hanging="360"/>
      </w:pPr>
      <w:rPr>
        <w:rFonts w:ascii="Wingdings" w:hAnsi="Wingdings" w:hint="default"/>
      </w:rPr>
    </w:lvl>
    <w:lvl w:ilvl="3" w:tplc="96188956">
      <w:start w:val="1"/>
      <w:numFmt w:val="bullet"/>
      <w:lvlText w:val=""/>
      <w:lvlJc w:val="left"/>
      <w:pPr>
        <w:ind w:left="2880" w:hanging="360"/>
      </w:pPr>
      <w:rPr>
        <w:rFonts w:ascii="Symbol" w:hAnsi="Symbol" w:hint="default"/>
      </w:rPr>
    </w:lvl>
    <w:lvl w:ilvl="4" w:tplc="51AA49A8">
      <w:start w:val="1"/>
      <w:numFmt w:val="bullet"/>
      <w:lvlText w:val="o"/>
      <w:lvlJc w:val="left"/>
      <w:pPr>
        <w:ind w:left="3600" w:hanging="360"/>
      </w:pPr>
      <w:rPr>
        <w:rFonts w:ascii="Courier New" w:hAnsi="Courier New" w:hint="default"/>
      </w:rPr>
    </w:lvl>
    <w:lvl w:ilvl="5" w:tplc="09C083EE">
      <w:start w:val="1"/>
      <w:numFmt w:val="bullet"/>
      <w:lvlText w:val=""/>
      <w:lvlJc w:val="left"/>
      <w:pPr>
        <w:ind w:left="4320" w:hanging="360"/>
      </w:pPr>
      <w:rPr>
        <w:rFonts w:ascii="Wingdings" w:hAnsi="Wingdings" w:hint="default"/>
      </w:rPr>
    </w:lvl>
    <w:lvl w:ilvl="6" w:tplc="CF7AF3BA">
      <w:start w:val="1"/>
      <w:numFmt w:val="bullet"/>
      <w:lvlText w:val=""/>
      <w:lvlJc w:val="left"/>
      <w:pPr>
        <w:ind w:left="5040" w:hanging="360"/>
      </w:pPr>
      <w:rPr>
        <w:rFonts w:ascii="Symbol" w:hAnsi="Symbol" w:hint="default"/>
      </w:rPr>
    </w:lvl>
    <w:lvl w:ilvl="7" w:tplc="BC407E44">
      <w:start w:val="1"/>
      <w:numFmt w:val="bullet"/>
      <w:lvlText w:val="o"/>
      <w:lvlJc w:val="left"/>
      <w:pPr>
        <w:ind w:left="5760" w:hanging="360"/>
      </w:pPr>
      <w:rPr>
        <w:rFonts w:ascii="Courier New" w:hAnsi="Courier New" w:hint="default"/>
      </w:rPr>
    </w:lvl>
    <w:lvl w:ilvl="8" w:tplc="7AC441A4">
      <w:start w:val="1"/>
      <w:numFmt w:val="bullet"/>
      <w:lvlText w:val=""/>
      <w:lvlJc w:val="left"/>
      <w:pPr>
        <w:ind w:left="6480" w:hanging="360"/>
      </w:pPr>
      <w:rPr>
        <w:rFonts w:ascii="Wingdings" w:hAnsi="Wingdings" w:hint="default"/>
      </w:rPr>
    </w:lvl>
  </w:abstractNum>
  <w:abstractNum w:abstractNumId="35" w15:restartNumberingAfterBreak="0">
    <w:nsid w:val="61426797"/>
    <w:multiLevelType w:val="multilevel"/>
    <w:tmpl w:val="522002FC"/>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ascii="Arial" w:eastAsia="Times New Roman" w:hAnsi="Arial" w:cs="Arial"/>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65BC37C3"/>
    <w:multiLevelType w:val="hybridMultilevel"/>
    <w:tmpl w:val="D610B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BF2866"/>
    <w:multiLevelType w:val="hybridMultilevel"/>
    <w:tmpl w:val="6CBE2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036D26"/>
    <w:multiLevelType w:val="multilevel"/>
    <w:tmpl w:val="2746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2E5F64"/>
    <w:multiLevelType w:val="hybridMultilevel"/>
    <w:tmpl w:val="FFFFFFFF"/>
    <w:lvl w:ilvl="0" w:tplc="8C18F98C">
      <w:start w:val="1"/>
      <w:numFmt w:val="decimal"/>
      <w:lvlText w:val="%1."/>
      <w:lvlJc w:val="left"/>
      <w:pPr>
        <w:ind w:left="1080" w:hanging="360"/>
      </w:pPr>
    </w:lvl>
    <w:lvl w:ilvl="1" w:tplc="2C2872EE">
      <w:start w:val="1"/>
      <w:numFmt w:val="lowerLetter"/>
      <w:lvlText w:val="%2."/>
      <w:lvlJc w:val="left"/>
      <w:pPr>
        <w:ind w:left="1800" w:hanging="360"/>
      </w:pPr>
    </w:lvl>
    <w:lvl w:ilvl="2" w:tplc="93744658">
      <w:start w:val="1"/>
      <w:numFmt w:val="lowerRoman"/>
      <w:lvlText w:val="%3."/>
      <w:lvlJc w:val="right"/>
      <w:pPr>
        <w:ind w:left="2520" w:hanging="180"/>
      </w:pPr>
    </w:lvl>
    <w:lvl w:ilvl="3" w:tplc="1570BB52">
      <w:start w:val="1"/>
      <w:numFmt w:val="decimal"/>
      <w:lvlText w:val="%4."/>
      <w:lvlJc w:val="left"/>
      <w:pPr>
        <w:ind w:left="3240" w:hanging="360"/>
      </w:pPr>
    </w:lvl>
    <w:lvl w:ilvl="4" w:tplc="F280C144">
      <w:start w:val="1"/>
      <w:numFmt w:val="lowerLetter"/>
      <w:lvlText w:val="%5."/>
      <w:lvlJc w:val="left"/>
      <w:pPr>
        <w:ind w:left="3960" w:hanging="360"/>
      </w:pPr>
    </w:lvl>
    <w:lvl w:ilvl="5" w:tplc="C082AFCC">
      <w:start w:val="1"/>
      <w:numFmt w:val="lowerRoman"/>
      <w:lvlText w:val="%6."/>
      <w:lvlJc w:val="right"/>
      <w:pPr>
        <w:ind w:left="4680" w:hanging="180"/>
      </w:pPr>
    </w:lvl>
    <w:lvl w:ilvl="6" w:tplc="92BE26D4">
      <w:start w:val="1"/>
      <w:numFmt w:val="decimal"/>
      <w:lvlText w:val="%7."/>
      <w:lvlJc w:val="left"/>
      <w:pPr>
        <w:ind w:left="5400" w:hanging="360"/>
      </w:pPr>
    </w:lvl>
    <w:lvl w:ilvl="7" w:tplc="1764A480">
      <w:start w:val="1"/>
      <w:numFmt w:val="lowerLetter"/>
      <w:lvlText w:val="%8."/>
      <w:lvlJc w:val="left"/>
      <w:pPr>
        <w:ind w:left="6120" w:hanging="360"/>
      </w:pPr>
    </w:lvl>
    <w:lvl w:ilvl="8" w:tplc="5FEA1AA0">
      <w:start w:val="1"/>
      <w:numFmt w:val="lowerRoman"/>
      <w:lvlText w:val="%9."/>
      <w:lvlJc w:val="right"/>
      <w:pPr>
        <w:ind w:left="6840" w:hanging="180"/>
      </w:pPr>
    </w:lvl>
  </w:abstractNum>
  <w:abstractNum w:abstractNumId="40" w15:restartNumberingAfterBreak="0">
    <w:nsid w:val="70890EFF"/>
    <w:multiLevelType w:val="hybridMultilevel"/>
    <w:tmpl w:val="1FD20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752D22"/>
    <w:multiLevelType w:val="hybridMultilevel"/>
    <w:tmpl w:val="A63CEF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7A3722"/>
    <w:multiLevelType w:val="hybridMultilevel"/>
    <w:tmpl w:val="BD80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F2DFF7"/>
    <w:multiLevelType w:val="hybridMultilevel"/>
    <w:tmpl w:val="A6660312"/>
    <w:lvl w:ilvl="0" w:tplc="09881008">
      <w:start w:val="1"/>
      <w:numFmt w:val="bullet"/>
      <w:lvlText w:val="·"/>
      <w:lvlJc w:val="left"/>
      <w:pPr>
        <w:ind w:left="720" w:hanging="360"/>
      </w:pPr>
      <w:rPr>
        <w:rFonts w:ascii="Symbol" w:hAnsi="Symbol" w:hint="default"/>
      </w:rPr>
    </w:lvl>
    <w:lvl w:ilvl="1" w:tplc="79BA7520">
      <w:start w:val="1"/>
      <w:numFmt w:val="bullet"/>
      <w:lvlText w:val="o"/>
      <w:lvlJc w:val="left"/>
      <w:pPr>
        <w:ind w:left="1440" w:hanging="360"/>
      </w:pPr>
      <w:rPr>
        <w:rFonts w:ascii="Symbol" w:hAnsi="Symbol" w:hint="default"/>
      </w:rPr>
    </w:lvl>
    <w:lvl w:ilvl="2" w:tplc="F266BD24">
      <w:start w:val="1"/>
      <w:numFmt w:val="bullet"/>
      <w:lvlText w:val=""/>
      <w:lvlJc w:val="left"/>
      <w:pPr>
        <w:ind w:left="2160" w:hanging="360"/>
      </w:pPr>
      <w:rPr>
        <w:rFonts w:ascii="Wingdings" w:hAnsi="Wingdings" w:hint="default"/>
      </w:rPr>
    </w:lvl>
    <w:lvl w:ilvl="3" w:tplc="B5109FF8">
      <w:start w:val="1"/>
      <w:numFmt w:val="bullet"/>
      <w:lvlText w:val=""/>
      <w:lvlJc w:val="left"/>
      <w:pPr>
        <w:ind w:left="2880" w:hanging="360"/>
      </w:pPr>
      <w:rPr>
        <w:rFonts w:ascii="Symbol" w:hAnsi="Symbol" w:hint="default"/>
      </w:rPr>
    </w:lvl>
    <w:lvl w:ilvl="4" w:tplc="6BECC9D4">
      <w:start w:val="1"/>
      <w:numFmt w:val="bullet"/>
      <w:lvlText w:val="o"/>
      <w:lvlJc w:val="left"/>
      <w:pPr>
        <w:ind w:left="3600" w:hanging="360"/>
      </w:pPr>
      <w:rPr>
        <w:rFonts w:ascii="Courier New" w:hAnsi="Courier New" w:hint="default"/>
      </w:rPr>
    </w:lvl>
    <w:lvl w:ilvl="5" w:tplc="42840E06">
      <w:start w:val="1"/>
      <w:numFmt w:val="bullet"/>
      <w:lvlText w:val=""/>
      <w:lvlJc w:val="left"/>
      <w:pPr>
        <w:ind w:left="4320" w:hanging="360"/>
      </w:pPr>
      <w:rPr>
        <w:rFonts w:ascii="Wingdings" w:hAnsi="Wingdings" w:hint="default"/>
      </w:rPr>
    </w:lvl>
    <w:lvl w:ilvl="6" w:tplc="3C980364">
      <w:start w:val="1"/>
      <w:numFmt w:val="bullet"/>
      <w:lvlText w:val=""/>
      <w:lvlJc w:val="left"/>
      <w:pPr>
        <w:ind w:left="5040" w:hanging="360"/>
      </w:pPr>
      <w:rPr>
        <w:rFonts w:ascii="Symbol" w:hAnsi="Symbol" w:hint="default"/>
      </w:rPr>
    </w:lvl>
    <w:lvl w:ilvl="7" w:tplc="9594E10C">
      <w:start w:val="1"/>
      <w:numFmt w:val="bullet"/>
      <w:lvlText w:val="o"/>
      <w:lvlJc w:val="left"/>
      <w:pPr>
        <w:ind w:left="5760" w:hanging="360"/>
      </w:pPr>
      <w:rPr>
        <w:rFonts w:ascii="Courier New" w:hAnsi="Courier New" w:hint="default"/>
      </w:rPr>
    </w:lvl>
    <w:lvl w:ilvl="8" w:tplc="0D2A5238">
      <w:start w:val="1"/>
      <w:numFmt w:val="bullet"/>
      <w:lvlText w:val=""/>
      <w:lvlJc w:val="left"/>
      <w:pPr>
        <w:ind w:left="6480" w:hanging="360"/>
      </w:pPr>
      <w:rPr>
        <w:rFonts w:ascii="Wingdings" w:hAnsi="Wingdings" w:hint="default"/>
      </w:rPr>
    </w:lvl>
  </w:abstractNum>
  <w:abstractNum w:abstractNumId="44" w15:restartNumberingAfterBreak="0">
    <w:nsid w:val="765D2FE1"/>
    <w:multiLevelType w:val="hybridMultilevel"/>
    <w:tmpl w:val="F7D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B3972"/>
    <w:multiLevelType w:val="hybridMultilevel"/>
    <w:tmpl w:val="FFD4E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9317CE1"/>
    <w:multiLevelType w:val="hybridMultilevel"/>
    <w:tmpl w:val="4808B1EC"/>
    <w:lvl w:ilvl="0" w:tplc="52E6ABB8">
      <w:start w:val="1"/>
      <w:numFmt w:val="bullet"/>
      <w:lvlText w:val="·"/>
      <w:lvlJc w:val="left"/>
      <w:pPr>
        <w:ind w:left="720" w:hanging="360"/>
      </w:pPr>
      <w:rPr>
        <w:rFonts w:ascii="Symbol" w:hAnsi="Symbol" w:hint="default"/>
      </w:rPr>
    </w:lvl>
    <w:lvl w:ilvl="1" w:tplc="242CF35C">
      <w:start w:val="1"/>
      <w:numFmt w:val="bullet"/>
      <w:lvlText w:val="o"/>
      <w:lvlJc w:val="left"/>
      <w:pPr>
        <w:ind w:left="1440" w:hanging="360"/>
      </w:pPr>
      <w:rPr>
        <w:rFonts w:ascii="Courier New" w:hAnsi="Courier New" w:hint="default"/>
      </w:rPr>
    </w:lvl>
    <w:lvl w:ilvl="2" w:tplc="9ED856A8">
      <w:start w:val="1"/>
      <w:numFmt w:val="bullet"/>
      <w:lvlText w:val=""/>
      <w:lvlJc w:val="left"/>
      <w:pPr>
        <w:ind w:left="2160" w:hanging="360"/>
      </w:pPr>
      <w:rPr>
        <w:rFonts w:ascii="Wingdings" w:hAnsi="Wingdings" w:hint="default"/>
      </w:rPr>
    </w:lvl>
    <w:lvl w:ilvl="3" w:tplc="CA8009C4">
      <w:start w:val="1"/>
      <w:numFmt w:val="bullet"/>
      <w:lvlText w:val=""/>
      <w:lvlJc w:val="left"/>
      <w:pPr>
        <w:ind w:left="2880" w:hanging="360"/>
      </w:pPr>
      <w:rPr>
        <w:rFonts w:ascii="Symbol" w:hAnsi="Symbol" w:hint="default"/>
      </w:rPr>
    </w:lvl>
    <w:lvl w:ilvl="4" w:tplc="E092DDF2">
      <w:start w:val="1"/>
      <w:numFmt w:val="bullet"/>
      <w:lvlText w:val="o"/>
      <w:lvlJc w:val="left"/>
      <w:pPr>
        <w:ind w:left="3600" w:hanging="360"/>
      </w:pPr>
      <w:rPr>
        <w:rFonts w:ascii="Courier New" w:hAnsi="Courier New" w:hint="default"/>
      </w:rPr>
    </w:lvl>
    <w:lvl w:ilvl="5" w:tplc="0A20D4E8">
      <w:start w:val="1"/>
      <w:numFmt w:val="bullet"/>
      <w:lvlText w:val=""/>
      <w:lvlJc w:val="left"/>
      <w:pPr>
        <w:ind w:left="4320" w:hanging="360"/>
      </w:pPr>
      <w:rPr>
        <w:rFonts w:ascii="Wingdings" w:hAnsi="Wingdings" w:hint="default"/>
      </w:rPr>
    </w:lvl>
    <w:lvl w:ilvl="6" w:tplc="4AE6C944">
      <w:start w:val="1"/>
      <w:numFmt w:val="bullet"/>
      <w:lvlText w:val=""/>
      <w:lvlJc w:val="left"/>
      <w:pPr>
        <w:ind w:left="5040" w:hanging="360"/>
      </w:pPr>
      <w:rPr>
        <w:rFonts w:ascii="Symbol" w:hAnsi="Symbol" w:hint="default"/>
      </w:rPr>
    </w:lvl>
    <w:lvl w:ilvl="7" w:tplc="E23A5DF2">
      <w:start w:val="1"/>
      <w:numFmt w:val="bullet"/>
      <w:lvlText w:val="o"/>
      <w:lvlJc w:val="left"/>
      <w:pPr>
        <w:ind w:left="5760" w:hanging="360"/>
      </w:pPr>
      <w:rPr>
        <w:rFonts w:ascii="Courier New" w:hAnsi="Courier New" w:hint="default"/>
      </w:rPr>
    </w:lvl>
    <w:lvl w:ilvl="8" w:tplc="A3F8CFC8">
      <w:start w:val="1"/>
      <w:numFmt w:val="bullet"/>
      <w:lvlText w:val=""/>
      <w:lvlJc w:val="left"/>
      <w:pPr>
        <w:ind w:left="6480" w:hanging="360"/>
      </w:pPr>
      <w:rPr>
        <w:rFonts w:ascii="Wingdings" w:hAnsi="Wingdings" w:hint="default"/>
      </w:rPr>
    </w:lvl>
  </w:abstractNum>
  <w:abstractNum w:abstractNumId="47" w15:restartNumberingAfterBreak="0">
    <w:nsid w:val="798C40B0"/>
    <w:multiLevelType w:val="hybridMultilevel"/>
    <w:tmpl w:val="C330AF90"/>
    <w:lvl w:ilvl="0" w:tplc="39700DF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81778D"/>
    <w:multiLevelType w:val="hybridMultilevel"/>
    <w:tmpl w:val="385EB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385EF1"/>
    <w:multiLevelType w:val="hybridMultilevel"/>
    <w:tmpl w:val="3DC6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E52305"/>
    <w:multiLevelType w:val="hybridMultilevel"/>
    <w:tmpl w:val="637E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34250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DB133F2"/>
    <w:multiLevelType w:val="hybridMultilevel"/>
    <w:tmpl w:val="0FAC92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DE16EC2"/>
    <w:multiLevelType w:val="hybridMultilevel"/>
    <w:tmpl w:val="4BC8A688"/>
    <w:lvl w:ilvl="0" w:tplc="08090017">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EC40B13"/>
    <w:multiLevelType w:val="multilevel"/>
    <w:tmpl w:val="048CD1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F5E11DE"/>
    <w:multiLevelType w:val="hybridMultilevel"/>
    <w:tmpl w:val="26145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04721434">
    <w:abstractNumId w:val="29"/>
  </w:num>
  <w:num w:numId="2" w16cid:durableId="615061095">
    <w:abstractNumId w:val="13"/>
  </w:num>
  <w:num w:numId="3" w16cid:durableId="1593246129">
    <w:abstractNumId w:val="25"/>
  </w:num>
  <w:num w:numId="4" w16cid:durableId="1411388970">
    <w:abstractNumId w:val="35"/>
  </w:num>
  <w:num w:numId="5" w16cid:durableId="904144787">
    <w:abstractNumId w:val="28"/>
  </w:num>
  <w:num w:numId="6" w16cid:durableId="843085250">
    <w:abstractNumId w:val="11"/>
  </w:num>
  <w:num w:numId="7" w16cid:durableId="2007901805">
    <w:abstractNumId w:val="41"/>
  </w:num>
  <w:num w:numId="8" w16cid:durableId="1080759039">
    <w:abstractNumId w:val="24"/>
  </w:num>
  <w:num w:numId="9" w16cid:durableId="642543295">
    <w:abstractNumId w:val="40"/>
  </w:num>
  <w:num w:numId="10" w16cid:durableId="1237208853">
    <w:abstractNumId w:val="10"/>
  </w:num>
  <w:num w:numId="11" w16cid:durableId="794561217">
    <w:abstractNumId w:val="21"/>
  </w:num>
  <w:num w:numId="12" w16cid:durableId="1063988740">
    <w:abstractNumId w:val="23"/>
  </w:num>
  <w:num w:numId="13" w16cid:durableId="633291635">
    <w:abstractNumId w:val="9"/>
  </w:num>
  <w:num w:numId="14" w16cid:durableId="1707750431">
    <w:abstractNumId w:val="38"/>
  </w:num>
  <w:num w:numId="15" w16cid:durableId="1222641448">
    <w:abstractNumId w:val="18"/>
  </w:num>
  <w:num w:numId="16" w16cid:durableId="1003777526">
    <w:abstractNumId w:val="19"/>
  </w:num>
  <w:num w:numId="17" w16cid:durableId="1040978482">
    <w:abstractNumId w:val="26"/>
  </w:num>
  <w:num w:numId="18" w16cid:durableId="252127458">
    <w:abstractNumId w:val="30"/>
  </w:num>
  <w:num w:numId="19" w16cid:durableId="1394547499">
    <w:abstractNumId w:val="3"/>
  </w:num>
  <w:num w:numId="20" w16cid:durableId="632560455">
    <w:abstractNumId w:val="32"/>
  </w:num>
  <w:num w:numId="21" w16cid:durableId="47189017">
    <w:abstractNumId w:val="33"/>
  </w:num>
  <w:num w:numId="22" w16cid:durableId="1826583816">
    <w:abstractNumId w:val="49"/>
  </w:num>
  <w:num w:numId="23" w16cid:durableId="338238123">
    <w:abstractNumId w:val="20"/>
  </w:num>
  <w:num w:numId="24" w16cid:durableId="27611689">
    <w:abstractNumId w:val="37"/>
  </w:num>
  <w:num w:numId="25" w16cid:durableId="529606795">
    <w:abstractNumId w:val="31"/>
  </w:num>
  <w:num w:numId="26" w16cid:durableId="2012219389">
    <w:abstractNumId w:val="52"/>
  </w:num>
  <w:num w:numId="27" w16cid:durableId="116485404">
    <w:abstractNumId w:val="53"/>
  </w:num>
  <w:num w:numId="28" w16cid:durableId="621961276">
    <w:abstractNumId w:val="34"/>
  </w:num>
  <w:num w:numId="29" w16cid:durableId="130827034">
    <w:abstractNumId w:val="46"/>
  </w:num>
  <w:num w:numId="30" w16cid:durableId="220136691">
    <w:abstractNumId w:val="2"/>
  </w:num>
  <w:num w:numId="31" w16cid:durableId="1847476720">
    <w:abstractNumId w:val="43"/>
  </w:num>
  <w:num w:numId="32" w16cid:durableId="1437821447">
    <w:abstractNumId w:val="6"/>
  </w:num>
  <w:num w:numId="33" w16cid:durableId="343484035">
    <w:abstractNumId w:val="22"/>
  </w:num>
  <w:num w:numId="34" w16cid:durableId="481821147">
    <w:abstractNumId w:val="4"/>
  </w:num>
  <w:num w:numId="35" w16cid:durableId="1741948200">
    <w:abstractNumId w:val="0"/>
  </w:num>
  <w:num w:numId="36" w16cid:durableId="1690566694">
    <w:abstractNumId w:val="7"/>
  </w:num>
  <w:num w:numId="37" w16cid:durableId="1637642690">
    <w:abstractNumId w:val="51"/>
  </w:num>
  <w:num w:numId="38" w16cid:durableId="151216380">
    <w:abstractNumId w:val="14"/>
  </w:num>
  <w:num w:numId="39" w16cid:durableId="82801461">
    <w:abstractNumId w:val="48"/>
  </w:num>
  <w:num w:numId="40" w16cid:durableId="1197039108">
    <w:abstractNumId w:val="1"/>
  </w:num>
  <w:num w:numId="41" w16cid:durableId="761802747">
    <w:abstractNumId w:val="44"/>
  </w:num>
  <w:num w:numId="42" w16cid:durableId="185103564">
    <w:abstractNumId w:val="55"/>
  </w:num>
  <w:num w:numId="43" w16cid:durableId="168104848">
    <w:abstractNumId w:val="54"/>
  </w:num>
  <w:num w:numId="44" w16cid:durableId="996765727">
    <w:abstractNumId w:val="15"/>
  </w:num>
  <w:num w:numId="45" w16cid:durableId="566690006">
    <w:abstractNumId w:val="27"/>
  </w:num>
  <w:num w:numId="46" w16cid:durableId="1034383188">
    <w:abstractNumId w:val="5"/>
  </w:num>
  <w:num w:numId="47" w16cid:durableId="713893718">
    <w:abstractNumId w:val="39"/>
  </w:num>
  <w:num w:numId="48" w16cid:durableId="379327918">
    <w:abstractNumId w:val="36"/>
  </w:num>
  <w:num w:numId="49" w16cid:durableId="844706908">
    <w:abstractNumId w:val="50"/>
  </w:num>
  <w:num w:numId="50" w16cid:durableId="748386826">
    <w:abstractNumId w:val="8"/>
  </w:num>
  <w:num w:numId="51" w16cid:durableId="117459502">
    <w:abstractNumId w:val="45"/>
  </w:num>
  <w:num w:numId="52" w16cid:durableId="801268962">
    <w:abstractNumId w:val="47"/>
  </w:num>
  <w:num w:numId="53" w16cid:durableId="749885566">
    <w:abstractNumId w:val="17"/>
  </w:num>
  <w:num w:numId="54" w16cid:durableId="346907640">
    <w:abstractNumId w:val="42"/>
  </w:num>
  <w:num w:numId="55" w16cid:durableId="860824475">
    <w:abstractNumId w:val="12"/>
  </w:num>
  <w:num w:numId="56" w16cid:durableId="36051594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2C"/>
    <w:rsid w:val="000002D3"/>
    <w:rsid w:val="00000441"/>
    <w:rsid w:val="0000050D"/>
    <w:rsid w:val="000005C7"/>
    <w:rsid w:val="00000609"/>
    <w:rsid w:val="000008A1"/>
    <w:rsid w:val="000008DC"/>
    <w:rsid w:val="00000A00"/>
    <w:rsid w:val="00000B75"/>
    <w:rsid w:val="00000C02"/>
    <w:rsid w:val="00001192"/>
    <w:rsid w:val="00001226"/>
    <w:rsid w:val="000017E1"/>
    <w:rsid w:val="0000188E"/>
    <w:rsid w:val="0000189B"/>
    <w:rsid w:val="00001A66"/>
    <w:rsid w:val="00001B88"/>
    <w:rsid w:val="00001BCA"/>
    <w:rsid w:val="00001DDB"/>
    <w:rsid w:val="00001E7A"/>
    <w:rsid w:val="000022BA"/>
    <w:rsid w:val="0000238C"/>
    <w:rsid w:val="000025C3"/>
    <w:rsid w:val="00002743"/>
    <w:rsid w:val="0000294A"/>
    <w:rsid w:val="00002D7D"/>
    <w:rsid w:val="00002FC0"/>
    <w:rsid w:val="00003057"/>
    <w:rsid w:val="00003130"/>
    <w:rsid w:val="000032A4"/>
    <w:rsid w:val="00003435"/>
    <w:rsid w:val="0000356C"/>
    <w:rsid w:val="00003586"/>
    <w:rsid w:val="000036DE"/>
    <w:rsid w:val="00003921"/>
    <w:rsid w:val="00003C77"/>
    <w:rsid w:val="00003C85"/>
    <w:rsid w:val="00003D82"/>
    <w:rsid w:val="00003EE5"/>
    <w:rsid w:val="00004008"/>
    <w:rsid w:val="000042B6"/>
    <w:rsid w:val="000042F5"/>
    <w:rsid w:val="00004407"/>
    <w:rsid w:val="0000445D"/>
    <w:rsid w:val="0000445E"/>
    <w:rsid w:val="00004489"/>
    <w:rsid w:val="000044FE"/>
    <w:rsid w:val="00004515"/>
    <w:rsid w:val="00004659"/>
    <w:rsid w:val="00004721"/>
    <w:rsid w:val="00004796"/>
    <w:rsid w:val="000049E9"/>
    <w:rsid w:val="00004A3E"/>
    <w:rsid w:val="00004C93"/>
    <w:rsid w:val="00004CB5"/>
    <w:rsid w:val="00004E5A"/>
    <w:rsid w:val="00004F4E"/>
    <w:rsid w:val="00004FF5"/>
    <w:rsid w:val="0000506C"/>
    <w:rsid w:val="00005217"/>
    <w:rsid w:val="00005275"/>
    <w:rsid w:val="000052F5"/>
    <w:rsid w:val="0000547F"/>
    <w:rsid w:val="00005657"/>
    <w:rsid w:val="0000570B"/>
    <w:rsid w:val="000057A7"/>
    <w:rsid w:val="000057BA"/>
    <w:rsid w:val="00005A8B"/>
    <w:rsid w:val="00005F62"/>
    <w:rsid w:val="00006052"/>
    <w:rsid w:val="00006282"/>
    <w:rsid w:val="000062E8"/>
    <w:rsid w:val="000063C5"/>
    <w:rsid w:val="00006449"/>
    <w:rsid w:val="0000646D"/>
    <w:rsid w:val="00006503"/>
    <w:rsid w:val="0000657D"/>
    <w:rsid w:val="000065F2"/>
    <w:rsid w:val="00006628"/>
    <w:rsid w:val="00006722"/>
    <w:rsid w:val="000067CC"/>
    <w:rsid w:val="000068A3"/>
    <w:rsid w:val="000068F4"/>
    <w:rsid w:val="0000700F"/>
    <w:rsid w:val="00007057"/>
    <w:rsid w:val="000070E7"/>
    <w:rsid w:val="0000723C"/>
    <w:rsid w:val="00007255"/>
    <w:rsid w:val="00007583"/>
    <w:rsid w:val="0000764F"/>
    <w:rsid w:val="00007659"/>
    <w:rsid w:val="000076D1"/>
    <w:rsid w:val="000077B6"/>
    <w:rsid w:val="000077F9"/>
    <w:rsid w:val="00007938"/>
    <w:rsid w:val="00007E53"/>
    <w:rsid w:val="00010131"/>
    <w:rsid w:val="00010143"/>
    <w:rsid w:val="00010431"/>
    <w:rsid w:val="000105F1"/>
    <w:rsid w:val="00010605"/>
    <w:rsid w:val="0001077E"/>
    <w:rsid w:val="000107C2"/>
    <w:rsid w:val="0001083A"/>
    <w:rsid w:val="0001083F"/>
    <w:rsid w:val="00010945"/>
    <w:rsid w:val="000109A4"/>
    <w:rsid w:val="000109CC"/>
    <w:rsid w:val="00010A70"/>
    <w:rsid w:val="00010D59"/>
    <w:rsid w:val="00010E89"/>
    <w:rsid w:val="000111B2"/>
    <w:rsid w:val="00011479"/>
    <w:rsid w:val="0001170A"/>
    <w:rsid w:val="0001188F"/>
    <w:rsid w:val="000119A4"/>
    <w:rsid w:val="000119C1"/>
    <w:rsid w:val="00011BB4"/>
    <w:rsid w:val="00011C52"/>
    <w:rsid w:val="00011D65"/>
    <w:rsid w:val="00012100"/>
    <w:rsid w:val="000121B5"/>
    <w:rsid w:val="0001229A"/>
    <w:rsid w:val="00012335"/>
    <w:rsid w:val="000123F2"/>
    <w:rsid w:val="00012441"/>
    <w:rsid w:val="00012664"/>
    <w:rsid w:val="00012698"/>
    <w:rsid w:val="000126E4"/>
    <w:rsid w:val="0001281C"/>
    <w:rsid w:val="00012877"/>
    <w:rsid w:val="00012918"/>
    <w:rsid w:val="00012AD6"/>
    <w:rsid w:val="00012BBC"/>
    <w:rsid w:val="00012D05"/>
    <w:rsid w:val="00012DA3"/>
    <w:rsid w:val="00012FAE"/>
    <w:rsid w:val="0001323C"/>
    <w:rsid w:val="000134E2"/>
    <w:rsid w:val="00013674"/>
    <w:rsid w:val="00013845"/>
    <w:rsid w:val="00013A36"/>
    <w:rsid w:val="00013A3C"/>
    <w:rsid w:val="00013B71"/>
    <w:rsid w:val="00013C6F"/>
    <w:rsid w:val="00013D46"/>
    <w:rsid w:val="00013E29"/>
    <w:rsid w:val="00013F5C"/>
    <w:rsid w:val="00014094"/>
    <w:rsid w:val="000140EA"/>
    <w:rsid w:val="0001410C"/>
    <w:rsid w:val="00014115"/>
    <w:rsid w:val="0001428C"/>
    <w:rsid w:val="000142D6"/>
    <w:rsid w:val="00014453"/>
    <w:rsid w:val="0001451C"/>
    <w:rsid w:val="0001479B"/>
    <w:rsid w:val="00014883"/>
    <w:rsid w:val="00014978"/>
    <w:rsid w:val="00014B15"/>
    <w:rsid w:val="00014B4B"/>
    <w:rsid w:val="00014BF9"/>
    <w:rsid w:val="000154BB"/>
    <w:rsid w:val="0001568F"/>
    <w:rsid w:val="000156F6"/>
    <w:rsid w:val="00015793"/>
    <w:rsid w:val="0001581E"/>
    <w:rsid w:val="000158ED"/>
    <w:rsid w:val="0001591F"/>
    <w:rsid w:val="00015BA6"/>
    <w:rsid w:val="00015C34"/>
    <w:rsid w:val="00015C9D"/>
    <w:rsid w:val="00015DD1"/>
    <w:rsid w:val="00015DEA"/>
    <w:rsid w:val="00015E0E"/>
    <w:rsid w:val="00015E50"/>
    <w:rsid w:val="0001623F"/>
    <w:rsid w:val="00016259"/>
    <w:rsid w:val="00016381"/>
    <w:rsid w:val="00016474"/>
    <w:rsid w:val="000165E9"/>
    <w:rsid w:val="00016B3D"/>
    <w:rsid w:val="00016CC8"/>
    <w:rsid w:val="00016DD8"/>
    <w:rsid w:val="00016EE8"/>
    <w:rsid w:val="00016FB9"/>
    <w:rsid w:val="000175E5"/>
    <w:rsid w:val="000175EA"/>
    <w:rsid w:val="0001767F"/>
    <w:rsid w:val="0001790F"/>
    <w:rsid w:val="000179EA"/>
    <w:rsid w:val="00017A00"/>
    <w:rsid w:val="00017AC4"/>
    <w:rsid w:val="00017B7C"/>
    <w:rsid w:val="00017B87"/>
    <w:rsid w:val="00017CBA"/>
    <w:rsid w:val="00017F52"/>
    <w:rsid w:val="000201E6"/>
    <w:rsid w:val="000203F8"/>
    <w:rsid w:val="000206BA"/>
    <w:rsid w:val="000208A6"/>
    <w:rsid w:val="00020946"/>
    <w:rsid w:val="00020A4F"/>
    <w:rsid w:val="00020ADD"/>
    <w:rsid w:val="00020B9F"/>
    <w:rsid w:val="00020BAA"/>
    <w:rsid w:val="00020CDC"/>
    <w:rsid w:val="00020DD3"/>
    <w:rsid w:val="00021429"/>
    <w:rsid w:val="000214E0"/>
    <w:rsid w:val="0002153C"/>
    <w:rsid w:val="0002157B"/>
    <w:rsid w:val="00021919"/>
    <w:rsid w:val="00021BD2"/>
    <w:rsid w:val="00021C7F"/>
    <w:rsid w:val="00021FEF"/>
    <w:rsid w:val="0002225B"/>
    <w:rsid w:val="00022260"/>
    <w:rsid w:val="000223E7"/>
    <w:rsid w:val="00022515"/>
    <w:rsid w:val="00022646"/>
    <w:rsid w:val="00022917"/>
    <w:rsid w:val="000229E4"/>
    <w:rsid w:val="00022A38"/>
    <w:rsid w:val="00022C41"/>
    <w:rsid w:val="00022C72"/>
    <w:rsid w:val="00022E65"/>
    <w:rsid w:val="000230F8"/>
    <w:rsid w:val="000234A2"/>
    <w:rsid w:val="0002370C"/>
    <w:rsid w:val="000238B1"/>
    <w:rsid w:val="00023B33"/>
    <w:rsid w:val="00023D7F"/>
    <w:rsid w:val="00023D92"/>
    <w:rsid w:val="00023E42"/>
    <w:rsid w:val="00023FEB"/>
    <w:rsid w:val="000243C5"/>
    <w:rsid w:val="0002449B"/>
    <w:rsid w:val="0002450B"/>
    <w:rsid w:val="0002460E"/>
    <w:rsid w:val="000247E8"/>
    <w:rsid w:val="00024C74"/>
    <w:rsid w:val="00024DCF"/>
    <w:rsid w:val="00024ED9"/>
    <w:rsid w:val="00025297"/>
    <w:rsid w:val="000252AF"/>
    <w:rsid w:val="000252D7"/>
    <w:rsid w:val="00025300"/>
    <w:rsid w:val="00025516"/>
    <w:rsid w:val="000256EB"/>
    <w:rsid w:val="0002571C"/>
    <w:rsid w:val="000257AF"/>
    <w:rsid w:val="00025A15"/>
    <w:rsid w:val="00025F98"/>
    <w:rsid w:val="000260C0"/>
    <w:rsid w:val="000261ED"/>
    <w:rsid w:val="000263FE"/>
    <w:rsid w:val="00026502"/>
    <w:rsid w:val="000266D2"/>
    <w:rsid w:val="000266EA"/>
    <w:rsid w:val="00026CE5"/>
    <w:rsid w:val="00026D38"/>
    <w:rsid w:val="00026DD3"/>
    <w:rsid w:val="0002736C"/>
    <w:rsid w:val="00027464"/>
    <w:rsid w:val="000274B2"/>
    <w:rsid w:val="00027627"/>
    <w:rsid w:val="000277F4"/>
    <w:rsid w:val="000278A0"/>
    <w:rsid w:val="00027FD8"/>
    <w:rsid w:val="00030031"/>
    <w:rsid w:val="00030361"/>
    <w:rsid w:val="00030456"/>
    <w:rsid w:val="00030625"/>
    <w:rsid w:val="0003072D"/>
    <w:rsid w:val="0003076F"/>
    <w:rsid w:val="00030872"/>
    <w:rsid w:val="00030D6B"/>
    <w:rsid w:val="00030E97"/>
    <w:rsid w:val="00030FB1"/>
    <w:rsid w:val="000313D0"/>
    <w:rsid w:val="00031425"/>
    <w:rsid w:val="000314A9"/>
    <w:rsid w:val="00031522"/>
    <w:rsid w:val="000316CA"/>
    <w:rsid w:val="0003178A"/>
    <w:rsid w:val="00031A37"/>
    <w:rsid w:val="00031BB5"/>
    <w:rsid w:val="00031E3E"/>
    <w:rsid w:val="00031E52"/>
    <w:rsid w:val="000320A0"/>
    <w:rsid w:val="000320B6"/>
    <w:rsid w:val="000321FD"/>
    <w:rsid w:val="00032262"/>
    <w:rsid w:val="000324F7"/>
    <w:rsid w:val="00032515"/>
    <w:rsid w:val="00032CF6"/>
    <w:rsid w:val="00032E39"/>
    <w:rsid w:val="000333AD"/>
    <w:rsid w:val="0003342A"/>
    <w:rsid w:val="000337AC"/>
    <w:rsid w:val="000337D5"/>
    <w:rsid w:val="00033800"/>
    <w:rsid w:val="00033854"/>
    <w:rsid w:val="00033B0F"/>
    <w:rsid w:val="00033BFD"/>
    <w:rsid w:val="00033E08"/>
    <w:rsid w:val="000341C7"/>
    <w:rsid w:val="000343AE"/>
    <w:rsid w:val="000343E7"/>
    <w:rsid w:val="00034540"/>
    <w:rsid w:val="0003461E"/>
    <w:rsid w:val="000348FB"/>
    <w:rsid w:val="0003494B"/>
    <w:rsid w:val="00034A88"/>
    <w:rsid w:val="00034AFC"/>
    <w:rsid w:val="00034BF5"/>
    <w:rsid w:val="00034F54"/>
    <w:rsid w:val="00034F7D"/>
    <w:rsid w:val="000350FF"/>
    <w:rsid w:val="000354DD"/>
    <w:rsid w:val="000354F2"/>
    <w:rsid w:val="00035531"/>
    <w:rsid w:val="000355D8"/>
    <w:rsid w:val="0003565D"/>
    <w:rsid w:val="0003592C"/>
    <w:rsid w:val="0003595E"/>
    <w:rsid w:val="000359AD"/>
    <w:rsid w:val="00035BE2"/>
    <w:rsid w:val="00035CE5"/>
    <w:rsid w:val="00035FA5"/>
    <w:rsid w:val="0003606D"/>
    <w:rsid w:val="0003626F"/>
    <w:rsid w:val="000362C3"/>
    <w:rsid w:val="000363AD"/>
    <w:rsid w:val="0003640E"/>
    <w:rsid w:val="00036466"/>
    <w:rsid w:val="00036473"/>
    <w:rsid w:val="0003649F"/>
    <w:rsid w:val="00036567"/>
    <w:rsid w:val="000368C1"/>
    <w:rsid w:val="00036A52"/>
    <w:rsid w:val="00036AD1"/>
    <w:rsid w:val="00036B40"/>
    <w:rsid w:val="00036C03"/>
    <w:rsid w:val="00036C56"/>
    <w:rsid w:val="00036D68"/>
    <w:rsid w:val="00036E9B"/>
    <w:rsid w:val="00037268"/>
    <w:rsid w:val="000373C9"/>
    <w:rsid w:val="000374EB"/>
    <w:rsid w:val="0003763B"/>
    <w:rsid w:val="00037685"/>
    <w:rsid w:val="000376F7"/>
    <w:rsid w:val="00037751"/>
    <w:rsid w:val="0003775A"/>
    <w:rsid w:val="00037940"/>
    <w:rsid w:val="000379EA"/>
    <w:rsid w:val="00037A3B"/>
    <w:rsid w:val="00037A46"/>
    <w:rsid w:val="00037A82"/>
    <w:rsid w:val="00037C31"/>
    <w:rsid w:val="00037C85"/>
    <w:rsid w:val="00037CE5"/>
    <w:rsid w:val="00040045"/>
    <w:rsid w:val="0004006C"/>
    <w:rsid w:val="000400AF"/>
    <w:rsid w:val="0004016C"/>
    <w:rsid w:val="00040539"/>
    <w:rsid w:val="00040786"/>
    <w:rsid w:val="00040893"/>
    <w:rsid w:val="00040B3B"/>
    <w:rsid w:val="00040D12"/>
    <w:rsid w:val="000411A5"/>
    <w:rsid w:val="0004127C"/>
    <w:rsid w:val="00041283"/>
    <w:rsid w:val="00041400"/>
    <w:rsid w:val="000414E9"/>
    <w:rsid w:val="00041578"/>
    <w:rsid w:val="000417FA"/>
    <w:rsid w:val="00041A2D"/>
    <w:rsid w:val="00041D8A"/>
    <w:rsid w:val="00041ED1"/>
    <w:rsid w:val="00041F95"/>
    <w:rsid w:val="00042186"/>
    <w:rsid w:val="000421B2"/>
    <w:rsid w:val="000421D0"/>
    <w:rsid w:val="0004247E"/>
    <w:rsid w:val="00042533"/>
    <w:rsid w:val="000425EB"/>
    <w:rsid w:val="00042611"/>
    <w:rsid w:val="00042689"/>
    <w:rsid w:val="0004274F"/>
    <w:rsid w:val="000428D1"/>
    <w:rsid w:val="0004291B"/>
    <w:rsid w:val="00042932"/>
    <w:rsid w:val="00042AE0"/>
    <w:rsid w:val="00042CDC"/>
    <w:rsid w:val="000430EA"/>
    <w:rsid w:val="00043A70"/>
    <w:rsid w:val="00043C64"/>
    <w:rsid w:val="00043FA3"/>
    <w:rsid w:val="0004410D"/>
    <w:rsid w:val="000441F8"/>
    <w:rsid w:val="00044606"/>
    <w:rsid w:val="0004474E"/>
    <w:rsid w:val="000448A3"/>
    <w:rsid w:val="00044A6E"/>
    <w:rsid w:val="00044AC7"/>
    <w:rsid w:val="00044B95"/>
    <w:rsid w:val="00044C0F"/>
    <w:rsid w:val="00044C34"/>
    <w:rsid w:val="00044DD9"/>
    <w:rsid w:val="00045096"/>
    <w:rsid w:val="00045132"/>
    <w:rsid w:val="0004533D"/>
    <w:rsid w:val="000453A0"/>
    <w:rsid w:val="000454CB"/>
    <w:rsid w:val="000455CB"/>
    <w:rsid w:val="00045651"/>
    <w:rsid w:val="00045668"/>
    <w:rsid w:val="00045A20"/>
    <w:rsid w:val="00045A2A"/>
    <w:rsid w:val="00045F39"/>
    <w:rsid w:val="00045F79"/>
    <w:rsid w:val="0004605D"/>
    <w:rsid w:val="0004607C"/>
    <w:rsid w:val="000461EC"/>
    <w:rsid w:val="00046246"/>
    <w:rsid w:val="000462E3"/>
    <w:rsid w:val="00046646"/>
    <w:rsid w:val="00046699"/>
    <w:rsid w:val="000466A8"/>
    <w:rsid w:val="0004673C"/>
    <w:rsid w:val="00046D51"/>
    <w:rsid w:val="000470CD"/>
    <w:rsid w:val="00047217"/>
    <w:rsid w:val="00047412"/>
    <w:rsid w:val="0004748B"/>
    <w:rsid w:val="0004748E"/>
    <w:rsid w:val="00047930"/>
    <w:rsid w:val="000479D8"/>
    <w:rsid w:val="00047A4D"/>
    <w:rsid w:val="00047BB5"/>
    <w:rsid w:val="00047CB1"/>
    <w:rsid w:val="00047DA1"/>
    <w:rsid w:val="00047E3A"/>
    <w:rsid w:val="00050196"/>
    <w:rsid w:val="00050A54"/>
    <w:rsid w:val="00050A57"/>
    <w:rsid w:val="00050A6C"/>
    <w:rsid w:val="00050B68"/>
    <w:rsid w:val="00051420"/>
    <w:rsid w:val="00051482"/>
    <w:rsid w:val="000515A1"/>
    <w:rsid w:val="00051729"/>
    <w:rsid w:val="00051752"/>
    <w:rsid w:val="0005179B"/>
    <w:rsid w:val="00051A2D"/>
    <w:rsid w:val="00051B41"/>
    <w:rsid w:val="00051BD2"/>
    <w:rsid w:val="000520D4"/>
    <w:rsid w:val="000521B8"/>
    <w:rsid w:val="00052264"/>
    <w:rsid w:val="0005246C"/>
    <w:rsid w:val="0005248C"/>
    <w:rsid w:val="000525DB"/>
    <w:rsid w:val="00052735"/>
    <w:rsid w:val="00052785"/>
    <w:rsid w:val="00052847"/>
    <w:rsid w:val="000528C5"/>
    <w:rsid w:val="00052995"/>
    <w:rsid w:val="00052A37"/>
    <w:rsid w:val="00052C27"/>
    <w:rsid w:val="00052D84"/>
    <w:rsid w:val="00052FA7"/>
    <w:rsid w:val="00053025"/>
    <w:rsid w:val="00053236"/>
    <w:rsid w:val="0005328F"/>
    <w:rsid w:val="00053345"/>
    <w:rsid w:val="000533D8"/>
    <w:rsid w:val="00053470"/>
    <w:rsid w:val="0005355D"/>
    <w:rsid w:val="00053740"/>
    <w:rsid w:val="00053909"/>
    <w:rsid w:val="00053A03"/>
    <w:rsid w:val="00053E11"/>
    <w:rsid w:val="00053E73"/>
    <w:rsid w:val="00053EB1"/>
    <w:rsid w:val="00054124"/>
    <w:rsid w:val="000541BB"/>
    <w:rsid w:val="000541E8"/>
    <w:rsid w:val="0005427C"/>
    <w:rsid w:val="0005483F"/>
    <w:rsid w:val="00054A05"/>
    <w:rsid w:val="00054AA4"/>
    <w:rsid w:val="00054DD4"/>
    <w:rsid w:val="00054ED4"/>
    <w:rsid w:val="00055022"/>
    <w:rsid w:val="00055679"/>
    <w:rsid w:val="00055BF7"/>
    <w:rsid w:val="00055E79"/>
    <w:rsid w:val="00055E8F"/>
    <w:rsid w:val="00055EEF"/>
    <w:rsid w:val="00055F75"/>
    <w:rsid w:val="00055FD4"/>
    <w:rsid w:val="0005601A"/>
    <w:rsid w:val="0005612C"/>
    <w:rsid w:val="000562F0"/>
    <w:rsid w:val="0005644A"/>
    <w:rsid w:val="0005655A"/>
    <w:rsid w:val="00056624"/>
    <w:rsid w:val="000568C7"/>
    <w:rsid w:val="00056D0A"/>
    <w:rsid w:val="00056D67"/>
    <w:rsid w:val="00056FB1"/>
    <w:rsid w:val="00057069"/>
    <w:rsid w:val="00057072"/>
    <w:rsid w:val="00057377"/>
    <w:rsid w:val="000576AD"/>
    <w:rsid w:val="000577A0"/>
    <w:rsid w:val="00057917"/>
    <w:rsid w:val="00057A7F"/>
    <w:rsid w:val="00057AB1"/>
    <w:rsid w:val="00057C12"/>
    <w:rsid w:val="00057C78"/>
    <w:rsid w:val="00057D7B"/>
    <w:rsid w:val="00057F59"/>
    <w:rsid w:val="000600CF"/>
    <w:rsid w:val="000600D3"/>
    <w:rsid w:val="00060205"/>
    <w:rsid w:val="0006024C"/>
    <w:rsid w:val="000602E1"/>
    <w:rsid w:val="000603CF"/>
    <w:rsid w:val="00060403"/>
    <w:rsid w:val="00060525"/>
    <w:rsid w:val="000607F0"/>
    <w:rsid w:val="0006093E"/>
    <w:rsid w:val="000609AE"/>
    <w:rsid w:val="00060A4A"/>
    <w:rsid w:val="00060DC0"/>
    <w:rsid w:val="000612CE"/>
    <w:rsid w:val="000612DD"/>
    <w:rsid w:val="000614D1"/>
    <w:rsid w:val="000615B2"/>
    <w:rsid w:val="000615E4"/>
    <w:rsid w:val="00061632"/>
    <w:rsid w:val="000617FF"/>
    <w:rsid w:val="000618E4"/>
    <w:rsid w:val="00061959"/>
    <w:rsid w:val="0006198E"/>
    <w:rsid w:val="000619BC"/>
    <w:rsid w:val="00061B31"/>
    <w:rsid w:val="00061C70"/>
    <w:rsid w:val="0006209F"/>
    <w:rsid w:val="0006222A"/>
    <w:rsid w:val="00062503"/>
    <w:rsid w:val="000626EA"/>
    <w:rsid w:val="0006296F"/>
    <w:rsid w:val="00062B94"/>
    <w:rsid w:val="00062C85"/>
    <w:rsid w:val="00062EBD"/>
    <w:rsid w:val="00062F3A"/>
    <w:rsid w:val="00062F95"/>
    <w:rsid w:val="0006309D"/>
    <w:rsid w:val="00063240"/>
    <w:rsid w:val="0006330D"/>
    <w:rsid w:val="00063359"/>
    <w:rsid w:val="000633F3"/>
    <w:rsid w:val="0006346F"/>
    <w:rsid w:val="000636BC"/>
    <w:rsid w:val="00063971"/>
    <w:rsid w:val="00063BD1"/>
    <w:rsid w:val="0006408B"/>
    <w:rsid w:val="0006420E"/>
    <w:rsid w:val="000642A4"/>
    <w:rsid w:val="00064667"/>
    <w:rsid w:val="00064A43"/>
    <w:rsid w:val="00064A56"/>
    <w:rsid w:val="00064A6F"/>
    <w:rsid w:val="00064B02"/>
    <w:rsid w:val="00064C43"/>
    <w:rsid w:val="00064E25"/>
    <w:rsid w:val="00064EF0"/>
    <w:rsid w:val="00065171"/>
    <w:rsid w:val="0006538B"/>
    <w:rsid w:val="0006563A"/>
    <w:rsid w:val="0006572F"/>
    <w:rsid w:val="00065889"/>
    <w:rsid w:val="000658E7"/>
    <w:rsid w:val="000659BE"/>
    <w:rsid w:val="00065BC8"/>
    <w:rsid w:val="00065DA0"/>
    <w:rsid w:val="00065E1C"/>
    <w:rsid w:val="00066072"/>
    <w:rsid w:val="0006619F"/>
    <w:rsid w:val="00066592"/>
    <w:rsid w:val="00066629"/>
    <w:rsid w:val="0006674B"/>
    <w:rsid w:val="000667DD"/>
    <w:rsid w:val="000668DC"/>
    <w:rsid w:val="00066B98"/>
    <w:rsid w:val="00066EF5"/>
    <w:rsid w:val="00066F46"/>
    <w:rsid w:val="000670DE"/>
    <w:rsid w:val="00067145"/>
    <w:rsid w:val="0006728B"/>
    <w:rsid w:val="00067324"/>
    <w:rsid w:val="000673DE"/>
    <w:rsid w:val="0006766D"/>
    <w:rsid w:val="0006773B"/>
    <w:rsid w:val="00067B25"/>
    <w:rsid w:val="00067FC4"/>
    <w:rsid w:val="00070088"/>
    <w:rsid w:val="00070538"/>
    <w:rsid w:val="00070725"/>
    <w:rsid w:val="000708C2"/>
    <w:rsid w:val="00070AA1"/>
    <w:rsid w:val="00070DEC"/>
    <w:rsid w:val="00071040"/>
    <w:rsid w:val="000714A8"/>
    <w:rsid w:val="00071640"/>
    <w:rsid w:val="000719E5"/>
    <w:rsid w:val="00071B0E"/>
    <w:rsid w:val="00071BD4"/>
    <w:rsid w:val="00071D4B"/>
    <w:rsid w:val="000720B1"/>
    <w:rsid w:val="00072287"/>
    <w:rsid w:val="0007240E"/>
    <w:rsid w:val="00072505"/>
    <w:rsid w:val="0007251C"/>
    <w:rsid w:val="00072661"/>
    <w:rsid w:val="000726BD"/>
    <w:rsid w:val="000726CC"/>
    <w:rsid w:val="00072A5C"/>
    <w:rsid w:val="00072BD1"/>
    <w:rsid w:val="00072D95"/>
    <w:rsid w:val="00072E46"/>
    <w:rsid w:val="00072EED"/>
    <w:rsid w:val="00072F87"/>
    <w:rsid w:val="0007307A"/>
    <w:rsid w:val="00073117"/>
    <w:rsid w:val="0007326E"/>
    <w:rsid w:val="0007358E"/>
    <w:rsid w:val="000735AB"/>
    <w:rsid w:val="00073633"/>
    <w:rsid w:val="00073880"/>
    <w:rsid w:val="00073942"/>
    <w:rsid w:val="000739E5"/>
    <w:rsid w:val="00073A7E"/>
    <w:rsid w:val="00073C74"/>
    <w:rsid w:val="00073D2B"/>
    <w:rsid w:val="00073F40"/>
    <w:rsid w:val="00074018"/>
    <w:rsid w:val="00074130"/>
    <w:rsid w:val="0007434F"/>
    <w:rsid w:val="00074498"/>
    <w:rsid w:val="000745EC"/>
    <w:rsid w:val="00074701"/>
    <w:rsid w:val="00074932"/>
    <w:rsid w:val="00074AFE"/>
    <w:rsid w:val="00074B73"/>
    <w:rsid w:val="00074D0C"/>
    <w:rsid w:val="00074D5C"/>
    <w:rsid w:val="00074F3D"/>
    <w:rsid w:val="0007514C"/>
    <w:rsid w:val="00075544"/>
    <w:rsid w:val="000755D1"/>
    <w:rsid w:val="000759C6"/>
    <w:rsid w:val="00075A1B"/>
    <w:rsid w:val="00075CDE"/>
    <w:rsid w:val="00075E72"/>
    <w:rsid w:val="00075F75"/>
    <w:rsid w:val="00076154"/>
    <w:rsid w:val="00076229"/>
    <w:rsid w:val="00076436"/>
    <w:rsid w:val="00076DA6"/>
    <w:rsid w:val="00076E51"/>
    <w:rsid w:val="00076FA3"/>
    <w:rsid w:val="0007728D"/>
    <w:rsid w:val="000774E5"/>
    <w:rsid w:val="000775A7"/>
    <w:rsid w:val="0007773A"/>
    <w:rsid w:val="00077AA2"/>
    <w:rsid w:val="00077AF8"/>
    <w:rsid w:val="00077C93"/>
    <w:rsid w:val="00077DF4"/>
    <w:rsid w:val="00077E08"/>
    <w:rsid w:val="00077F7D"/>
    <w:rsid w:val="00080399"/>
    <w:rsid w:val="00080410"/>
    <w:rsid w:val="00080634"/>
    <w:rsid w:val="00080965"/>
    <w:rsid w:val="00080B7B"/>
    <w:rsid w:val="00080C85"/>
    <w:rsid w:val="000810D7"/>
    <w:rsid w:val="000816A3"/>
    <w:rsid w:val="00081816"/>
    <w:rsid w:val="0008189F"/>
    <w:rsid w:val="000819D4"/>
    <w:rsid w:val="00081A29"/>
    <w:rsid w:val="00081ACD"/>
    <w:rsid w:val="00081BBA"/>
    <w:rsid w:val="00081EFE"/>
    <w:rsid w:val="00081F37"/>
    <w:rsid w:val="00081FF8"/>
    <w:rsid w:val="000820D7"/>
    <w:rsid w:val="00082150"/>
    <w:rsid w:val="000828A8"/>
    <w:rsid w:val="00082A3B"/>
    <w:rsid w:val="00082D3B"/>
    <w:rsid w:val="00082FE6"/>
    <w:rsid w:val="000830E5"/>
    <w:rsid w:val="0008314B"/>
    <w:rsid w:val="0008326E"/>
    <w:rsid w:val="000833F3"/>
    <w:rsid w:val="00083485"/>
    <w:rsid w:val="00083A5D"/>
    <w:rsid w:val="00083CF3"/>
    <w:rsid w:val="00083E43"/>
    <w:rsid w:val="00084043"/>
    <w:rsid w:val="000841B2"/>
    <w:rsid w:val="0008433F"/>
    <w:rsid w:val="00084426"/>
    <w:rsid w:val="0008444A"/>
    <w:rsid w:val="00084500"/>
    <w:rsid w:val="00084592"/>
    <w:rsid w:val="00084597"/>
    <w:rsid w:val="00084799"/>
    <w:rsid w:val="00084BBC"/>
    <w:rsid w:val="00084C15"/>
    <w:rsid w:val="00084DC0"/>
    <w:rsid w:val="00084E0C"/>
    <w:rsid w:val="00084EC6"/>
    <w:rsid w:val="00085072"/>
    <w:rsid w:val="0008523C"/>
    <w:rsid w:val="00085385"/>
    <w:rsid w:val="00085641"/>
    <w:rsid w:val="0008573A"/>
    <w:rsid w:val="000857E3"/>
    <w:rsid w:val="0008583E"/>
    <w:rsid w:val="00085BE1"/>
    <w:rsid w:val="00085D1B"/>
    <w:rsid w:val="00085DD6"/>
    <w:rsid w:val="000866C4"/>
    <w:rsid w:val="0008698F"/>
    <w:rsid w:val="00086A0F"/>
    <w:rsid w:val="00086C27"/>
    <w:rsid w:val="00086D43"/>
    <w:rsid w:val="00086F9B"/>
    <w:rsid w:val="000873B4"/>
    <w:rsid w:val="000874FE"/>
    <w:rsid w:val="000875BF"/>
    <w:rsid w:val="0008772B"/>
    <w:rsid w:val="00087772"/>
    <w:rsid w:val="0008790B"/>
    <w:rsid w:val="00087AA9"/>
    <w:rsid w:val="00087D12"/>
    <w:rsid w:val="00087F7A"/>
    <w:rsid w:val="00090212"/>
    <w:rsid w:val="00090217"/>
    <w:rsid w:val="00090284"/>
    <w:rsid w:val="000906DC"/>
    <w:rsid w:val="000907F5"/>
    <w:rsid w:val="00090834"/>
    <w:rsid w:val="00090859"/>
    <w:rsid w:val="000908E2"/>
    <w:rsid w:val="00090901"/>
    <w:rsid w:val="00090BC9"/>
    <w:rsid w:val="00090CC1"/>
    <w:rsid w:val="00090D93"/>
    <w:rsid w:val="00091114"/>
    <w:rsid w:val="000914F5"/>
    <w:rsid w:val="000917E1"/>
    <w:rsid w:val="00091B82"/>
    <w:rsid w:val="00091D1E"/>
    <w:rsid w:val="00091D83"/>
    <w:rsid w:val="00091E5D"/>
    <w:rsid w:val="00091EEB"/>
    <w:rsid w:val="00091EF6"/>
    <w:rsid w:val="00092045"/>
    <w:rsid w:val="000920B5"/>
    <w:rsid w:val="000920C3"/>
    <w:rsid w:val="00092594"/>
    <w:rsid w:val="0009282D"/>
    <w:rsid w:val="00092B3E"/>
    <w:rsid w:val="00092BB4"/>
    <w:rsid w:val="00092DB2"/>
    <w:rsid w:val="00092F5D"/>
    <w:rsid w:val="000931B8"/>
    <w:rsid w:val="0009320D"/>
    <w:rsid w:val="000933AE"/>
    <w:rsid w:val="0009341D"/>
    <w:rsid w:val="00093652"/>
    <w:rsid w:val="0009377F"/>
    <w:rsid w:val="00093862"/>
    <w:rsid w:val="0009390D"/>
    <w:rsid w:val="00093A78"/>
    <w:rsid w:val="00093AD5"/>
    <w:rsid w:val="00093B27"/>
    <w:rsid w:val="00093C8B"/>
    <w:rsid w:val="00093EE2"/>
    <w:rsid w:val="0009406F"/>
    <w:rsid w:val="000942E6"/>
    <w:rsid w:val="000943B6"/>
    <w:rsid w:val="00094437"/>
    <w:rsid w:val="000947BD"/>
    <w:rsid w:val="00094965"/>
    <w:rsid w:val="000949E1"/>
    <w:rsid w:val="00094A99"/>
    <w:rsid w:val="00094B83"/>
    <w:rsid w:val="000950BF"/>
    <w:rsid w:val="000951B3"/>
    <w:rsid w:val="00095207"/>
    <w:rsid w:val="000952BD"/>
    <w:rsid w:val="000954B5"/>
    <w:rsid w:val="00095534"/>
    <w:rsid w:val="00095709"/>
    <w:rsid w:val="00095738"/>
    <w:rsid w:val="00095860"/>
    <w:rsid w:val="000959BA"/>
    <w:rsid w:val="00095A83"/>
    <w:rsid w:val="00095B38"/>
    <w:rsid w:val="00095BAF"/>
    <w:rsid w:val="00095CCC"/>
    <w:rsid w:val="00095E25"/>
    <w:rsid w:val="00095E3B"/>
    <w:rsid w:val="00095E7C"/>
    <w:rsid w:val="0009602B"/>
    <w:rsid w:val="000963C3"/>
    <w:rsid w:val="00096428"/>
    <w:rsid w:val="00096911"/>
    <w:rsid w:val="0009693B"/>
    <w:rsid w:val="00097034"/>
    <w:rsid w:val="0009718C"/>
    <w:rsid w:val="00097700"/>
    <w:rsid w:val="000978AD"/>
    <w:rsid w:val="000979C8"/>
    <w:rsid w:val="00097A57"/>
    <w:rsid w:val="00097A59"/>
    <w:rsid w:val="00097F21"/>
    <w:rsid w:val="00097FB6"/>
    <w:rsid w:val="000A0210"/>
    <w:rsid w:val="000A0368"/>
    <w:rsid w:val="000A0442"/>
    <w:rsid w:val="000A06D6"/>
    <w:rsid w:val="000A0D5C"/>
    <w:rsid w:val="000A0DE6"/>
    <w:rsid w:val="000A0FCB"/>
    <w:rsid w:val="000A1200"/>
    <w:rsid w:val="000A1379"/>
    <w:rsid w:val="000A137A"/>
    <w:rsid w:val="000A1462"/>
    <w:rsid w:val="000A154B"/>
    <w:rsid w:val="000A154F"/>
    <w:rsid w:val="000A16A0"/>
    <w:rsid w:val="000A16E9"/>
    <w:rsid w:val="000A181C"/>
    <w:rsid w:val="000A189B"/>
    <w:rsid w:val="000A19DD"/>
    <w:rsid w:val="000A1B8D"/>
    <w:rsid w:val="000A1C0F"/>
    <w:rsid w:val="000A1C31"/>
    <w:rsid w:val="000A1C74"/>
    <w:rsid w:val="000A1CDD"/>
    <w:rsid w:val="000A1F18"/>
    <w:rsid w:val="000A1FB2"/>
    <w:rsid w:val="000A2012"/>
    <w:rsid w:val="000A2171"/>
    <w:rsid w:val="000A2330"/>
    <w:rsid w:val="000A263C"/>
    <w:rsid w:val="000A26B5"/>
    <w:rsid w:val="000A2AB5"/>
    <w:rsid w:val="000A2F0F"/>
    <w:rsid w:val="000A2F2A"/>
    <w:rsid w:val="000A33CB"/>
    <w:rsid w:val="000A345F"/>
    <w:rsid w:val="000A373A"/>
    <w:rsid w:val="000A37FA"/>
    <w:rsid w:val="000A3AEB"/>
    <w:rsid w:val="000A3CDB"/>
    <w:rsid w:val="000A3DB1"/>
    <w:rsid w:val="000A4120"/>
    <w:rsid w:val="000A4231"/>
    <w:rsid w:val="000A4390"/>
    <w:rsid w:val="000A440C"/>
    <w:rsid w:val="000A4412"/>
    <w:rsid w:val="000A4577"/>
    <w:rsid w:val="000A46FC"/>
    <w:rsid w:val="000A479C"/>
    <w:rsid w:val="000A4864"/>
    <w:rsid w:val="000A490C"/>
    <w:rsid w:val="000A4A02"/>
    <w:rsid w:val="000A4B5E"/>
    <w:rsid w:val="000A4C2F"/>
    <w:rsid w:val="000A4C9A"/>
    <w:rsid w:val="000A4FF8"/>
    <w:rsid w:val="000A5025"/>
    <w:rsid w:val="000A5027"/>
    <w:rsid w:val="000A5137"/>
    <w:rsid w:val="000A5155"/>
    <w:rsid w:val="000A52EC"/>
    <w:rsid w:val="000A549A"/>
    <w:rsid w:val="000A5592"/>
    <w:rsid w:val="000A5599"/>
    <w:rsid w:val="000A5670"/>
    <w:rsid w:val="000A5994"/>
    <w:rsid w:val="000A5BEC"/>
    <w:rsid w:val="000A5D80"/>
    <w:rsid w:val="000A5DD8"/>
    <w:rsid w:val="000A6149"/>
    <w:rsid w:val="000A622D"/>
    <w:rsid w:val="000A62B0"/>
    <w:rsid w:val="000A6A2F"/>
    <w:rsid w:val="000A6A35"/>
    <w:rsid w:val="000A6BF8"/>
    <w:rsid w:val="000A6CE5"/>
    <w:rsid w:val="000A7051"/>
    <w:rsid w:val="000A72A1"/>
    <w:rsid w:val="000A72CD"/>
    <w:rsid w:val="000A74EB"/>
    <w:rsid w:val="000A76CC"/>
    <w:rsid w:val="000A7716"/>
    <w:rsid w:val="000A7AE8"/>
    <w:rsid w:val="000A7B37"/>
    <w:rsid w:val="000A7E64"/>
    <w:rsid w:val="000A7FE9"/>
    <w:rsid w:val="000B01C5"/>
    <w:rsid w:val="000B0350"/>
    <w:rsid w:val="000B043A"/>
    <w:rsid w:val="000B04D8"/>
    <w:rsid w:val="000B0692"/>
    <w:rsid w:val="000B07E4"/>
    <w:rsid w:val="000B0BE1"/>
    <w:rsid w:val="000B0CC7"/>
    <w:rsid w:val="000B0F9B"/>
    <w:rsid w:val="000B113E"/>
    <w:rsid w:val="000B11F1"/>
    <w:rsid w:val="000B147A"/>
    <w:rsid w:val="000B157E"/>
    <w:rsid w:val="000B1584"/>
    <w:rsid w:val="000B189E"/>
    <w:rsid w:val="000B1BD2"/>
    <w:rsid w:val="000B22DE"/>
    <w:rsid w:val="000B2350"/>
    <w:rsid w:val="000B273B"/>
    <w:rsid w:val="000B2971"/>
    <w:rsid w:val="000B2A4B"/>
    <w:rsid w:val="000B2AB9"/>
    <w:rsid w:val="000B2BEC"/>
    <w:rsid w:val="000B2C47"/>
    <w:rsid w:val="000B2C9F"/>
    <w:rsid w:val="000B3033"/>
    <w:rsid w:val="000B3548"/>
    <w:rsid w:val="000B365C"/>
    <w:rsid w:val="000B366A"/>
    <w:rsid w:val="000B36DB"/>
    <w:rsid w:val="000B3748"/>
    <w:rsid w:val="000B3769"/>
    <w:rsid w:val="000B3806"/>
    <w:rsid w:val="000B3A04"/>
    <w:rsid w:val="000B3AA1"/>
    <w:rsid w:val="000B3BA2"/>
    <w:rsid w:val="000B3C8F"/>
    <w:rsid w:val="000B3CB5"/>
    <w:rsid w:val="000B3D49"/>
    <w:rsid w:val="000B3FB0"/>
    <w:rsid w:val="000B3FEF"/>
    <w:rsid w:val="000B40C8"/>
    <w:rsid w:val="000B4122"/>
    <w:rsid w:val="000B46B1"/>
    <w:rsid w:val="000B480A"/>
    <w:rsid w:val="000B48AA"/>
    <w:rsid w:val="000B495D"/>
    <w:rsid w:val="000B4A56"/>
    <w:rsid w:val="000B4CB5"/>
    <w:rsid w:val="000B4CC4"/>
    <w:rsid w:val="000B4E8A"/>
    <w:rsid w:val="000B4EB7"/>
    <w:rsid w:val="000B4F7E"/>
    <w:rsid w:val="000B512A"/>
    <w:rsid w:val="000B548E"/>
    <w:rsid w:val="000B5659"/>
    <w:rsid w:val="000B57C4"/>
    <w:rsid w:val="000B5818"/>
    <w:rsid w:val="000B58BC"/>
    <w:rsid w:val="000B5A29"/>
    <w:rsid w:val="000B5B46"/>
    <w:rsid w:val="000B5C35"/>
    <w:rsid w:val="000B5D4B"/>
    <w:rsid w:val="000B60FF"/>
    <w:rsid w:val="000B62AD"/>
    <w:rsid w:val="000B63C0"/>
    <w:rsid w:val="000B66CB"/>
    <w:rsid w:val="000B6768"/>
    <w:rsid w:val="000B6773"/>
    <w:rsid w:val="000B6924"/>
    <w:rsid w:val="000B6AF8"/>
    <w:rsid w:val="000B6D57"/>
    <w:rsid w:val="000B6E81"/>
    <w:rsid w:val="000B6F70"/>
    <w:rsid w:val="000B7094"/>
    <w:rsid w:val="000B71C8"/>
    <w:rsid w:val="000B756C"/>
    <w:rsid w:val="000B75B9"/>
    <w:rsid w:val="000B7623"/>
    <w:rsid w:val="000B7770"/>
    <w:rsid w:val="000B79D2"/>
    <w:rsid w:val="000B7AD7"/>
    <w:rsid w:val="000B7CDC"/>
    <w:rsid w:val="000B7D1E"/>
    <w:rsid w:val="000B7F97"/>
    <w:rsid w:val="000C005A"/>
    <w:rsid w:val="000C00CD"/>
    <w:rsid w:val="000C01AF"/>
    <w:rsid w:val="000C0243"/>
    <w:rsid w:val="000C0374"/>
    <w:rsid w:val="000C061C"/>
    <w:rsid w:val="000C08BB"/>
    <w:rsid w:val="000C1014"/>
    <w:rsid w:val="000C123D"/>
    <w:rsid w:val="000C13DA"/>
    <w:rsid w:val="000C172C"/>
    <w:rsid w:val="000C188C"/>
    <w:rsid w:val="000C18A1"/>
    <w:rsid w:val="000C192E"/>
    <w:rsid w:val="000C1951"/>
    <w:rsid w:val="000C1C45"/>
    <w:rsid w:val="000C20F8"/>
    <w:rsid w:val="000C2199"/>
    <w:rsid w:val="000C22C9"/>
    <w:rsid w:val="000C23ED"/>
    <w:rsid w:val="000C2458"/>
    <w:rsid w:val="000C25F8"/>
    <w:rsid w:val="000C26A2"/>
    <w:rsid w:val="000C2765"/>
    <w:rsid w:val="000C27E0"/>
    <w:rsid w:val="000C2867"/>
    <w:rsid w:val="000C2BB8"/>
    <w:rsid w:val="000C2CF5"/>
    <w:rsid w:val="000C30C6"/>
    <w:rsid w:val="000C33CD"/>
    <w:rsid w:val="000C33D7"/>
    <w:rsid w:val="000C3697"/>
    <w:rsid w:val="000C36BF"/>
    <w:rsid w:val="000C38A3"/>
    <w:rsid w:val="000C3A30"/>
    <w:rsid w:val="000C3EAD"/>
    <w:rsid w:val="000C402E"/>
    <w:rsid w:val="000C4254"/>
    <w:rsid w:val="000C42A7"/>
    <w:rsid w:val="000C450E"/>
    <w:rsid w:val="000C46E5"/>
    <w:rsid w:val="000C4792"/>
    <w:rsid w:val="000C4B1A"/>
    <w:rsid w:val="000C4BE3"/>
    <w:rsid w:val="000C4D60"/>
    <w:rsid w:val="000C4FEF"/>
    <w:rsid w:val="000C5059"/>
    <w:rsid w:val="000C51BB"/>
    <w:rsid w:val="000C5230"/>
    <w:rsid w:val="000C53B2"/>
    <w:rsid w:val="000C545B"/>
    <w:rsid w:val="000C5514"/>
    <w:rsid w:val="000C55A9"/>
    <w:rsid w:val="000C5742"/>
    <w:rsid w:val="000C5AA5"/>
    <w:rsid w:val="000C5B34"/>
    <w:rsid w:val="000C5D54"/>
    <w:rsid w:val="000C5E0B"/>
    <w:rsid w:val="000C5FE8"/>
    <w:rsid w:val="000C61B2"/>
    <w:rsid w:val="000C620A"/>
    <w:rsid w:val="000C6245"/>
    <w:rsid w:val="000C62C6"/>
    <w:rsid w:val="000C631C"/>
    <w:rsid w:val="000C63D5"/>
    <w:rsid w:val="000C6755"/>
    <w:rsid w:val="000C688B"/>
    <w:rsid w:val="000C69B9"/>
    <w:rsid w:val="000C6BAD"/>
    <w:rsid w:val="000C6BCB"/>
    <w:rsid w:val="000C6C01"/>
    <w:rsid w:val="000C6D57"/>
    <w:rsid w:val="000C6EC9"/>
    <w:rsid w:val="000C723E"/>
    <w:rsid w:val="000C7400"/>
    <w:rsid w:val="000C7468"/>
    <w:rsid w:val="000C7717"/>
    <w:rsid w:val="000C7A59"/>
    <w:rsid w:val="000C7A65"/>
    <w:rsid w:val="000C7C5A"/>
    <w:rsid w:val="000C7E3B"/>
    <w:rsid w:val="000D018C"/>
    <w:rsid w:val="000D01B6"/>
    <w:rsid w:val="000D05FD"/>
    <w:rsid w:val="000D09D0"/>
    <w:rsid w:val="000D0D24"/>
    <w:rsid w:val="000D0D72"/>
    <w:rsid w:val="000D0E66"/>
    <w:rsid w:val="000D0E88"/>
    <w:rsid w:val="000D11CF"/>
    <w:rsid w:val="000D1266"/>
    <w:rsid w:val="000D139E"/>
    <w:rsid w:val="000D14B2"/>
    <w:rsid w:val="000D15DD"/>
    <w:rsid w:val="000D16EB"/>
    <w:rsid w:val="000D1901"/>
    <w:rsid w:val="000D1AB9"/>
    <w:rsid w:val="000D1B99"/>
    <w:rsid w:val="000D1C7D"/>
    <w:rsid w:val="000D1F6A"/>
    <w:rsid w:val="000D2053"/>
    <w:rsid w:val="000D2236"/>
    <w:rsid w:val="000D26DB"/>
    <w:rsid w:val="000D26DF"/>
    <w:rsid w:val="000D27EC"/>
    <w:rsid w:val="000D2869"/>
    <w:rsid w:val="000D29E3"/>
    <w:rsid w:val="000D2B81"/>
    <w:rsid w:val="000D2F66"/>
    <w:rsid w:val="000D2FB8"/>
    <w:rsid w:val="000D2FCB"/>
    <w:rsid w:val="000D33A1"/>
    <w:rsid w:val="000D341C"/>
    <w:rsid w:val="000D3606"/>
    <w:rsid w:val="000D382F"/>
    <w:rsid w:val="000D3834"/>
    <w:rsid w:val="000D38F1"/>
    <w:rsid w:val="000D3A60"/>
    <w:rsid w:val="000D3B56"/>
    <w:rsid w:val="000D3FA6"/>
    <w:rsid w:val="000D3FCF"/>
    <w:rsid w:val="000D42A8"/>
    <w:rsid w:val="000D44D0"/>
    <w:rsid w:val="000D44D2"/>
    <w:rsid w:val="000D4664"/>
    <w:rsid w:val="000D4884"/>
    <w:rsid w:val="000D488E"/>
    <w:rsid w:val="000D49F4"/>
    <w:rsid w:val="000D4B24"/>
    <w:rsid w:val="000D4FD5"/>
    <w:rsid w:val="000D5297"/>
    <w:rsid w:val="000D53AE"/>
    <w:rsid w:val="000D53BD"/>
    <w:rsid w:val="000D582F"/>
    <w:rsid w:val="000D58BE"/>
    <w:rsid w:val="000D5904"/>
    <w:rsid w:val="000D5AAB"/>
    <w:rsid w:val="000D5BD5"/>
    <w:rsid w:val="000D5C3A"/>
    <w:rsid w:val="000D5CC9"/>
    <w:rsid w:val="000D5DED"/>
    <w:rsid w:val="000D5E1E"/>
    <w:rsid w:val="000D5F20"/>
    <w:rsid w:val="000D645B"/>
    <w:rsid w:val="000D699B"/>
    <w:rsid w:val="000D6B67"/>
    <w:rsid w:val="000D6BEA"/>
    <w:rsid w:val="000D6F77"/>
    <w:rsid w:val="000D71D7"/>
    <w:rsid w:val="000D71DB"/>
    <w:rsid w:val="000D74D0"/>
    <w:rsid w:val="000D76B1"/>
    <w:rsid w:val="000D773C"/>
    <w:rsid w:val="000D777A"/>
    <w:rsid w:val="000D7A4D"/>
    <w:rsid w:val="000D7AA3"/>
    <w:rsid w:val="000D7C05"/>
    <w:rsid w:val="000D7DC4"/>
    <w:rsid w:val="000E01E4"/>
    <w:rsid w:val="000E0245"/>
    <w:rsid w:val="000E02EB"/>
    <w:rsid w:val="000E0333"/>
    <w:rsid w:val="000E03F5"/>
    <w:rsid w:val="000E04B0"/>
    <w:rsid w:val="000E0569"/>
    <w:rsid w:val="000E05DD"/>
    <w:rsid w:val="000E06AE"/>
    <w:rsid w:val="000E0740"/>
    <w:rsid w:val="000E0A11"/>
    <w:rsid w:val="000E0A86"/>
    <w:rsid w:val="000E0C51"/>
    <w:rsid w:val="000E0C88"/>
    <w:rsid w:val="000E14A1"/>
    <w:rsid w:val="000E14ED"/>
    <w:rsid w:val="000E1761"/>
    <w:rsid w:val="000E195C"/>
    <w:rsid w:val="000E1ABD"/>
    <w:rsid w:val="000E1DA2"/>
    <w:rsid w:val="000E1E42"/>
    <w:rsid w:val="000E1E95"/>
    <w:rsid w:val="000E1F1B"/>
    <w:rsid w:val="000E1F5C"/>
    <w:rsid w:val="000E1FC3"/>
    <w:rsid w:val="000E2065"/>
    <w:rsid w:val="000E21E4"/>
    <w:rsid w:val="000E27D1"/>
    <w:rsid w:val="000E283D"/>
    <w:rsid w:val="000E291E"/>
    <w:rsid w:val="000E2C59"/>
    <w:rsid w:val="000E2EFA"/>
    <w:rsid w:val="000E2F1F"/>
    <w:rsid w:val="000E2F9F"/>
    <w:rsid w:val="000E2FBF"/>
    <w:rsid w:val="000E3078"/>
    <w:rsid w:val="000E3173"/>
    <w:rsid w:val="000E318B"/>
    <w:rsid w:val="000E33E0"/>
    <w:rsid w:val="000E3428"/>
    <w:rsid w:val="000E353D"/>
    <w:rsid w:val="000E390D"/>
    <w:rsid w:val="000E39B4"/>
    <w:rsid w:val="000E3A1A"/>
    <w:rsid w:val="000E3A3D"/>
    <w:rsid w:val="000E3D44"/>
    <w:rsid w:val="000E3DAC"/>
    <w:rsid w:val="000E3E7C"/>
    <w:rsid w:val="000E421E"/>
    <w:rsid w:val="000E4737"/>
    <w:rsid w:val="000E4987"/>
    <w:rsid w:val="000E4B9F"/>
    <w:rsid w:val="000E4E37"/>
    <w:rsid w:val="000E5081"/>
    <w:rsid w:val="000E50FC"/>
    <w:rsid w:val="000E51C5"/>
    <w:rsid w:val="000E5250"/>
    <w:rsid w:val="000E5710"/>
    <w:rsid w:val="000E5728"/>
    <w:rsid w:val="000E5BE7"/>
    <w:rsid w:val="000E5D6F"/>
    <w:rsid w:val="000E5F12"/>
    <w:rsid w:val="000E64F8"/>
    <w:rsid w:val="000E6899"/>
    <w:rsid w:val="000E6A89"/>
    <w:rsid w:val="000E6D37"/>
    <w:rsid w:val="000E6DFE"/>
    <w:rsid w:val="000E6ED6"/>
    <w:rsid w:val="000E6F78"/>
    <w:rsid w:val="000E70EB"/>
    <w:rsid w:val="000E7199"/>
    <w:rsid w:val="000E7289"/>
    <w:rsid w:val="000E735D"/>
    <w:rsid w:val="000E753D"/>
    <w:rsid w:val="000E75D4"/>
    <w:rsid w:val="000E7760"/>
    <w:rsid w:val="000E787A"/>
    <w:rsid w:val="000E78A2"/>
    <w:rsid w:val="000E7903"/>
    <w:rsid w:val="000E793E"/>
    <w:rsid w:val="000E7AE6"/>
    <w:rsid w:val="000E7B5B"/>
    <w:rsid w:val="000E7DA9"/>
    <w:rsid w:val="000E7E73"/>
    <w:rsid w:val="000F0027"/>
    <w:rsid w:val="000F016C"/>
    <w:rsid w:val="000F0215"/>
    <w:rsid w:val="000F027E"/>
    <w:rsid w:val="000F02FB"/>
    <w:rsid w:val="000F0384"/>
    <w:rsid w:val="000F04E2"/>
    <w:rsid w:val="000F04FC"/>
    <w:rsid w:val="000F05AF"/>
    <w:rsid w:val="000F05BF"/>
    <w:rsid w:val="000F0623"/>
    <w:rsid w:val="000F0699"/>
    <w:rsid w:val="000F07B9"/>
    <w:rsid w:val="000F0964"/>
    <w:rsid w:val="000F0A4C"/>
    <w:rsid w:val="000F0D9F"/>
    <w:rsid w:val="000F0E44"/>
    <w:rsid w:val="000F0E79"/>
    <w:rsid w:val="000F0EC2"/>
    <w:rsid w:val="000F0EDA"/>
    <w:rsid w:val="000F0F56"/>
    <w:rsid w:val="000F105C"/>
    <w:rsid w:val="000F11AF"/>
    <w:rsid w:val="000F1261"/>
    <w:rsid w:val="000F13C4"/>
    <w:rsid w:val="000F14F6"/>
    <w:rsid w:val="000F15BF"/>
    <w:rsid w:val="000F15DD"/>
    <w:rsid w:val="000F169C"/>
    <w:rsid w:val="000F18BC"/>
    <w:rsid w:val="000F1A2C"/>
    <w:rsid w:val="000F1D05"/>
    <w:rsid w:val="000F1F6E"/>
    <w:rsid w:val="000F2089"/>
    <w:rsid w:val="000F246C"/>
    <w:rsid w:val="000F261E"/>
    <w:rsid w:val="000F29C5"/>
    <w:rsid w:val="000F2D9F"/>
    <w:rsid w:val="000F2E7D"/>
    <w:rsid w:val="000F2FAB"/>
    <w:rsid w:val="000F3006"/>
    <w:rsid w:val="000F30AF"/>
    <w:rsid w:val="000F327D"/>
    <w:rsid w:val="000F3583"/>
    <w:rsid w:val="000F3662"/>
    <w:rsid w:val="000F376A"/>
    <w:rsid w:val="000F3943"/>
    <w:rsid w:val="000F42E8"/>
    <w:rsid w:val="000F43D3"/>
    <w:rsid w:val="000F44A0"/>
    <w:rsid w:val="000F44CE"/>
    <w:rsid w:val="000F47F5"/>
    <w:rsid w:val="000F484E"/>
    <w:rsid w:val="000F48D2"/>
    <w:rsid w:val="000F4A3A"/>
    <w:rsid w:val="000F4A7A"/>
    <w:rsid w:val="000F4A7C"/>
    <w:rsid w:val="000F4A94"/>
    <w:rsid w:val="000F4AF1"/>
    <w:rsid w:val="000F4B2B"/>
    <w:rsid w:val="000F4B72"/>
    <w:rsid w:val="000F4BA9"/>
    <w:rsid w:val="000F4F99"/>
    <w:rsid w:val="000F50FC"/>
    <w:rsid w:val="000F53D4"/>
    <w:rsid w:val="000F5590"/>
    <w:rsid w:val="000F559C"/>
    <w:rsid w:val="000F5601"/>
    <w:rsid w:val="000F562F"/>
    <w:rsid w:val="000F5674"/>
    <w:rsid w:val="000F56AC"/>
    <w:rsid w:val="000F59D7"/>
    <w:rsid w:val="000F5B92"/>
    <w:rsid w:val="000F5C00"/>
    <w:rsid w:val="000F5E5B"/>
    <w:rsid w:val="000F6245"/>
    <w:rsid w:val="000F62DD"/>
    <w:rsid w:val="000F633C"/>
    <w:rsid w:val="000F640D"/>
    <w:rsid w:val="000F6439"/>
    <w:rsid w:val="000F6562"/>
    <w:rsid w:val="000F659C"/>
    <w:rsid w:val="000F676B"/>
    <w:rsid w:val="000F686D"/>
    <w:rsid w:val="000F6930"/>
    <w:rsid w:val="000F696C"/>
    <w:rsid w:val="000F6C26"/>
    <w:rsid w:val="000F6D49"/>
    <w:rsid w:val="000F6E75"/>
    <w:rsid w:val="000F6F1B"/>
    <w:rsid w:val="000F75A1"/>
    <w:rsid w:val="000F7A4D"/>
    <w:rsid w:val="000F7CF1"/>
    <w:rsid w:val="000F7D7F"/>
    <w:rsid w:val="00100280"/>
    <w:rsid w:val="001002A4"/>
    <w:rsid w:val="001004CA"/>
    <w:rsid w:val="0010089B"/>
    <w:rsid w:val="00100A0B"/>
    <w:rsid w:val="00100B21"/>
    <w:rsid w:val="00100C97"/>
    <w:rsid w:val="00100D32"/>
    <w:rsid w:val="00100FAB"/>
    <w:rsid w:val="0010116A"/>
    <w:rsid w:val="001011D2"/>
    <w:rsid w:val="001012B6"/>
    <w:rsid w:val="00101470"/>
    <w:rsid w:val="00101854"/>
    <w:rsid w:val="00101870"/>
    <w:rsid w:val="00101984"/>
    <w:rsid w:val="00101CEB"/>
    <w:rsid w:val="00101EC1"/>
    <w:rsid w:val="00102143"/>
    <w:rsid w:val="00102185"/>
    <w:rsid w:val="0010241A"/>
    <w:rsid w:val="001024D7"/>
    <w:rsid w:val="00102656"/>
    <w:rsid w:val="0010281D"/>
    <w:rsid w:val="00102B51"/>
    <w:rsid w:val="00102DF1"/>
    <w:rsid w:val="0010306C"/>
    <w:rsid w:val="00103266"/>
    <w:rsid w:val="00103267"/>
    <w:rsid w:val="0010347F"/>
    <w:rsid w:val="001037F5"/>
    <w:rsid w:val="001038D5"/>
    <w:rsid w:val="001039D0"/>
    <w:rsid w:val="00103DD4"/>
    <w:rsid w:val="00104110"/>
    <w:rsid w:val="0010416C"/>
    <w:rsid w:val="00104184"/>
    <w:rsid w:val="001042D6"/>
    <w:rsid w:val="0010431A"/>
    <w:rsid w:val="001045D7"/>
    <w:rsid w:val="0010469E"/>
    <w:rsid w:val="001046B8"/>
    <w:rsid w:val="001046F1"/>
    <w:rsid w:val="00104ECD"/>
    <w:rsid w:val="00104FC4"/>
    <w:rsid w:val="001050CB"/>
    <w:rsid w:val="001051B5"/>
    <w:rsid w:val="001051EF"/>
    <w:rsid w:val="00105221"/>
    <w:rsid w:val="00105311"/>
    <w:rsid w:val="001054B5"/>
    <w:rsid w:val="001054C3"/>
    <w:rsid w:val="001057CB"/>
    <w:rsid w:val="001057EA"/>
    <w:rsid w:val="00105922"/>
    <w:rsid w:val="00105A2C"/>
    <w:rsid w:val="00105F96"/>
    <w:rsid w:val="001060A7"/>
    <w:rsid w:val="001060AF"/>
    <w:rsid w:val="001060E3"/>
    <w:rsid w:val="0010619C"/>
    <w:rsid w:val="001061BB"/>
    <w:rsid w:val="0010660E"/>
    <w:rsid w:val="001068A0"/>
    <w:rsid w:val="00106C2A"/>
    <w:rsid w:val="00106D4E"/>
    <w:rsid w:val="00106E76"/>
    <w:rsid w:val="00106ECA"/>
    <w:rsid w:val="00106EFA"/>
    <w:rsid w:val="00106FCC"/>
    <w:rsid w:val="0010716C"/>
    <w:rsid w:val="00107344"/>
    <w:rsid w:val="001073A8"/>
    <w:rsid w:val="001075C9"/>
    <w:rsid w:val="0010765C"/>
    <w:rsid w:val="00107972"/>
    <w:rsid w:val="00107B03"/>
    <w:rsid w:val="00107B51"/>
    <w:rsid w:val="00107B8F"/>
    <w:rsid w:val="00107C67"/>
    <w:rsid w:val="00107C91"/>
    <w:rsid w:val="00107EDF"/>
    <w:rsid w:val="00107FD4"/>
    <w:rsid w:val="00107FD9"/>
    <w:rsid w:val="001100CE"/>
    <w:rsid w:val="001100ED"/>
    <w:rsid w:val="0011012C"/>
    <w:rsid w:val="00110557"/>
    <w:rsid w:val="0011081C"/>
    <w:rsid w:val="001108FB"/>
    <w:rsid w:val="00110CDD"/>
    <w:rsid w:val="0011113F"/>
    <w:rsid w:val="001111D0"/>
    <w:rsid w:val="0011139F"/>
    <w:rsid w:val="001114C1"/>
    <w:rsid w:val="0011174D"/>
    <w:rsid w:val="0011175D"/>
    <w:rsid w:val="00111A26"/>
    <w:rsid w:val="00111BCC"/>
    <w:rsid w:val="00111BED"/>
    <w:rsid w:val="00111F8F"/>
    <w:rsid w:val="00111FD1"/>
    <w:rsid w:val="001121C8"/>
    <w:rsid w:val="001122B2"/>
    <w:rsid w:val="0011235E"/>
    <w:rsid w:val="0011244D"/>
    <w:rsid w:val="001124BE"/>
    <w:rsid w:val="001125A2"/>
    <w:rsid w:val="00112D52"/>
    <w:rsid w:val="00112E19"/>
    <w:rsid w:val="00112E33"/>
    <w:rsid w:val="0011302E"/>
    <w:rsid w:val="00113097"/>
    <w:rsid w:val="001131A8"/>
    <w:rsid w:val="001132C9"/>
    <w:rsid w:val="00113332"/>
    <w:rsid w:val="00113499"/>
    <w:rsid w:val="001138C7"/>
    <w:rsid w:val="00113A4A"/>
    <w:rsid w:val="00113C33"/>
    <w:rsid w:val="00113C5B"/>
    <w:rsid w:val="00113E85"/>
    <w:rsid w:val="00113EA1"/>
    <w:rsid w:val="00113FC8"/>
    <w:rsid w:val="00114175"/>
    <w:rsid w:val="001142B7"/>
    <w:rsid w:val="0011449A"/>
    <w:rsid w:val="001145FB"/>
    <w:rsid w:val="0011468D"/>
    <w:rsid w:val="001146F4"/>
    <w:rsid w:val="001147A6"/>
    <w:rsid w:val="001148BD"/>
    <w:rsid w:val="001148D7"/>
    <w:rsid w:val="00114A48"/>
    <w:rsid w:val="00114D0E"/>
    <w:rsid w:val="0011512E"/>
    <w:rsid w:val="001151C4"/>
    <w:rsid w:val="001152F0"/>
    <w:rsid w:val="00115301"/>
    <w:rsid w:val="0011558E"/>
    <w:rsid w:val="00115592"/>
    <w:rsid w:val="0011565C"/>
    <w:rsid w:val="00115801"/>
    <w:rsid w:val="00115A82"/>
    <w:rsid w:val="00115C1F"/>
    <w:rsid w:val="00115CB0"/>
    <w:rsid w:val="00115FF6"/>
    <w:rsid w:val="00116000"/>
    <w:rsid w:val="001160C3"/>
    <w:rsid w:val="001161C8"/>
    <w:rsid w:val="001161E4"/>
    <w:rsid w:val="00116285"/>
    <w:rsid w:val="0011641A"/>
    <w:rsid w:val="00116584"/>
    <w:rsid w:val="0011661B"/>
    <w:rsid w:val="001166FF"/>
    <w:rsid w:val="0011679F"/>
    <w:rsid w:val="001167EB"/>
    <w:rsid w:val="00116AA8"/>
    <w:rsid w:val="00116C2A"/>
    <w:rsid w:val="00116D0F"/>
    <w:rsid w:val="00116D78"/>
    <w:rsid w:val="00116EB2"/>
    <w:rsid w:val="00117170"/>
    <w:rsid w:val="00117174"/>
    <w:rsid w:val="001171D6"/>
    <w:rsid w:val="00117368"/>
    <w:rsid w:val="00117412"/>
    <w:rsid w:val="00117538"/>
    <w:rsid w:val="00117540"/>
    <w:rsid w:val="001176C7"/>
    <w:rsid w:val="00117832"/>
    <w:rsid w:val="00117989"/>
    <w:rsid w:val="00117ACE"/>
    <w:rsid w:val="00117BF2"/>
    <w:rsid w:val="00117C30"/>
    <w:rsid w:val="00117F37"/>
    <w:rsid w:val="001201AC"/>
    <w:rsid w:val="001201C9"/>
    <w:rsid w:val="0012030F"/>
    <w:rsid w:val="0012056A"/>
    <w:rsid w:val="001205C9"/>
    <w:rsid w:val="0012060A"/>
    <w:rsid w:val="0012072E"/>
    <w:rsid w:val="001208A7"/>
    <w:rsid w:val="00120A14"/>
    <w:rsid w:val="00120AA0"/>
    <w:rsid w:val="00120BAC"/>
    <w:rsid w:val="00120D02"/>
    <w:rsid w:val="00120EEA"/>
    <w:rsid w:val="00121341"/>
    <w:rsid w:val="0012140D"/>
    <w:rsid w:val="0012152C"/>
    <w:rsid w:val="001215E4"/>
    <w:rsid w:val="00121742"/>
    <w:rsid w:val="00121771"/>
    <w:rsid w:val="001217C8"/>
    <w:rsid w:val="001218AA"/>
    <w:rsid w:val="00121AD2"/>
    <w:rsid w:val="00121C6B"/>
    <w:rsid w:val="00121FF4"/>
    <w:rsid w:val="001221E1"/>
    <w:rsid w:val="001223FB"/>
    <w:rsid w:val="001226CD"/>
    <w:rsid w:val="001229E9"/>
    <w:rsid w:val="00122BA0"/>
    <w:rsid w:val="00122C80"/>
    <w:rsid w:val="00122F87"/>
    <w:rsid w:val="0012302A"/>
    <w:rsid w:val="001230B2"/>
    <w:rsid w:val="00123207"/>
    <w:rsid w:val="00123325"/>
    <w:rsid w:val="00123506"/>
    <w:rsid w:val="00123678"/>
    <w:rsid w:val="00123D35"/>
    <w:rsid w:val="001245D5"/>
    <w:rsid w:val="001249D3"/>
    <w:rsid w:val="001249D9"/>
    <w:rsid w:val="00124A5D"/>
    <w:rsid w:val="00124AC6"/>
    <w:rsid w:val="00124C44"/>
    <w:rsid w:val="00124D56"/>
    <w:rsid w:val="00124F84"/>
    <w:rsid w:val="00124F94"/>
    <w:rsid w:val="00124FAB"/>
    <w:rsid w:val="001251E8"/>
    <w:rsid w:val="0012530F"/>
    <w:rsid w:val="001253C6"/>
    <w:rsid w:val="001258DD"/>
    <w:rsid w:val="00125931"/>
    <w:rsid w:val="00125A7F"/>
    <w:rsid w:val="00125ADC"/>
    <w:rsid w:val="00125B99"/>
    <w:rsid w:val="00125C9E"/>
    <w:rsid w:val="0012603F"/>
    <w:rsid w:val="0012615A"/>
    <w:rsid w:val="0012656F"/>
    <w:rsid w:val="0012661C"/>
    <w:rsid w:val="00126680"/>
    <w:rsid w:val="001268AF"/>
    <w:rsid w:val="0012692E"/>
    <w:rsid w:val="00126B3B"/>
    <w:rsid w:val="00126B8A"/>
    <w:rsid w:val="00126C4D"/>
    <w:rsid w:val="00126D46"/>
    <w:rsid w:val="00126D79"/>
    <w:rsid w:val="00126E3C"/>
    <w:rsid w:val="00126F85"/>
    <w:rsid w:val="0012706B"/>
    <w:rsid w:val="00127376"/>
    <w:rsid w:val="00127592"/>
    <w:rsid w:val="001276C2"/>
    <w:rsid w:val="001278BA"/>
    <w:rsid w:val="001279A8"/>
    <w:rsid w:val="00127CC7"/>
    <w:rsid w:val="00127ED6"/>
    <w:rsid w:val="00127EE4"/>
    <w:rsid w:val="0013024B"/>
    <w:rsid w:val="001302E0"/>
    <w:rsid w:val="001303B8"/>
    <w:rsid w:val="0013050E"/>
    <w:rsid w:val="00130807"/>
    <w:rsid w:val="0013088A"/>
    <w:rsid w:val="001309E6"/>
    <w:rsid w:val="00130B1B"/>
    <w:rsid w:val="00130D53"/>
    <w:rsid w:val="00130D97"/>
    <w:rsid w:val="00130DB9"/>
    <w:rsid w:val="00130F0A"/>
    <w:rsid w:val="001311C0"/>
    <w:rsid w:val="00131525"/>
    <w:rsid w:val="00131615"/>
    <w:rsid w:val="00131702"/>
    <w:rsid w:val="00131725"/>
    <w:rsid w:val="00131762"/>
    <w:rsid w:val="001317C9"/>
    <w:rsid w:val="00131868"/>
    <w:rsid w:val="00131AA6"/>
    <w:rsid w:val="00131E4A"/>
    <w:rsid w:val="00131E6B"/>
    <w:rsid w:val="00132083"/>
    <w:rsid w:val="00132221"/>
    <w:rsid w:val="00132246"/>
    <w:rsid w:val="0013230B"/>
    <w:rsid w:val="001324C4"/>
    <w:rsid w:val="00132628"/>
    <w:rsid w:val="0013296A"/>
    <w:rsid w:val="001329FC"/>
    <w:rsid w:val="00132A61"/>
    <w:rsid w:val="00132AE1"/>
    <w:rsid w:val="00132BEB"/>
    <w:rsid w:val="00132C1E"/>
    <w:rsid w:val="00132D04"/>
    <w:rsid w:val="001330CE"/>
    <w:rsid w:val="0013311B"/>
    <w:rsid w:val="001331CF"/>
    <w:rsid w:val="0013341F"/>
    <w:rsid w:val="0013350D"/>
    <w:rsid w:val="00133530"/>
    <w:rsid w:val="001335AC"/>
    <w:rsid w:val="001335D6"/>
    <w:rsid w:val="0013394B"/>
    <w:rsid w:val="00133A7A"/>
    <w:rsid w:val="00133BC5"/>
    <w:rsid w:val="00133CF2"/>
    <w:rsid w:val="00133D24"/>
    <w:rsid w:val="00133D2F"/>
    <w:rsid w:val="00133F0B"/>
    <w:rsid w:val="001340A8"/>
    <w:rsid w:val="001341E7"/>
    <w:rsid w:val="00134277"/>
    <w:rsid w:val="00134328"/>
    <w:rsid w:val="001344C9"/>
    <w:rsid w:val="001345AC"/>
    <w:rsid w:val="0013474E"/>
    <w:rsid w:val="00134796"/>
    <w:rsid w:val="00134A00"/>
    <w:rsid w:val="00134B35"/>
    <w:rsid w:val="00134BED"/>
    <w:rsid w:val="00134C3A"/>
    <w:rsid w:val="00134C86"/>
    <w:rsid w:val="00134ED6"/>
    <w:rsid w:val="00134FF9"/>
    <w:rsid w:val="001351EC"/>
    <w:rsid w:val="0013534D"/>
    <w:rsid w:val="001356B9"/>
    <w:rsid w:val="001356EA"/>
    <w:rsid w:val="001358C0"/>
    <w:rsid w:val="00135C3D"/>
    <w:rsid w:val="00135D65"/>
    <w:rsid w:val="00135E3F"/>
    <w:rsid w:val="00135EDB"/>
    <w:rsid w:val="001361B5"/>
    <w:rsid w:val="00136353"/>
    <w:rsid w:val="0013636C"/>
    <w:rsid w:val="0013638D"/>
    <w:rsid w:val="001363A3"/>
    <w:rsid w:val="00136551"/>
    <w:rsid w:val="00136668"/>
    <w:rsid w:val="0013676E"/>
    <w:rsid w:val="0013680A"/>
    <w:rsid w:val="00136A1D"/>
    <w:rsid w:val="00137160"/>
    <w:rsid w:val="0013737D"/>
    <w:rsid w:val="00137582"/>
    <w:rsid w:val="0013785F"/>
    <w:rsid w:val="00137A41"/>
    <w:rsid w:val="00137B7B"/>
    <w:rsid w:val="00137CB1"/>
    <w:rsid w:val="00137FCE"/>
    <w:rsid w:val="00140240"/>
    <w:rsid w:val="00140297"/>
    <w:rsid w:val="00140598"/>
    <w:rsid w:val="00140766"/>
    <w:rsid w:val="001407AA"/>
    <w:rsid w:val="00140CFC"/>
    <w:rsid w:val="00140EA1"/>
    <w:rsid w:val="00141118"/>
    <w:rsid w:val="00141165"/>
    <w:rsid w:val="00141196"/>
    <w:rsid w:val="00141218"/>
    <w:rsid w:val="001412BB"/>
    <w:rsid w:val="00141412"/>
    <w:rsid w:val="0014160D"/>
    <w:rsid w:val="00141B48"/>
    <w:rsid w:val="00141D61"/>
    <w:rsid w:val="00141FC0"/>
    <w:rsid w:val="001421DD"/>
    <w:rsid w:val="00142215"/>
    <w:rsid w:val="001422E1"/>
    <w:rsid w:val="001423E2"/>
    <w:rsid w:val="0014244E"/>
    <w:rsid w:val="00142531"/>
    <w:rsid w:val="00142675"/>
    <w:rsid w:val="00142729"/>
    <w:rsid w:val="001427ED"/>
    <w:rsid w:val="00142854"/>
    <w:rsid w:val="00142881"/>
    <w:rsid w:val="00142934"/>
    <w:rsid w:val="00142F88"/>
    <w:rsid w:val="0014318B"/>
    <w:rsid w:val="001431F8"/>
    <w:rsid w:val="0014342D"/>
    <w:rsid w:val="00143573"/>
    <w:rsid w:val="001436C3"/>
    <w:rsid w:val="0014386F"/>
    <w:rsid w:val="00143E11"/>
    <w:rsid w:val="00144051"/>
    <w:rsid w:val="00144195"/>
    <w:rsid w:val="0014438B"/>
    <w:rsid w:val="00144441"/>
    <w:rsid w:val="00144722"/>
    <w:rsid w:val="00144788"/>
    <w:rsid w:val="0014487E"/>
    <w:rsid w:val="001449C3"/>
    <w:rsid w:val="00144A98"/>
    <w:rsid w:val="00144AD2"/>
    <w:rsid w:val="00144B03"/>
    <w:rsid w:val="00144C09"/>
    <w:rsid w:val="00144CBF"/>
    <w:rsid w:val="0014505D"/>
    <w:rsid w:val="001451FE"/>
    <w:rsid w:val="001453A8"/>
    <w:rsid w:val="0014559F"/>
    <w:rsid w:val="001460CF"/>
    <w:rsid w:val="001462B0"/>
    <w:rsid w:val="001462BB"/>
    <w:rsid w:val="00146333"/>
    <w:rsid w:val="001463A0"/>
    <w:rsid w:val="001463A3"/>
    <w:rsid w:val="00146757"/>
    <w:rsid w:val="00146878"/>
    <w:rsid w:val="00146A3A"/>
    <w:rsid w:val="00146A41"/>
    <w:rsid w:val="00146B0A"/>
    <w:rsid w:val="00146C32"/>
    <w:rsid w:val="00146DC9"/>
    <w:rsid w:val="00146E64"/>
    <w:rsid w:val="00147041"/>
    <w:rsid w:val="001472B4"/>
    <w:rsid w:val="001473F7"/>
    <w:rsid w:val="001474D4"/>
    <w:rsid w:val="00147702"/>
    <w:rsid w:val="001477CE"/>
    <w:rsid w:val="00147856"/>
    <w:rsid w:val="00147CB3"/>
    <w:rsid w:val="00147CBE"/>
    <w:rsid w:val="00150022"/>
    <w:rsid w:val="001500BA"/>
    <w:rsid w:val="001500F7"/>
    <w:rsid w:val="00150136"/>
    <w:rsid w:val="00150453"/>
    <w:rsid w:val="001505C7"/>
    <w:rsid w:val="001507F0"/>
    <w:rsid w:val="00150891"/>
    <w:rsid w:val="00150AAD"/>
    <w:rsid w:val="00150AE1"/>
    <w:rsid w:val="00150B35"/>
    <w:rsid w:val="00150C77"/>
    <w:rsid w:val="00150CE1"/>
    <w:rsid w:val="00150FDE"/>
    <w:rsid w:val="001510CC"/>
    <w:rsid w:val="00151467"/>
    <w:rsid w:val="00151490"/>
    <w:rsid w:val="00151626"/>
    <w:rsid w:val="0015193A"/>
    <w:rsid w:val="00151A4C"/>
    <w:rsid w:val="00151ADB"/>
    <w:rsid w:val="00151C44"/>
    <w:rsid w:val="00151CC9"/>
    <w:rsid w:val="00151F3B"/>
    <w:rsid w:val="0015218B"/>
    <w:rsid w:val="0015218C"/>
    <w:rsid w:val="001521D9"/>
    <w:rsid w:val="00152614"/>
    <w:rsid w:val="00152714"/>
    <w:rsid w:val="0015278D"/>
    <w:rsid w:val="00152912"/>
    <w:rsid w:val="00152B1E"/>
    <w:rsid w:val="00152C78"/>
    <w:rsid w:val="00152CD0"/>
    <w:rsid w:val="00152F0E"/>
    <w:rsid w:val="0015319D"/>
    <w:rsid w:val="00153264"/>
    <w:rsid w:val="001532B7"/>
    <w:rsid w:val="001532C0"/>
    <w:rsid w:val="00153469"/>
    <w:rsid w:val="0015355E"/>
    <w:rsid w:val="001535DF"/>
    <w:rsid w:val="001537FC"/>
    <w:rsid w:val="00153A89"/>
    <w:rsid w:val="00153ACB"/>
    <w:rsid w:val="00153B20"/>
    <w:rsid w:val="00153CD3"/>
    <w:rsid w:val="00153DB8"/>
    <w:rsid w:val="00153DD5"/>
    <w:rsid w:val="00153E8C"/>
    <w:rsid w:val="00154096"/>
    <w:rsid w:val="001540C9"/>
    <w:rsid w:val="0015437B"/>
    <w:rsid w:val="001544FC"/>
    <w:rsid w:val="001548B4"/>
    <w:rsid w:val="001548FF"/>
    <w:rsid w:val="00154BF1"/>
    <w:rsid w:val="00154D8E"/>
    <w:rsid w:val="00154ECC"/>
    <w:rsid w:val="0015509C"/>
    <w:rsid w:val="0015512B"/>
    <w:rsid w:val="001551DC"/>
    <w:rsid w:val="0015529B"/>
    <w:rsid w:val="001553CD"/>
    <w:rsid w:val="001555C9"/>
    <w:rsid w:val="0015569E"/>
    <w:rsid w:val="00155A7B"/>
    <w:rsid w:val="00155B87"/>
    <w:rsid w:val="00155C63"/>
    <w:rsid w:val="00155E0D"/>
    <w:rsid w:val="00156072"/>
    <w:rsid w:val="001560C6"/>
    <w:rsid w:val="0015626D"/>
    <w:rsid w:val="001565FF"/>
    <w:rsid w:val="0015661B"/>
    <w:rsid w:val="00156C20"/>
    <w:rsid w:val="00156C56"/>
    <w:rsid w:val="00156CB3"/>
    <w:rsid w:val="00156E41"/>
    <w:rsid w:val="00156E4E"/>
    <w:rsid w:val="00156E96"/>
    <w:rsid w:val="001572E7"/>
    <w:rsid w:val="00157426"/>
    <w:rsid w:val="00157534"/>
    <w:rsid w:val="001577B9"/>
    <w:rsid w:val="001578B1"/>
    <w:rsid w:val="00157CE0"/>
    <w:rsid w:val="00157F0E"/>
    <w:rsid w:val="001601A6"/>
    <w:rsid w:val="00160234"/>
    <w:rsid w:val="0016024E"/>
    <w:rsid w:val="00160388"/>
    <w:rsid w:val="0016059C"/>
    <w:rsid w:val="00160625"/>
    <w:rsid w:val="00160777"/>
    <w:rsid w:val="001607CC"/>
    <w:rsid w:val="00160883"/>
    <w:rsid w:val="0016093B"/>
    <w:rsid w:val="00160A89"/>
    <w:rsid w:val="00160C17"/>
    <w:rsid w:val="00161174"/>
    <w:rsid w:val="0016119F"/>
    <w:rsid w:val="0016149B"/>
    <w:rsid w:val="0016152F"/>
    <w:rsid w:val="00161733"/>
    <w:rsid w:val="00161A5B"/>
    <w:rsid w:val="00161C4F"/>
    <w:rsid w:val="00161D79"/>
    <w:rsid w:val="00161FF2"/>
    <w:rsid w:val="00162058"/>
    <w:rsid w:val="001620A4"/>
    <w:rsid w:val="001621A8"/>
    <w:rsid w:val="001624A7"/>
    <w:rsid w:val="00162556"/>
    <w:rsid w:val="001626AD"/>
    <w:rsid w:val="001629EC"/>
    <w:rsid w:val="00162FE3"/>
    <w:rsid w:val="00163078"/>
    <w:rsid w:val="001631AD"/>
    <w:rsid w:val="00163312"/>
    <w:rsid w:val="00163381"/>
    <w:rsid w:val="001633CE"/>
    <w:rsid w:val="001634C4"/>
    <w:rsid w:val="00163651"/>
    <w:rsid w:val="001636B2"/>
    <w:rsid w:val="00163C6A"/>
    <w:rsid w:val="00163D90"/>
    <w:rsid w:val="00163E5F"/>
    <w:rsid w:val="00163EA0"/>
    <w:rsid w:val="001640E9"/>
    <w:rsid w:val="00164151"/>
    <w:rsid w:val="00164467"/>
    <w:rsid w:val="0016449F"/>
    <w:rsid w:val="0016492B"/>
    <w:rsid w:val="0016508B"/>
    <w:rsid w:val="0016509F"/>
    <w:rsid w:val="00165133"/>
    <w:rsid w:val="00165175"/>
    <w:rsid w:val="001653E9"/>
    <w:rsid w:val="001654CB"/>
    <w:rsid w:val="001654EA"/>
    <w:rsid w:val="001656F1"/>
    <w:rsid w:val="00165891"/>
    <w:rsid w:val="001659C4"/>
    <w:rsid w:val="00165BDC"/>
    <w:rsid w:val="00165EB8"/>
    <w:rsid w:val="00165EE0"/>
    <w:rsid w:val="00165FCF"/>
    <w:rsid w:val="0016609A"/>
    <w:rsid w:val="001662DC"/>
    <w:rsid w:val="0016633E"/>
    <w:rsid w:val="001663A2"/>
    <w:rsid w:val="001665E5"/>
    <w:rsid w:val="0016684D"/>
    <w:rsid w:val="00166B5C"/>
    <w:rsid w:val="00166C6C"/>
    <w:rsid w:val="00166DE0"/>
    <w:rsid w:val="00166E67"/>
    <w:rsid w:val="00166FA1"/>
    <w:rsid w:val="00167370"/>
    <w:rsid w:val="00167579"/>
    <w:rsid w:val="00167696"/>
    <w:rsid w:val="00167DA9"/>
    <w:rsid w:val="00167F0F"/>
    <w:rsid w:val="001700CB"/>
    <w:rsid w:val="001701CB"/>
    <w:rsid w:val="00170243"/>
    <w:rsid w:val="001703D8"/>
    <w:rsid w:val="0017050F"/>
    <w:rsid w:val="00170AA7"/>
    <w:rsid w:val="00170B7B"/>
    <w:rsid w:val="00170F92"/>
    <w:rsid w:val="00171112"/>
    <w:rsid w:val="00171368"/>
    <w:rsid w:val="00171598"/>
    <w:rsid w:val="00171640"/>
    <w:rsid w:val="0017175C"/>
    <w:rsid w:val="001717CE"/>
    <w:rsid w:val="00171970"/>
    <w:rsid w:val="001719B3"/>
    <w:rsid w:val="00171B5F"/>
    <w:rsid w:val="00171F68"/>
    <w:rsid w:val="0017250B"/>
    <w:rsid w:val="001725DB"/>
    <w:rsid w:val="00172627"/>
    <w:rsid w:val="00172645"/>
    <w:rsid w:val="0017270C"/>
    <w:rsid w:val="00172753"/>
    <w:rsid w:val="0017280D"/>
    <w:rsid w:val="00172BC1"/>
    <w:rsid w:val="00172CCD"/>
    <w:rsid w:val="00172E1F"/>
    <w:rsid w:val="00172FDE"/>
    <w:rsid w:val="0017330C"/>
    <w:rsid w:val="00173490"/>
    <w:rsid w:val="00173595"/>
    <w:rsid w:val="00173753"/>
    <w:rsid w:val="00173B25"/>
    <w:rsid w:val="00173CD0"/>
    <w:rsid w:val="00173E05"/>
    <w:rsid w:val="00173ED7"/>
    <w:rsid w:val="00174279"/>
    <w:rsid w:val="0017475B"/>
    <w:rsid w:val="00174BE4"/>
    <w:rsid w:val="0017537C"/>
    <w:rsid w:val="00175388"/>
    <w:rsid w:val="0017568B"/>
    <w:rsid w:val="001756C8"/>
    <w:rsid w:val="001757BB"/>
    <w:rsid w:val="00175900"/>
    <w:rsid w:val="001759C5"/>
    <w:rsid w:val="001759C7"/>
    <w:rsid w:val="00175B20"/>
    <w:rsid w:val="00175C6D"/>
    <w:rsid w:val="00175EBC"/>
    <w:rsid w:val="00175F7B"/>
    <w:rsid w:val="00176156"/>
    <w:rsid w:val="00176606"/>
    <w:rsid w:val="00176624"/>
    <w:rsid w:val="001766DD"/>
    <w:rsid w:val="00176900"/>
    <w:rsid w:val="00176950"/>
    <w:rsid w:val="00176A8D"/>
    <w:rsid w:val="00176C09"/>
    <w:rsid w:val="00176EBC"/>
    <w:rsid w:val="001770C2"/>
    <w:rsid w:val="001770C4"/>
    <w:rsid w:val="00177163"/>
    <w:rsid w:val="0017717F"/>
    <w:rsid w:val="00177190"/>
    <w:rsid w:val="001774A1"/>
    <w:rsid w:val="001775C3"/>
    <w:rsid w:val="001775D2"/>
    <w:rsid w:val="001775EE"/>
    <w:rsid w:val="001776F4"/>
    <w:rsid w:val="00177917"/>
    <w:rsid w:val="00177B55"/>
    <w:rsid w:val="00177B74"/>
    <w:rsid w:val="00177C0D"/>
    <w:rsid w:val="00177D15"/>
    <w:rsid w:val="00180002"/>
    <w:rsid w:val="00180281"/>
    <w:rsid w:val="00180291"/>
    <w:rsid w:val="0018038D"/>
    <w:rsid w:val="0018087F"/>
    <w:rsid w:val="00180896"/>
    <w:rsid w:val="001809E9"/>
    <w:rsid w:val="00180AC1"/>
    <w:rsid w:val="00180B2B"/>
    <w:rsid w:val="00180C6B"/>
    <w:rsid w:val="00180E11"/>
    <w:rsid w:val="00180EBD"/>
    <w:rsid w:val="00180F56"/>
    <w:rsid w:val="00181047"/>
    <w:rsid w:val="001811A2"/>
    <w:rsid w:val="001811EF"/>
    <w:rsid w:val="00181296"/>
    <w:rsid w:val="0018150A"/>
    <w:rsid w:val="0018174A"/>
    <w:rsid w:val="001817BC"/>
    <w:rsid w:val="00181D4D"/>
    <w:rsid w:val="00182023"/>
    <w:rsid w:val="001820B2"/>
    <w:rsid w:val="001822E8"/>
    <w:rsid w:val="001825A1"/>
    <w:rsid w:val="00182720"/>
    <w:rsid w:val="00182750"/>
    <w:rsid w:val="001827E1"/>
    <w:rsid w:val="00182828"/>
    <w:rsid w:val="001828B1"/>
    <w:rsid w:val="00182993"/>
    <w:rsid w:val="00182A61"/>
    <w:rsid w:val="00182A92"/>
    <w:rsid w:val="00182D6B"/>
    <w:rsid w:val="00182EE1"/>
    <w:rsid w:val="00182F1C"/>
    <w:rsid w:val="00183115"/>
    <w:rsid w:val="00183179"/>
    <w:rsid w:val="001831BD"/>
    <w:rsid w:val="001833FB"/>
    <w:rsid w:val="0018350A"/>
    <w:rsid w:val="00183670"/>
    <w:rsid w:val="001836B0"/>
    <w:rsid w:val="001837EF"/>
    <w:rsid w:val="0018382C"/>
    <w:rsid w:val="0018387B"/>
    <w:rsid w:val="00183A17"/>
    <w:rsid w:val="00183B50"/>
    <w:rsid w:val="00183B8F"/>
    <w:rsid w:val="00184039"/>
    <w:rsid w:val="0018408B"/>
    <w:rsid w:val="00184208"/>
    <w:rsid w:val="00184265"/>
    <w:rsid w:val="00184269"/>
    <w:rsid w:val="00184348"/>
    <w:rsid w:val="001844CC"/>
    <w:rsid w:val="0018468D"/>
    <w:rsid w:val="00184800"/>
    <w:rsid w:val="00184845"/>
    <w:rsid w:val="001848BD"/>
    <w:rsid w:val="00184A3F"/>
    <w:rsid w:val="00184A8F"/>
    <w:rsid w:val="00184B0A"/>
    <w:rsid w:val="00184C18"/>
    <w:rsid w:val="00184D00"/>
    <w:rsid w:val="00184FDE"/>
    <w:rsid w:val="001850AC"/>
    <w:rsid w:val="0018520C"/>
    <w:rsid w:val="00185503"/>
    <w:rsid w:val="001857DB"/>
    <w:rsid w:val="0018595A"/>
    <w:rsid w:val="00185D94"/>
    <w:rsid w:val="00185F6C"/>
    <w:rsid w:val="00185FD7"/>
    <w:rsid w:val="00186008"/>
    <w:rsid w:val="00186027"/>
    <w:rsid w:val="00186084"/>
    <w:rsid w:val="001861A6"/>
    <w:rsid w:val="001861AC"/>
    <w:rsid w:val="001861DD"/>
    <w:rsid w:val="001861E6"/>
    <w:rsid w:val="001863E0"/>
    <w:rsid w:val="001868DE"/>
    <w:rsid w:val="00186A6D"/>
    <w:rsid w:val="00186BFC"/>
    <w:rsid w:val="00186D08"/>
    <w:rsid w:val="00186F3B"/>
    <w:rsid w:val="00187182"/>
    <w:rsid w:val="0018738B"/>
    <w:rsid w:val="00187594"/>
    <w:rsid w:val="00187678"/>
    <w:rsid w:val="001876C5"/>
    <w:rsid w:val="00187724"/>
    <w:rsid w:val="001878E7"/>
    <w:rsid w:val="001878F6"/>
    <w:rsid w:val="00187D88"/>
    <w:rsid w:val="00187DB7"/>
    <w:rsid w:val="00187F81"/>
    <w:rsid w:val="00187FB4"/>
    <w:rsid w:val="00190269"/>
    <w:rsid w:val="001904A3"/>
    <w:rsid w:val="001908D5"/>
    <w:rsid w:val="00190A8E"/>
    <w:rsid w:val="00190E28"/>
    <w:rsid w:val="00190EC1"/>
    <w:rsid w:val="00190EC5"/>
    <w:rsid w:val="00191249"/>
    <w:rsid w:val="001913D8"/>
    <w:rsid w:val="0019149F"/>
    <w:rsid w:val="001915BE"/>
    <w:rsid w:val="001917AE"/>
    <w:rsid w:val="00191CA4"/>
    <w:rsid w:val="00191DE1"/>
    <w:rsid w:val="001924C5"/>
    <w:rsid w:val="001925A3"/>
    <w:rsid w:val="00192A0F"/>
    <w:rsid w:val="00192CCB"/>
    <w:rsid w:val="00192FFE"/>
    <w:rsid w:val="00193005"/>
    <w:rsid w:val="001930B9"/>
    <w:rsid w:val="001933A1"/>
    <w:rsid w:val="00193A2C"/>
    <w:rsid w:val="00193C4A"/>
    <w:rsid w:val="00193CFB"/>
    <w:rsid w:val="00194072"/>
    <w:rsid w:val="00194236"/>
    <w:rsid w:val="0019428D"/>
    <w:rsid w:val="00194341"/>
    <w:rsid w:val="0019439D"/>
    <w:rsid w:val="00194409"/>
    <w:rsid w:val="00194445"/>
    <w:rsid w:val="001945A5"/>
    <w:rsid w:val="001945F7"/>
    <w:rsid w:val="0019464C"/>
    <w:rsid w:val="00194946"/>
    <w:rsid w:val="001949DE"/>
    <w:rsid w:val="00194A17"/>
    <w:rsid w:val="00194BFD"/>
    <w:rsid w:val="00194EDB"/>
    <w:rsid w:val="00194FE1"/>
    <w:rsid w:val="00194FE8"/>
    <w:rsid w:val="0019505F"/>
    <w:rsid w:val="0019541A"/>
    <w:rsid w:val="001954D4"/>
    <w:rsid w:val="001955D2"/>
    <w:rsid w:val="00195764"/>
    <w:rsid w:val="001958D1"/>
    <w:rsid w:val="00195A18"/>
    <w:rsid w:val="00195B31"/>
    <w:rsid w:val="00195BCE"/>
    <w:rsid w:val="00195CE1"/>
    <w:rsid w:val="001963EC"/>
    <w:rsid w:val="0019690F"/>
    <w:rsid w:val="001969BA"/>
    <w:rsid w:val="001969BE"/>
    <w:rsid w:val="00196AB2"/>
    <w:rsid w:val="00196F80"/>
    <w:rsid w:val="001971A0"/>
    <w:rsid w:val="001971D0"/>
    <w:rsid w:val="0019739B"/>
    <w:rsid w:val="001973AF"/>
    <w:rsid w:val="001974A0"/>
    <w:rsid w:val="001974A5"/>
    <w:rsid w:val="0019763F"/>
    <w:rsid w:val="0019766D"/>
    <w:rsid w:val="001978A7"/>
    <w:rsid w:val="00197924"/>
    <w:rsid w:val="00197BDB"/>
    <w:rsid w:val="00197CF0"/>
    <w:rsid w:val="00197E83"/>
    <w:rsid w:val="00197F3C"/>
    <w:rsid w:val="001A0201"/>
    <w:rsid w:val="001A02B1"/>
    <w:rsid w:val="001A02C2"/>
    <w:rsid w:val="001A04CF"/>
    <w:rsid w:val="001A058D"/>
    <w:rsid w:val="001A0769"/>
    <w:rsid w:val="001A07AB"/>
    <w:rsid w:val="001A0835"/>
    <w:rsid w:val="001A0B85"/>
    <w:rsid w:val="001A0BAA"/>
    <w:rsid w:val="001A0C08"/>
    <w:rsid w:val="001A0DF4"/>
    <w:rsid w:val="001A1022"/>
    <w:rsid w:val="001A1208"/>
    <w:rsid w:val="001A1255"/>
    <w:rsid w:val="001A12D1"/>
    <w:rsid w:val="001A160C"/>
    <w:rsid w:val="001A16DC"/>
    <w:rsid w:val="001A1797"/>
    <w:rsid w:val="001A17EA"/>
    <w:rsid w:val="001A21B4"/>
    <w:rsid w:val="001A222B"/>
    <w:rsid w:val="001A2306"/>
    <w:rsid w:val="001A2315"/>
    <w:rsid w:val="001A258D"/>
    <w:rsid w:val="001A25AD"/>
    <w:rsid w:val="001A2C06"/>
    <w:rsid w:val="001A2F26"/>
    <w:rsid w:val="001A30ED"/>
    <w:rsid w:val="001A34A5"/>
    <w:rsid w:val="001A34AD"/>
    <w:rsid w:val="001A36E9"/>
    <w:rsid w:val="001A3725"/>
    <w:rsid w:val="001A37F5"/>
    <w:rsid w:val="001A381C"/>
    <w:rsid w:val="001A386F"/>
    <w:rsid w:val="001A39B7"/>
    <w:rsid w:val="001A39EA"/>
    <w:rsid w:val="001A3CF3"/>
    <w:rsid w:val="001A3F41"/>
    <w:rsid w:val="001A4030"/>
    <w:rsid w:val="001A4231"/>
    <w:rsid w:val="001A4243"/>
    <w:rsid w:val="001A47F2"/>
    <w:rsid w:val="001A4960"/>
    <w:rsid w:val="001A49C0"/>
    <w:rsid w:val="001A4AA4"/>
    <w:rsid w:val="001A4AD4"/>
    <w:rsid w:val="001A4B1D"/>
    <w:rsid w:val="001A4BEE"/>
    <w:rsid w:val="001A4DFA"/>
    <w:rsid w:val="001A5005"/>
    <w:rsid w:val="001A50EB"/>
    <w:rsid w:val="001A50F5"/>
    <w:rsid w:val="001A5263"/>
    <w:rsid w:val="001A5654"/>
    <w:rsid w:val="001A59E9"/>
    <w:rsid w:val="001A5A2C"/>
    <w:rsid w:val="001A5B4F"/>
    <w:rsid w:val="001A5BE8"/>
    <w:rsid w:val="001A5D73"/>
    <w:rsid w:val="001A5E6E"/>
    <w:rsid w:val="001A5F7D"/>
    <w:rsid w:val="001A6130"/>
    <w:rsid w:val="001A627F"/>
    <w:rsid w:val="001A6615"/>
    <w:rsid w:val="001A6737"/>
    <w:rsid w:val="001A68EA"/>
    <w:rsid w:val="001A6CD6"/>
    <w:rsid w:val="001A6E93"/>
    <w:rsid w:val="001A7046"/>
    <w:rsid w:val="001A74AF"/>
    <w:rsid w:val="001A75C7"/>
    <w:rsid w:val="001A79A6"/>
    <w:rsid w:val="001A79DD"/>
    <w:rsid w:val="001A7D17"/>
    <w:rsid w:val="001AFB5C"/>
    <w:rsid w:val="001B0185"/>
    <w:rsid w:val="001B01FE"/>
    <w:rsid w:val="001B03AC"/>
    <w:rsid w:val="001B0452"/>
    <w:rsid w:val="001B05F9"/>
    <w:rsid w:val="001B0641"/>
    <w:rsid w:val="001B09A8"/>
    <w:rsid w:val="001B0C15"/>
    <w:rsid w:val="001B0E01"/>
    <w:rsid w:val="001B0EC7"/>
    <w:rsid w:val="001B108D"/>
    <w:rsid w:val="001B10A0"/>
    <w:rsid w:val="001B119F"/>
    <w:rsid w:val="001B11B8"/>
    <w:rsid w:val="001B12D9"/>
    <w:rsid w:val="001B14BA"/>
    <w:rsid w:val="001B1575"/>
    <w:rsid w:val="001B1634"/>
    <w:rsid w:val="001B1901"/>
    <w:rsid w:val="001B199D"/>
    <w:rsid w:val="001B1A59"/>
    <w:rsid w:val="001B1BEE"/>
    <w:rsid w:val="001B1CE7"/>
    <w:rsid w:val="001B1D88"/>
    <w:rsid w:val="001B1EDB"/>
    <w:rsid w:val="001B1F4F"/>
    <w:rsid w:val="001B2077"/>
    <w:rsid w:val="001B2217"/>
    <w:rsid w:val="001B2223"/>
    <w:rsid w:val="001B2554"/>
    <w:rsid w:val="001B2832"/>
    <w:rsid w:val="001B289E"/>
    <w:rsid w:val="001B29D7"/>
    <w:rsid w:val="001B2CCC"/>
    <w:rsid w:val="001B2F79"/>
    <w:rsid w:val="001B3135"/>
    <w:rsid w:val="001B32A5"/>
    <w:rsid w:val="001B3464"/>
    <w:rsid w:val="001B35D2"/>
    <w:rsid w:val="001B363A"/>
    <w:rsid w:val="001B3712"/>
    <w:rsid w:val="001B395F"/>
    <w:rsid w:val="001B3992"/>
    <w:rsid w:val="001B3ADD"/>
    <w:rsid w:val="001B4168"/>
    <w:rsid w:val="001B4281"/>
    <w:rsid w:val="001B46EB"/>
    <w:rsid w:val="001B46F2"/>
    <w:rsid w:val="001B493D"/>
    <w:rsid w:val="001B4BDF"/>
    <w:rsid w:val="001B4D06"/>
    <w:rsid w:val="001B4D5F"/>
    <w:rsid w:val="001B5045"/>
    <w:rsid w:val="001B5302"/>
    <w:rsid w:val="001B544B"/>
    <w:rsid w:val="001B545D"/>
    <w:rsid w:val="001B557C"/>
    <w:rsid w:val="001B562D"/>
    <w:rsid w:val="001B5915"/>
    <w:rsid w:val="001B5CBA"/>
    <w:rsid w:val="001B5F67"/>
    <w:rsid w:val="001B61A0"/>
    <w:rsid w:val="001B625C"/>
    <w:rsid w:val="001B628C"/>
    <w:rsid w:val="001B6459"/>
    <w:rsid w:val="001B6522"/>
    <w:rsid w:val="001B65AE"/>
    <w:rsid w:val="001B65B8"/>
    <w:rsid w:val="001B65C7"/>
    <w:rsid w:val="001B6622"/>
    <w:rsid w:val="001B6843"/>
    <w:rsid w:val="001B69F7"/>
    <w:rsid w:val="001B6AA8"/>
    <w:rsid w:val="001B6B31"/>
    <w:rsid w:val="001B6D00"/>
    <w:rsid w:val="001B70A0"/>
    <w:rsid w:val="001B7159"/>
    <w:rsid w:val="001B74AB"/>
    <w:rsid w:val="001B7610"/>
    <w:rsid w:val="001B76B8"/>
    <w:rsid w:val="001B76F4"/>
    <w:rsid w:val="001B7A1A"/>
    <w:rsid w:val="001B7A8A"/>
    <w:rsid w:val="001B7B5B"/>
    <w:rsid w:val="001B7CC0"/>
    <w:rsid w:val="001B7E3B"/>
    <w:rsid w:val="001B7ED7"/>
    <w:rsid w:val="001C0541"/>
    <w:rsid w:val="001C05A6"/>
    <w:rsid w:val="001C081A"/>
    <w:rsid w:val="001C097D"/>
    <w:rsid w:val="001C0A0E"/>
    <w:rsid w:val="001C0A4B"/>
    <w:rsid w:val="001C0F5F"/>
    <w:rsid w:val="001C10B0"/>
    <w:rsid w:val="001C1772"/>
    <w:rsid w:val="001C1826"/>
    <w:rsid w:val="001C1937"/>
    <w:rsid w:val="001C195C"/>
    <w:rsid w:val="001C1BD1"/>
    <w:rsid w:val="001C1CF7"/>
    <w:rsid w:val="001C2104"/>
    <w:rsid w:val="001C21CD"/>
    <w:rsid w:val="001C2218"/>
    <w:rsid w:val="001C2238"/>
    <w:rsid w:val="001C2269"/>
    <w:rsid w:val="001C23E7"/>
    <w:rsid w:val="001C240B"/>
    <w:rsid w:val="001C2B1B"/>
    <w:rsid w:val="001C2B31"/>
    <w:rsid w:val="001C2B8D"/>
    <w:rsid w:val="001C2C36"/>
    <w:rsid w:val="001C3142"/>
    <w:rsid w:val="001C32DA"/>
    <w:rsid w:val="001C34BF"/>
    <w:rsid w:val="001C3543"/>
    <w:rsid w:val="001C363E"/>
    <w:rsid w:val="001C3692"/>
    <w:rsid w:val="001C3A11"/>
    <w:rsid w:val="001C3AC0"/>
    <w:rsid w:val="001C3B5A"/>
    <w:rsid w:val="001C3C1C"/>
    <w:rsid w:val="001C3C32"/>
    <w:rsid w:val="001C3CBD"/>
    <w:rsid w:val="001C3D7A"/>
    <w:rsid w:val="001C3E7D"/>
    <w:rsid w:val="001C4632"/>
    <w:rsid w:val="001C46AF"/>
    <w:rsid w:val="001C4774"/>
    <w:rsid w:val="001C4B98"/>
    <w:rsid w:val="001C4F52"/>
    <w:rsid w:val="001C5007"/>
    <w:rsid w:val="001C516D"/>
    <w:rsid w:val="001C5344"/>
    <w:rsid w:val="001C5372"/>
    <w:rsid w:val="001C544E"/>
    <w:rsid w:val="001C5603"/>
    <w:rsid w:val="001C56BA"/>
    <w:rsid w:val="001C573F"/>
    <w:rsid w:val="001C5890"/>
    <w:rsid w:val="001C5A26"/>
    <w:rsid w:val="001C5D1A"/>
    <w:rsid w:val="001C5F07"/>
    <w:rsid w:val="001C6022"/>
    <w:rsid w:val="001C60E9"/>
    <w:rsid w:val="001C62CA"/>
    <w:rsid w:val="001C6562"/>
    <w:rsid w:val="001C6785"/>
    <w:rsid w:val="001C6D4C"/>
    <w:rsid w:val="001C6DBD"/>
    <w:rsid w:val="001C6EF2"/>
    <w:rsid w:val="001C6F64"/>
    <w:rsid w:val="001C6F7E"/>
    <w:rsid w:val="001C7041"/>
    <w:rsid w:val="001C70BB"/>
    <w:rsid w:val="001C714B"/>
    <w:rsid w:val="001C71BC"/>
    <w:rsid w:val="001C7351"/>
    <w:rsid w:val="001C7750"/>
    <w:rsid w:val="001C7786"/>
    <w:rsid w:val="001C7810"/>
    <w:rsid w:val="001C7816"/>
    <w:rsid w:val="001C787D"/>
    <w:rsid w:val="001C794A"/>
    <w:rsid w:val="001C7E8B"/>
    <w:rsid w:val="001C7EAA"/>
    <w:rsid w:val="001CAB16"/>
    <w:rsid w:val="001D0232"/>
    <w:rsid w:val="001D0245"/>
    <w:rsid w:val="001D042B"/>
    <w:rsid w:val="001D04CE"/>
    <w:rsid w:val="001D052E"/>
    <w:rsid w:val="001D09A1"/>
    <w:rsid w:val="001D0B78"/>
    <w:rsid w:val="001D0DB3"/>
    <w:rsid w:val="001D0DD2"/>
    <w:rsid w:val="001D0DE4"/>
    <w:rsid w:val="001D124A"/>
    <w:rsid w:val="001D13CE"/>
    <w:rsid w:val="001D1727"/>
    <w:rsid w:val="001D1860"/>
    <w:rsid w:val="001D1866"/>
    <w:rsid w:val="001D1AE3"/>
    <w:rsid w:val="001D1C2C"/>
    <w:rsid w:val="001D1DF3"/>
    <w:rsid w:val="001D229F"/>
    <w:rsid w:val="001D230C"/>
    <w:rsid w:val="001D249B"/>
    <w:rsid w:val="001D24AC"/>
    <w:rsid w:val="001D24D2"/>
    <w:rsid w:val="001D2532"/>
    <w:rsid w:val="001D2663"/>
    <w:rsid w:val="001D26C8"/>
    <w:rsid w:val="001D2896"/>
    <w:rsid w:val="001D29A3"/>
    <w:rsid w:val="001D2B49"/>
    <w:rsid w:val="001D2FDF"/>
    <w:rsid w:val="001D305A"/>
    <w:rsid w:val="001D3468"/>
    <w:rsid w:val="001D34B9"/>
    <w:rsid w:val="001D3769"/>
    <w:rsid w:val="001D3833"/>
    <w:rsid w:val="001D38F5"/>
    <w:rsid w:val="001D3AA2"/>
    <w:rsid w:val="001D3C73"/>
    <w:rsid w:val="001D3CBC"/>
    <w:rsid w:val="001D3EB1"/>
    <w:rsid w:val="001D3EFD"/>
    <w:rsid w:val="001D3F80"/>
    <w:rsid w:val="001D4055"/>
    <w:rsid w:val="001D40B3"/>
    <w:rsid w:val="001D4346"/>
    <w:rsid w:val="001D472D"/>
    <w:rsid w:val="001D4793"/>
    <w:rsid w:val="001D496F"/>
    <w:rsid w:val="001D49E3"/>
    <w:rsid w:val="001D49F9"/>
    <w:rsid w:val="001D4A15"/>
    <w:rsid w:val="001D4B40"/>
    <w:rsid w:val="001D4D76"/>
    <w:rsid w:val="001D4E28"/>
    <w:rsid w:val="001D50C0"/>
    <w:rsid w:val="001D513C"/>
    <w:rsid w:val="001D546F"/>
    <w:rsid w:val="001D5541"/>
    <w:rsid w:val="001D56D7"/>
    <w:rsid w:val="001D58B3"/>
    <w:rsid w:val="001D5A47"/>
    <w:rsid w:val="001D5AD6"/>
    <w:rsid w:val="001D5ADE"/>
    <w:rsid w:val="001D5C76"/>
    <w:rsid w:val="001D6101"/>
    <w:rsid w:val="001D65E9"/>
    <w:rsid w:val="001D66CD"/>
    <w:rsid w:val="001D6779"/>
    <w:rsid w:val="001D68F6"/>
    <w:rsid w:val="001D6B61"/>
    <w:rsid w:val="001D6EAA"/>
    <w:rsid w:val="001D6ED4"/>
    <w:rsid w:val="001D742A"/>
    <w:rsid w:val="001D75D5"/>
    <w:rsid w:val="001D780A"/>
    <w:rsid w:val="001D7943"/>
    <w:rsid w:val="001D7988"/>
    <w:rsid w:val="001D79F7"/>
    <w:rsid w:val="001D7B78"/>
    <w:rsid w:val="001D7C62"/>
    <w:rsid w:val="001D7C9B"/>
    <w:rsid w:val="001D7D2E"/>
    <w:rsid w:val="001E039F"/>
    <w:rsid w:val="001E065F"/>
    <w:rsid w:val="001E0884"/>
    <w:rsid w:val="001E08EF"/>
    <w:rsid w:val="001E0B70"/>
    <w:rsid w:val="001E0D23"/>
    <w:rsid w:val="001E107A"/>
    <w:rsid w:val="001E1084"/>
    <w:rsid w:val="001E10DE"/>
    <w:rsid w:val="001E1124"/>
    <w:rsid w:val="001E1457"/>
    <w:rsid w:val="001E1480"/>
    <w:rsid w:val="001E14E5"/>
    <w:rsid w:val="001E1547"/>
    <w:rsid w:val="001E17F1"/>
    <w:rsid w:val="001E1824"/>
    <w:rsid w:val="001E1A78"/>
    <w:rsid w:val="001E1BD2"/>
    <w:rsid w:val="001E238C"/>
    <w:rsid w:val="001E2564"/>
    <w:rsid w:val="001E25D8"/>
    <w:rsid w:val="001E2942"/>
    <w:rsid w:val="001E29C5"/>
    <w:rsid w:val="001E29CA"/>
    <w:rsid w:val="001E2A6F"/>
    <w:rsid w:val="001E2B34"/>
    <w:rsid w:val="001E2BBE"/>
    <w:rsid w:val="001E2D1D"/>
    <w:rsid w:val="001E30F3"/>
    <w:rsid w:val="001E3230"/>
    <w:rsid w:val="001E3328"/>
    <w:rsid w:val="001E342C"/>
    <w:rsid w:val="001E35A5"/>
    <w:rsid w:val="001E3748"/>
    <w:rsid w:val="001E3788"/>
    <w:rsid w:val="001E3DD1"/>
    <w:rsid w:val="001E3EF3"/>
    <w:rsid w:val="001E3FFD"/>
    <w:rsid w:val="001E4031"/>
    <w:rsid w:val="001E4077"/>
    <w:rsid w:val="001E4113"/>
    <w:rsid w:val="001E4E6D"/>
    <w:rsid w:val="001E4F7F"/>
    <w:rsid w:val="001E53F9"/>
    <w:rsid w:val="001E5454"/>
    <w:rsid w:val="001E58E5"/>
    <w:rsid w:val="001E5ED1"/>
    <w:rsid w:val="001E5F53"/>
    <w:rsid w:val="001E60E8"/>
    <w:rsid w:val="001E6204"/>
    <w:rsid w:val="001E6229"/>
    <w:rsid w:val="001E63E4"/>
    <w:rsid w:val="001E6427"/>
    <w:rsid w:val="001E65EF"/>
    <w:rsid w:val="001E673C"/>
    <w:rsid w:val="001E67A7"/>
    <w:rsid w:val="001E6882"/>
    <w:rsid w:val="001E6AB1"/>
    <w:rsid w:val="001E6AB5"/>
    <w:rsid w:val="001E6AD0"/>
    <w:rsid w:val="001E6D02"/>
    <w:rsid w:val="001E6EF9"/>
    <w:rsid w:val="001E7066"/>
    <w:rsid w:val="001E736E"/>
    <w:rsid w:val="001E7976"/>
    <w:rsid w:val="001E79A1"/>
    <w:rsid w:val="001E7BE6"/>
    <w:rsid w:val="001E7D43"/>
    <w:rsid w:val="001E7E1A"/>
    <w:rsid w:val="001E7E2F"/>
    <w:rsid w:val="001F01C3"/>
    <w:rsid w:val="001F0298"/>
    <w:rsid w:val="001F044F"/>
    <w:rsid w:val="001F0585"/>
    <w:rsid w:val="001F0833"/>
    <w:rsid w:val="001F0BF5"/>
    <w:rsid w:val="001F0FD8"/>
    <w:rsid w:val="001F1174"/>
    <w:rsid w:val="001F11C7"/>
    <w:rsid w:val="001F1200"/>
    <w:rsid w:val="001F1320"/>
    <w:rsid w:val="001F1424"/>
    <w:rsid w:val="001F1CA4"/>
    <w:rsid w:val="001F2108"/>
    <w:rsid w:val="001F2278"/>
    <w:rsid w:val="001F2352"/>
    <w:rsid w:val="001F2511"/>
    <w:rsid w:val="001F25A2"/>
    <w:rsid w:val="001F2C2E"/>
    <w:rsid w:val="001F2C80"/>
    <w:rsid w:val="001F2E05"/>
    <w:rsid w:val="001F2F19"/>
    <w:rsid w:val="001F30C4"/>
    <w:rsid w:val="001F38E7"/>
    <w:rsid w:val="001F3B05"/>
    <w:rsid w:val="001F3B78"/>
    <w:rsid w:val="001F3D79"/>
    <w:rsid w:val="001F3F48"/>
    <w:rsid w:val="001F3FAD"/>
    <w:rsid w:val="001F3FB8"/>
    <w:rsid w:val="001F4011"/>
    <w:rsid w:val="001F4022"/>
    <w:rsid w:val="001F4128"/>
    <w:rsid w:val="001F41B5"/>
    <w:rsid w:val="001F466D"/>
    <w:rsid w:val="001F46F5"/>
    <w:rsid w:val="001F4836"/>
    <w:rsid w:val="001F49E3"/>
    <w:rsid w:val="001F4BCC"/>
    <w:rsid w:val="001F4DDD"/>
    <w:rsid w:val="001F4E69"/>
    <w:rsid w:val="001F4EB2"/>
    <w:rsid w:val="001F507A"/>
    <w:rsid w:val="001F5193"/>
    <w:rsid w:val="001F5471"/>
    <w:rsid w:val="001F58AB"/>
    <w:rsid w:val="001F5CD7"/>
    <w:rsid w:val="001F5D95"/>
    <w:rsid w:val="001F5FF8"/>
    <w:rsid w:val="001F605C"/>
    <w:rsid w:val="001F61A0"/>
    <w:rsid w:val="001F63FF"/>
    <w:rsid w:val="001F649E"/>
    <w:rsid w:val="001F64ED"/>
    <w:rsid w:val="001F6696"/>
    <w:rsid w:val="001F67F9"/>
    <w:rsid w:val="001F6900"/>
    <w:rsid w:val="001F6AD6"/>
    <w:rsid w:val="001F6AF3"/>
    <w:rsid w:val="001F6C3D"/>
    <w:rsid w:val="001F6DD4"/>
    <w:rsid w:val="001F7139"/>
    <w:rsid w:val="001F71A2"/>
    <w:rsid w:val="001F7287"/>
    <w:rsid w:val="001F731E"/>
    <w:rsid w:val="001F7443"/>
    <w:rsid w:val="001F76C7"/>
    <w:rsid w:val="001F7946"/>
    <w:rsid w:val="001F79BA"/>
    <w:rsid w:val="001F7A1B"/>
    <w:rsid w:val="001F7D0C"/>
    <w:rsid w:val="002001AA"/>
    <w:rsid w:val="002009BC"/>
    <w:rsid w:val="00200A6A"/>
    <w:rsid w:val="00200B5E"/>
    <w:rsid w:val="00200C0A"/>
    <w:rsid w:val="00200CD4"/>
    <w:rsid w:val="00200D36"/>
    <w:rsid w:val="0020161D"/>
    <w:rsid w:val="00201737"/>
    <w:rsid w:val="00201A6E"/>
    <w:rsid w:val="00201ABA"/>
    <w:rsid w:val="00201EA2"/>
    <w:rsid w:val="0020217C"/>
    <w:rsid w:val="00202287"/>
    <w:rsid w:val="00202687"/>
    <w:rsid w:val="002026C7"/>
    <w:rsid w:val="00202A77"/>
    <w:rsid w:val="00202C08"/>
    <w:rsid w:val="00202CC5"/>
    <w:rsid w:val="002030F2"/>
    <w:rsid w:val="002031FB"/>
    <w:rsid w:val="0020327A"/>
    <w:rsid w:val="002035D3"/>
    <w:rsid w:val="00203B04"/>
    <w:rsid w:val="00203C29"/>
    <w:rsid w:val="00203D37"/>
    <w:rsid w:val="00203E1D"/>
    <w:rsid w:val="00203E54"/>
    <w:rsid w:val="002041CA"/>
    <w:rsid w:val="0020437E"/>
    <w:rsid w:val="002044AE"/>
    <w:rsid w:val="0020493D"/>
    <w:rsid w:val="00204C83"/>
    <w:rsid w:val="00204CFF"/>
    <w:rsid w:val="00204D2C"/>
    <w:rsid w:val="00204D53"/>
    <w:rsid w:val="00204EAA"/>
    <w:rsid w:val="00205133"/>
    <w:rsid w:val="0020556C"/>
    <w:rsid w:val="002057DC"/>
    <w:rsid w:val="00205818"/>
    <w:rsid w:val="0020582E"/>
    <w:rsid w:val="002058D1"/>
    <w:rsid w:val="00205910"/>
    <w:rsid w:val="00205A7A"/>
    <w:rsid w:val="00205E71"/>
    <w:rsid w:val="00205F57"/>
    <w:rsid w:val="00205F6F"/>
    <w:rsid w:val="00206328"/>
    <w:rsid w:val="0020650D"/>
    <w:rsid w:val="00206511"/>
    <w:rsid w:val="00206705"/>
    <w:rsid w:val="00206763"/>
    <w:rsid w:val="002069D3"/>
    <w:rsid w:val="00206A13"/>
    <w:rsid w:val="00206A47"/>
    <w:rsid w:val="00206B7C"/>
    <w:rsid w:val="00207047"/>
    <w:rsid w:val="00207358"/>
    <w:rsid w:val="0020741C"/>
    <w:rsid w:val="00207584"/>
    <w:rsid w:val="00207C11"/>
    <w:rsid w:val="00207CD5"/>
    <w:rsid w:val="00207F3B"/>
    <w:rsid w:val="00207F6C"/>
    <w:rsid w:val="00210017"/>
    <w:rsid w:val="0021006C"/>
    <w:rsid w:val="002102CD"/>
    <w:rsid w:val="00210623"/>
    <w:rsid w:val="00210736"/>
    <w:rsid w:val="002109C5"/>
    <w:rsid w:val="00210B47"/>
    <w:rsid w:val="00210D00"/>
    <w:rsid w:val="00210D6C"/>
    <w:rsid w:val="00210E16"/>
    <w:rsid w:val="00210F8F"/>
    <w:rsid w:val="00211045"/>
    <w:rsid w:val="00211188"/>
    <w:rsid w:val="00211598"/>
    <w:rsid w:val="00211640"/>
    <w:rsid w:val="002118EB"/>
    <w:rsid w:val="00211BEC"/>
    <w:rsid w:val="00211CAE"/>
    <w:rsid w:val="00211F83"/>
    <w:rsid w:val="002120D8"/>
    <w:rsid w:val="00212243"/>
    <w:rsid w:val="00212579"/>
    <w:rsid w:val="002125A8"/>
    <w:rsid w:val="002125DF"/>
    <w:rsid w:val="0021269E"/>
    <w:rsid w:val="00212816"/>
    <w:rsid w:val="00212AF9"/>
    <w:rsid w:val="00212BA4"/>
    <w:rsid w:val="00212D9B"/>
    <w:rsid w:val="00212E37"/>
    <w:rsid w:val="002130B9"/>
    <w:rsid w:val="00213113"/>
    <w:rsid w:val="002131D2"/>
    <w:rsid w:val="00213263"/>
    <w:rsid w:val="0021338C"/>
    <w:rsid w:val="0021348E"/>
    <w:rsid w:val="00213704"/>
    <w:rsid w:val="002137EE"/>
    <w:rsid w:val="0021417D"/>
    <w:rsid w:val="00214373"/>
    <w:rsid w:val="002145C3"/>
    <w:rsid w:val="002146F1"/>
    <w:rsid w:val="00214756"/>
    <w:rsid w:val="0021478F"/>
    <w:rsid w:val="00214E5D"/>
    <w:rsid w:val="00214E7F"/>
    <w:rsid w:val="00215281"/>
    <w:rsid w:val="002153C6"/>
    <w:rsid w:val="00215407"/>
    <w:rsid w:val="002154C0"/>
    <w:rsid w:val="00215524"/>
    <w:rsid w:val="00215581"/>
    <w:rsid w:val="002159BA"/>
    <w:rsid w:val="00215AAF"/>
    <w:rsid w:val="0021603C"/>
    <w:rsid w:val="0021614C"/>
    <w:rsid w:val="00216385"/>
    <w:rsid w:val="0021653F"/>
    <w:rsid w:val="00216590"/>
    <w:rsid w:val="00216799"/>
    <w:rsid w:val="00216AA1"/>
    <w:rsid w:val="00216D8C"/>
    <w:rsid w:val="00216E25"/>
    <w:rsid w:val="00216FBE"/>
    <w:rsid w:val="0021701C"/>
    <w:rsid w:val="00217144"/>
    <w:rsid w:val="0021743F"/>
    <w:rsid w:val="002175B0"/>
    <w:rsid w:val="002175B4"/>
    <w:rsid w:val="0021784F"/>
    <w:rsid w:val="002179D8"/>
    <w:rsid w:val="00217B9B"/>
    <w:rsid w:val="00217C06"/>
    <w:rsid w:val="00217D48"/>
    <w:rsid w:val="00217D4A"/>
    <w:rsid w:val="00217D5C"/>
    <w:rsid w:val="00217DD4"/>
    <w:rsid w:val="00217E27"/>
    <w:rsid w:val="00220154"/>
    <w:rsid w:val="0022019F"/>
    <w:rsid w:val="002202A3"/>
    <w:rsid w:val="00220331"/>
    <w:rsid w:val="002207B1"/>
    <w:rsid w:val="00220858"/>
    <w:rsid w:val="00220C44"/>
    <w:rsid w:val="00220D7A"/>
    <w:rsid w:val="00221345"/>
    <w:rsid w:val="0022157C"/>
    <w:rsid w:val="0022159E"/>
    <w:rsid w:val="002216EE"/>
    <w:rsid w:val="0022174E"/>
    <w:rsid w:val="00221956"/>
    <w:rsid w:val="00221A1F"/>
    <w:rsid w:val="00221D68"/>
    <w:rsid w:val="00221DFE"/>
    <w:rsid w:val="00221E8E"/>
    <w:rsid w:val="00221F36"/>
    <w:rsid w:val="00221F38"/>
    <w:rsid w:val="0022216B"/>
    <w:rsid w:val="002221AA"/>
    <w:rsid w:val="002221EB"/>
    <w:rsid w:val="0022221B"/>
    <w:rsid w:val="0022234D"/>
    <w:rsid w:val="0022248E"/>
    <w:rsid w:val="002225D8"/>
    <w:rsid w:val="0022272B"/>
    <w:rsid w:val="00222847"/>
    <w:rsid w:val="00222864"/>
    <w:rsid w:val="00222ABA"/>
    <w:rsid w:val="00222AE9"/>
    <w:rsid w:val="00222C7F"/>
    <w:rsid w:val="00222E1D"/>
    <w:rsid w:val="00223133"/>
    <w:rsid w:val="00223151"/>
    <w:rsid w:val="002231E0"/>
    <w:rsid w:val="002236F3"/>
    <w:rsid w:val="002237FC"/>
    <w:rsid w:val="00223BD3"/>
    <w:rsid w:val="00223BD7"/>
    <w:rsid w:val="00223DEC"/>
    <w:rsid w:val="00223F0A"/>
    <w:rsid w:val="00223F3F"/>
    <w:rsid w:val="00223F8D"/>
    <w:rsid w:val="0022407F"/>
    <w:rsid w:val="0022413B"/>
    <w:rsid w:val="00224294"/>
    <w:rsid w:val="00224828"/>
    <w:rsid w:val="0022494B"/>
    <w:rsid w:val="0022495E"/>
    <w:rsid w:val="00224BF9"/>
    <w:rsid w:val="00224C45"/>
    <w:rsid w:val="00224D27"/>
    <w:rsid w:val="00224D5B"/>
    <w:rsid w:val="00224DB1"/>
    <w:rsid w:val="00224EE8"/>
    <w:rsid w:val="00224F56"/>
    <w:rsid w:val="002253BC"/>
    <w:rsid w:val="00225573"/>
    <w:rsid w:val="002255C5"/>
    <w:rsid w:val="002256AC"/>
    <w:rsid w:val="00225798"/>
    <w:rsid w:val="00225943"/>
    <w:rsid w:val="0022598B"/>
    <w:rsid w:val="00225A86"/>
    <w:rsid w:val="00225B06"/>
    <w:rsid w:val="00225BDA"/>
    <w:rsid w:val="00225D4D"/>
    <w:rsid w:val="00225DA1"/>
    <w:rsid w:val="00225DA7"/>
    <w:rsid w:val="00226015"/>
    <w:rsid w:val="002265C6"/>
    <w:rsid w:val="0022692D"/>
    <w:rsid w:val="002269B8"/>
    <w:rsid w:val="00226C36"/>
    <w:rsid w:val="00226FE5"/>
    <w:rsid w:val="00227001"/>
    <w:rsid w:val="00227006"/>
    <w:rsid w:val="00227033"/>
    <w:rsid w:val="002270CB"/>
    <w:rsid w:val="00227201"/>
    <w:rsid w:val="00227293"/>
    <w:rsid w:val="00227383"/>
    <w:rsid w:val="00227467"/>
    <w:rsid w:val="002275EC"/>
    <w:rsid w:val="002276E8"/>
    <w:rsid w:val="00227B4B"/>
    <w:rsid w:val="00227C32"/>
    <w:rsid w:val="00227C65"/>
    <w:rsid w:val="00227D5D"/>
    <w:rsid w:val="00227D79"/>
    <w:rsid w:val="00227ED4"/>
    <w:rsid w:val="00227FEC"/>
    <w:rsid w:val="00230021"/>
    <w:rsid w:val="002301F6"/>
    <w:rsid w:val="002303EE"/>
    <w:rsid w:val="002304CA"/>
    <w:rsid w:val="00230528"/>
    <w:rsid w:val="0023069E"/>
    <w:rsid w:val="002306BA"/>
    <w:rsid w:val="002306D9"/>
    <w:rsid w:val="002306F8"/>
    <w:rsid w:val="002308B5"/>
    <w:rsid w:val="0023097B"/>
    <w:rsid w:val="00230A72"/>
    <w:rsid w:val="00230B3B"/>
    <w:rsid w:val="00230BB2"/>
    <w:rsid w:val="002310AB"/>
    <w:rsid w:val="00231331"/>
    <w:rsid w:val="00231574"/>
    <w:rsid w:val="00231608"/>
    <w:rsid w:val="0023164C"/>
    <w:rsid w:val="00231794"/>
    <w:rsid w:val="00231A27"/>
    <w:rsid w:val="00231B4B"/>
    <w:rsid w:val="00231C72"/>
    <w:rsid w:val="00231E61"/>
    <w:rsid w:val="00231F19"/>
    <w:rsid w:val="00232180"/>
    <w:rsid w:val="0023221C"/>
    <w:rsid w:val="002322BE"/>
    <w:rsid w:val="0023239D"/>
    <w:rsid w:val="00232494"/>
    <w:rsid w:val="002327AE"/>
    <w:rsid w:val="00232977"/>
    <w:rsid w:val="002329A1"/>
    <w:rsid w:val="00232BB4"/>
    <w:rsid w:val="00232E03"/>
    <w:rsid w:val="00232E7D"/>
    <w:rsid w:val="00232F5F"/>
    <w:rsid w:val="00233168"/>
    <w:rsid w:val="0023359A"/>
    <w:rsid w:val="00233801"/>
    <w:rsid w:val="00233816"/>
    <w:rsid w:val="00233CEE"/>
    <w:rsid w:val="00233D40"/>
    <w:rsid w:val="00233E24"/>
    <w:rsid w:val="0023465D"/>
    <w:rsid w:val="002348BC"/>
    <w:rsid w:val="00234902"/>
    <w:rsid w:val="00234B49"/>
    <w:rsid w:val="00234CB2"/>
    <w:rsid w:val="00234D46"/>
    <w:rsid w:val="00234DEB"/>
    <w:rsid w:val="00234E31"/>
    <w:rsid w:val="002353BD"/>
    <w:rsid w:val="00235402"/>
    <w:rsid w:val="00235431"/>
    <w:rsid w:val="002354E0"/>
    <w:rsid w:val="00235A41"/>
    <w:rsid w:val="00235A70"/>
    <w:rsid w:val="00235A9F"/>
    <w:rsid w:val="00235AEC"/>
    <w:rsid w:val="00235B24"/>
    <w:rsid w:val="00235B46"/>
    <w:rsid w:val="00235DD7"/>
    <w:rsid w:val="00235DFC"/>
    <w:rsid w:val="00235E13"/>
    <w:rsid w:val="00235FC7"/>
    <w:rsid w:val="0023629C"/>
    <w:rsid w:val="00236301"/>
    <w:rsid w:val="00236397"/>
    <w:rsid w:val="0023643B"/>
    <w:rsid w:val="00236445"/>
    <w:rsid w:val="002365E9"/>
    <w:rsid w:val="002368D4"/>
    <w:rsid w:val="002369D8"/>
    <w:rsid w:val="00236B68"/>
    <w:rsid w:val="00236BA2"/>
    <w:rsid w:val="00236DC4"/>
    <w:rsid w:val="002373C2"/>
    <w:rsid w:val="0023753C"/>
    <w:rsid w:val="00237677"/>
    <w:rsid w:val="002376A8"/>
    <w:rsid w:val="00237A99"/>
    <w:rsid w:val="00237C1F"/>
    <w:rsid w:val="00237C27"/>
    <w:rsid w:val="00237DED"/>
    <w:rsid w:val="00240375"/>
    <w:rsid w:val="002403AD"/>
    <w:rsid w:val="00240690"/>
    <w:rsid w:val="0024086D"/>
    <w:rsid w:val="002408B0"/>
    <w:rsid w:val="002408EA"/>
    <w:rsid w:val="0024097E"/>
    <w:rsid w:val="002409A0"/>
    <w:rsid w:val="00240A48"/>
    <w:rsid w:val="00240F26"/>
    <w:rsid w:val="00240F6F"/>
    <w:rsid w:val="00241015"/>
    <w:rsid w:val="0024101D"/>
    <w:rsid w:val="00241312"/>
    <w:rsid w:val="0024156A"/>
    <w:rsid w:val="00241586"/>
    <w:rsid w:val="002415B6"/>
    <w:rsid w:val="002416D2"/>
    <w:rsid w:val="002416FC"/>
    <w:rsid w:val="00241879"/>
    <w:rsid w:val="002418E8"/>
    <w:rsid w:val="002419F4"/>
    <w:rsid w:val="00241A07"/>
    <w:rsid w:val="00241CA9"/>
    <w:rsid w:val="00241D12"/>
    <w:rsid w:val="002420DD"/>
    <w:rsid w:val="002423EB"/>
    <w:rsid w:val="00242634"/>
    <w:rsid w:val="00242850"/>
    <w:rsid w:val="002429EC"/>
    <w:rsid w:val="002429F8"/>
    <w:rsid w:val="00242C58"/>
    <w:rsid w:val="00242E3C"/>
    <w:rsid w:val="002431E3"/>
    <w:rsid w:val="0024332E"/>
    <w:rsid w:val="0024374B"/>
    <w:rsid w:val="0024379A"/>
    <w:rsid w:val="00243896"/>
    <w:rsid w:val="00243990"/>
    <w:rsid w:val="00243AFE"/>
    <w:rsid w:val="00244532"/>
    <w:rsid w:val="00244702"/>
    <w:rsid w:val="00244810"/>
    <w:rsid w:val="00244A58"/>
    <w:rsid w:val="00244AC8"/>
    <w:rsid w:val="00244B62"/>
    <w:rsid w:val="00244CC7"/>
    <w:rsid w:val="00244D8D"/>
    <w:rsid w:val="00245133"/>
    <w:rsid w:val="002451CA"/>
    <w:rsid w:val="002453D9"/>
    <w:rsid w:val="0024565E"/>
    <w:rsid w:val="00245AD4"/>
    <w:rsid w:val="00245B59"/>
    <w:rsid w:val="00245F9A"/>
    <w:rsid w:val="00245FED"/>
    <w:rsid w:val="002462D7"/>
    <w:rsid w:val="00246303"/>
    <w:rsid w:val="00246336"/>
    <w:rsid w:val="00246407"/>
    <w:rsid w:val="002464C4"/>
    <w:rsid w:val="00246A43"/>
    <w:rsid w:val="00246AC2"/>
    <w:rsid w:val="00246ADC"/>
    <w:rsid w:val="00246B74"/>
    <w:rsid w:val="00246BA5"/>
    <w:rsid w:val="00246BCD"/>
    <w:rsid w:val="00246CE2"/>
    <w:rsid w:val="00246DC7"/>
    <w:rsid w:val="00247222"/>
    <w:rsid w:val="0024722B"/>
    <w:rsid w:val="00247252"/>
    <w:rsid w:val="002472FB"/>
    <w:rsid w:val="002473AD"/>
    <w:rsid w:val="00247417"/>
    <w:rsid w:val="00247873"/>
    <w:rsid w:val="0024790F"/>
    <w:rsid w:val="0024799D"/>
    <w:rsid w:val="002479ED"/>
    <w:rsid w:val="00247CBD"/>
    <w:rsid w:val="00247DE0"/>
    <w:rsid w:val="00247E1B"/>
    <w:rsid w:val="00247E45"/>
    <w:rsid w:val="00247EC5"/>
    <w:rsid w:val="00247F41"/>
    <w:rsid w:val="002501A8"/>
    <w:rsid w:val="002501DD"/>
    <w:rsid w:val="00250257"/>
    <w:rsid w:val="00250315"/>
    <w:rsid w:val="00250720"/>
    <w:rsid w:val="00250A77"/>
    <w:rsid w:val="00250B84"/>
    <w:rsid w:val="00250D4C"/>
    <w:rsid w:val="00250E87"/>
    <w:rsid w:val="00251421"/>
    <w:rsid w:val="002515CB"/>
    <w:rsid w:val="00251876"/>
    <w:rsid w:val="00251E06"/>
    <w:rsid w:val="00251FBA"/>
    <w:rsid w:val="00252011"/>
    <w:rsid w:val="00252064"/>
    <w:rsid w:val="00252164"/>
    <w:rsid w:val="0025246A"/>
    <w:rsid w:val="00252692"/>
    <w:rsid w:val="00252916"/>
    <w:rsid w:val="002529C8"/>
    <w:rsid w:val="00252AAD"/>
    <w:rsid w:val="00252B23"/>
    <w:rsid w:val="00252D04"/>
    <w:rsid w:val="00252D64"/>
    <w:rsid w:val="00252E0D"/>
    <w:rsid w:val="00252F2B"/>
    <w:rsid w:val="00252F8C"/>
    <w:rsid w:val="00253273"/>
    <w:rsid w:val="002532B4"/>
    <w:rsid w:val="00253393"/>
    <w:rsid w:val="002533EE"/>
    <w:rsid w:val="002534A3"/>
    <w:rsid w:val="002535DF"/>
    <w:rsid w:val="00253634"/>
    <w:rsid w:val="00253653"/>
    <w:rsid w:val="002536D5"/>
    <w:rsid w:val="00253714"/>
    <w:rsid w:val="002537CD"/>
    <w:rsid w:val="0025383C"/>
    <w:rsid w:val="00253EA1"/>
    <w:rsid w:val="00253F81"/>
    <w:rsid w:val="002540A3"/>
    <w:rsid w:val="0025420F"/>
    <w:rsid w:val="00254242"/>
    <w:rsid w:val="0025424B"/>
    <w:rsid w:val="0025430B"/>
    <w:rsid w:val="002548A1"/>
    <w:rsid w:val="00254BE6"/>
    <w:rsid w:val="00254E93"/>
    <w:rsid w:val="00254F20"/>
    <w:rsid w:val="00255052"/>
    <w:rsid w:val="00255293"/>
    <w:rsid w:val="002552A5"/>
    <w:rsid w:val="0025539E"/>
    <w:rsid w:val="00255841"/>
    <w:rsid w:val="00255B76"/>
    <w:rsid w:val="00255BE8"/>
    <w:rsid w:val="00255D70"/>
    <w:rsid w:val="00255E4E"/>
    <w:rsid w:val="00256069"/>
    <w:rsid w:val="00256176"/>
    <w:rsid w:val="002562CC"/>
    <w:rsid w:val="0025631B"/>
    <w:rsid w:val="0025636C"/>
    <w:rsid w:val="00256375"/>
    <w:rsid w:val="0025647C"/>
    <w:rsid w:val="00256624"/>
    <w:rsid w:val="00256709"/>
    <w:rsid w:val="002567AB"/>
    <w:rsid w:val="002567CB"/>
    <w:rsid w:val="00256A92"/>
    <w:rsid w:val="00256AEF"/>
    <w:rsid w:val="00256B1A"/>
    <w:rsid w:val="00256CD8"/>
    <w:rsid w:val="00256EBB"/>
    <w:rsid w:val="00256F27"/>
    <w:rsid w:val="002571E9"/>
    <w:rsid w:val="002572B2"/>
    <w:rsid w:val="002573DA"/>
    <w:rsid w:val="00257543"/>
    <w:rsid w:val="00257552"/>
    <w:rsid w:val="00257569"/>
    <w:rsid w:val="00257608"/>
    <w:rsid w:val="00257D68"/>
    <w:rsid w:val="00257DCB"/>
    <w:rsid w:val="00257FC9"/>
    <w:rsid w:val="00260575"/>
    <w:rsid w:val="00260593"/>
    <w:rsid w:val="002605E6"/>
    <w:rsid w:val="0026063F"/>
    <w:rsid w:val="00260801"/>
    <w:rsid w:val="00260837"/>
    <w:rsid w:val="00260911"/>
    <w:rsid w:val="00260C5C"/>
    <w:rsid w:val="00260D6A"/>
    <w:rsid w:val="00260DE5"/>
    <w:rsid w:val="00260EC3"/>
    <w:rsid w:val="00260EDA"/>
    <w:rsid w:val="0026131B"/>
    <w:rsid w:val="002614EB"/>
    <w:rsid w:val="00261517"/>
    <w:rsid w:val="0026162B"/>
    <w:rsid w:val="002617EB"/>
    <w:rsid w:val="0026190A"/>
    <w:rsid w:val="0026191B"/>
    <w:rsid w:val="002619FB"/>
    <w:rsid w:val="00261B1E"/>
    <w:rsid w:val="00261CD3"/>
    <w:rsid w:val="00261D8A"/>
    <w:rsid w:val="002620EE"/>
    <w:rsid w:val="00262184"/>
    <w:rsid w:val="0026219F"/>
    <w:rsid w:val="002622B0"/>
    <w:rsid w:val="0026260C"/>
    <w:rsid w:val="002628E2"/>
    <w:rsid w:val="00262917"/>
    <w:rsid w:val="00262BC1"/>
    <w:rsid w:val="00262D09"/>
    <w:rsid w:val="00262E2A"/>
    <w:rsid w:val="0026309B"/>
    <w:rsid w:val="00263110"/>
    <w:rsid w:val="00263134"/>
    <w:rsid w:val="00263193"/>
    <w:rsid w:val="00263194"/>
    <w:rsid w:val="0026330F"/>
    <w:rsid w:val="002634AA"/>
    <w:rsid w:val="002636F4"/>
    <w:rsid w:val="00263703"/>
    <w:rsid w:val="0026371A"/>
    <w:rsid w:val="0026386B"/>
    <w:rsid w:val="00263C21"/>
    <w:rsid w:val="00263DC4"/>
    <w:rsid w:val="00263F3F"/>
    <w:rsid w:val="00263F54"/>
    <w:rsid w:val="00264075"/>
    <w:rsid w:val="00264285"/>
    <w:rsid w:val="002644AD"/>
    <w:rsid w:val="002644DE"/>
    <w:rsid w:val="0026452C"/>
    <w:rsid w:val="002647A2"/>
    <w:rsid w:val="0026491C"/>
    <w:rsid w:val="00264944"/>
    <w:rsid w:val="0026494B"/>
    <w:rsid w:val="002649A7"/>
    <w:rsid w:val="00264C1F"/>
    <w:rsid w:val="00264CC2"/>
    <w:rsid w:val="00264DFA"/>
    <w:rsid w:val="00264E85"/>
    <w:rsid w:val="00265144"/>
    <w:rsid w:val="0026530F"/>
    <w:rsid w:val="002656AB"/>
    <w:rsid w:val="00265971"/>
    <w:rsid w:val="00265BC6"/>
    <w:rsid w:val="00265BF5"/>
    <w:rsid w:val="00265EEE"/>
    <w:rsid w:val="00266047"/>
    <w:rsid w:val="0026610A"/>
    <w:rsid w:val="00266662"/>
    <w:rsid w:val="002667D3"/>
    <w:rsid w:val="002669CC"/>
    <w:rsid w:val="00266C10"/>
    <w:rsid w:val="00266F17"/>
    <w:rsid w:val="00266F51"/>
    <w:rsid w:val="00266FBD"/>
    <w:rsid w:val="002672D1"/>
    <w:rsid w:val="00267655"/>
    <w:rsid w:val="00267A7E"/>
    <w:rsid w:val="0026D807"/>
    <w:rsid w:val="0027004F"/>
    <w:rsid w:val="002700FF"/>
    <w:rsid w:val="00270181"/>
    <w:rsid w:val="002701E6"/>
    <w:rsid w:val="0027038E"/>
    <w:rsid w:val="00270535"/>
    <w:rsid w:val="00270601"/>
    <w:rsid w:val="002708AE"/>
    <w:rsid w:val="00270AA0"/>
    <w:rsid w:val="00270C03"/>
    <w:rsid w:val="00270C0C"/>
    <w:rsid w:val="00270D01"/>
    <w:rsid w:val="00270E10"/>
    <w:rsid w:val="00271516"/>
    <w:rsid w:val="00271592"/>
    <w:rsid w:val="002717A4"/>
    <w:rsid w:val="00271803"/>
    <w:rsid w:val="00271889"/>
    <w:rsid w:val="002719A5"/>
    <w:rsid w:val="00271DC8"/>
    <w:rsid w:val="00271E10"/>
    <w:rsid w:val="00272058"/>
    <w:rsid w:val="0027222D"/>
    <w:rsid w:val="002722CB"/>
    <w:rsid w:val="00272447"/>
    <w:rsid w:val="0027246E"/>
    <w:rsid w:val="0027254A"/>
    <w:rsid w:val="00272707"/>
    <w:rsid w:val="002727B6"/>
    <w:rsid w:val="002727BA"/>
    <w:rsid w:val="0027282B"/>
    <w:rsid w:val="00272AC1"/>
    <w:rsid w:val="00272BD6"/>
    <w:rsid w:val="00272D25"/>
    <w:rsid w:val="00272D37"/>
    <w:rsid w:val="00272DF1"/>
    <w:rsid w:val="00272E83"/>
    <w:rsid w:val="00273191"/>
    <w:rsid w:val="002733FE"/>
    <w:rsid w:val="00273450"/>
    <w:rsid w:val="002735C8"/>
    <w:rsid w:val="0027363D"/>
    <w:rsid w:val="0027366E"/>
    <w:rsid w:val="0027378E"/>
    <w:rsid w:val="002738EC"/>
    <w:rsid w:val="00273995"/>
    <w:rsid w:val="002739E3"/>
    <w:rsid w:val="00273B94"/>
    <w:rsid w:val="00273BF3"/>
    <w:rsid w:val="00273C6D"/>
    <w:rsid w:val="00273D16"/>
    <w:rsid w:val="00273EED"/>
    <w:rsid w:val="002741AF"/>
    <w:rsid w:val="0027421A"/>
    <w:rsid w:val="002742FD"/>
    <w:rsid w:val="00274390"/>
    <w:rsid w:val="002743C6"/>
    <w:rsid w:val="0027463A"/>
    <w:rsid w:val="002746F2"/>
    <w:rsid w:val="0027499B"/>
    <w:rsid w:val="002749C4"/>
    <w:rsid w:val="00274AF7"/>
    <w:rsid w:val="00274EC6"/>
    <w:rsid w:val="002750D0"/>
    <w:rsid w:val="00275B0D"/>
    <w:rsid w:val="00275D72"/>
    <w:rsid w:val="00275FB1"/>
    <w:rsid w:val="00275FBC"/>
    <w:rsid w:val="00275FFA"/>
    <w:rsid w:val="00276174"/>
    <w:rsid w:val="002763E6"/>
    <w:rsid w:val="00276517"/>
    <w:rsid w:val="002765E9"/>
    <w:rsid w:val="0027665A"/>
    <w:rsid w:val="00276A6E"/>
    <w:rsid w:val="00276C3C"/>
    <w:rsid w:val="00276CDC"/>
    <w:rsid w:val="00276D93"/>
    <w:rsid w:val="00276DE1"/>
    <w:rsid w:val="002771C2"/>
    <w:rsid w:val="002772D2"/>
    <w:rsid w:val="0027774B"/>
    <w:rsid w:val="0027788A"/>
    <w:rsid w:val="00277A09"/>
    <w:rsid w:val="00277CE7"/>
    <w:rsid w:val="00277DDE"/>
    <w:rsid w:val="00277FE9"/>
    <w:rsid w:val="00280009"/>
    <w:rsid w:val="0028029C"/>
    <w:rsid w:val="0028030B"/>
    <w:rsid w:val="002807B1"/>
    <w:rsid w:val="0028082E"/>
    <w:rsid w:val="0028092B"/>
    <w:rsid w:val="0028098D"/>
    <w:rsid w:val="002809CC"/>
    <w:rsid w:val="002810B7"/>
    <w:rsid w:val="0028147A"/>
    <w:rsid w:val="00281531"/>
    <w:rsid w:val="002816C9"/>
    <w:rsid w:val="0028173A"/>
    <w:rsid w:val="002818B3"/>
    <w:rsid w:val="00281A1D"/>
    <w:rsid w:val="00281B0F"/>
    <w:rsid w:val="00281BE0"/>
    <w:rsid w:val="00281CD4"/>
    <w:rsid w:val="00281E42"/>
    <w:rsid w:val="00282033"/>
    <w:rsid w:val="0028217F"/>
    <w:rsid w:val="00282338"/>
    <w:rsid w:val="002823C5"/>
    <w:rsid w:val="00282558"/>
    <w:rsid w:val="0028255C"/>
    <w:rsid w:val="00282709"/>
    <w:rsid w:val="00282BBE"/>
    <w:rsid w:val="00282D7A"/>
    <w:rsid w:val="00282F17"/>
    <w:rsid w:val="00282F36"/>
    <w:rsid w:val="00282F56"/>
    <w:rsid w:val="00282F58"/>
    <w:rsid w:val="00282F92"/>
    <w:rsid w:val="00283328"/>
    <w:rsid w:val="0028344F"/>
    <w:rsid w:val="0028345B"/>
    <w:rsid w:val="002834B3"/>
    <w:rsid w:val="002835BE"/>
    <w:rsid w:val="002838B3"/>
    <w:rsid w:val="00283993"/>
    <w:rsid w:val="00283A55"/>
    <w:rsid w:val="00283A8A"/>
    <w:rsid w:val="00283D0F"/>
    <w:rsid w:val="00283D9F"/>
    <w:rsid w:val="00283DA1"/>
    <w:rsid w:val="00283E12"/>
    <w:rsid w:val="002846E5"/>
    <w:rsid w:val="0028488E"/>
    <w:rsid w:val="002848D8"/>
    <w:rsid w:val="002849A9"/>
    <w:rsid w:val="002849B0"/>
    <w:rsid w:val="00284E80"/>
    <w:rsid w:val="00284EBD"/>
    <w:rsid w:val="00284ED3"/>
    <w:rsid w:val="00284EE7"/>
    <w:rsid w:val="00284F58"/>
    <w:rsid w:val="0028505C"/>
    <w:rsid w:val="00285385"/>
    <w:rsid w:val="002855FD"/>
    <w:rsid w:val="0028571C"/>
    <w:rsid w:val="002857CB"/>
    <w:rsid w:val="0028582F"/>
    <w:rsid w:val="00285B2F"/>
    <w:rsid w:val="00285BEB"/>
    <w:rsid w:val="00285CDE"/>
    <w:rsid w:val="00285EE6"/>
    <w:rsid w:val="00286194"/>
    <w:rsid w:val="002861BA"/>
    <w:rsid w:val="00286483"/>
    <w:rsid w:val="00286583"/>
    <w:rsid w:val="00286598"/>
    <w:rsid w:val="0028666C"/>
    <w:rsid w:val="0028684C"/>
    <w:rsid w:val="00286B2A"/>
    <w:rsid w:val="00286D72"/>
    <w:rsid w:val="00286F55"/>
    <w:rsid w:val="00287047"/>
    <w:rsid w:val="00287393"/>
    <w:rsid w:val="00287614"/>
    <w:rsid w:val="0028762D"/>
    <w:rsid w:val="002876D3"/>
    <w:rsid w:val="00287801"/>
    <w:rsid w:val="002878AD"/>
    <w:rsid w:val="00287918"/>
    <w:rsid w:val="00287D3F"/>
    <w:rsid w:val="00287D50"/>
    <w:rsid w:val="0029004A"/>
    <w:rsid w:val="0029025D"/>
    <w:rsid w:val="0029025F"/>
    <w:rsid w:val="002902A2"/>
    <w:rsid w:val="002903C9"/>
    <w:rsid w:val="002903D1"/>
    <w:rsid w:val="0029042B"/>
    <w:rsid w:val="002904A9"/>
    <w:rsid w:val="00290536"/>
    <w:rsid w:val="002907B1"/>
    <w:rsid w:val="002908E8"/>
    <w:rsid w:val="00290AD5"/>
    <w:rsid w:val="0029133F"/>
    <w:rsid w:val="0029144A"/>
    <w:rsid w:val="00291689"/>
    <w:rsid w:val="0029196B"/>
    <w:rsid w:val="00292068"/>
    <w:rsid w:val="00292146"/>
    <w:rsid w:val="00292560"/>
    <w:rsid w:val="00292801"/>
    <w:rsid w:val="002928A0"/>
    <w:rsid w:val="002928D8"/>
    <w:rsid w:val="002930E4"/>
    <w:rsid w:val="0029336C"/>
    <w:rsid w:val="002933B5"/>
    <w:rsid w:val="00293474"/>
    <w:rsid w:val="00293479"/>
    <w:rsid w:val="002936F6"/>
    <w:rsid w:val="00293749"/>
    <w:rsid w:val="0029389A"/>
    <w:rsid w:val="0029389D"/>
    <w:rsid w:val="00293904"/>
    <w:rsid w:val="00293D6F"/>
    <w:rsid w:val="00293D76"/>
    <w:rsid w:val="00293EEC"/>
    <w:rsid w:val="00294074"/>
    <w:rsid w:val="002941F1"/>
    <w:rsid w:val="0029452E"/>
    <w:rsid w:val="00294721"/>
    <w:rsid w:val="002947C4"/>
    <w:rsid w:val="0029494A"/>
    <w:rsid w:val="00294D0F"/>
    <w:rsid w:val="00294D77"/>
    <w:rsid w:val="00295095"/>
    <w:rsid w:val="0029518C"/>
    <w:rsid w:val="0029531B"/>
    <w:rsid w:val="0029553D"/>
    <w:rsid w:val="002956F0"/>
    <w:rsid w:val="002958D7"/>
    <w:rsid w:val="00295A0F"/>
    <w:rsid w:val="00295B24"/>
    <w:rsid w:val="00295B7B"/>
    <w:rsid w:val="00295CE9"/>
    <w:rsid w:val="00295D68"/>
    <w:rsid w:val="00295E1C"/>
    <w:rsid w:val="00295E94"/>
    <w:rsid w:val="00296091"/>
    <w:rsid w:val="00296094"/>
    <w:rsid w:val="002963FD"/>
    <w:rsid w:val="00296504"/>
    <w:rsid w:val="002965B8"/>
    <w:rsid w:val="0029665E"/>
    <w:rsid w:val="002968DD"/>
    <w:rsid w:val="002969E6"/>
    <w:rsid w:val="00296A22"/>
    <w:rsid w:val="00296B65"/>
    <w:rsid w:val="00296EA7"/>
    <w:rsid w:val="00296F23"/>
    <w:rsid w:val="002970BF"/>
    <w:rsid w:val="0029715C"/>
    <w:rsid w:val="002971B9"/>
    <w:rsid w:val="002972BF"/>
    <w:rsid w:val="002973D8"/>
    <w:rsid w:val="00297400"/>
    <w:rsid w:val="00297408"/>
    <w:rsid w:val="00297501"/>
    <w:rsid w:val="0029765B"/>
    <w:rsid w:val="0029775F"/>
    <w:rsid w:val="0029776B"/>
    <w:rsid w:val="00297772"/>
    <w:rsid w:val="00297776"/>
    <w:rsid w:val="002979D8"/>
    <w:rsid w:val="00297A34"/>
    <w:rsid w:val="00297A47"/>
    <w:rsid w:val="00297A8F"/>
    <w:rsid w:val="00297E11"/>
    <w:rsid w:val="00297F1F"/>
    <w:rsid w:val="002A05A7"/>
    <w:rsid w:val="002A088E"/>
    <w:rsid w:val="002A0964"/>
    <w:rsid w:val="002A0B28"/>
    <w:rsid w:val="002A0CA8"/>
    <w:rsid w:val="002A11CD"/>
    <w:rsid w:val="002A1212"/>
    <w:rsid w:val="002A13BF"/>
    <w:rsid w:val="002A1508"/>
    <w:rsid w:val="002A166D"/>
    <w:rsid w:val="002A170E"/>
    <w:rsid w:val="002A18BA"/>
    <w:rsid w:val="002A1AE3"/>
    <w:rsid w:val="002A1CD0"/>
    <w:rsid w:val="002A1E12"/>
    <w:rsid w:val="002A1EA4"/>
    <w:rsid w:val="002A1F14"/>
    <w:rsid w:val="002A2102"/>
    <w:rsid w:val="002A2390"/>
    <w:rsid w:val="002A23C9"/>
    <w:rsid w:val="002A24E3"/>
    <w:rsid w:val="002A29DB"/>
    <w:rsid w:val="002A2BE0"/>
    <w:rsid w:val="002A2D97"/>
    <w:rsid w:val="002A2E21"/>
    <w:rsid w:val="002A2F85"/>
    <w:rsid w:val="002A314D"/>
    <w:rsid w:val="002A35FB"/>
    <w:rsid w:val="002A38CA"/>
    <w:rsid w:val="002A3A1E"/>
    <w:rsid w:val="002A3AE1"/>
    <w:rsid w:val="002A3CDD"/>
    <w:rsid w:val="002A3E7C"/>
    <w:rsid w:val="002A3EF2"/>
    <w:rsid w:val="002A3F73"/>
    <w:rsid w:val="002A40D9"/>
    <w:rsid w:val="002A4247"/>
    <w:rsid w:val="002A45AF"/>
    <w:rsid w:val="002A469C"/>
    <w:rsid w:val="002A4914"/>
    <w:rsid w:val="002A4A08"/>
    <w:rsid w:val="002A4A15"/>
    <w:rsid w:val="002A4E9C"/>
    <w:rsid w:val="002A4EE0"/>
    <w:rsid w:val="002A4F79"/>
    <w:rsid w:val="002A4F8D"/>
    <w:rsid w:val="002A5098"/>
    <w:rsid w:val="002A53F9"/>
    <w:rsid w:val="002A559E"/>
    <w:rsid w:val="002A5718"/>
    <w:rsid w:val="002A57EE"/>
    <w:rsid w:val="002A590E"/>
    <w:rsid w:val="002A5AC8"/>
    <w:rsid w:val="002A5C76"/>
    <w:rsid w:val="002A5C98"/>
    <w:rsid w:val="002A5C9E"/>
    <w:rsid w:val="002A5ECD"/>
    <w:rsid w:val="002A5F82"/>
    <w:rsid w:val="002A608B"/>
    <w:rsid w:val="002A61EF"/>
    <w:rsid w:val="002A62E6"/>
    <w:rsid w:val="002A643E"/>
    <w:rsid w:val="002A64FC"/>
    <w:rsid w:val="002A652E"/>
    <w:rsid w:val="002A68E3"/>
    <w:rsid w:val="002A6F61"/>
    <w:rsid w:val="002A734C"/>
    <w:rsid w:val="002A76C8"/>
    <w:rsid w:val="002A7719"/>
    <w:rsid w:val="002A78ED"/>
    <w:rsid w:val="002A7A97"/>
    <w:rsid w:val="002A7D44"/>
    <w:rsid w:val="002A7D7D"/>
    <w:rsid w:val="002A7DAE"/>
    <w:rsid w:val="002A7DB3"/>
    <w:rsid w:val="002A7DFE"/>
    <w:rsid w:val="002A7EB2"/>
    <w:rsid w:val="002B017C"/>
    <w:rsid w:val="002B0236"/>
    <w:rsid w:val="002B0377"/>
    <w:rsid w:val="002B05A0"/>
    <w:rsid w:val="002B07E2"/>
    <w:rsid w:val="002B08D9"/>
    <w:rsid w:val="002B092A"/>
    <w:rsid w:val="002B0B3F"/>
    <w:rsid w:val="002B0BC2"/>
    <w:rsid w:val="002B0E8A"/>
    <w:rsid w:val="002B1017"/>
    <w:rsid w:val="002B1022"/>
    <w:rsid w:val="002B1059"/>
    <w:rsid w:val="002B117B"/>
    <w:rsid w:val="002B1222"/>
    <w:rsid w:val="002B1372"/>
    <w:rsid w:val="002B1A2C"/>
    <w:rsid w:val="002B1BC7"/>
    <w:rsid w:val="002B1D3D"/>
    <w:rsid w:val="002B1DBA"/>
    <w:rsid w:val="002B1E6F"/>
    <w:rsid w:val="002B1F42"/>
    <w:rsid w:val="002B1F53"/>
    <w:rsid w:val="002B2ABC"/>
    <w:rsid w:val="002B2AFD"/>
    <w:rsid w:val="002B2D56"/>
    <w:rsid w:val="002B2DCE"/>
    <w:rsid w:val="002B2E2B"/>
    <w:rsid w:val="002B2E42"/>
    <w:rsid w:val="002B2FA2"/>
    <w:rsid w:val="002B2FBE"/>
    <w:rsid w:val="002B30FD"/>
    <w:rsid w:val="002B320D"/>
    <w:rsid w:val="002B32CA"/>
    <w:rsid w:val="002B370C"/>
    <w:rsid w:val="002B37E5"/>
    <w:rsid w:val="002B399D"/>
    <w:rsid w:val="002B3A62"/>
    <w:rsid w:val="002B3AAC"/>
    <w:rsid w:val="002B3E72"/>
    <w:rsid w:val="002B3E93"/>
    <w:rsid w:val="002B4143"/>
    <w:rsid w:val="002B41D3"/>
    <w:rsid w:val="002B42A7"/>
    <w:rsid w:val="002B4374"/>
    <w:rsid w:val="002B43C8"/>
    <w:rsid w:val="002B456C"/>
    <w:rsid w:val="002B46C3"/>
    <w:rsid w:val="002B49BE"/>
    <w:rsid w:val="002B4A5E"/>
    <w:rsid w:val="002B4BA6"/>
    <w:rsid w:val="002B4CB7"/>
    <w:rsid w:val="002B4D96"/>
    <w:rsid w:val="002B4E38"/>
    <w:rsid w:val="002B4EB7"/>
    <w:rsid w:val="002B50F9"/>
    <w:rsid w:val="002B5876"/>
    <w:rsid w:val="002B588E"/>
    <w:rsid w:val="002B5981"/>
    <w:rsid w:val="002B59CC"/>
    <w:rsid w:val="002B5E9E"/>
    <w:rsid w:val="002B6288"/>
    <w:rsid w:val="002B6344"/>
    <w:rsid w:val="002B646A"/>
    <w:rsid w:val="002B665B"/>
    <w:rsid w:val="002B6694"/>
    <w:rsid w:val="002B68A4"/>
    <w:rsid w:val="002B699E"/>
    <w:rsid w:val="002B6CCD"/>
    <w:rsid w:val="002B702C"/>
    <w:rsid w:val="002B7614"/>
    <w:rsid w:val="002B762D"/>
    <w:rsid w:val="002B79A8"/>
    <w:rsid w:val="002B7A26"/>
    <w:rsid w:val="002B7CD9"/>
    <w:rsid w:val="002B7EB3"/>
    <w:rsid w:val="002B7F11"/>
    <w:rsid w:val="002C0215"/>
    <w:rsid w:val="002C0324"/>
    <w:rsid w:val="002C03D8"/>
    <w:rsid w:val="002C062A"/>
    <w:rsid w:val="002C06E7"/>
    <w:rsid w:val="002C075B"/>
    <w:rsid w:val="002C0A96"/>
    <w:rsid w:val="002C0CA9"/>
    <w:rsid w:val="002C0DE0"/>
    <w:rsid w:val="002C0EB8"/>
    <w:rsid w:val="002C108F"/>
    <w:rsid w:val="002C10D6"/>
    <w:rsid w:val="002C1107"/>
    <w:rsid w:val="002C11A7"/>
    <w:rsid w:val="002C11CF"/>
    <w:rsid w:val="002C1320"/>
    <w:rsid w:val="002C1681"/>
    <w:rsid w:val="002C1696"/>
    <w:rsid w:val="002C16B1"/>
    <w:rsid w:val="002C1829"/>
    <w:rsid w:val="002C1C04"/>
    <w:rsid w:val="002C1E1E"/>
    <w:rsid w:val="002C22E0"/>
    <w:rsid w:val="002C2324"/>
    <w:rsid w:val="002C2619"/>
    <w:rsid w:val="002C2692"/>
    <w:rsid w:val="002C26B9"/>
    <w:rsid w:val="002C2A43"/>
    <w:rsid w:val="002C2A6C"/>
    <w:rsid w:val="002C2B76"/>
    <w:rsid w:val="002C2D9A"/>
    <w:rsid w:val="002C2F78"/>
    <w:rsid w:val="002C31EE"/>
    <w:rsid w:val="002C326D"/>
    <w:rsid w:val="002C328D"/>
    <w:rsid w:val="002C33A7"/>
    <w:rsid w:val="002C3596"/>
    <w:rsid w:val="002C38F6"/>
    <w:rsid w:val="002C39B4"/>
    <w:rsid w:val="002C3B54"/>
    <w:rsid w:val="002C3B62"/>
    <w:rsid w:val="002C3C30"/>
    <w:rsid w:val="002C3CF0"/>
    <w:rsid w:val="002C3F66"/>
    <w:rsid w:val="002C3FC7"/>
    <w:rsid w:val="002C404E"/>
    <w:rsid w:val="002C4089"/>
    <w:rsid w:val="002C4243"/>
    <w:rsid w:val="002C43AF"/>
    <w:rsid w:val="002C444B"/>
    <w:rsid w:val="002C4865"/>
    <w:rsid w:val="002C4B27"/>
    <w:rsid w:val="002C4B78"/>
    <w:rsid w:val="002C4C27"/>
    <w:rsid w:val="002C4D1F"/>
    <w:rsid w:val="002C4E81"/>
    <w:rsid w:val="002C4FE9"/>
    <w:rsid w:val="002C50FE"/>
    <w:rsid w:val="002C54A6"/>
    <w:rsid w:val="002C5524"/>
    <w:rsid w:val="002C55D9"/>
    <w:rsid w:val="002C55F7"/>
    <w:rsid w:val="002C5808"/>
    <w:rsid w:val="002C5D65"/>
    <w:rsid w:val="002C5DA7"/>
    <w:rsid w:val="002C5E5D"/>
    <w:rsid w:val="002C614D"/>
    <w:rsid w:val="002C61FC"/>
    <w:rsid w:val="002C6338"/>
    <w:rsid w:val="002C6361"/>
    <w:rsid w:val="002C6386"/>
    <w:rsid w:val="002C646D"/>
    <w:rsid w:val="002C6502"/>
    <w:rsid w:val="002C6548"/>
    <w:rsid w:val="002C6626"/>
    <w:rsid w:val="002C669D"/>
    <w:rsid w:val="002C676C"/>
    <w:rsid w:val="002C698B"/>
    <w:rsid w:val="002C6B9C"/>
    <w:rsid w:val="002C6F08"/>
    <w:rsid w:val="002C7080"/>
    <w:rsid w:val="002C7238"/>
    <w:rsid w:val="002C748F"/>
    <w:rsid w:val="002C7545"/>
    <w:rsid w:val="002C76F9"/>
    <w:rsid w:val="002C793A"/>
    <w:rsid w:val="002C7941"/>
    <w:rsid w:val="002C79FA"/>
    <w:rsid w:val="002C7CC9"/>
    <w:rsid w:val="002D00CF"/>
    <w:rsid w:val="002D0308"/>
    <w:rsid w:val="002D04F4"/>
    <w:rsid w:val="002D0595"/>
    <w:rsid w:val="002D05F5"/>
    <w:rsid w:val="002D0716"/>
    <w:rsid w:val="002D07D2"/>
    <w:rsid w:val="002D0850"/>
    <w:rsid w:val="002D08FD"/>
    <w:rsid w:val="002D09A0"/>
    <w:rsid w:val="002D09A5"/>
    <w:rsid w:val="002D0AB4"/>
    <w:rsid w:val="002D0F78"/>
    <w:rsid w:val="002D1240"/>
    <w:rsid w:val="002D12DF"/>
    <w:rsid w:val="002D13A2"/>
    <w:rsid w:val="002D168A"/>
    <w:rsid w:val="002D16D3"/>
    <w:rsid w:val="002D1796"/>
    <w:rsid w:val="002D17F6"/>
    <w:rsid w:val="002D184A"/>
    <w:rsid w:val="002D18F3"/>
    <w:rsid w:val="002D19EB"/>
    <w:rsid w:val="002D1BCE"/>
    <w:rsid w:val="002D1E9A"/>
    <w:rsid w:val="002D208D"/>
    <w:rsid w:val="002D235D"/>
    <w:rsid w:val="002D2628"/>
    <w:rsid w:val="002D2681"/>
    <w:rsid w:val="002D27CE"/>
    <w:rsid w:val="002D2896"/>
    <w:rsid w:val="002D2B1C"/>
    <w:rsid w:val="002D2C70"/>
    <w:rsid w:val="002D2D1A"/>
    <w:rsid w:val="002D2E60"/>
    <w:rsid w:val="002D2F3E"/>
    <w:rsid w:val="002D310A"/>
    <w:rsid w:val="002D314A"/>
    <w:rsid w:val="002D314C"/>
    <w:rsid w:val="002D3349"/>
    <w:rsid w:val="002D34AA"/>
    <w:rsid w:val="002D34AF"/>
    <w:rsid w:val="002D35CD"/>
    <w:rsid w:val="002D36F8"/>
    <w:rsid w:val="002D3740"/>
    <w:rsid w:val="002D38D1"/>
    <w:rsid w:val="002D3905"/>
    <w:rsid w:val="002D3AE0"/>
    <w:rsid w:val="002D3B7A"/>
    <w:rsid w:val="002D3D18"/>
    <w:rsid w:val="002D3D5F"/>
    <w:rsid w:val="002D3E2A"/>
    <w:rsid w:val="002D3F5D"/>
    <w:rsid w:val="002D41B8"/>
    <w:rsid w:val="002D41BF"/>
    <w:rsid w:val="002D44E5"/>
    <w:rsid w:val="002D4516"/>
    <w:rsid w:val="002D4726"/>
    <w:rsid w:val="002D4F3F"/>
    <w:rsid w:val="002D4F6E"/>
    <w:rsid w:val="002D4FCB"/>
    <w:rsid w:val="002D50E1"/>
    <w:rsid w:val="002D5689"/>
    <w:rsid w:val="002D568E"/>
    <w:rsid w:val="002D5742"/>
    <w:rsid w:val="002D587D"/>
    <w:rsid w:val="002D5B09"/>
    <w:rsid w:val="002D6062"/>
    <w:rsid w:val="002D62FF"/>
    <w:rsid w:val="002D63E5"/>
    <w:rsid w:val="002D665E"/>
    <w:rsid w:val="002D6891"/>
    <w:rsid w:val="002D69A3"/>
    <w:rsid w:val="002D69B8"/>
    <w:rsid w:val="002D6BBD"/>
    <w:rsid w:val="002D6D0B"/>
    <w:rsid w:val="002D6D9E"/>
    <w:rsid w:val="002D756C"/>
    <w:rsid w:val="002D76BC"/>
    <w:rsid w:val="002D7728"/>
    <w:rsid w:val="002D773A"/>
    <w:rsid w:val="002D780B"/>
    <w:rsid w:val="002D791D"/>
    <w:rsid w:val="002D79A0"/>
    <w:rsid w:val="002D7A92"/>
    <w:rsid w:val="002D7C01"/>
    <w:rsid w:val="002D7DD1"/>
    <w:rsid w:val="002D7FD7"/>
    <w:rsid w:val="002D7FED"/>
    <w:rsid w:val="002DF061"/>
    <w:rsid w:val="002E0029"/>
    <w:rsid w:val="002E0259"/>
    <w:rsid w:val="002E03E2"/>
    <w:rsid w:val="002E050B"/>
    <w:rsid w:val="002E0902"/>
    <w:rsid w:val="002E0C46"/>
    <w:rsid w:val="002E0CD8"/>
    <w:rsid w:val="002E0DCE"/>
    <w:rsid w:val="002E0EA7"/>
    <w:rsid w:val="002E0FA9"/>
    <w:rsid w:val="002E11B7"/>
    <w:rsid w:val="002E1338"/>
    <w:rsid w:val="002E1539"/>
    <w:rsid w:val="002E1885"/>
    <w:rsid w:val="002E196E"/>
    <w:rsid w:val="002E1AC3"/>
    <w:rsid w:val="002E1EF8"/>
    <w:rsid w:val="002E21F5"/>
    <w:rsid w:val="002E2560"/>
    <w:rsid w:val="002E260F"/>
    <w:rsid w:val="002E27BD"/>
    <w:rsid w:val="002E2955"/>
    <w:rsid w:val="002E2A22"/>
    <w:rsid w:val="002E2C9A"/>
    <w:rsid w:val="002E2FE9"/>
    <w:rsid w:val="002E2FF2"/>
    <w:rsid w:val="002E3440"/>
    <w:rsid w:val="002E34E4"/>
    <w:rsid w:val="002E3671"/>
    <w:rsid w:val="002E3764"/>
    <w:rsid w:val="002E37A8"/>
    <w:rsid w:val="002E37C0"/>
    <w:rsid w:val="002E388A"/>
    <w:rsid w:val="002E395D"/>
    <w:rsid w:val="002E39FC"/>
    <w:rsid w:val="002E3A91"/>
    <w:rsid w:val="002E3DCC"/>
    <w:rsid w:val="002E3E85"/>
    <w:rsid w:val="002E4043"/>
    <w:rsid w:val="002E43C7"/>
    <w:rsid w:val="002E47F9"/>
    <w:rsid w:val="002E4863"/>
    <w:rsid w:val="002E4932"/>
    <w:rsid w:val="002E4ADD"/>
    <w:rsid w:val="002E4B1D"/>
    <w:rsid w:val="002E50B3"/>
    <w:rsid w:val="002E52D0"/>
    <w:rsid w:val="002E55BD"/>
    <w:rsid w:val="002E5997"/>
    <w:rsid w:val="002E5A5A"/>
    <w:rsid w:val="002E5D9C"/>
    <w:rsid w:val="002E5DCD"/>
    <w:rsid w:val="002E5F3F"/>
    <w:rsid w:val="002E600E"/>
    <w:rsid w:val="002E601C"/>
    <w:rsid w:val="002E6191"/>
    <w:rsid w:val="002E633B"/>
    <w:rsid w:val="002E66CF"/>
    <w:rsid w:val="002E6846"/>
    <w:rsid w:val="002E6862"/>
    <w:rsid w:val="002E6A09"/>
    <w:rsid w:val="002E6BD0"/>
    <w:rsid w:val="002E6BE0"/>
    <w:rsid w:val="002E6FCE"/>
    <w:rsid w:val="002E703F"/>
    <w:rsid w:val="002E74C2"/>
    <w:rsid w:val="002E74D9"/>
    <w:rsid w:val="002E7776"/>
    <w:rsid w:val="002E79A4"/>
    <w:rsid w:val="002E7A41"/>
    <w:rsid w:val="002E7A8D"/>
    <w:rsid w:val="002E7B9E"/>
    <w:rsid w:val="002E7DB8"/>
    <w:rsid w:val="002E7E46"/>
    <w:rsid w:val="002E7E84"/>
    <w:rsid w:val="002E7F6D"/>
    <w:rsid w:val="002F00B0"/>
    <w:rsid w:val="002F03D9"/>
    <w:rsid w:val="002F08AE"/>
    <w:rsid w:val="002F0943"/>
    <w:rsid w:val="002F09DE"/>
    <w:rsid w:val="002F0A63"/>
    <w:rsid w:val="002F0A6F"/>
    <w:rsid w:val="002F0C40"/>
    <w:rsid w:val="002F0D3F"/>
    <w:rsid w:val="002F0E67"/>
    <w:rsid w:val="002F0EE2"/>
    <w:rsid w:val="002F1016"/>
    <w:rsid w:val="002F1127"/>
    <w:rsid w:val="002F127B"/>
    <w:rsid w:val="002F1316"/>
    <w:rsid w:val="002F17F1"/>
    <w:rsid w:val="002F1A31"/>
    <w:rsid w:val="002F1AEE"/>
    <w:rsid w:val="002F1B01"/>
    <w:rsid w:val="002F1C10"/>
    <w:rsid w:val="002F1D55"/>
    <w:rsid w:val="002F1D73"/>
    <w:rsid w:val="002F2288"/>
    <w:rsid w:val="002F22F4"/>
    <w:rsid w:val="002F25AE"/>
    <w:rsid w:val="002F273A"/>
    <w:rsid w:val="002F27E2"/>
    <w:rsid w:val="002F2B1B"/>
    <w:rsid w:val="002F2D76"/>
    <w:rsid w:val="002F2D99"/>
    <w:rsid w:val="002F2EF5"/>
    <w:rsid w:val="002F2F98"/>
    <w:rsid w:val="002F3240"/>
    <w:rsid w:val="002F3423"/>
    <w:rsid w:val="002F35C0"/>
    <w:rsid w:val="002F35CE"/>
    <w:rsid w:val="002F3778"/>
    <w:rsid w:val="002F3823"/>
    <w:rsid w:val="002F38E3"/>
    <w:rsid w:val="002F3A0F"/>
    <w:rsid w:val="002F3A9A"/>
    <w:rsid w:val="002F3B5B"/>
    <w:rsid w:val="002F3BAE"/>
    <w:rsid w:val="002F3BDF"/>
    <w:rsid w:val="002F3C42"/>
    <w:rsid w:val="002F3EE6"/>
    <w:rsid w:val="002F404D"/>
    <w:rsid w:val="002F4115"/>
    <w:rsid w:val="002F41C2"/>
    <w:rsid w:val="002F41DA"/>
    <w:rsid w:val="002F42D2"/>
    <w:rsid w:val="002F43B2"/>
    <w:rsid w:val="002F4A9F"/>
    <w:rsid w:val="002F4AA0"/>
    <w:rsid w:val="002F4B9C"/>
    <w:rsid w:val="002F4FD7"/>
    <w:rsid w:val="002F5202"/>
    <w:rsid w:val="002F539D"/>
    <w:rsid w:val="002F541E"/>
    <w:rsid w:val="002F54D2"/>
    <w:rsid w:val="002F574C"/>
    <w:rsid w:val="002F589D"/>
    <w:rsid w:val="002F59D7"/>
    <w:rsid w:val="002F59DB"/>
    <w:rsid w:val="002F5AB3"/>
    <w:rsid w:val="002F5F64"/>
    <w:rsid w:val="002F6057"/>
    <w:rsid w:val="002F628B"/>
    <w:rsid w:val="002F62AB"/>
    <w:rsid w:val="002F636E"/>
    <w:rsid w:val="002F6467"/>
    <w:rsid w:val="002F6533"/>
    <w:rsid w:val="002F65F1"/>
    <w:rsid w:val="002F66B3"/>
    <w:rsid w:val="002F6795"/>
    <w:rsid w:val="002F67DB"/>
    <w:rsid w:val="002F6903"/>
    <w:rsid w:val="002F694E"/>
    <w:rsid w:val="002F69F5"/>
    <w:rsid w:val="002F69FD"/>
    <w:rsid w:val="002F6B35"/>
    <w:rsid w:val="002F6B54"/>
    <w:rsid w:val="002F6D9D"/>
    <w:rsid w:val="002F6F21"/>
    <w:rsid w:val="002F6FD3"/>
    <w:rsid w:val="002F71D8"/>
    <w:rsid w:val="002F71E1"/>
    <w:rsid w:val="002F7226"/>
    <w:rsid w:val="002F7295"/>
    <w:rsid w:val="002F73FC"/>
    <w:rsid w:val="002F74CC"/>
    <w:rsid w:val="002F75C2"/>
    <w:rsid w:val="002F762D"/>
    <w:rsid w:val="002F76CD"/>
    <w:rsid w:val="002F7768"/>
    <w:rsid w:val="002F7E1C"/>
    <w:rsid w:val="0030022F"/>
    <w:rsid w:val="00300305"/>
    <w:rsid w:val="00300598"/>
    <w:rsid w:val="0030070C"/>
    <w:rsid w:val="003007D9"/>
    <w:rsid w:val="003008FB"/>
    <w:rsid w:val="00300A07"/>
    <w:rsid w:val="00300F08"/>
    <w:rsid w:val="00300F37"/>
    <w:rsid w:val="00300F5D"/>
    <w:rsid w:val="00300F9E"/>
    <w:rsid w:val="00301298"/>
    <w:rsid w:val="00301365"/>
    <w:rsid w:val="00301377"/>
    <w:rsid w:val="0030147A"/>
    <w:rsid w:val="00301501"/>
    <w:rsid w:val="00301512"/>
    <w:rsid w:val="003016E0"/>
    <w:rsid w:val="0030176F"/>
    <w:rsid w:val="003018BB"/>
    <w:rsid w:val="003019EC"/>
    <w:rsid w:val="00301AA0"/>
    <w:rsid w:val="00301ABE"/>
    <w:rsid w:val="00301B6D"/>
    <w:rsid w:val="00301D7C"/>
    <w:rsid w:val="00301E51"/>
    <w:rsid w:val="00301F0B"/>
    <w:rsid w:val="00301FCD"/>
    <w:rsid w:val="00302053"/>
    <w:rsid w:val="003022A2"/>
    <w:rsid w:val="00302423"/>
    <w:rsid w:val="003025A3"/>
    <w:rsid w:val="003025EF"/>
    <w:rsid w:val="003025F1"/>
    <w:rsid w:val="00302998"/>
    <w:rsid w:val="003029E5"/>
    <w:rsid w:val="00302AFC"/>
    <w:rsid w:val="00302E32"/>
    <w:rsid w:val="0030379B"/>
    <w:rsid w:val="003037A2"/>
    <w:rsid w:val="0030382B"/>
    <w:rsid w:val="0030398A"/>
    <w:rsid w:val="00303A03"/>
    <w:rsid w:val="00303BEF"/>
    <w:rsid w:val="00303E05"/>
    <w:rsid w:val="00304193"/>
    <w:rsid w:val="00304473"/>
    <w:rsid w:val="003045F4"/>
    <w:rsid w:val="003047B9"/>
    <w:rsid w:val="003048DA"/>
    <w:rsid w:val="003048E8"/>
    <w:rsid w:val="00304FF1"/>
    <w:rsid w:val="0030509E"/>
    <w:rsid w:val="00305109"/>
    <w:rsid w:val="0030550D"/>
    <w:rsid w:val="00305670"/>
    <w:rsid w:val="00305838"/>
    <w:rsid w:val="00305AC3"/>
    <w:rsid w:val="00305C5D"/>
    <w:rsid w:val="00305E43"/>
    <w:rsid w:val="00306082"/>
    <w:rsid w:val="0030612E"/>
    <w:rsid w:val="00306165"/>
    <w:rsid w:val="00306383"/>
    <w:rsid w:val="003063B1"/>
    <w:rsid w:val="00306457"/>
    <w:rsid w:val="003066F3"/>
    <w:rsid w:val="00306757"/>
    <w:rsid w:val="00306A5C"/>
    <w:rsid w:val="00306C60"/>
    <w:rsid w:val="00306F43"/>
    <w:rsid w:val="0030709B"/>
    <w:rsid w:val="003071FE"/>
    <w:rsid w:val="00307605"/>
    <w:rsid w:val="003079ED"/>
    <w:rsid w:val="00307AC2"/>
    <w:rsid w:val="00307B53"/>
    <w:rsid w:val="00307D80"/>
    <w:rsid w:val="00307F73"/>
    <w:rsid w:val="0030BC22"/>
    <w:rsid w:val="00310091"/>
    <w:rsid w:val="00310096"/>
    <w:rsid w:val="00310259"/>
    <w:rsid w:val="003103E1"/>
    <w:rsid w:val="0031053A"/>
    <w:rsid w:val="00310745"/>
    <w:rsid w:val="003107BC"/>
    <w:rsid w:val="003109E0"/>
    <w:rsid w:val="00310ABA"/>
    <w:rsid w:val="00310CA9"/>
    <w:rsid w:val="00310D14"/>
    <w:rsid w:val="00310F72"/>
    <w:rsid w:val="003114B8"/>
    <w:rsid w:val="00311544"/>
    <w:rsid w:val="00311707"/>
    <w:rsid w:val="003119CE"/>
    <w:rsid w:val="003119E7"/>
    <w:rsid w:val="00311BD7"/>
    <w:rsid w:val="00311C54"/>
    <w:rsid w:val="00311D52"/>
    <w:rsid w:val="00311DDB"/>
    <w:rsid w:val="00311DDF"/>
    <w:rsid w:val="00311DEB"/>
    <w:rsid w:val="00311E5D"/>
    <w:rsid w:val="00311F86"/>
    <w:rsid w:val="003122FF"/>
    <w:rsid w:val="00312304"/>
    <w:rsid w:val="003125CE"/>
    <w:rsid w:val="00312611"/>
    <w:rsid w:val="0031268A"/>
    <w:rsid w:val="0031272F"/>
    <w:rsid w:val="00312750"/>
    <w:rsid w:val="0031276A"/>
    <w:rsid w:val="003127DA"/>
    <w:rsid w:val="00312988"/>
    <w:rsid w:val="0031306B"/>
    <w:rsid w:val="00313145"/>
    <w:rsid w:val="003133B4"/>
    <w:rsid w:val="00313402"/>
    <w:rsid w:val="003135FF"/>
    <w:rsid w:val="003136E0"/>
    <w:rsid w:val="0031373E"/>
    <w:rsid w:val="00313771"/>
    <w:rsid w:val="00313804"/>
    <w:rsid w:val="00313A8B"/>
    <w:rsid w:val="00313B15"/>
    <w:rsid w:val="00313BA1"/>
    <w:rsid w:val="00313E20"/>
    <w:rsid w:val="00313EB3"/>
    <w:rsid w:val="003144B2"/>
    <w:rsid w:val="00314544"/>
    <w:rsid w:val="00314773"/>
    <w:rsid w:val="0031481B"/>
    <w:rsid w:val="003148AB"/>
    <w:rsid w:val="003149A5"/>
    <w:rsid w:val="00314C5F"/>
    <w:rsid w:val="00314CEE"/>
    <w:rsid w:val="003150B3"/>
    <w:rsid w:val="003150D3"/>
    <w:rsid w:val="00315190"/>
    <w:rsid w:val="00315215"/>
    <w:rsid w:val="0031533C"/>
    <w:rsid w:val="003154E0"/>
    <w:rsid w:val="00315536"/>
    <w:rsid w:val="0031567C"/>
    <w:rsid w:val="00315744"/>
    <w:rsid w:val="003157BB"/>
    <w:rsid w:val="00315941"/>
    <w:rsid w:val="0031598F"/>
    <w:rsid w:val="003159DE"/>
    <w:rsid w:val="00315A33"/>
    <w:rsid w:val="00315C11"/>
    <w:rsid w:val="003160A6"/>
    <w:rsid w:val="003161B9"/>
    <w:rsid w:val="003162CB"/>
    <w:rsid w:val="00316599"/>
    <w:rsid w:val="00316685"/>
    <w:rsid w:val="00316AE8"/>
    <w:rsid w:val="00316C0A"/>
    <w:rsid w:val="00316CB0"/>
    <w:rsid w:val="00316D22"/>
    <w:rsid w:val="00316DFA"/>
    <w:rsid w:val="00316F2B"/>
    <w:rsid w:val="00316FFC"/>
    <w:rsid w:val="0031714F"/>
    <w:rsid w:val="00317176"/>
    <w:rsid w:val="003173BB"/>
    <w:rsid w:val="00317422"/>
    <w:rsid w:val="00317519"/>
    <w:rsid w:val="0031781F"/>
    <w:rsid w:val="00317857"/>
    <w:rsid w:val="00317B44"/>
    <w:rsid w:val="00317C80"/>
    <w:rsid w:val="00317D9D"/>
    <w:rsid w:val="00317EEF"/>
    <w:rsid w:val="00317F24"/>
    <w:rsid w:val="00317FCE"/>
    <w:rsid w:val="003200A0"/>
    <w:rsid w:val="003201DE"/>
    <w:rsid w:val="00320541"/>
    <w:rsid w:val="003205FD"/>
    <w:rsid w:val="0032078F"/>
    <w:rsid w:val="003207B7"/>
    <w:rsid w:val="00320838"/>
    <w:rsid w:val="00320FC0"/>
    <w:rsid w:val="00321051"/>
    <w:rsid w:val="003214A5"/>
    <w:rsid w:val="003214ED"/>
    <w:rsid w:val="003215C6"/>
    <w:rsid w:val="00321678"/>
    <w:rsid w:val="003217BF"/>
    <w:rsid w:val="0032191B"/>
    <w:rsid w:val="003219EA"/>
    <w:rsid w:val="00321BC8"/>
    <w:rsid w:val="00321E96"/>
    <w:rsid w:val="00321EB1"/>
    <w:rsid w:val="00321F02"/>
    <w:rsid w:val="00321F04"/>
    <w:rsid w:val="003220B6"/>
    <w:rsid w:val="003220EB"/>
    <w:rsid w:val="003220F3"/>
    <w:rsid w:val="003221FF"/>
    <w:rsid w:val="00322330"/>
    <w:rsid w:val="003223D3"/>
    <w:rsid w:val="00322588"/>
    <w:rsid w:val="003225E5"/>
    <w:rsid w:val="00322D9D"/>
    <w:rsid w:val="0032310E"/>
    <w:rsid w:val="003231E5"/>
    <w:rsid w:val="003233AF"/>
    <w:rsid w:val="00323624"/>
    <w:rsid w:val="00323822"/>
    <w:rsid w:val="00323845"/>
    <w:rsid w:val="003239BA"/>
    <w:rsid w:val="003239E2"/>
    <w:rsid w:val="00323AFF"/>
    <w:rsid w:val="00323C36"/>
    <w:rsid w:val="00323D8B"/>
    <w:rsid w:val="00323E60"/>
    <w:rsid w:val="00323ED3"/>
    <w:rsid w:val="00323F2D"/>
    <w:rsid w:val="00324203"/>
    <w:rsid w:val="0032447F"/>
    <w:rsid w:val="00324913"/>
    <w:rsid w:val="00324D74"/>
    <w:rsid w:val="00324EBB"/>
    <w:rsid w:val="00325338"/>
    <w:rsid w:val="003254F1"/>
    <w:rsid w:val="00325532"/>
    <w:rsid w:val="00325788"/>
    <w:rsid w:val="0032583C"/>
    <w:rsid w:val="00325EDD"/>
    <w:rsid w:val="00325EE3"/>
    <w:rsid w:val="00325EFC"/>
    <w:rsid w:val="00325EFF"/>
    <w:rsid w:val="00326164"/>
    <w:rsid w:val="003261E7"/>
    <w:rsid w:val="0032651F"/>
    <w:rsid w:val="00326564"/>
    <w:rsid w:val="00326580"/>
    <w:rsid w:val="00326680"/>
    <w:rsid w:val="00326723"/>
    <w:rsid w:val="0032675D"/>
    <w:rsid w:val="0032675E"/>
    <w:rsid w:val="00326819"/>
    <w:rsid w:val="00326D38"/>
    <w:rsid w:val="00326F41"/>
    <w:rsid w:val="0032739C"/>
    <w:rsid w:val="003273C5"/>
    <w:rsid w:val="00327541"/>
    <w:rsid w:val="00327801"/>
    <w:rsid w:val="00327A64"/>
    <w:rsid w:val="00327ABA"/>
    <w:rsid w:val="00327E7E"/>
    <w:rsid w:val="00327E84"/>
    <w:rsid w:val="0033007C"/>
    <w:rsid w:val="00330499"/>
    <w:rsid w:val="00330595"/>
    <w:rsid w:val="003305EB"/>
    <w:rsid w:val="00330661"/>
    <w:rsid w:val="00330996"/>
    <w:rsid w:val="003309D9"/>
    <w:rsid w:val="00330A3D"/>
    <w:rsid w:val="00330AA8"/>
    <w:rsid w:val="00330E42"/>
    <w:rsid w:val="00330FC5"/>
    <w:rsid w:val="00331048"/>
    <w:rsid w:val="0033126A"/>
    <w:rsid w:val="003312C4"/>
    <w:rsid w:val="003313BE"/>
    <w:rsid w:val="0033152F"/>
    <w:rsid w:val="003315CD"/>
    <w:rsid w:val="003315CF"/>
    <w:rsid w:val="0033160D"/>
    <w:rsid w:val="003316D8"/>
    <w:rsid w:val="00331718"/>
    <w:rsid w:val="00331751"/>
    <w:rsid w:val="0033185C"/>
    <w:rsid w:val="003319A0"/>
    <w:rsid w:val="00331A7E"/>
    <w:rsid w:val="00331AA4"/>
    <w:rsid w:val="00331C94"/>
    <w:rsid w:val="00331CD8"/>
    <w:rsid w:val="00331D7C"/>
    <w:rsid w:val="00331F29"/>
    <w:rsid w:val="003321B1"/>
    <w:rsid w:val="0033234C"/>
    <w:rsid w:val="00332471"/>
    <w:rsid w:val="003324DE"/>
    <w:rsid w:val="003327C7"/>
    <w:rsid w:val="003328AE"/>
    <w:rsid w:val="00332ADE"/>
    <w:rsid w:val="00332E42"/>
    <w:rsid w:val="00332E53"/>
    <w:rsid w:val="00332FB4"/>
    <w:rsid w:val="003330A0"/>
    <w:rsid w:val="003331F2"/>
    <w:rsid w:val="00333240"/>
    <w:rsid w:val="00333457"/>
    <w:rsid w:val="003334DD"/>
    <w:rsid w:val="0033367C"/>
    <w:rsid w:val="00333764"/>
    <w:rsid w:val="003339EC"/>
    <w:rsid w:val="00333A9F"/>
    <w:rsid w:val="00333C6A"/>
    <w:rsid w:val="00334060"/>
    <w:rsid w:val="00334207"/>
    <w:rsid w:val="00334A93"/>
    <w:rsid w:val="00334B67"/>
    <w:rsid w:val="00334CA2"/>
    <w:rsid w:val="00334DB6"/>
    <w:rsid w:val="00335129"/>
    <w:rsid w:val="003352BD"/>
    <w:rsid w:val="00335327"/>
    <w:rsid w:val="0033562B"/>
    <w:rsid w:val="00335782"/>
    <w:rsid w:val="003357A3"/>
    <w:rsid w:val="0033584F"/>
    <w:rsid w:val="003359E1"/>
    <w:rsid w:val="00335AB1"/>
    <w:rsid w:val="00335FAB"/>
    <w:rsid w:val="0033690E"/>
    <w:rsid w:val="00336A4C"/>
    <w:rsid w:val="00336E52"/>
    <w:rsid w:val="00337158"/>
    <w:rsid w:val="00337161"/>
    <w:rsid w:val="00337188"/>
    <w:rsid w:val="0033787A"/>
    <w:rsid w:val="003378CB"/>
    <w:rsid w:val="00337CAA"/>
    <w:rsid w:val="00337CB7"/>
    <w:rsid w:val="00337E13"/>
    <w:rsid w:val="00337EEB"/>
    <w:rsid w:val="00337FC4"/>
    <w:rsid w:val="003400D0"/>
    <w:rsid w:val="0034026B"/>
    <w:rsid w:val="0034031D"/>
    <w:rsid w:val="0034032C"/>
    <w:rsid w:val="00340425"/>
    <w:rsid w:val="0034045B"/>
    <w:rsid w:val="003408AC"/>
    <w:rsid w:val="00340B41"/>
    <w:rsid w:val="00340E41"/>
    <w:rsid w:val="00340E6E"/>
    <w:rsid w:val="00340F4B"/>
    <w:rsid w:val="0034110B"/>
    <w:rsid w:val="0034147E"/>
    <w:rsid w:val="003415AA"/>
    <w:rsid w:val="0034169F"/>
    <w:rsid w:val="00341A2D"/>
    <w:rsid w:val="00341AA8"/>
    <w:rsid w:val="00341AD7"/>
    <w:rsid w:val="00341AFC"/>
    <w:rsid w:val="00341B01"/>
    <w:rsid w:val="00341F78"/>
    <w:rsid w:val="00342276"/>
    <w:rsid w:val="003423AB"/>
    <w:rsid w:val="00342539"/>
    <w:rsid w:val="003425F2"/>
    <w:rsid w:val="003427DF"/>
    <w:rsid w:val="0034286E"/>
    <w:rsid w:val="003428BC"/>
    <w:rsid w:val="003428CE"/>
    <w:rsid w:val="00342B2C"/>
    <w:rsid w:val="00342F8A"/>
    <w:rsid w:val="00343437"/>
    <w:rsid w:val="0034361E"/>
    <w:rsid w:val="00343838"/>
    <w:rsid w:val="0034395A"/>
    <w:rsid w:val="00343994"/>
    <w:rsid w:val="00343A23"/>
    <w:rsid w:val="00343E55"/>
    <w:rsid w:val="00343F1D"/>
    <w:rsid w:val="00344350"/>
    <w:rsid w:val="0034473F"/>
    <w:rsid w:val="003448D3"/>
    <w:rsid w:val="003448F8"/>
    <w:rsid w:val="00344C72"/>
    <w:rsid w:val="0034521E"/>
    <w:rsid w:val="0034530E"/>
    <w:rsid w:val="003453D2"/>
    <w:rsid w:val="003454FF"/>
    <w:rsid w:val="003456A2"/>
    <w:rsid w:val="0034586B"/>
    <w:rsid w:val="003459EE"/>
    <w:rsid w:val="00345E91"/>
    <w:rsid w:val="00345F47"/>
    <w:rsid w:val="00345FCC"/>
    <w:rsid w:val="00346128"/>
    <w:rsid w:val="0034627E"/>
    <w:rsid w:val="003462AF"/>
    <w:rsid w:val="0034633A"/>
    <w:rsid w:val="00346422"/>
    <w:rsid w:val="00346498"/>
    <w:rsid w:val="003468BE"/>
    <w:rsid w:val="003468F6"/>
    <w:rsid w:val="003469F5"/>
    <w:rsid w:val="00346ABA"/>
    <w:rsid w:val="00346AEA"/>
    <w:rsid w:val="00346BA7"/>
    <w:rsid w:val="00346BCD"/>
    <w:rsid w:val="00346CEC"/>
    <w:rsid w:val="00346D82"/>
    <w:rsid w:val="00346F04"/>
    <w:rsid w:val="00346F60"/>
    <w:rsid w:val="00347181"/>
    <w:rsid w:val="003471B7"/>
    <w:rsid w:val="003471C6"/>
    <w:rsid w:val="00347250"/>
    <w:rsid w:val="003472A5"/>
    <w:rsid w:val="00347544"/>
    <w:rsid w:val="00347737"/>
    <w:rsid w:val="00347B81"/>
    <w:rsid w:val="00347BA1"/>
    <w:rsid w:val="00347BFE"/>
    <w:rsid w:val="00347C4A"/>
    <w:rsid w:val="00347D34"/>
    <w:rsid w:val="00347DAB"/>
    <w:rsid w:val="00347EEA"/>
    <w:rsid w:val="00350536"/>
    <w:rsid w:val="00350598"/>
    <w:rsid w:val="0035074C"/>
    <w:rsid w:val="00350A50"/>
    <w:rsid w:val="00350A69"/>
    <w:rsid w:val="00350F27"/>
    <w:rsid w:val="0035122A"/>
    <w:rsid w:val="003514E0"/>
    <w:rsid w:val="0035152D"/>
    <w:rsid w:val="00351576"/>
    <w:rsid w:val="003517AD"/>
    <w:rsid w:val="00351983"/>
    <w:rsid w:val="00351BC5"/>
    <w:rsid w:val="00351C27"/>
    <w:rsid w:val="00351DD3"/>
    <w:rsid w:val="00351DE4"/>
    <w:rsid w:val="00351FFB"/>
    <w:rsid w:val="00352209"/>
    <w:rsid w:val="00352BFB"/>
    <w:rsid w:val="00352C10"/>
    <w:rsid w:val="00352DE1"/>
    <w:rsid w:val="00352F94"/>
    <w:rsid w:val="0035324A"/>
    <w:rsid w:val="0035326D"/>
    <w:rsid w:val="003532F1"/>
    <w:rsid w:val="00353402"/>
    <w:rsid w:val="00353522"/>
    <w:rsid w:val="00353534"/>
    <w:rsid w:val="0035362F"/>
    <w:rsid w:val="0035384F"/>
    <w:rsid w:val="00353865"/>
    <w:rsid w:val="0035389F"/>
    <w:rsid w:val="003538DA"/>
    <w:rsid w:val="00353947"/>
    <w:rsid w:val="003539D6"/>
    <w:rsid w:val="00353D40"/>
    <w:rsid w:val="00353EED"/>
    <w:rsid w:val="00353FC8"/>
    <w:rsid w:val="00354292"/>
    <w:rsid w:val="003546DA"/>
    <w:rsid w:val="0035477E"/>
    <w:rsid w:val="00354860"/>
    <w:rsid w:val="003548CD"/>
    <w:rsid w:val="00354A6C"/>
    <w:rsid w:val="00354C31"/>
    <w:rsid w:val="00354CDE"/>
    <w:rsid w:val="00354EB2"/>
    <w:rsid w:val="00354F1D"/>
    <w:rsid w:val="003554AA"/>
    <w:rsid w:val="003555AC"/>
    <w:rsid w:val="00355650"/>
    <w:rsid w:val="00355654"/>
    <w:rsid w:val="003556B3"/>
    <w:rsid w:val="00355722"/>
    <w:rsid w:val="00355737"/>
    <w:rsid w:val="0035575D"/>
    <w:rsid w:val="0035597A"/>
    <w:rsid w:val="00355ADA"/>
    <w:rsid w:val="00355B79"/>
    <w:rsid w:val="00355DF2"/>
    <w:rsid w:val="00355E93"/>
    <w:rsid w:val="00355EB3"/>
    <w:rsid w:val="00356221"/>
    <w:rsid w:val="00356249"/>
    <w:rsid w:val="003562B4"/>
    <w:rsid w:val="003563A6"/>
    <w:rsid w:val="003565C1"/>
    <w:rsid w:val="00356861"/>
    <w:rsid w:val="00356BD7"/>
    <w:rsid w:val="00356C9A"/>
    <w:rsid w:val="0035702F"/>
    <w:rsid w:val="00357359"/>
    <w:rsid w:val="003573C8"/>
    <w:rsid w:val="003575D3"/>
    <w:rsid w:val="003578FA"/>
    <w:rsid w:val="00357B43"/>
    <w:rsid w:val="00357C9B"/>
    <w:rsid w:val="00357D9F"/>
    <w:rsid w:val="00357E5E"/>
    <w:rsid w:val="00357E60"/>
    <w:rsid w:val="0036035A"/>
    <w:rsid w:val="0036085A"/>
    <w:rsid w:val="00360AB9"/>
    <w:rsid w:val="00360DDF"/>
    <w:rsid w:val="00361238"/>
    <w:rsid w:val="0036147E"/>
    <w:rsid w:val="0036151D"/>
    <w:rsid w:val="0036179A"/>
    <w:rsid w:val="003618A2"/>
    <w:rsid w:val="0036193B"/>
    <w:rsid w:val="003619B7"/>
    <w:rsid w:val="00361ADA"/>
    <w:rsid w:val="00361EDE"/>
    <w:rsid w:val="003621A6"/>
    <w:rsid w:val="003623E9"/>
    <w:rsid w:val="003624DF"/>
    <w:rsid w:val="00362828"/>
    <w:rsid w:val="00362893"/>
    <w:rsid w:val="003628D1"/>
    <w:rsid w:val="003629EF"/>
    <w:rsid w:val="00362CDB"/>
    <w:rsid w:val="00362D68"/>
    <w:rsid w:val="00362D73"/>
    <w:rsid w:val="00362EB5"/>
    <w:rsid w:val="00363378"/>
    <w:rsid w:val="003639CB"/>
    <w:rsid w:val="00363A2B"/>
    <w:rsid w:val="00363AE7"/>
    <w:rsid w:val="00363AF1"/>
    <w:rsid w:val="00363B9B"/>
    <w:rsid w:val="00363DBD"/>
    <w:rsid w:val="00363EB8"/>
    <w:rsid w:val="003640C9"/>
    <w:rsid w:val="0036412A"/>
    <w:rsid w:val="0036468F"/>
    <w:rsid w:val="003649C5"/>
    <w:rsid w:val="00364BA9"/>
    <w:rsid w:val="00364CDA"/>
    <w:rsid w:val="00364E2C"/>
    <w:rsid w:val="00365014"/>
    <w:rsid w:val="0036562E"/>
    <w:rsid w:val="0036565E"/>
    <w:rsid w:val="00365899"/>
    <w:rsid w:val="00365934"/>
    <w:rsid w:val="00365992"/>
    <w:rsid w:val="00365DD7"/>
    <w:rsid w:val="00366038"/>
    <w:rsid w:val="00366103"/>
    <w:rsid w:val="003661BE"/>
    <w:rsid w:val="003663B8"/>
    <w:rsid w:val="00366468"/>
    <w:rsid w:val="00366590"/>
    <w:rsid w:val="00366726"/>
    <w:rsid w:val="00366793"/>
    <w:rsid w:val="00366A06"/>
    <w:rsid w:val="00366AED"/>
    <w:rsid w:val="003671B1"/>
    <w:rsid w:val="0036749B"/>
    <w:rsid w:val="00367999"/>
    <w:rsid w:val="00367A86"/>
    <w:rsid w:val="00367BD4"/>
    <w:rsid w:val="00367BDF"/>
    <w:rsid w:val="00367D15"/>
    <w:rsid w:val="00367D35"/>
    <w:rsid w:val="00367E24"/>
    <w:rsid w:val="00370067"/>
    <w:rsid w:val="0037026F"/>
    <w:rsid w:val="003702DA"/>
    <w:rsid w:val="003703C9"/>
    <w:rsid w:val="003704BF"/>
    <w:rsid w:val="003705C0"/>
    <w:rsid w:val="00370713"/>
    <w:rsid w:val="00370898"/>
    <w:rsid w:val="00370DD3"/>
    <w:rsid w:val="00370E80"/>
    <w:rsid w:val="00370F98"/>
    <w:rsid w:val="00371079"/>
    <w:rsid w:val="003710F6"/>
    <w:rsid w:val="00371125"/>
    <w:rsid w:val="00371142"/>
    <w:rsid w:val="003715D7"/>
    <w:rsid w:val="00371629"/>
    <w:rsid w:val="00371662"/>
    <w:rsid w:val="00371894"/>
    <w:rsid w:val="003718CD"/>
    <w:rsid w:val="003718E8"/>
    <w:rsid w:val="0037195B"/>
    <w:rsid w:val="00371A57"/>
    <w:rsid w:val="00371A7E"/>
    <w:rsid w:val="00371B1A"/>
    <w:rsid w:val="00371FC0"/>
    <w:rsid w:val="00371FDF"/>
    <w:rsid w:val="003721BB"/>
    <w:rsid w:val="00372215"/>
    <w:rsid w:val="003722C1"/>
    <w:rsid w:val="00372341"/>
    <w:rsid w:val="00372382"/>
    <w:rsid w:val="0037243E"/>
    <w:rsid w:val="003727F1"/>
    <w:rsid w:val="00372994"/>
    <w:rsid w:val="003729DD"/>
    <w:rsid w:val="00372BFC"/>
    <w:rsid w:val="00372D0B"/>
    <w:rsid w:val="00372E0C"/>
    <w:rsid w:val="00372E17"/>
    <w:rsid w:val="0037304C"/>
    <w:rsid w:val="003734D4"/>
    <w:rsid w:val="00373723"/>
    <w:rsid w:val="00373CAC"/>
    <w:rsid w:val="00373CFE"/>
    <w:rsid w:val="00373F8E"/>
    <w:rsid w:val="00374053"/>
    <w:rsid w:val="00374191"/>
    <w:rsid w:val="0037436A"/>
    <w:rsid w:val="0037441C"/>
    <w:rsid w:val="00374786"/>
    <w:rsid w:val="00375116"/>
    <w:rsid w:val="00375619"/>
    <w:rsid w:val="003756BA"/>
    <w:rsid w:val="003758EF"/>
    <w:rsid w:val="00375BFE"/>
    <w:rsid w:val="00375CC0"/>
    <w:rsid w:val="00375DBE"/>
    <w:rsid w:val="00375FCD"/>
    <w:rsid w:val="00376187"/>
    <w:rsid w:val="003767FC"/>
    <w:rsid w:val="00376877"/>
    <w:rsid w:val="00376880"/>
    <w:rsid w:val="00376B52"/>
    <w:rsid w:val="00376BF5"/>
    <w:rsid w:val="00376D2F"/>
    <w:rsid w:val="0037705B"/>
    <w:rsid w:val="00377130"/>
    <w:rsid w:val="00377481"/>
    <w:rsid w:val="003776A4"/>
    <w:rsid w:val="003777BB"/>
    <w:rsid w:val="00377A7E"/>
    <w:rsid w:val="00377BF2"/>
    <w:rsid w:val="00377EF9"/>
    <w:rsid w:val="00377F19"/>
    <w:rsid w:val="003802CC"/>
    <w:rsid w:val="00380368"/>
    <w:rsid w:val="003803AA"/>
    <w:rsid w:val="0038054B"/>
    <w:rsid w:val="003809AB"/>
    <w:rsid w:val="00380B4F"/>
    <w:rsid w:val="00380BF4"/>
    <w:rsid w:val="00380E43"/>
    <w:rsid w:val="00380E7D"/>
    <w:rsid w:val="0038111C"/>
    <w:rsid w:val="00381709"/>
    <w:rsid w:val="00381759"/>
    <w:rsid w:val="0038177D"/>
    <w:rsid w:val="00381965"/>
    <w:rsid w:val="00381A81"/>
    <w:rsid w:val="00381B27"/>
    <w:rsid w:val="00381C1C"/>
    <w:rsid w:val="00381C4A"/>
    <w:rsid w:val="00381D7E"/>
    <w:rsid w:val="00381DB9"/>
    <w:rsid w:val="00381FC3"/>
    <w:rsid w:val="003826B9"/>
    <w:rsid w:val="003827ED"/>
    <w:rsid w:val="00382A8A"/>
    <w:rsid w:val="00382A9A"/>
    <w:rsid w:val="00382B06"/>
    <w:rsid w:val="00382CEC"/>
    <w:rsid w:val="00382D72"/>
    <w:rsid w:val="00382D8F"/>
    <w:rsid w:val="00382DDA"/>
    <w:rsid w:val="00382E46"/>
    <w:rsid w:val="00382F35"/>
    <w:rsid w:val="0038377A"/>
    <w:rsid w:val="00383C97"/>
    <w:rsid w:val="00383D17"/>
    <w:rsid w:val="00383D6A"/>
    <w:rsid w:val="00383D82"/>
    <w:rsid w:val="0038412F"/>
    <w:rsid w:val="00384393"/>
    <w:rsid w:val="0038448B"/>
    <w:rsid w:val="00384622"/>
    <w:rsid w:val="00384678"/>
    <w:rsid w:val="00384946"/>
    <w:rsid w:val="00384A04"/>
    <w:rsid w:val="00384DC6"/>
    <w:rsid w:val="00384EB1"/>
    <w:rsid w:val="00385033"/>
    <w:rsid w:val="00385635"/>
    <w:rsid w:val="00385816"/>
    <w:rsid w:val="00385998"/>
    <w:rsid w:val="00385B53"/>
    <w:rsid w:val="00385CB2"/>
    <w:rsid w:val="00385CE7"/>
    <w:rsid w:val="00385D8A"/>
    <w:rsid w:val="00385E22"/>
    <w:rsid w:val="00385F6D"/>
    <w:rsid w:val="00386031"/>
    <w:rsid w:val="00386061"/>
    <w:rsid w:val="0038620F"/>
    <w:rsid w:val="003862ED"/>
    <w:rsid w:val="003864B7"/>
    <w:rsid w:val="003864D3"/>
    <w:rsid w:val="003865D2"/>
    <w:rsid w:val="0038683A"/>
    <w:rsid w:val="00386A8F"/>
    <w:rsid w:val="00386BFF"/>
    <w:rsid w:val="00386C11"/>
    <w:rsid w:val="00386C7A"/>
    <w:rsid w:val="00386DFC"/>
    <w:rsid w:val="00386EC3"/>
    <w:rsid w:val="00386FD5"/>
    <w:rsid w:val="00387039"/>
    <w:rsid w:val="003870C5"/>
    <w:rsid w:val="00387180"/>
    <w:rsid w:val="0038722F"/>
    <w:rsid w:val="00387513"/>
    <w:rsid w:val="003879D5"/>
    <w:rsid w:val="00387BAC"/>
    <w:rsid w:val="00387D62"/>
    <w:rsid w:val="00387DA1"/>
    <w:rsid w:val="00387F4B"/>
    <w:rsid w:val="0039001F"/>
    <w:rsid w:val="00390036"/>
    <w:rsid w:val="0039004E"/>
    <w:rsid w:val="003904C4"/>
    <w:rsid w:val="00390796"/>
    <w:rsid w:val="00390BB3"/>
    <w:rsid w:val="003910A2"/>
    <w:rsid w:val="003912CD"/>
    <w:rsid w:val="00391365"/>
    <w:rsid w:val="00391449"/>
    <w:rsid w:val="0039155E"/>
    <w:rsid w:val="00391584"/>
    <w:rsid w:val="003916E3"/>
    <w:rsid w:val="0039176E"/>
    <w:rsid w:val="003917F4"/>
    <w:rsid w:val="003918FD"/>
    <w:rsid w:val="00391CEF"/>
    <w:rsid w:val="00391E7B"/>
    <w:rsid w:val="003920D8"/>
    <w:rsid w:val="0039227C"/>
    <w:rsid w:val="00392297"/>
    <w:rsid w:val="003926C0"/>
    <w:rsid w:val="0039270F"/>
    <w:rsid w:val="00392761"/>
    <w:rsid w:val="003929E9"/>
    <w:rsid w:val="00392C22"/>
    <w:rsid w:val="00392D44"/>
    <w:rsid w:val="00392F8F"/>
    <w:rsid w:val="003930A5"/>
    <w:rsid w:val="003931BC"/>
    <w:rsid w:val="00393391"/>
    <w:rsid w:val="00393595"/>
    <w:rsid w:val="003937C7"/>
    <w:rsid w:val="003939B0"/>
    <w:rsid w:val="00393B14"/>
    <w:rsid w:val="00393DE8"/>
    <w:rsid w:val="00394267"/>
    <w:rsid w:val="0039439D"/>
    <w:rsid w:val="00394413"/>
    <w:rsid w:val="00394662"/>
    <w:rsid w:val="003946F1"/>
    <w:rsid w:val="0039480A"/>
    <w:rsid w:val="003948D4"/>
    <w:rsid w:val="0039490B"/>
    <w:rsid w:val="00394A36"/>
    <w:rsid w:val="00394B66"/>
    <w:rsid w:val="00394B81"/>
    <w:rsid w:val="00394B88"/>
    <w:rsid w:val="00394CB2"/>
    <w:rsid w:val="00394CBA"/>
    <w:rsid w:val="00394D5E"/>
    <w:rsid w:val="00394E06"/>
    <w:rsid w:val="003951E3"/>
    <w:rsid w:val="00395649"/>
    <w:rsid w:val="00395779"/>
    <w:rsid w:val="003957DD"/>
    <w:rsid w:val="00395ACD"/>
    <w:rsid w:val="00395BFD"/>
    <w:rsid w:val="003960C3"/>
    <w:rsid w:val="00396156"/>
    <w:rsid w:val="003961FA"/>
    <w:rsid w:val="00396435"/>
    <w:rsid w:val="0039673F"/>
    <w:rsid w:val="00396761"/>
    <w:rsid w:val="003969C0"/>
    <w:rsid w:val="00396A91"/>
    <w:rsid w:val="00396B50"/>
    <w:rsid w:val="00396BF7"/>
    <w:rsid w:val="00396D4A"/>
    <w:rsid w:val="003972B0"/>
    <w:rsid w:val="003972D9"/>
    <w:rsid w:val="00397565"/>
    <w:rsid w:val="0039760D"/>
    <w:rsid w:val="00397645"/>
    <w:rsid w:val="00397721"/>
    <w:rsid w:val="00397836"/>
    <w:rsid w:val="00397BEE"/>
    <w:rsid w:val="00397D8C"/>
    <w:rsid w:val="003A013B"/>
    <w:rsid w:val="003A018A"/>
    <w:rsid w:val="003A02EA"/>
    <w:rsid w:val="003A051E"/>
    <w:rsid w:val="003A0B68"/>
    <w:rsid w:val="003A0CEB"/>
    <w:rsid w:val="003A0EE6"/>
    <w:rsid w:val="003A11AE"/>
    <w:rsid w:val="003A1340"/>
    <w:rsid w:val="003A1454"/>
    <w:rsid w:val="003A1546"/>
    <w:rsid w:val="003A1555"/>
    <w:rsid w:val="003A16C2"/>
    <w:rsid w:val="003A1717"/>
    <w:rsid w:val="003A1746"/>
    <w:rsid w:val="003A1758"/>
    <w:rsid w:val="003A1ABF"/>
    <w:rsid w:val="003A1B4C"/>
    <w:rsid w:val="003A200A"/>
    <w:rsid w:val="003A2099"/>
    <w:rsid w:val="003A2250"/>
    <w:rsid w:val="003A258C"/>
    <w:rsid w:val="003A25CF"/>
    <w:rsid w:val="003A26CA"/>
    <w:rsid w:val="003A26E5"/>
    <w:rsid w:val="003A27AA"/>
    <w:rsid w:val="003A27D0"/>
    <w:rsid w:val="003A2C14"/>
    <w:rsid w:val="003A2E07"/>
    <w:rsid w:val="003A2ECE"/>
    <w:rsid w:val="003A2EE2"/>
    <w:rsid w:val="003A2EEA"/>
    <w:rsid w:val="003A36D4"/>
    <w:rsid w:val="003A36E3"/>
    <w:rsid w:val="003A3746"/>
    <w:rsid w:val="003A3892"/>
    <w:rsid w:val="003A398F"/>
    <w:rsid w:val="003A39BB"/>
    <w:rsid w:val="003A39DF"/>
    <w:rsid w:val="003A3A71"/>
    <w:rsid w:val="003A3FD1"/>
    <w:rsid w:val="003A4191"/>
    <w:rsid w:val="003A41BB"/>
    <w:rsid w:val="003A4289"/>
    <w:rsid w:val="003A4368"/>
    <w:rsid w:val="003A45A8"/>
    <w:rsid w:val="003A4AF3"/>
    <w:rsid w:val="003A4BCE"/>
    <w:rsid w:val="003A4EBE"/>
    <w:rsid w:val="003A5042"/>
    <w:rsid w:val="003A5197"/>
    <w:rsid w:val="003A51C3"/>
    <w:rsid w:val="003A53F5"/>
    <w:rsid w:val="003A5586"/>
    <w:rsid w:val="003A5759"/>
    <w:rsid w:val="003A57DD"/>
    <w:rsid w:val="003A5845"/>
    <w:rsid w:val="003A5846"/>
    <w:rsid w:val="003A5947"/>
    <w:rsid w:val="003A59C6"/>
    <w:rsid w:val="003A59DD"/>
    <w:rsid w:val="003A5A4E"/>
    <w:rsid w:val="003A5AB6"/>
    <w:rsid w:val="003A5ACD"/>
    <w:rsid w:val="003A5C61"/>
    <w:rsid w:val="003A5D2A"/>
    <w:rsid w:val="003A5DFF"/>
    <w:rsid w:val="003A5F0F"/>
    <w:rsid w:val="003A63B1"/>
    <w:rsid w:val="003A64B9"/>
    <w:rsid w:val="003A6615"/>
    <w:rsid w:val="003A667E"/>
    <w:rsid w:val="003A6929"/>
    <w:rsid w:val="003A6BB8"/>
    <w:rsid w:val="003A6F9C"/>
    <w:rsid w:val="003A7165"/>
    <w:rsid w:val="003A7191"/>
    <w:rsid w:val="003A71CE"/>
    <w:rsid w:val="003A72EB"/>
    <w:rsid w:val="003A7334"/>
    <w:rsid w:val="003A7542"/>
    <w:rsid w:val="003A76A6"/>
    <w:rsid w:val="003A78C3"/>
    <w:rsid w:val="003A78E6"/>
    <w:rsid w:val="003A7927"/>
    <w:rsid w:val="003A7A67"/>
    <w:rsid w:val="003A7C0E"/>
    <w:rsid w:val="003A7D02"/>
    <w:rsid w:val="003A7D63"/>
    <w:rsid w:val="003A7FB3"/>
    <w:rsid w:val="003B0313"/>
    <w:rsid w:val="003B08F9"/>
    <w:rsid w:val="003B0A3B"/>
    <w:rsid w:val="003B0AA9"/>
    <w:rsid w:val="003B0BA2"/>
    <w:rsid w:val="003B0C14"/>
    <w:rsid w:val="003B0CE0"/>
    <w:rsid w:val="003B0D33"/>
    <w:rsid w:val="003B0E1B"/>
    <w:rsid w:val="003B1119"/>
    <w:rsid w:val="003B125F"/>
    <w:rsid w:val="003B12C2"/>
    <w:rsid w:val="003B1493"/>
    <w:rsid w:val="003B14A1"/>
    <w:rsid w:val="003B14F7"/>
    <w:rsid w:val="003B1590"/>
    <w:rsid w:val="003B1663"/>
    <w:rsid w:val="003B1908"/>
    <w:rsid w:val="003B1B18"/>
    <w:rsid w:val="003B1E63"/>
    <w:rsid w:val="003B1FF1"/>
    <w:rsid w:val="003B21B0"/>
    <w:rsid w:val="003B22E2"/>
    <w:rsid w:val="003B237A"/>
    <w:rsid w:val="003B23D5"/>
    <w:rsid w:val="003B2403"/>
    <w:rsid w:val="003B253A"/>
    <w:rsid w:val="003B25AA"/>
    <w:rsid w:val="003B264E"/>
    <w:rsid w:val="003B2850"/>
    <w:rsid w:val="003B294F"/>
    <w:rsid w:val="003B29EA"/>
    <w:rsid w:val="003B2AAB"/>
    <w:rsid w:val="003B2BEC"/>
    <w:rsid w:val="003B2C58"/>
    <w:rsid w:val="003B2CDE"/>
    <w:rsid w:val="003B2D0F"/>
    <w:rsid w:val="003B2D1D"/>
    <w:rsid w:val="003B2D4D"/>
    <w:rsid w:val="003B2D58"/>
    <w:rsid w:val="003B2E31"/>
    <w:rsid w:val="003B2E92"/>
    <w:rsid w:val="003B2F05"/>
    <w:rsid w:val="003B2F52"/>
    <w:rsid w:val="003B2FFA"/>
    <w:rsid w:val="003B30AE"/>
    <w:rsid w:val="003B30B1"/>
    <w:rsid w:val="003B3176"/>
    <w:rsid w:val="003B3355"/>
    <w:rsid w:val="003B3489"/>
    <w:rsid w:val="003B3876"/>
    <w:rsid w:val="003B396B"/>
    <w:rsid w:val="003B3A34"/>
    <w:rsid w:val="003B3AD4"/>
    <w:rsid w:val="003B3B74"/>
    <w:rsid w:val="003B3C12"/>
    <w:rsid w:val="003B3CBA"/>
    <w:rsid w:val="003B3DD4"/>
    <w:rsid w:val="003B3F95"/>
    <w:rsid w:val="003B414F"/>
    <w:rsid w:val="003B417C"/>
    <w:rsid w:val="003B4425"/>
    <w:rsid w:val="003B4795"/>
    <w:rsid w:val="003B479E"/>
    <w:rsid w:val="003B4811"/>
    <w:rsid w:val="003B4BBE"/>
    <w:rsid w:val="003B50E6"/>
    <w:rsid w:val="003B5109"/>
    <w:rsid w:val="003B5208"/>
    <w:rsid w:val="003B52F1"/>
    <w:rsid w:val="003B5344"/>
    <w:rsid w:val="003B537D"/>
    <w:rsid w:val="003B54F9"/>
    <w:rsid w:val="003B580C"/>
    <w:rsid w:val="003B580D"/>
    <w:rsid w:val="003B5D76"/>
    <w:rsid w:val="003B5D78"/>
    <w:rsid w:val="003B5DBB"/>
    <w:rsid w:val="003B5DE0"/>
    <w:rsid w:val="003B5F19"/>
    <w:rsid w:val="003B6000"/>
    <w:rsid w:val="003B61BC"/>
    <w:rsid w:val="003B6291"/>
    <w:rsid w:val="003B648F"/>
    <w:rsid w:val="003B64C0"/>
    <w:rsid w:val="003B6748"/>
    <w:rsid w:val="003B6941"/>
    <w:rsid w:val="003B6A36"/>
    <w:rsid w:val="003B6B20"/>
    <w:rsid w:val="003B6BAD"/>
    <w:rsid w:val="003B6C1D"/>
    <w:rsid w:val="003B6D5A"/>
    <w:rsid w:val="003B6EF6"/>
    <w:rsid w:val="003B7056"/>
    <w:rsid w:val="003B70A8"/>
    <w:rsid w:val="003B7363"/>
    <w:rsid w:val="003B753B"/>
    <w:rsid w:val="003B75C6"/>
    <w:rsid w:val="003B768E"/>
    <w:rsid w:val="003B7745"/>
    <w:rsid w:val="003B78BA"/>
    <w:rsid w:val="003B7C18"/>
    <w:rsid w:val="003B7C63"/>
    <w:rsid w:val="003B7EDA"/>
    <w:rsid w:val="003B7EE4"/>
    <w:rsid w:val="003C01EB"/>
    <w:rsid w:val="003C03FD"/>
    <w:rsid w:val="003C0656"/>
    <w:rsid w:val="003C071B"/>
    <w:rsid w:val="003C081B"/>
    <w:rsid w:val="003C083E"/>
    <w:rsid w:val="003C0882"/>
    <w:rsid w:val="003C0B2E"/>
    <w:rsid w:val="003C0BF4"/>
    <w:rsid w:val="003C0BF5"/>
    <w:rsid w:val="003C0CA0"/>
    <w:rsid w:val="003C0E08"/>
    <w:rsid w:val="003C0E70"/>
    <w:rsid w:val="003C1077"/>
    <w:rsid w:val="003C10D5"/>
    <w:rsid w:val="003C10DD"/>
    <w:rsid w:val="003C111B"/>
    <w:rsid w:val="003C1149"/>
    <w:rsid w:val="003C1240"/>
    <w:rsid w:val="003C12D0"/>
    <w:rsid w:val="003C12FA"/>
    <w:rsid w:val="003C1456"/>
    <w:rsid w:val="003C1831"/>
    <w:rsid w:val="003C19AC"/>
    <w:rsid w:val="003C19F5"/>
    <w:rsid w:val="003C1CA2"/>
    <w:rsid w:val="003C1E47"/>
    <w:rsid w:val="003C1F2A"/>
    <w:rsid w:val="003C217C"/>
    <w:rsid w:val="003C21A6"/>
    <w:rsid w:val="003C24B2"/>
    <w:rsid w:val="003C2844"/>
    <w:rsid w:val="003C2886"/>
    <w:rsid w:val="003C2986"/>
    <w:rsid w:val="003C29B0"/>
    <w:rsid w:val="003C2ABF"/>
    <w:rsid w:val="003C2BBA"/>
    <w:rsid w:val="003C2E4F"/>
    <w:rsid w:val="003C314D"/>
    <w:rsid w:val="003C3310"/>
    <w:rsid w:val="003C33A4"/>
    <w:rsid w:val="003C341E"/>
    <w:rsid w:val="003C35A4"/>
    <w:rsid w:val="003C3729"/>
    <w:rsid w:val="003C37D8"/>
    <w:rsid w:val="003C388A"/>
    <w:rsid w:val="003C3A99"/>
    <w:rsid w:val="003C3B27"/>
    <w:rsid w:val="003C421C"/>
    <w:rsid w:val="003C429E"/>
    <w:rsid w:val="003C42CF"/>
    <w:rsid w:val="003C4839"/>
    <w:rsid w:val="003C4843"/>
    <w:rsid w:val="003C48A6"/>
    <w:rsid w:val="003C49E7"/>
    <w:rsid w:val="003C4A7E"/>
    <w:rsid w:val="003C4C93"/>
    <w:rsid w:val="003C4F4D"/>
    <w:rsid w:val="003C50F5"/>
    <w:rsid w:val="003C5227"/>
    <w:rsid w:val="003C52F1"/>
    <w:rsid w:val="003C5356"/>
    <w:rsid w:val="003C5457"/>
    <w:rsid w:val="003C54B1"/>
    <w:rsid w:val="003C5663"/>
    <w:rsid w:val="003C5755"/>
    <w:rsid w:val="003C5837"/>
    <w:rsid w:val="003C5911"/>
    <w:rsid w:val="003C59B7"/>
    <w:rsid w:val="003C59DB"/>
    <w:rsid w:val="003C5A31"/>
    <w:rsid w:val="003C5AB8"/>
    <w:rsid w:val="003C5B2E"/>
    <w:rsid w:val="003C5B57"/>
    <w:rsid w:val="003C5D48"/>
    <w:rsid w:val="003C5E19"/>
    <w:rsid w:val="003C5FA6"/>
    <w:rsid w:val="003C6114"/>
    <w:rsid w:val="003C61CD"/>
    <w:rsid w:val="003C63F3"/>
    <w:rsid w:val="003C6453"/>
    <w:rsid w:val="003C66C5"/>
    <w:rsid w:val="003C66FF"/>
    <w:rsid w:val="003C67DC"/>
    <w:rsid w:val="003C68DA"/>
    <w:rsid w:val="003C6926"/>
    <w:rsid w:val="003C6946"/>
    <w:rsid w:val="003C6CA5"/>
    <w:rsid w:val="003C6D64"/>
    <w:rsid w:val="003C70A5"/>
    <w:rsid w:val="003C7378"/>
    <w:rsid w:val="003C7473"/>
    <w:rsid w:val="003C7874"/>
    <w:rsid w:val="003C79C9"/>
    <w:rsid w:val="003C7F9F"/>
    <w:rsid w:val="003D0139"/>
    <w:rsid w:val="003D0B26"/>
    <w:rsid w:val="003D0BF5"/>
    <w:rsid w:val="003D0C17"/>
    <w:rsid w:val="003D0D3B"/>
    <w:rsid w:val="003D0DAC"/>
    <w:rsid w:val="003D0EF8"/>
    <w:rsid w:val="003D1024"/>
    <w:rsid w:val="003D12ED"/>
    <w:rsid w:val="003D139F"/>
    <w:rsid w:val="003D13ED"/>
    <w:rsid w:val="003D1410"/>
    <w:rsid w:val="003D15CA"/>
    <w:rsid w:val="003D16A4"/>
    <w:rsid w:val="003D16FC"/>
    <w:rsid w:val="003D16FF"/>
    <w:rsid w:val="003D19D8"/>
    <w:rsid w:val="003D19E9"/>
    <w:rsid w:val="003D1AD0"/>
    <w:rsid w:val="003D1AD9"/>
    <w:rsid w:val="003D1CCB"/>
    <w:rsid w:val="003D20ED"/>
    <w:rsid w:val="003D221A"/>
    <w:rsid w:val="003D222C"/>
    <w:rsid w:val="003D2458"/>
    <w:rsid w:val="003D281B"/>
    <w:rsid w:val="003D2A96"/>
    <w:rsid w:val="003D2BB5"/>
    <w:rsid w:val="003D2C29"/>
    <w:rsid w:val="003D2C80"/>
    <w:rsid w:val="003D2D92"/>
    <w:rsid w:val="003D300B"/>
    <w:rsid w:val="003D302E"/>
    <w:rsid w:val="003D3045"/>
    <w:rsid w:val="003D30F5"/>
    <w:rsid w:val="003D31E8"/>
    <w:rsid w:val="003D32F3"/>
    <w:rsid w:val="003D33A7"/>
    <w:rsid w:val="003D34DC"/>
    <w:rsid w:val="003D3719"/>
    <w:rsid w:val="003D3B58"/>
    <w:rsid w:val="003D3D68"/>
    <w:rsid w:val="003D41DA"/>
    <w:rsid w:val="003D41F7"/>
    <w:rsid w:val="003D4241"/>
    <w:rsid w:val="003D42D1"/>
    <w:rsid w:val="003D446B"/>
    <w:rsid w:val="003D4498"/>
    <w:rsid w:val="003D45C5"/>
    <w:rsid w:val="003D45DB"/>
    <w:rsid w:val="003D4650"/>
    <w:rsid w:val="003D4E23"/>
    <w:rsid w:val="003D4F1A"/>
    <w:rsid w:val="003D510D"/>
    <w:rsid w:val="003D551C"/>
    <w:rsid w:val="003D5589"/>
    <w:rsid w:val="003D5B24"/>
    <w:rsid w:val="003D5CB4"/>
    <w:rsid w:val="003D5CE8"/>
    <w:rsid w:val="003D5D37"/>
    <w:rsid w:val="003D5ED7"/>
    <w:rsid w:val="003D60FE"/>
    <w:rsid w:val="003D6458"/>
    <w:rsid w:val="003D664F"/>
    <w:rsid w:val="003D67DF"/>
    <w:rsid w:val="003D6B11"/>
    <w:rsid w:val="003D6B7C"/>
    <w:rsid w:val="003D6CB0"/>
    <w:rsid w:val="003D6D5D"/>
    <w:rsid w:val="003D6EDA"/>
    <w:rsid w:val="003D701C"/>
    <w:rsid w:val="003D7034"/>
    <w:rsid w:val="003D70DC"/>
    <w:rsid w:val="003D71EE"/>
    <w:rsid w:val="003D71FC"/>
    <w:rsid w:val="003D720D"/>
    <w:rsid w:val="003D745E"/>
    <w:rsid w:val="003D75B3"/>
    <w:rsid w:val="003D7678"/>
    <w:rsid w:val="003D7761"/>
    <w:rsid w:val="003D779E"/>
    <w:rsid w:val="003D781A"/>
    <w:rsid w:val="003D7B6A"/>
    <w:rsid w:val="003D7F42"/>
    <w:rsid w:val="003D7F7C"/>
    <w:rsid w:val="003E0083"/>
    <w:rsid w:val="003E0232"/>
    <w:rsid w:val="003E0383"/>
    <w:rsid w:val="003E06A6"/>
    <w:rsid w:val="003E08A5"/>
    <w:rsid w:val="003E09B8"/>
    <w:rsid w:val="003E0A3D"/>
    <w:rsid w:val="003E0B96"/>
    <w:rsid w:val="003E0C5F"/>
    <w:rsid w:val="003E0F1C"/>
    <w:rsid w:val="003E0FEB"/>
    <w:rsid w:val="003E11D4"/>
    <w:rsid w:val="003E1228"/>
    <w:rsid w:val="003E12C7"/>
    <w:rsid w:val="003E1556"/>
    <w:rsid w:val="003E16C3"/>
    <w:rsid w:val="003E1747"/>
    <w:rsid w:val="003E17EC"/>
    <w:rsid w:val="003E18E6"/>
    <w:rsid w:val="003E19D2"/>
    <w:rsid w:val="003E1AD6"/>
    <w:rsid w:val="003E1BC4"/>
    <w:rsid w:val="003E1C83"/>
    <w:rsid w:val="003E1E2B"/>
    <w:rsid w:val="003E1F04"/>
    <w:rsid w:val="003E1F96"/>
    <w:rsid w:val="003E2219"/>
    <w:rsid w:val="003E23D9"/>
    <w:rsid w:val="003E24D0"/>
    <w:rsid w:val="003E2582"/>
    <w:rsid w:val="003E2692"/>
    <w:rsid w:val="003E27C8"/>
    <w:rsid w:val="003E29C8"/>
    <w:rsid w:val="003E2D51"/>
    <w:rsid w:val="003E34AA"/>
    <w:rsid w:val="003E3589"/>
    <w:rsid w:val="003E365A"/>
    <w:rsid w:val="003E376D"/>
    <w:rsid w:val="003E37BB"/>
    <w:rsid w:val="003E391B"/>
    <w:rsid w:val="003E3CBA"/>
    <w:rsid w:val="003E3CD6"/>
    <w:rsid w:val="003E3DEF"/>
    <w:rsid w:val="003E3EDC"/>
    <w:rsid w:val="003E3F10"/>
    <w:rsid w:val="003E3FB3"/>
    <w:rsid w:val="003E429D"/>
    <w:rsid w:val="003E453A"/>
    <w:rsid w:val="003E4882"/>
    <w:rsid w:val="003E491C"/>
    <w:rsid w:val="003E4B85"/>
    <w:rsid w:val="003E4BC0"/>
    <w:rsid w:val="003E4D20"/>
    <w:rsid w:val="003E50C5"/>
    <w:rsid w:val="003E50EC"/>
    <w:rsid w:val="003E511D"/>
    <w:rsid w:val="003E5157"/>
    <w:rsid w:val="003E52BF"/>
    <w:rsid w:val="003E52E3"/>
    <w:rsid w:val="003E5350"/>
    <w:rsid w:val="003E54A4"/>
    <w:rsid w:val="003E563D"/>
    <w:rsid w:val="003E5867"/>
    <w:rsid w:val="003E5948"/>
    <w:rsid w:val="003E5962"/>
    <w:rsid w:val="003E59BA"/>
    <w:rsid w:val="003E5A62"/>
    <w:rsid w:val="003E5B8A"/>
    <w:rsid w:val="003E5C9A"/>
    <w:rsid w:val="003E5E3D"/>
    <w:rsid w:val="003E63F5"/>
    <w:rsid w:val="003E647B"/>
    <w:rsid w:val="003E6537"/>
    <w:rsid w:val="003E6567"/>
    <w:rsid w:val="003E66DF"/>
    <w:rsid w:val="003E69C3"/>
    <w:rsid w:val="003E6ED5"/>
    <w:rsid w:val="003E702D"/>
    <w:rsid w:val="003E727C"/>
    <w:rsid w:val="003E73B9"/>
    <w:rsid w:val="003E79D2"/>
    <w:rsid w:val="003E7C66"/>
    <w:rsid w:val="003E7CB2"/>
    <w:rsid w:val="003E7E92"/>
    <w:rsid w:val="003E7FF2"/>
    <w:rsid w:val="003F00D1"/>
    <w:rsid w:val="003F0280"/>
    <w:rsid w:val="003F0594"/>
    <w:rsid w:val="003F06B9"/>
    <w:rsid w:val="003F0727"/>
    <w:rsid w:val="003F0817"/>
    <w:rsid w:val="003F09B9"/>
    <w:rsid w:val="003F0BA7"/>
    <w:rsid w:val="003F0CB9"/>
    <w:rsid w:val="003F0EDF"/>
    <w:rsid w:val="003F0FD7"/>
    <w:rsid w:val="003F121D"/>
    <w:rsid w:val="003F1376"/>
    <w:rsid w:val="003F1442"/>
    <w:rsid w:val="003F157B"/>
    <w:rsid w:val="003F15FD"/>
    <w:rsid w:val="003F16ED"/>
    <w:rsid w:val="003F1782"/>
    <w:rsid w:val="003F18EE"/>
    <w:rsid w:val="003F1DD5"/>
    <w:rsid w:val="003F1DE9"/>
    <w:rsid w:val="003F1E63"/>
    <w:rsid w:val="003F1F9B"/>
    <w:rsid w:val="003F20BA"/>
    <w:rsid w:val="003F214E"/>
    <w:rsid w:val="003F2315"/>
    <w:rsid w:val="003F2523"/>
    <w:rsid w:val="003F253C"/>
    <w:rsid w:val="003F2AFC"/>
    <w:rsid w:val="003F2B68"/>
    <w:rsid w:val="003F2ED9"/>
    <w:rsid w:val="003F2F8A"/>
    <w:rsid w:val="003F312C"/>
    <w:rsid w:val="003F343E"/>
    <w:rsid w:val="003F3586"/>
    <w:rsid w:val="003F37F0"/>
    <w:rsid w:val="003F3C02"/>
    <w:rsid w:val="003F3CB0"/>
    <w:rsid w:val="003F3E23"/>
    <w:rsid w:val="003F3E27"/>
    <w:rsid w:val="003F4591"/>
    <w:rsid w:val="003F45E6"/>
    <w:rsid w:val="003F4614"/>
    <w:rsid w:val="003F4637"/>
    <w:rsid w:val="003F46C8"/>
    <w:rsid w:val="003F46F9"/>
    <w:rsid w:val="003F4897"/>
    <w:rsid w:val="003F4AEC"/>
    <w:rsid w:val="003F4BA5"/>
    <w:rsid w:val="003F4C1C"/>
    <w:rsid w:val="003F4F9D"/>
    <w:rsid w:val="003F5099"/>
    <w:rsid w:val="003F52CC"/>
    <w:rsid w:val="003F5459"/>
    <w:rsid w:val="003F5719"/>
    <w:rsid w:val="003F5AAE"/>
    <w:rsid w:val="003F5B02"/>
    <w:rsid w:val="003F5B77"/>
    <w:rsid w:val="003F5C7B"/>
    <w:rsid w:val="003F5CA5"/>
    <w:rsid w:val="003F5F99"/>
    <w:rsid w:val="003F6180"/>
    <w:rsid w:val="003F621A"/>
    <w:rsid w:val="003F641A"/>
    <w:rsid w:val="003F6641"/>
    <w:rsid w:val="003F6951"/>
    <w:rsid w:val="003F6A18"/>
    <w:rsid w:val="003F6F23"/>
    <w:rsid w:val="003F6F7F"/>
    <w:rsid w:val="003F7105"/>
    <w:rsid w:val="003F71A4"/>
    <w:rsid w:val="003F72E1"/>
    <w:rsid w:val="003F75A3"/>
    <w:rsid w:val="003F777C"/>
    <w:rsid w:val="003F7BAC"/>
    <w:rsid w:val="003F7C06"/>
    <w:rsid w:val="003F7E33"/>
    <w:rsid w:val="00400003"/>
    <w:rsid w:val="00400532"/>
    <w:rsid w:val="00400577"/>
    <w:rsid w:val="00400627"/>
    <w:rsid w:val="004008C9"/>
    <w:rsid w:val="004009DB"/>
    <w:rsid w:val="004009E8"/>
    <w:rsid w:val="00400D8D"/>
    <w:rsid w:val="00400E14"/>
    <w:rsid w:val="00400E1C"/>
    <w:rsid w:val="0040104A"/>
    <w:rsid w:val="00401209"/>
    <w:rsid w:val="0040120D"/>
    <w:rsid w:val="00401217"/>
    <w:rsid w:val="00401494"/>
    <w:rsid w:val="0040184D"/>
    <w:rsid w:val="0040189E"/>
    <w:rsid w:val="0040195B"/>
    <w:rsid w:val="00401A2B"/>
    <w:rsid w:val="00401AFB"/>
    <w:rsid w:val="00401B06"/>
    <w:rsid w:val="00401B98"/>
    <w:rsid w:val="00401BBE"/>
    <w:rsid w:val="00401EA6"/>
    <w:rsid w:val="00402119"/>
    <w:rsid w:val="0040228A"/>
    <w:rsid w:val="004025DC"/>
    <w:rsid w:val="004025E7"/>
    <w:rsid w:val="00402699"/>
    <w:rsid w:val="00402C60"/>
    <w:rsid w:val="00402C6C"/>
    <w:rsid w:val="00402E5F"/>
    <w:rsid w:val="004030F1"/>
    <w:rsid w:val="00403148"/>
    <w:rsid w:val="00403300"/>
    <w:rsid w:val="004033AE"/>
    <w:rsid w:val="004034EB"/>
    <w:rsid w:val="004036F5"/>
    <w:rsid w:val="004037CE"/>
    <w:rsid w:val="00403830"/>
    <w:rsid w:val="004038A8"/>
    <w:rsid w:val="00404127"/>
    <w:rsid w:val="00404253"/>
    <w:rsid w:val="004042B4"/>
    <w:rsid w:val="00404446"/>
    <w:rsid w:val="004044CF"/>
    <w:rsid w:val="004045AE"/>
    <w:rsid w:val="00404727"/>
    <w:rsid w:val="00404843"/>
    <w:rsid w:val="00404BAB"/>
    <w:rsid w:val="00404F02"/>
    <w:rsid w:val="00404F51"/>
    <w:rsid w:val="0040508F"/>
    <w:rsid w:val="00405195"/>
    <w:rsid w:val="0040519F"/>
    <w:rsid w:val="00405360"/>
    <w:rsid w:val="004053AF"/>
    <w:rsid w:val="0040555E"/>
    <w:rsid w:val="004055E6"/>
    <w:rsid w:val="00405715"/>
    <w:rsid w:val="004058C7"/>
    <w:rsid w:val="004058F4"/>
    <w:rsid w:val="00405A77"/>
    <w:rsid w:val="00405DD3"/>
    <w:rsid w:val="00406080"/>
    <w:rsid w:val="00406413"/>
    <w:rsid w:val="004064E4"/>
    <w:rsid w:val="00406551"/>
    <w:rsid w:val="0040677E"/>
    <w:rsid w:val="004067C7"/>
    <w:rsid w:val="00406A02"/>
    <w:rsid w:val="00406A58"/>
    <w:rsid w:val="00406A6D"/>
    <w:rsid w:val="00406A78"/>
    <w:rsid w:val="00406ABE"/>
    <w:rsid w:val="00406AD7"/>
    <w:rsid w:val="00406B94"/>
    <w:rsid w:val="00406E99"/>
    <w:rsid w:val="004070BA"/>
    <w:rsid w:val="0040711A"/>
    <w:rsid w:val="004073BD"/>
    <w:rsid w:val="00407573"/>
    <w:rsid w:val="00407605"/>
    <w:rsid w:val="004076DC"/>
    <w:rsid w:val="004076FE"/>
    <w:rsid w:val="00407A76"/>
    <w:rsid w:val="00407B33"/>
    <w:rsid w:val="00407C0A"/>
    <w:rsid w:val="004100FC"/>
    <w:rsid w:val="00410302"/>
    <w:rsid w:val="0041034E"/>
    <w:rsid w:val="004106C0"/>
    <w:rsid w:val="004107A2"/>
    <w:rsid w:val="00410A0F"/>
    <w:rsid w:val="00410C2A"/>
    <w:rsid w:val="00410D1A"/>
    <w:rsid w:val="00410E11"/>
    <w:rsid w:val="00410EAF"/>
    <w:rsid w:val="004112AE"/>
    <w:rsid w:val="00411301"/>
    <w:rsid w:val="004114FE"/>
    <w:rsid w:val="004115E6"/>
    <w:rsid w:val="004116AE"/>
    <w:rsid w:val="00411796"/>
    <w:rsid w:val="004117E9"/>
    <w:rsid w:val="00411809"/>
    <w:rsid w:val="0041188A"/>
    <w:rsid w:val="00411F36"/>
    <w:rsid w:val="00411FD0"/>
    <w:rsid w:val="00412190"/>
    <w:rsid w:val="004121D4"/>
    <w:rsid w:val="00412240"/>
    <w:rsid w:val="0041234F"/>
    <w:rsid w:val="00412594"/>
    <w:rsid w:val="00412D7A"/>
    <w:rsid w:val="00413250"/>
    <w:rsid w:val="00413422"/>
    <w:rsid w:val="00413501"/>
    <w:rsid w:val="00413537"/>
    <w:rsid w:val="00413724"/>
    <w:rsid w:val="00413824"/>
    <w:rsid w:val="00413954"/>
    <w:rsid w:val="00413967"/>
    <w:rsid w:val="00413C27"/>
    <w:rsid w:val="00413EF3"/>
    <w:rsid w:val="00413F0B"/>
    <w:rsid w:val="00414128"/>
    <w:rsid w:val="004142ED"/>
    <w:rsid w:val="004142F3"/>
    <w:rsid w:val="00414413"/>
    <w:rsid w:val="00414452"/>
    <w:rsid w:val="004144CF"/>
    <w:rsid w:val="00414666"/>
    <w:rsid w:val="0041476B"/>
    <w:rsid w:val="00414814"/>
    <w:rsid w:val="0041483C"/>
    <w:rsid w:val="0041485A"/>
    <w:rsid w:val="0041492C"/>
    <w:rsid w:val="00414A2C"/>
    <w:rsid w:val="00414B52"/>
    <w:rsid w:val="00414D72"/>
    <w:rsid w:val="00414E9C"/>
    <w:rsid w:val="00414F17"/>
    <w:rsid w:val="00415089"/>
    <w:rsid w:val="0041530D"/>
    <w:rsid w:val="0041536F"/>
    <w:rsid w:val="004153DB"/>
    <w:rsid w:val="004154F6"/>
    <w:rsid w:val="004155D4"/>
    <w:rsid w:val="004156B2"/>
    <w:rsid w:val="0041579B"/>
    <w:rsid w:val="004157F7"/>
    <w:rsid w:val="00415BD8"/>
    <w:rsid w:val="00415C20"/>
    <w:rsid w:val="00415D21"/>
    <w:rsid w:val="00415DA0"/>
    <w:rsid w:val="00415E94"/>
    <w:rsid w:val="00415EF7"/>
    <w:rsid w:val="0041607E"/>
    <w:rsid w:val="004160EC"/>
    <w:rsid w:val="0041618C"/>
    <w:rsid w:val="00416306"/>
    <w:rsid w:val="0041639D"/>
    <w:rsid w:val="0041651C"/>
    <w:rsid w:val="004165B5"/>
    <w:rsid w:val="004165CE"/>
    <w:rsid w:val="004166DA"/>
    <w:rsid w:val="0041674C"/>
    <w:rsid w:val="00416912"/>
    <w:rsid w:val="00416AF2"/>
    <w:rsid w:val="00416B1B"/>
    <w:rsid w:val="00416E47"/>
    <w:rsid w:val="0041793F"/>
    <w:rsid w:val="004179DA"/>
    <w:rsid w:val="00417DBE"/>
    <w:rsid w:val="00417E7C"/>
    <w:rsid w:val="00417E9A"/>
    <w:rsid w:val="00417F01"/>
    <w:rsid w:val="00417F0C"/>
    <w:rsid w:val="004200B6"/>
    <w:rsid w:val="0042073E"/>
    <w:rsid w:val="0042096F"/>
    <w:rsid w:val="00420A48"/>
    <w:rsid w:val="00420AEB"/>
    <w:rsid w:val="00420B17"/>
    <w:rsid w:val="00420B98"/>
    <w:rsid w:val="00420BC8"/>
    <w:rsid w:val="00420CEF"/>
    <w:rsid w:val="00420D14"/>
    <w:rsid w:val="00420E62"/>
    <w:rsid w:val="00420F77"/>
    <w:rsid w:val="00421097"/>
    <w:rsid w:val="004210B5"/>
    <w:rsid w:val="00421371"/>
    <w:rsid w:val="00421449"/>
    <w:rsid w:val="00421508"/>
    <w:rsid w:val="0042177C"/>
    <w:rsid w:val="004217C9"/>
    <w:rsid w:val="004217DE"/>
    <w:rsid w:val="00421856"/>
    <w:rsid w:val="00421A88"/>
    <w:rsid w:val="00421A92"/>
    <w:rsid w:val="00421A96"/>
    <w:rsid w:val="00421BA3"/>
    <w:rsid w:val="004221E0"/>
    <w:rsid w:val="004222B1"/>
    <w:rsid w:val="00422F56"/>
    <w:rsid w:val="00422F67"/>
    <w:rsid w:val="00422FA8"/>
    <w:rsid w:val="004231B8"/>
    <w:rsid w:val="00423242"/>
    <w:rsid w:val="00423426"/>
    <w:rsid w:val="00423484"/>
    <w:rsid w:val="004236E6"/>
    <w:rsid w:val="004237B0"/>
    <w:rsid w:val="00423811"/>
    <w:rsid w:val="00423911"/>
    <w:rsid w:val="00423C8D"/>
    <w:rsid w:val="00423C94"/>
    <w:rsid w:val="00423CFC"/>
    <w:rsid w:val="00423E2F"/>
    <w:rsid w:val="00423E58"/>
    <w:rsid w:val="00424095"/>
    <w:rsid w:val="00424204"/>
    <w:rsid w:val="00424254"/>
    <w:rsid w:val="004242EB"/>
    <w:rsid w:val="00424333"/>
    <w:rsid w:val="00424484"/>
    <w:rsid w:val="0042464E"/>
    <w:rsid w:val="004247AF"/>
    <w:rsid w:val="004249ED"/>
    <w:rsid w:val="00424A0C"/>
    <w:rsid w:val="00424C8D"/>
    <w:rsid w:val="00424D84"/>
    <w:rsid w:val="004250E7"/>
    <w:rsid w:val="004258B3"/>
    <w:rsid w:val="004258DD"/>
    <w:rsid w:val="00425958"/>
    <w:rsid w:val="00425D7B"/>
    <w:rsid w:val="0042612D"/>
    <w:rsid w:val="0042622D"/>
    <w:rsid w:val="0042631E"/>
    <w:rsid w:val="00426491"/>
    <w:rsid w:val="00426664"/>
    <w:rsid w:val="00426722"/>
    <w:rsid w:val="00426723"/>
    <w:rsid w:val="0042677D"/>
    <w:rsid w:val="004267F2"/>
    <w:rsid w:val="00426804"/>
    <w:rsid w:val="004268AF"/>
    <w:rsid w:val="004268DB"/>
    <w:rsid w:val="00426CF6"/>
    <w:rsid w:val="00426D47"/>
    <w:rsid w:val="00426E2D"/>
    <w:rsid w:val="00426E45"/>
    <w:rsid w:val="00426F39"/>
    <w:rsid w:val="00426F44"/>
    <w:rsid w:val="00427038"/>
    <w:rsid w:val="00427080"/>
    <w:rsid w:val="00427270"/>
    <w:rsid w:val="004275C3"/>
    <w:rsid w:val="004277FD"/>
    <w:rsid w:val="004278A6"/>
    <w:rsid w:val="00427E03"/>
    <w:rsid w:val="004302BA"/>
    <w:rsid w:val="004304B7"/>
    <w:rsid w:val="004304FE"/>
    <w:rsid w:val="00430955"/>
    <w:rsid w:val="00430E9B"/>
    <w:rsid w:val="00430FEE"/>
    <w:rsid w:val="004310D5"/>
    <w:rsid w:val="004311D2"/>
    <w:rsid w:val="004312C5"/>
    <w:rsid w:val="004313A2"/>
    <w:rsid w:val="004313ED"/>
    <w:rsid w:val="004315D5"/>
    <w:rsid w:val="00431769"/>
    <w:rsid w:val="004318CB"/>
    <w:rsid w:val="0043196B"/>
    <w:rsid w:val="00431B7D"/>
    <w:rsid w:val="00431ED4"/>
    <w:rsid w:val="00431FA3"/>
    <w:rsid w:val="00431FE0"/>
    <w:rsid w:val="00431FEA"/>
    <w:rsid w:val="0043243B"/>
    <w:rsid w:val="004325C7"/>
    <w:rsid w:val="004326DD"/>
    <w:rsid w:val="004327FC"/>
    <w:rsid w:val="00432820"/>
    <w:rsid w:val="004328C0"/>
    <w:rsid w:val="00432A19"/>
    <w:rsid w:val="00432BCE"/>
    <w:rsid w:val="00432DBD"/>
    <w:rsid w:val="00433332"/>
    <w:rsid w:val="00433422"/>
    <w:rsid w:val="00433838"/>
    <w:rsid w:val="00433C0F"/>
    <w:rsid w:val="00433DF5"/>
    <w:rsid w:val="00433E31"/>
    <w:rsid w:val="004342D2"/>
    <w:rsid w:val="00434320"/>
    <w:rsid w:val="0043453B"/>
    <w:rsid w:val="00434B9F"/>
    <w:rsid w:val="00434CA5"/>
    <w:rsid w:val="00434DE9"/>
    <w:rsid w:val="00435056"/>
    <w:rsid w:val="004350E4"/>
    <w:rsid w:val="0043526E"/>
    <w:rsid w:val="004357CE"/>
    <w:rsid w:val="004359A1"/>
    <w:rsid w:val="004359CC"/>
    <w:rsid w:val="00435B93"/>
    <w:rsid w:val="00435BD5"/>
    <w:rsid w:val="00435C75"/>
    <w:rsid w:val="00435DEE"/>
    <w:rsid w:val="00435FAF"/>
    <w:rsid w:val="0043609C"/>
    <w:rsid w:val="0043610D"/>
    <w:rsid w:val="004361BB"/>
    <w:rsid w:val="00436284"/>
    <w:rsid w:val="00436286"/>
    <w:rsid w:val="00436388"/>
    <w:rsid w:val="004363F6"/>
    <w:rsid w:val="00436504"/>
    <w:rsid w:val="00436558"/>
    <w:rsid w:val="00436697"/>
    <w:rsid w:val="00436E3D"/>
    <w:rsid w:val="00436E5B"/>
    <w:rsid w:val="00436F8F"/>
    <w:rsid w:val="0043703B"/>
    <w:rsid w:val="00437073"/>
    <w:rsid w:val="004370FA"/>
    <w:rsid w:val="0043714C"/>
    <w:rsid w:val="004371F4"/>
    <w:rsid w:val="004372BF"/>
    <w:rsid w:val="00437351"/>
    <w:rsid w:val="00437442"/>
    <w:rsid w:val="00437451"/>
    <w:rsid w:val="00437CD5"/>
    <w:rsid w:val="00437F9F"/>
    <w:rsid w:val="0044000F"/>
    <w:rsid w:val="0044002D"/>
    <w:rsid w:val="00440141"/>
    <w:rsid w:val="00440185"/>
    <w:rsid w:val="0044034D"/>
    <w:rsid w:val="004409AC"/>
    <w:rsid w:val="00440B01"/>
    <w:rsid w:val="00440D44"/>
    <w:rsid w:val="00440F30"/>
    <w:rsid w:val="00441063"/>
    <w:rsid w:val="004412B6"/>
    <w:rsid w:val="004412F7"/>
    <w:rsid w:val="004413FE"/>
    <w:rsid w:val="004414A3"/>
    <w:rsid w:val="004417A1"/>
    <w:rsid w:val="00441978"/>
    <w:rsid w:val="004419AD"/>
    <w:rsid w:val="004419C2"/>
    <w:rsid w:val="00441B6C"/>
    <w:rsid w:val="00441CC1"/>
    <w:rsid w:val="00441CE2"/>
    <w:rsid w:val="00441D54"/>
    <w:rsid w:val="00441E02"/>
    <w:rsid w:val="00441F00"/>
    <w:rsid w:val="00441F6F"/>
    <w:rsid w:val="00442223"/>
    <w:rsid w:val="0044232C"/>
    <w:rsid w:val="00442667"/>
    <w:rsid w:val="00442796"/>
    <w:rsid w:val="00442A84"/>
    <w:rsid w:val="00442CD9"/>
    <w:rsid w:val="00442F14"/>
    <w:rsid w:val="00442FAD"/>
    <w:rsid w:val="00443107"/>
    <w:rsid w:val="00443165"/>
    <w:rsid w:val="004438D1"/>
    <w:rsid w:val="004439BD"/>
    <w:rsid w:val="00443A20"/>
    <w:rsid w:val="00443BD8"/>
    <w:rsid w:val="00443DF3"/>
    <w:rsid w:val="00443E8F"/>
    <w:rsid w:val="00443FEF"/>
    <w:rsid w:val="004440E0"/>
    <w:rsid w:val="0044417D"/>
    <w:rsid w:val="004443D5"/>
    <w:rsid w:val="0044465E"/>
    <w:rsid w:val="004447F8"/>
    <w:rsid w:val="00444CF2"/>
    <w:rsid w:val="00444DFC"/>
    <w:rsid w:val="004451F1"/>
    <w:rsid w:val="00445203"/>
    <w:rsid w:val="0044548C"/>
    <w:rsid w:val="004454B1"/>
    <w:rsid w:val="004454B5"/>
    <w:rsid w:val="004455A4"/>
    <w:rsid w:val="004455DD"/>
    <w:rsid w:val="004456CF"/>
    <w:rsid w:val="00445A2D"/>
    <w:rsid w:val="00445B20"/>
    <w:rsid w:val="00445B9A"/>
    <w:rsid w:val="00445BBE"/>
    <w:rsid w:val="00445E4A"/>
    <w:rsid w:val="00445EA8"/>
    <w:rsid w:val="00446060"/>
    <w:rsid w:val="00446063"/>
    <w:rsid w:val="00446132"/>
    <w:rsid w:val="00446155"/>
    <w:rsid w:val="0044630D"/>
    <w:rsid w:val="0044646B"/>
    <w:rsid w:val="004467DE"/>
    <w:rsid w:val="004469DD"/>
    <w:rsid w:val="00446B2B"/>
    <w:rsid w:val="00446C25"/>
    <w:rsid w:val="00446D75"/>
    <w:rsid w:val="00446DBE"/>
    <w:rsid w:val="00447049"/>
    <w:rsid w:val="00447231"/>
    <w:rsid w:val="00447279"/>
    <w:rsid w:val="00447429"/>
    <w:rsid w:val="00447676"/>
    <w:rsid w:val="004476A9"/>
    <w:rsid w:val="004476E1"/>
    <w:rsid w:val="004479B4"/>
    <w:rsid w:val="00447D58"/>
    <w:rsid w:val="00447F1C"/>
    <w:rsid w:val="00447F60"/>
    <w:rsid w:val="004501C1"/>
    <w:rsid w:val="004503C1"/>
    <w:rsid w:val="00450637"/>
    <w:rsid w:val="0045071B"/>
    <w:rsid w:val="00450834"/>
    <w:rsid w:val="004508A3"/>
    <w:rsid w:val="00450907"/>
    <w:rsid w:val="00450976"/>
    <w:rsid w:val="00450C76"/>
    <w:rsid w:val="00450E6E"/>
    <w:rsid w:val="00451032"/>
    <w:rsid w:val="00451344"/>
    <w:rsid w:val="004513F9"/>
    <w:rsid w:val="00451443"/>
    <w:rsid w:val="00451532"/>
    <w:rsid w:val="004518EA"/>
    <w:rsid w:val="00451C9E"/>
    <w:rsid w:val="00452380"/>
    <w:rsid w:val="0045243E"/>
    <w:rsid w:val="004524A7"/>
    <w:rsid w:val="004528A5"/>
    <w:rsid w:val="00452A6E"/>
    <w:rsid w:val="00452AC4"/>
    <w:rsid w:val="00452B7A"/>
    <w:rsid w:val="00452D9A"/>
    <w:rsid w:val="00453240"/>
    <w:rsid w:val="0045343E"/>
    <w:rsid w:val="004534E4"/>
    <w:rsid w:val="00453628"/>
    <w:rsid w:val="00453748"/>
    <w:rsid w:val="00453ACD"/>
    <w:rsid w:val="00453B54"/>
    <w:rsid w:val="00453CD4"/>
    <w:rsid w:val="00453DB4"/>
    <w:rsid w:val="00454009"/>
    <w:rsid w:val="00454099"/>
    <w:rsid w:val="00454257"/>
    <w:rsid w:val="0045472B"/>
    <w:rsid w:val="0045477D"/>
    <w:rsid w:val="004548A5"/>
    <w:rsid w:val="00454C9C"/>
    <w:rsid w:val="00454C9F"/>
    <w:rsid w:val="00454E51"/>
    <w:rsid w:val="00454E77"/>
    <w:rsid w:val="00454F87"/>
    <w:rsid w:val="004555D2"/>
    <w:rsid w:val="00455722"/>
    <w:rsid w:val="004557B8"/>
    <w:rsid w:val="004558C3"/>
    <w:rsid w:val="00455A79"/>
    <w:rsid w:val="00455CEB"/>
    <w:rsid w:val="00455DE0"/>
    <w:rsid w:val="00455EA7"/>
    <w:rsid w:val="00455EB8"/>
    <w:rsid w:val="00455F08"/>
    <w:rsid w:val="0045630F"/>
    <w:rsid w:val="0045646E"/>
    <w:rsid w:val="00456560"/>
    <w:rsid w:val="0045674C"/>
    <w:rsid w:val="00456A99"/>
    <w:rsid w:val="00456B8C"/>
    <w:rsid w:val="00456CBC"/>
    <w:rsid w:val="00456EF3"/>
    <w:rsid w:val="00457145"/>
    <w:rsid w:val="00457205"/>
    <w:rsid w:val="0045727D"/>
    <w:rsid w:val="0045751B"/>
    <w:rsid w:val="00457565"/>
    <w:rsid w:val="004576C6"/>
    <w:rsid w:val="00457870"/>
    <w:rsid w:val="00457914"/>
    <w:rsid w:val="00457DCC"/>
    <w:rsid w:val="00457F32"/>
    <w:rsid w:val="00459D24"/>
    <w:rsid w:val="004600DB"/>
    <w:rsid w:val="00460109"/>
    <w:rsid w:val="00460380"/>
    <w:rsid w:val="00460559"/>
    <w:rsid w:val="004606A0"/>
    <w:rsid w:val="004606FD"/>
    <w:rsid w:val="0046081C"/>
    <w:rsid w:val="0046081E"/>
    <w:rsid w:val="004609F4"/>
    <w:rsid w:val="00460A87"/>
    <w:rsid w:val="00460AFA"/>
    <w:rsid w:val="00460BED"/>
    <w:rsid w:val="00460C87"/>
    <w:rsid w:val="00460F50"/>
    <w:rsid w:val="00461042"/>
    <w:rsid w:val="004612A2"/>
    <w:rsid w:val="004613E2"/>
    <w:rsid w:val="00461597"/>
    <w:rsid w:val="0046178A"/>
    <w:rsid w:val="004618A0"/>
    <w:rsid w:val="00461934"/>
    <w:rsid w:val="00461A47"/>
    <w:rsid w:val="00461B58"/>
    <w:rsid w:val="00461CD0"/>
    <w:rsid w:val="00461E0C"/>
    <w:rsid w:val="00461E14"/>
    <w:rsid w:val="00461EEF"/>
    <w:rsid w:val="004620D8"/>
    <w:rsid w:val="00462134"/>
    <w:rsid w:val="0046217C"/>
    <w:rsid w:val="004621C7"/>
    <w:rsid w:val="00462532"/>
    <w:rsid w:val="004626A9"/>
    <w:rsid w:val="004626C0"/>
    <w:rsid w:val="00462741"/>
    <w:rsid w:val="00462991"/>
    <w:rsid w:val="004629F4"/>
    <w:rsid w:val="00462C99"/>
    <w:rsid w:val="00462CDD"/>
    <w:rsid w:val="00462E5D"/>
    <w:rsid w:val="00463178"/>
    <w:rsid w:val="004631B8"/>
    <w:rsid w:val="004631C1"/>
    <w:rsid w:val="00463305"/>
    <w:rsid w:val="00463390"/>
    <w:rsid w:val="0046342B"/>
    <w:rsid w:val="0046360E"/>
    <w:rsid w:val="00463642"/>
    <w:rsid w:val="0046375D"/>
    <w:rsid w:val="00463810"/>
    <w:rsid w:val="0046389F"/>
    <w:rsid w:val="004638E5"/>
    <w:rsid w:val="004639F8"/>
    <w:rsid w:val="00463B74"/>
    <w:rsid w:val="00463BE7"/>
    <w:rsid w:val="00463FE4"/>
    <w:rsid w:val="004641B6"/>
    <w:rsid w:val="00464238"/>
    <w:rsid w:val="0046437D"/>
    <w:rsid w:val="00464481"/>
    <w:rsid w:val="00464664"/>
    <w:rsid w:val="00464A20"/>
    <w:rsid w:val="00464A32"/>
    <w:rsid w:val="00464A76"/>
    <w:rsid w:val="00464AB5"/>
    <w:rsid w:val="00464B88"/>
    <w:rsid w:val="00464B9A"/>
    <w:rsid w:val="00464D17"/>
    <w:rsid w:val="00464D6D"/>
    <w:rsid w:val="00464E12"/>
    <w:rsid w:val="0046509A"/>
    <w:rsid w:val="00465220"/>
    <w:rsid w:val="00465413"/>
    <w:rsid w:val="00465523"/>
    <w:rsid w:val="00465643"/>
    <w:rsid w:val="00465695"/>
    <w:rsid w:val="004656C7"/>
    <w:rsid w:val="00465771"/>
    <w:rsid w:val="004657E8"/>
    <w:rsid w:val="00465ACE"/>
    <w:rsid w:val="00465B42"/>
    <w:rsid w:val="00465B97"/>
    <w:rsid w:val="00465BC0"/>
    <w:rsid w:val="00465C70"/>
    <w:rsid w:val="00465EBC"/>
    <w:rsid w:val="00466103"/>
    <w:rsid w:val="00466154"/>
    <w:rsid w:val="004661E4"/>
    <w:rsid w:val="0046662D"/>
    <w:rsid w:val="00466696"/>
    <w:rsid w:val="004666F9"/>
    <w:rsid w:val="00466971"/>
    <w:rsid w:val="00466C6B"/>
    <w:rsid w:val="00466C98"/>
    <w:rsid w:val="00466E45"/>
    <w:rsid w:val="00467181"/>
    <w:rsid w:val="004671D6"/>
    <w:rsid w:val="004673C1"/>
    <w:rsid w:val="004674E7"/>
    <w:rsid w:val="00467C67"/>
    <w:rsid w:val="00467E49"/>
    <w:rsid w:val="00467EEC"/>
    <w:rsid w:val="00470078"/>
    <w:rsid w:val="0047009D"/>
    <w:rsid w:val="00470180"/>
    <w:rsid w:val="004701C9"/>
    <w:rsid w:val="0047020D"/>
    <w:rsid w:val="0047021D"/>
    <w:rsid w:val="00470FEB"/>
    <w:rsid w:val="0047112E"/>
    <w:rsid w:val="00471242"/>
    <w:rsid w:val="004715FD"/>
    <w:rsid w:val="0047170E"/>
    <w:rsid w:val="00471A6A"/>
    <w:rsid w:val="00471B64"/>
    <w:rsid w:val="00471CB3"/>
    <w:rsid w:val="00471F00"/>
    <w:rsid w:val="004720DC"/>
    <w:rsid w:val="0047211B"/>
    <w:rsid w:val="00472222"/>
    <w:rsid w:val="004723EB"/>
    <w:rsid w:val="00472543"/>
    <w:rsid w:val="004725C5"/>
    <w:rsid w:val="00472770"/>
    <w:rsid w:val="00472B07"/>
    <w:rsid w:val="00472DBA"/>
    <w:rsid w:val="00472E3E"/>
    <w:rsid w:val="00472FD1"/>
    <w:rsid w:val="00473014"/>
    <w:rsid w:val="00473246"/>
    <w:rsid w:val="004733C0"/>
    <w:rsid w:val="00473405"/>
    <w:rsid w:val="00473547"/>
    <w:rsid w:val="00473722"/>
    <w:rsid w:val="004737AD"/>
    <w:rsid w:val="0047387D"/>
    <w:rsid w:val="00473894"/>
    <w:rsid w:val="00473900"/>
    <w:rsid w:val="00473B7B"/>
    <w:rsid w:val="00473EE2"/>
    <w:rsid w:val="0047403E"/>
    <w:rsid w:val="004743A5"/>
    <w:rsid w:val="0047474B"/>
    <w:rsid w:val="004747FF"/>
    <w:rsid w:val="00474821"/>
    <w:rsid w:val="004748AE"/>
    <w:rsid w:val="00474CA1"/>
    <w:rsid w:val="00474CCE"/>
    <w:rsid w:val="00474D12"/>
    <w:rsid w:val="00474D94"/>
    <w:rsid w:val="00474D9E"/>
    <w:rsid w:val="00474ED0"/>
    <w:rsid w:val="00475319"/>
    <w:rsid w:val="004753DD"/>
    <w:rsid w:val="0047556D"/>
    <w:rsid w:val="00475649"/>
    <w:rsid w:val="00475706"/>
    <w:rsid w:val="004758D9"/>
    <w:rsid w:val="00475B1C"/>
    <w:rsid w:val="00475E48"/>
    <w:rsid w:val="00476162"/>
    <w:rsid w:val="00476659"/>
    <w:rsid w:val="00476828"/>
    <w:rsid w:val="0047697B"/>
    <w:rsid w:val="00476A8D"/>
    <w:rsid w:val="00476B70"/>
    <w:rsid w:val="00476CB5"/>
    <w:rsid w:val="00476E4E"/>
    <w:rsid w:val="0047710E"/>
    <w:rsid w:val="004771F8"/>
    <w:rsid w:val="00477402"/>
    <w:rsid w:val="004777AD"/>
    <w:rsid w:val="00477C8A"/>
    <w:rsid w:val="00477DDA"/>
    <w:rsid w:val="0047D4A4"/>
    <w:rsid w:val="0048011D"/>
    <w:rsid w:val="004804C5"/>
    <w:rsid w:val="004806C5"/>
    <w:rsid w:val="00480790"/>
    <w:rsid w:val="00480A33"/>
    <w:rsid w:val="00480A8F"/>
    <w:rsid w:val="00480B02"/>
    <w:rsid w:val="00480CC9"/>
    <w:rsid w:val="00480CDC"/>
    <w:rsid w:val="00481358"/>
    <w:rsid w:val="0048161A"/>
    <w:rsid w:val="004817B4"/>
    <w:rsid w:val="00481A04"/>
    <w:rsid w:val="00481A44"/>
    <w:rsid w:val="00481CDB"/>
    <w:rsid w:val="00481D16"/>
    <w:rsid w:val="00481F6E"/>
    <w:rsid w:val="004820AB"/>
    <w:rsid w:val="00482131"/>
    <w:rsid w:val="00482365"/>
    <w:rsid w:val="0048245C"/>
    <w:rsid w:val="004825AB"/>
    <w:rsid w:val="004825FF"/>
    <w:rsid w:val="004828C1"/>
    <w:rsid w:val="004828F0"/>
    <w:rsid w:val="00482A1B"/>
    <w:rsid w:val="00482F04"/>
    <w:rsid w:val="00482FDE"/>
    <w:rsid w:val="00483034"/>
    <w:rsid w:val="0048327A"/>
    <w:rsid w:val="00483387"/>
    <w:rsid w:val="00483495"/>
    <w:rsid w:val="004836F1"/>
    <w:rsid w:val="00483753"/>
    <w:rsid w:val="0048375B"/>
    <w:rsid w:val="004838B7"/>
    <w:rsid w:val="004839BE"/>
    <w:rsid w:val="00483B12"/>
    <w:rsid w:val="00483D54"/>
    <w:rsid w:val="00483EDC"/>
    <w:rsid w:val="00483FDA"/>
    <w:rsid w:val="0048404F"/>
    <w:rsid w:val="00484366"/>
    <w:rsid w:val="0048491F"/>
    <w:rsid w:val="00484956"/>
    <w:rsid w:val="00484B7B"/>
    <w:rsid w:val="00484C9D"/>
    <w:rsid w:val="00484D58"/>
    <w:rsid w:val="00484EC0"/>
    <w:rsid w:val="0048513A"/>
    <w:rsid w:val="00485183"/>
    <w:rsid w:val="004851CE"/>
    <w:rsid w:val="00485515"/>
    <w:rsid w:val="00486047"/>
    <w:rsid w:val="0048628D"/>
    <w:rsid w:val="00486497"/>
    <w:rsid w:val="00486FBE"/>
    <w:rsid w:val="0048709D"/>
    <w:rsid w:val="004870CB"/>
    <w:rsid w:val="00487126"/>
    <w:rsid w:val="004874D4"/>
    <w:rsid w:val="0048769C"/>
    <w:rsid w:val="00487718"/>
    <w:rsid w:val="00487738"/>
    <w:rsid w:val="00487790"/>
    <w:rsid w:val="004879DE"/>
    <w:rsid w:val="00487CFA"/>
    <w:rsid w:val="00487E6D"/>
    <w:rsid w:val="00487ED6"/>
    <w:rsid w:val="00490049"/>
    <w:rsid w:val="004902C0"/>
    <w:rsid w:val="0049033E"/>
    <w:rsid w:val="00490424"/>
    <w:rsid w:val="004904F9"/>
    <w:rsid w:val="00490628"/>
    <w:rsid w:val="00490691"/>
    <w:rsid w:val="004908E3"/>
    <w:rsid w:val="00490957"/>
    <w:rsid w:val="00490A16"/>
    <w:rsid w:val="00490C0D"/>
    <w:rsid w:val="00490D57"/>
    <w:rsid w:val="00490D5E"/>
    <w:rsid w:val="00490EC5"/>
    <w:rsid w:val="00490F8C"/>
    <w:rsid w:val="00490FC5"/>
    <w:rsid w:val="0049155A"/>
    <w:rsid w:val="0049159C"/>
    <w:rsid w:val="004916D4"/>
    <w:rsid w:val="004917BE"/>
    <w:rsid w:val="004917C4"/>
    <w:rsid w:val="004918C8"/>
    <w:rsid w:val="004919EB"/>
    <w:rsid w:val="00491C3B"/>
    <w:rsid w:val="00491EEC"/>
    <w:rsid w:val="00491F9F"/>
    <w:rsid w:val="0049217D"/>
    <w:rsid w:val="00492236"/>
    <w:rsid w:val="00492443"/>
    <w:rsid w:val="00492681"/>
    <w:rsid w:val="004926F3"/>
    <w:rsid w:val="004928A3"/>
    <w:rsid w:val="004928B5"/>
    <w:rsid w:val="00492B04"/>
    <w:rsid w:val="00492B88"/>
    <w:rsid w:val="00492D17"/>
    <w:rsid w:val="00493185"/>
    <w:rsid w:val="0049322F"/>
    <w:rsid w:val="0049338C"/>
    <w:rsid w:val="004935F7"/>
    <w:rsid w:val="00493816"/>
    <w:rsid w:val="00493982"/>
    <w:rsid w:val="00493EAE"/>
    <w:rsid w:val="00493EF0"/>
    <w:rsid w:val="00493F4C"/>
    <w:rsid w:val="00493FF0"/>
    <w:rsid w:val="004940BA"/>
    <w:rsid w:val="00494167"/>
    <w:rsid w:val="00494291"/>
    <w:rsid w:val="0049448D"/>
    <w:rsid w:val="004944E3"/>
    <w:rsid w:val="00494614"/>
    <w:rsid w:val="00494705"/>
    <w:rsid w:val="004947B0"/>
    <w:rsid w:val="00494894"/>
    <w:rsid w:val="004948C1"/>
    <w:rsid w:val="00494A55"/>
    <w:rsid w:val="00494AAE"/>
    <w:rsid w:val="00494B8F"/>
    <w:rsid w:val="00494C27"/>
    <w:rsid w:val="00494DDC"/>
    <w:rsid w:val="00494DE5"/>
    <w:rsid w:val="00494E56"/>
    <w:rsid w:val="00494EAA"/>
    <w:rsid w:val="004950C1"/>
    <w:rsid w:val="004951F6"/>
    <w:rsid w:val="00495286"/>
    <w:rsid w:val="004955A5"/>
    <w:rsid w:val="00495634"/>
    <w:rsid w:val="004956C0"/>
    <w:rsid w:val="004957F5"/>
    <w:rsid w:val="00495AEA"/>
    <w:rsid w:val="00495C84"/>
    <w:rsid w:val="00495CFF"/>
    <w:rsid w:val="00495DF0"/>
    <w:rsid w:val="00495DFB"/>
    <w:rsid w:val="00495FCD"/>
    <w:rsid w:val="00496178"/>
    <w:rsid w:val="004961B5"/>
    <w:rsid w:val="00496265"/>
    <w:rsid w:val="004963CB"/>
    <w:rsid w:val="004964DB"/>
    <w:rsid w:val="0049664B"/>
    <w:rsid w:val="004968FD"/>
    <w:rsid w:val="00496964"/>
    <w:rsid w:val="00496C19"/>
    <w:rsid w:val="00496CBA"/>
    <w:rsid w:val="00496D9D"/>
    <w:rsid w:val="00497034"/>
    <w:rsid w:val="0049713D"/>
    <w:rsid w:val="0049717F"/>
    <w:rsid w:val="004972B8"/>
    <w:rsid w:val="00497593"/>
    <w:rsid w:val="0049766E"/>
    <w:rsid w:val="00497976"/>
    <w:rsid w:val="00497B24"/>
    <w:rsid w:val="00497B9A"/>
    <w:rsid w:val="00497C91"/>
    <w:rsid w:val="00497D02"/>
    <w:rsid w:val="00497EEF"/>
    <w:rsid w:val="004A0422"/>
    <w:rsid w:val="004A065C"/>
    <w:rsid w:val="004A0807"/>
    <w:rsid w:val="004A0B23"/>
    <w:rsid w:val="004A0DCB"/>
    <w:rsid w:val="004A0DD4"/>
    <w:rsid w:val="004A0DEE"/>
    <w:rsid w:val="004A1134"/>
    <w:rsid w:val="004A11FE"/>
    <w:rsid w:val="004A1228"/>
    <w:rsid w:val="004A124A"/>
    <w:rsid w:val="004A125C"/>
    <w:rsid w:val="004A13C5"/>
    <w:rsid w:val="004A14E9"/>
    <w:rsid w:val="004A16DF"/>
    <w:rsid w:val="004A170A"/>
    <w:rsid w:val="004A18EB"/>
    <w:rsid w:val="004A1CF4"/>
    <w:rsid w:val="004A1D5E"/>
    <w:rsid w:val="004A226D"/>
    <w:rsid w:val="004A25B0"/>
    <w:rsid w:val="004A2602"/>
    <w:rsid w:val="004A28CE"/>
    <w:rsid w:val="004A2AB4"/>
    <w:rsid w:val="004A2CBA"/>
    <w:rsid w:val="004A2CE6"/>
    <w:rsid w:val="004A2E1A"/>
    <w:rsid w:val="004A2E6C"/>
    <w:rsid w:val="004A2EE0"/>
    <w:rsid w:val="004A3171"/>
    <w:rsid w:val="004A33B4"/>
    <w:rsid w:val="004A3419"/>
    <w:rsid w:val="004A367B"/>
    <w:rsid w:val="004A390E"/>
    <w:rsid w:val="004A3A9D"/>
    <w:rsid w:val="004A3E2A"/>
    <w:rsid w:val="004A40EF"/>
    <w:rsid w:val="004A4356"/>
    <w:rsid w:val="004A43AB"/>
    <w:rsid w:val="004A473F"/>
    <w:rsid w:val="004A478D"/>
    <w:rsid w:val="004A49C2"/>
    <w:rsid w:val="004A49F5"/>
    <w:rsid w:val="004A4A98"/>
    <w:rsid w:val="004A5105"/>
    <w:rsid w:val="004A5119"/>
    <w:rsid w:val="004A5135"/>
    <w:rsid w:val="004A525E"/>
    <w:rsid w:val="004A5469"/>
    <w:rsid w:val="004A5A85"/>
    <w:rsid w:val="004A5B96"/>
    <w:rsid w:val="004A613F"/>
    <w:rsid w:val="004A6846"/>
    <w:rsid w:val="004A6A4A"/>
    <w:rsid w:val="004A6CBD"/>
    <w:rsid w:val="004A6D1B"/>
    <w:rsid w:val="004A6D29"/>
    <w:rsid w:val="004A706D"/>
    <w:rsid w:val="004A7090"/>
    <w:rsid w:val="004A710D"/>
    <w:rsid w:val="004A7555"/>
    <w:rsid w:val="004A763B"/>
    <w:rsid w:val="004A78C8"/>
    <w:rsid w:val="004A7B4E"/>
    <w:rsid w:val="004A7D34"/>
    <w:rsid w:val="004A7E7B"/>
    <w:rsid w:val="004A7ED9"/>
    <w:rsid w:val="004ACE14"/>
    <w:rsid w:val="004B012D"/>
    <w:rsid w:val="004B0133"/>
    <w:rsid w:val="004B0962"/>
    <w:rsid w:val="004B0C8B"/>
    <w:rsid w:val="004B1105"/>
    <w:rsid w:val="004B1152"/>
    <w:rsid w:val="004B12D2"/>
    <w:rsid w:val="004B150A"/>
    <w:rsid w:val="004B1622"/>
    <w:rsid w:val="004B16D2"/>
    <w:rsid w:val="004B172A"/>
    <w:rsid w:val="004B17AB"/>
    <w:rsid w:val="004B1AFA"/>
    <w:rsid w:val="004B1BD4"/>
    <w:rsid w:val="004B1C91"/>
    <w:rsid w:val="004B1CD2"/>
    <w:rsid w:val="004B1E27"/>
    <w:rsid w:val="004B1E2C"/>
    <w:rsid w:val="004B1F0F"/>
    <w:rsid w:val="004B20C4"/>
    <w:rsid w:val="004B2264"/>
    <w:rsid w:val="004B2298"/>
    <w:rsid w:val="004B22A7"/>
    <w:rsid w:val="004B23C6"/>
    <w:rsid w:val="004B24F1"/>
    <w:rsid w:val="004B267C"/>
    <w:rsid w:val="004B26E0"/>
    <w:rsid w:val="004B26EB"/>
    <w:rsid w:val="004B28AA"/>
    <w:rsid w:val="004B2909"/>
    <w:rsid w:val="004B292B"/>
    <w:rsid w:val="004B2973"/>
    <w:rsid w:val="004B2C06"/>
    <w:rsid w:val="004B2EE1"/>
    <w:rsid w:val="004B2FDE"/>
    <w:rsid w:val="004B30B2"/>
    <w:rsid w:val="004B30F7"/>
    <w:rsid w:val="004B328A"/>
    <w:rsid w:val="004B3686"/>
    <w:rsid w:val="004B3844"/>
    <w:rsid w:val="004B3878"/>
    <w:rsid w:val="004B38F7"/>
    <w:rsid w:val="004B398C"/>
    <w:rsid w:val="004B39CA"/>
    <w:rsid w:val="004B3A0F"/>
    <w:rsid w:val="004B3A96"/>
    <w:rsid w:val="004B3D60"/>
    <w:rsid w:val="004B407D"/>
    <w:rsid w:val="004B4151"/>
    <w:rsid w:val="004B41B8"/>
    <w:rsid w:val="004B4205"/>
    <w:rsid w:val="004B44B0"/>
    <w:rsid w:val="004B44B9"/>
    <w:rsid w:val="004B44DF"/>
    <w:rsid w:val="004B45C7"/>
    <w:rsid w:val="004B470E"/>
    <w:rsid w:val="004B4833"/>
    <w:rsid w:val="004B4843"/>
    <w:rsid w:val="004B493A"/>
    <w:rsid w:val="004B4962"/>
    <w:rsid w:val="004B4A19"/>
    <w:rsid w:val="004B4B4C"/>
    <w:rsid w:val="004B4BA1"/>
    <w:rsid w:val="004B4CD4"/>
    <w:rsid w:val="004B4E71"/>
    <w:rsid w:val="004B4FFF"/>
    <w:rsid w:val="004B5400"/>
    <w:rsid w:val="004B57D0"/>
    <w:rsid w:val="004B588A"/>
    <w:rsid w:val="004B5947"/>
    <w:rsid w:val="004B5BAA"/>
    <w:rsid w:val="004B5C07"/>
    <w:rsid w:val="004B5FDD"/>
    <w:rsid w:val="004B67C9"/>
    <w:rsid w:val="004B6994"/>
    <w:rsid w:val="004B69A1"/>
    <w:rsid w:val="004B6AEF"/>
    <w:rsid w:val="004B72C2"/>
    <w:rsid w:val="004B75CF"/>
    <w:rsid w:val="004B76F6"/>
    <w:rsid w:val="004B7746"/>
    <w:rsid w:val="004B78A5"/>
    <w:rsid w:val="004B7C14"/>
    <w:rsid w:val="004B7D17"/>
    <w:rsid w:val="004B7D62"/>
    <w:rsid w:val="004B7E93"/>
    <w:rsid w:val="004B7EEA"/>
    <w:rsid w:val="004C02A2"/>
    <w:rsid w:val="004C0768"/>
    <w:rsid w:val="004C0774"/>
    <w:rsid w:val="004C079B"/>
    <w:rsid w:val="004C0885"/>
    <w:rsid w:val="004C0AD8"/>
    <w:rsid w:val="004C0DEE"/>
    <w:rsid w:val="004C1050"/>
    <w:rsid w:val="004C13C6"/>
    <w:rsid w:val="004C14A6"/>
    <w:rsid w:val="004C14F0"/>
    <w:rsid w:val="004C14FD"/>
    <w:rsid w:val="004C16F1"/>
    <w:rsid w:val="004C199A"/>
    <w:rsid w:val="004C19BA"/>
    <w:rsid w:val="004C1A57"/>
    <w:rsid w:val="004C1B9B"/>
    <w:rsid w:val="004C1BC9"/>
    <w:rsid w:val="004C1C3E"/>
    <w:rsid w:val="004C1D6A"/>
    <w:rsid w:val="004C1E04"/>
    <w:rsid w:val="004C1FC2"/>
    <w:rsid w:val="004C233C"/>
    <w:rsid w:val="004C2360"/>
    <w:rsid w:val="004C2695"/>
    <w:rsid w:val="004C26D3"/>
    <w:rsid w:val="004C2B68"/>
    <w:rsid w:val="004C2E14"/>
    <w:rsid w:val="004C2E4E"/>
    <w:rsid w:val="004C3185"/>
    <w:rsid w:val="004C3257"/>
    <w:rsid w:val="004C32C2"/>
    <w:rsid w:val="004C32D7"/>
    <w:rsid w:val="004C3450"/>
    <w:rsid w:val="004C34B5"/>
    <w:rsid w:val="004C3523"/>
    <w:rsid w:val="004C35D4"/>
    <w:rsid w:val="004C389D"/>
    <w:rsid w:val="004C3AC3"/>
    <w:rsid w:val="004C3C07"/>
    <w:rsid w:val="004C3F28"/>
    <w:rsid w:val="004C3FE8"/>
    <w:rsid w:val="004C42AF"/>
    <w:rsid w:val="004C42F4"/>
    <w:rsid w:val="004C4383"/>
    <w:rsid w:val="004C4512"/>
    <w:rsid w:val="004C451E"/>
    <w:rsid w:val="004C455C"/>
    <w:rsid w:val="004C49A8"/>
    <w:rsid w:val="004C4A62"/>
    <w:rsid w:val="004C4D1E"/>
    <w:rsid w:val="004C4D55"/>
    <w:rsid w:val="004C4DD6"/>
    <w:rsid w:val="004C4E6E"/>
    <w:rsid w:val="004C4E72"/>
    <w:rsid w:val="004C4F7C"/>
    <w:rsid w:val="004C50F1"/>
    <w:rsid w:val="004C5194"/>
    <w:rsid w:val="004C52E7"/>
    <w:rsid w:val="004C5570"/>
    <w:rsid w:val="004C55E5"/>
    <w:rsid w:val="004C5637"/>
    <w:rsid w:val="004C585E"/>
    <w:rsid w:val="004C593F"/>
    <w:rsid w:val="004C5BE1"/>
    <w:rsid w:val="004C5E49"/>
    <w:rsid w:val="004C5E95"/>
    <w:rsid w:val="004C63F2"/>
    <w:rsid w:val="004C640F"/>
    <w:rsid w:val="004C64F3"/>
    <w:rsid w:val="004C6512"/>
    <w:rsid w:val="004C661F"/>
    <w:rsid w:val="004C6779"/>
    <w:rsid w:val="004C679E"/>
    <w:rsid w:val="004C695C"/>
    <w:rsid w:val="004C6A81"/>
    <w:rsid w:val="004C6AFE"/>
    <w:rsid w:val="004C6B65"/>
    <w:rsid w:val="004C6BFD"/>
    <w:rsid w:val="004C6D51"/>
    <w:rsid w:val="004C6D57"/>
    <w:rsid w:val="004C7115"/>
    <w:rsid w:val="004C7335"/>
    <w:rsid w:val="004C7361"/>
    <w:rsid w:val="004C78D7"/>
    <w:rsid w:val="004C7919"/>
    <w:rsid w:val="004C7ADA"/>
    <w:rsid w:val="004C7D42"/>
    <w:rsid w:val="004D0027"/>
    <w:rsid w:val="004D018C"/>
    <w:rsid w:val="004D031D"/>
    <w:rsid w:val="004D0372"/>
    <w:rsid w:val="004D03BF"/>
    <w:rsid w:val="004D0620"/>
    <w:rsid w:val="004D06AB"/>
    <w:rsid w:val="004D08DD"/>
    <w:rsid w:val="004D0B18"/>
    <w:rsid w:val="004D0BE1"/>
    <w:rsid w:val="004D0C57"/>
    <w:rsid w:val="004D0DD2"/>
    <w:rsid w:val="004D0DD9"/>
    <w:rsid w:val="004D0FE4"/>
    <w:rsid w:val="004D107D"/>
    <w:rsid w:val="004D1190"/>
    <w:rsid w:val="004D1279"/>
    <w:rsid w:val="004D12DF"/>
    <w:rsid w:val="004D12F4"/>
    <w:rsid w:val="004D1581"/>
    <w:rsid w:val="004D15C1"/>
    <w:rsid w:val="004D1671"/>
    <w:rsid w:val="004D196B"/>
    <w:rsid w:val="004D1A5F"/>
    <w:rsid w:val="004D1B29"/>
    <w:rsid w:val="004D1CDB"/>
    <w:rsid w:val="004D1D75"/>
    <w:rsid w:val="004D1DA9"/>
    <w:rsid w:val="004D1F8E"/>
    <w:rsid w:val="004D2202"/>
    <w:rsid w:val="004D2237"/>
    <w:rsid w:val="004D2247"/>
    <w:rsid w:val="004D2306"/>
    <w:rsid w:val="004D238A"/>
    <w:rsid w:val="004D23E6"/>
    <w:rsid w:val="004D263A"/>
    <w:rsid w:val="004D272B"/>
    <w:rsid w:val="004D2B53"/>
    <w:rsid w:val="004D2D1C"/>
    <w:rsid w:val="004D2F81"/>
    <w:rsid w:val="004D2F87"/>
    <w:rsid w:val="004D2FC0"/>
    <w:rsid w:val="004D3197"/>
    <w:rsid w:val="004D322C"/>
    <w:rsid w:val="004D33D9"/>
    <w:rsid w:val="004D3969"/>
    <w:rsid w:val="004D3C71"/>
    <w:rsid w:val="004D3F50"/>
    <w:rsid w:val="004D40B4"/>
    <w:rsid w:val="004D411D"/>
    <w:rsid w:val="004D41E1"/>
    <w:rsid w:val="004D420E"/>
    <w:rsid w:val="004D42C5"/>
    <w:rsid w:val="004D4348"/>
    <w:rsid w:val="004D46AC"/>
    <w:rsid w:val="004D483B"/>
    <w:rsid w:val="004D49C1"/>
    <w:rsid w:val="004D4B36"/>
    <w:rsid w:val="004D4C08"/>
    <w:rsid w:val="004D5348"/>
    <w:rsid w:val="004D590A"/>
    <w:rsid w:val="004D5B3A"/>
    <w:rsid w:val="004D5B83"/>
    <w:rsid w:val="004D5D80"/>
    <w:rsid w:val="004D5DEB"/>
    <w:rsid w:val="004D5E71"/>
    <w:rsid w:val="004D5FD5"/>
    <w:rsid w:val="004D60A6"/>
    <w:rsid w:val="004D63FF"/>
    <w:rsid w:val="004D6551"/>
    <w:rsid w:val="004D67FE"/>
    <w:rsid w:val="004D6A01"/>
    <w:rsid w:val="004D6A8D"/>
    <w:rsid w:val="004D6E01"/>
    <w:rsid w:val="004D7187"/>
    <w:rsid w:val="004D72A7"/>
    <w:rsid w:val="004D73CD"/>
    <w:rsid w:val="004D746C"/>
    <w:rsid w:val="004D74F5"/>
    <w:rsid w:val="004D783F"/>
    <w:rsid w:val="004D7A22"/>
    <w:rsid w:val="004D7F70"/>
    <w:rsid w:val="004D7FCF"/>
    <w:rsid w:val="004E00C0"/>
    <w:rsid w:val="004E00CB"/>
    <w:rsid w:val="004E030C"/>
    <w:rsid w:val="004E059E"/>
    <w:rsid w:val="004E05E7"/>
    <w:rsid w:val="004E085A"/>
    <w:rsid w:val="004E08A6"/>
    <w:rsid w:val="004E08E2"/>
    <w:rsid w:val="004E0963"/>
    <w:rsid w:val="004E0988"/>
    <w:rsid w:val="004E0A1F"/>
    <w:rsid w:val="004E0C21"/>
    <w:rsid w:val="004E0D68"/>
    <w:rsid w:val="004E106C"/>
    <w:rsid w:val="004E10E9"/>
    <w:rsid w:val="004E1108"/>
    <w:rsid w:val="004E11A0"/>
    <w:rsid w:val="004E13E3"/>
    <w:rsid w:val="004E13ED"/>
    <w:rsid w:val="004E1447"/>
    <w:rsid w:val="004E1543"/>
    <w:rsid w:val="004E156B"/>
    <w:rsid w:val="004E1780"/>
    <w:rsid w:val="004E186C"/>
    <w:rsid w:val="004E1877"/>
    <w:rsid w:val="004E1BAF"/>
    <w:rsid w:val="004E1C1B"/>
    <w:rsid w:val="004E1C8A"/>
    <w:rsid w:val="004E217A"/>
    <w:rsid w:val="004E24A3"/>
    <w:rsid w:val="004E2939"/>
    <w:rsid w:val="004E2B10"/>
    <w:rsid w:val="004E2BC6"/>
    <w:rsid w:val="004E2E84"/>
    <w:rsid w:val="004E2F28"/>
    <w:rsid w:val="004E30B1"/>
    <w:rsid w:val="004E373A"/>
    <w:rsid w:val="004E3B6B"/>
    <w:rsid w:val="004E3EEA"/>
    <w:rsid w:val="004E4032"/>
    <w:rsid w:val="004E47EE"/>
    <w:rsid w:val="004E49CD"/>
    <w:rsid w:val="004E4B1A"/>
    <w:rsid w:val="004E4C17"/>
    <w:rsid w:val="004E4C8D"/>
    <w:rsid w:val="004E4FF5"/>
    <w:rsid w:val="004E5235"/>
    <w:rsid w:val="004E5367"/>
    <w:rsid w:val="004E53FC"/>
    <w:rsid w:val="004E559B"/>
    <w:rsid w:val="004E5715"/>
    <w:rsid w:val="004E58C7"/>
    <w:rsid w:val="004E5D8A"/>
    <w:rsid w:val="004E5EBE"/>
    <w:rsid w:val="004E5EFE"/>
    <w:rsid w:val="004E5F96"/>
    <w:rsid w:val="004E605A"/>
    <w:rsid w:val="004E6268"/>
    <w:rsid w:val="004E632D"/>
    <w:rsid w:val="004E632E"/>
    <w:rsid w:val="004E642A"/>
    <w:rsid w:val="004E64EA"/>
    <w:rsid w:val="004E65E6"/>
    <w:rsid w:val="004E6623"/>
    <w:rsid w:val="004E6B5A"/>
    <w:rsid w:val="004E6B6F"/>
    <w:rsid w:val="004E6DB5"/>
    <w:rsid w:val="004E712A"/>
    <w:rsid w:val="004E71FE"/>
    <w:rsid w:val="004E72CF"/>
    <w:rsid w:val="004E7443"/>
    <w:rsid w:val="004E75DB"/>
    <w:rsid w:val="004E7848"/>
    <w:rsid w:val="004E7AC5"/>
    <w:rsid w:val="004E7DBC"/>
    <w:rsid w:val="004E7F5D"/>
    <w:rsid w:val="004F0102"/>
    <w:rsid w:val="004F02CE"/>
    <w:rsid w:val="004F0359"/>
    <w:rsid w:val="004F0360"/>
    <w:rsid w:val="004F03F0"/>
    <w:rsid w:val="004F05D2"/>
    <w:rsid w:val="004F0624"/>
    <w:rsid w:val="004F0AD4"/>
    <w:rsid w:val="004F0AF3"/>
    <w:rsid w:val="004F0BEF"/>
    <w:rsid w:val="004F0CC3"/>
    <w:rsid w:val="004F0DA2"/>
    <w:rsid w:val="004F0E55"/>
    <w:rsid w:val="004F10A0"/>
    <w:rsid w:val="004F10D5"/>
    <w:rsid w:val="004F112F"/>
    <w:rsid w:val="004F116C"/>
    <w:rsid w:val="004F12C5"/>
    <w:rsid w:val="004F1487"/>
    <w:rsid w:val="004F1636"/>
    <w:rsid w:val="004F164E"/>
    <w:rsid w:val="004F1678"/>
    <w:rsid w:val="004F17B1"/>
    <w:rsid w:val="004F198A"/>
    <w:rsid w:val="004F1B16"/>
    <w:rsid w:val="004F1C95"/>
    <w:rsid w:val="004F1DBB"/>
    <w:rsid w:val="004F1FEA"/>
    <w:rsid w:val="004F209E"/>
    <w:rsid w:val="004F2545"/>
    <w:rsid w:val="004F2763"/>
    <w:rsid w:val="004F2818"/>
    <w:rsid w:val="004F2A65"/>
    <w:rsid w:val="004F2B0A"/>
    <w:rsid w:val="004F2C2B"/>
    <w:rsid w:val="004F2C9F"/>
    <w:rsid w:val="004F2DA5"/>
    <w:rsid w:val="004F2DFC"/>
    <w:rsid w:val="004F2ECF"/>
    <w:rsid w:val="004F2ED8"/>
    <w:rsid w:val="004F2FE4"/>
    <w:rsid w:val="004F30F5"/>
    <w:rsid w:val="004F31FD"/>
    <w:rsid w:val="004F326A"/>
    <w:rsid w:val="004F331E"/>
    <w:rsid w:val="004F33AF"/>
    <w:rsid w:val="004F3536"/>
    <w:rsid w:val="004F3559"/>
    <w:rsid w:val="004F3872"/>
    <w:rsid w:val="004F393A"/>
    <w:rsid w:val="004F3B78"/>
    <w:rsid w:val="004F3FE2"/>
    <w:rsid w:val="004F418F"/>
    <w:rsid w:val="004F419B"/>
    <w:rsid w:val="004F41BB"/>
    <w:rsid w:val="004F4412"/>
    <w:rsid w:val="004F4523"/>
    <w:rsid w:val="004F4679"/>
    <w:rsid w:val="004F4AF6"/>
    <w:rsid w:val="004F4DD5"/>
    <w:rsid w:val="004F4FA2"/>
    <w:rsid w:val="004F503E"/>
    <w:rsid w:val="004F52F6"/>
    <w:rsid w:val="004F54ED"/>
    <w:rsid w:val="004F5644"/>
    <w:rsid w:val="004F566F"/>
    <w:rsid w:val="004F5694"/>
    <w:rsid w:val="004F5749"/>
    <w:rsid w:val="004F58BA"/>
    <w:rsid w:val="004F59B2"/>
    <w:rsid w:val="004F59F0"/>
    <w:rsid w:val="004F5AD0"/>
    <w:rsid w:val="004F5CDF"/>
    <w:rsid w:val="004F5DDC"/>
    <w:rsid w:val="004F5E1B"/>
    <w:rsid w:val="004F5E3A"/>
    <w:rsid w:val="004F615A"/>
    <w:rsid w:val="004F61A4"/>
    <w:rsid w:val="004F6274"/>
    <w:rsid w:val="004F62E8"/>
    <w:rsid w:val="004F6695"/>
    <w:rsid w:val="004F6725"/>
    <w:rsid w:val="004F6791"/>
    <w:rsid w:val="004F697A"/>
    <w:rsid w:val="004F6B47"/>
    <w:rsid w:val="004F6B81"/>
    <w:rsid w:val="004F6BB9"/>
    <w:rsid w:val="004F6BBB"/>
    <w:rsid w:val="004F6FB5"/>
    <w:rsid w:val="004F7297"/>
    <w:rsid w:val="004F7378"/>
    <w:rsid w:val="004F75CB"/>
    <w:rsid w:val="004F7634"/>
    <w:rsid w:val="004F7788"/>
    <w:rsid w:val="004F7846"/>
    <w:rsid w:val="004F7A3C"/>
    <w:rsid w:val="004F7C0D"/>
    <w:rsid w:val="004F7C58"/>
    <w:rsid w:val="004F7CC7"/>
    <w:rsid w:val="004F7EE3"/>
    <w:rsid w:val="004FB323"/>
    <w:rsid w:val="0050031C"/>
    <w:rsid w:val="005003A2"/>
    <w:rsid w:val="00500501"/>
    <w:rsid w:val="0050057F"/>
    <w:rsid w:val="00500588"/>
    <w:rsid w:val="0050067F"/>
    <w:rsid w:val="00500912"/>
    <w:rsid w:val="00500A39"/>
    <w:rsid w:val="00500BC2"/>
    <w:rsid w:val="00500FB6"/>
    <w:rsid w:val="00501004"/>
    <w:rsid w:val="00501078"/>
    <w:rsid w:val="005011DD"/>
    <w:rsid w:val="0050155E"/>
    <w:rsid w:val="005015A1"/>
    <w:rsid w:val="00501802"/>
    <w:rsid w:val="00501DB8"/>
    <w:rsid w:val="00501E2D"/>
    <w:rsid w:val="0050220A"/>
    <w:rsid w:val="00502222"/>
    <w:rsid w:val="00502543"/>
    <w:rsid w:val="005026F4"/>
    <w:rsid w:val="005029F4"/>
    <w:rsid w:val="00502BCB"/>
    <w:rsid w:val="00502C2F"/>
    <w:rsid w:val="00502C56"/>
    <w:rsid w:val="00502F68"/>
    <w:rsid w:val="005032D2"/>
    <w:rsid w:val="0050337D"/>
    <w:rsid w:val="0050340D"/>
    <w:rsid w:val="005036F8"/>
    <w:rsid w:val="00503720"/>
    <w:rsid w:val="00503725"/>
    <w:rsid w:val="005037BB"/>
    <w:rsid w:val="005037E4"/>
    <w:rsid w:val="005037F3"/>
    <w:rsid w:val="005038E3"/>
    <w:rsid w:val="005038F4"/>
    <w:rsid w:val="00503B15"/>
    <w:rsid w:val="00503BC6"/>
    <w:rsid w:val="00503D22"/>
    <w:rsid w:val="00503E53"/>
    <w:rsid w:val="00503E72"/>
    <w:rsid w:val="00503EAC"/>
    <w:rsid w:val="00503F17"/>
    <w:rsid w:val="00503FC1"/>
    <w:rsid w:val="005043CD"/>
    <w:rsid w:val="005044EC"/>
    <w:rsid w:val="005045B9"/>
    <w:rsid w:val="00504632"/>
    <w:rsid w:val="005047EC"/>
    <w:rsid w:val="00504877"/>
    <w:rsid w:val="00504998"/>
    <w:rsid w:val="00504A46"/>
    <w:rsid w:val="00504C98"/>
    <w:rsid w:val="00504CBB"/>
    <w:rsid w:val="00504EB6"/>
    <w:rsid w:val="00505087"/>
    <w:rsid w:val="005050DB"/>
    <w:rsid w:val="005051B0"/>
    <w:rsid w:val="00505398"/>
    <w:rsid w:val="005053D1"/>
    <w:rsid w:val="005054E8"/>
    <w:rsid w:val="00505700"/>
    <w:rsid w:val="005057FA"/>
    <w:rsid w:val="0050584D"/>
    <w:rsid w:val="00505852"/>
    <w:rsid w:val="00505983"/>
    <w:rsid w:val="00505B87"/>
    <w:rsid w:val="00505BBD"/>
    <w:rsid w:val="00505C0C"/>
    <w:rsid w:val="00505E79"/>
    <w:rsid w:val="005060F4"/>
    <w:rsid w:val="005061FE"/>
    <w:rsid w:val="0050624C"/>
    <w:rsid w:val="005062E8"/>
    <w:rsid w:val="005062EF"/>
    <w:rsid w:val="00506424"/>
    <w:rsid w:val="00506642"/>
    <w:rsid w:val="00506BA7"/>
    <w:rsid w:val="00506BE6"/>
    <w:rsid w:val="00506C83"/>
    <w:rsid w:val="00506C8F"/>
    <w:rsid w:val="00506DDD"/>
    <w:rsid w:val="005070E5"/>
    <w:rsid w:val="005071C3"/>
    <w:rsid w:val="005071DD"/>
    <w:rsid w:val="00507213"/>
    <w:rsid w:val="00507217"/>
    <w:rsid w:val="005072AF"/>
    <w:rsid w:val="0050738E"/>
    <w:rsid w:val="00507465"/>
    <w:rsid w:val="005074AA"/>
    <w:rsid w:val="005077CA"/>
    <w:rsid w:val="005078E5"/>
    <w:rsid w:val="00507957"/>
    <w:rsid w:val="005079FD"/>
    <w:rsid w:val="00507A51"/>
    <w:rsid w:val="00507AD3"/>
    <w:rsid w:val="00507CCA"/>
    <w:rsid w:val="00507F92"/>
    <w:rsid w:val="00510113"/>
    <w:rsid w:val="00510368"/>
    <w:rsid w:val="005104BC"/>
    <w:rsid w:val="00510504"/>
    <w:rsid w:val="00510573"/>
    <w:rsid w:val="0051074E"/>
    <w:rsid w:val="0051081F"/>
    <w:rsid w:val="00510831"/>
    <w:rsid w:val="0051089E"/>
    <w:rsid w:val="005108BE"/>
    <w:rsid w:val="00510A42"/>
    <w:rsid w:val="00510C95"/>
    <w:rsid w:val="00510DFD"/>
    <w:rsid w:val="005110F6"/>
    <w:rsid w:val="0051110E"/>
    <w:rsid w:val="00511123"/>
    <w:rsid w:val="0051125B"/>
    <w:rsid w:val="00511364"/>
    <w:rsid w:val="00511430"/>
    <w:rsid w:val="00511994"/>
    <w:rsid w:val="005119D0"/>
    <w:rsid w:val="00511B7F"/>
    <w:rsid w:val="00511C09"/>
    <w:rsid w:val="00512151"/>
    <w:rsid w:val="00512453"/>
    <w:rsid w:val="005125DF"/>
    <w:rsid w:val="005126B6"/>
    <w:rsid w:val="0051276F"/>
    <w:rsid w:val="00512875"/>
    <w:rsid w:val="00512A56"/>
    <w:rsid w:val="00512B8A"/>
    <w:rsid w:val="00512C87"/>
    <w:rsid w:val="00512DDB"/>
    <w:rsid w:val="00512E53"/>
    <w:rsid w:val="00512F71"/>
    <w:rsid w:val="00513196"/>
    <w:rsid w:val="0051328D"/>
    <w:rsid w:val="0051329B"/>
    <w:rsid w:val="00513336"/>
    <w:rsid w:val="0051340D"/>
    <w:rsid w:val="00513577"/>
    <w:rsid w:val="00513760"/>
    <w:rsid w:val="005137E5"/>
    <w:rsid w:val="005138E8"/>
    <w:rsid w:val="00513B8E"/>
    <w:rsid w:val="00513B9A"/>
    <w:rsid w:val="00513BA6"/>
    <w:rsid w:val="00513BF1"/>
    <w:rsid w:val="00513E60"/>
    <w:rsid w:val="00513E9A"/>
    <w:rsid w:val="005142F4"/>
    <w:rsid w:val="00514513"/>
    <w:rsid w:val="00514562"/>
    <w:rsid w:val="00514A9E"/>
    <w:rsid w:val="00514BEF"/>
    <w:rsid w:val="00514C6E"/>
    <w:rsid w:val="00514CE8"/>
    <w:rsid w:val="005152B9"/>
    <w:rsid w:val="005157BF"/>
    <w:rsid w:val="00515BD8"/>
    <w:rsid w:val="00515EC6"/>
    <w:rsid w:val="00515EFE"/>
    <w:rsid w:val="00515F5E"/>
    <w:rsid w:val="0051620B"/>
    <w:rsid w:val="0051625A"/>
    <w:rsid w:val="00516461"/>
    <w:rsid w:val="00516582"/>
    <w:rsid w:val="00516743"/>
    <w:rsid w:val="005167A5"/>
    <w:rsid w:val="0051689B"/>
    <w:rsid w:val="005168E6"/>
    <w:rsid w:val="005169F8"/>
    <w:rsid w:val="00516D09"/>
    <w:rsid w:val="00516D86"/>
    <w:rsid w:val="005172B9"/>
    <w:rsid w:val="00517873"/>
    <w:rsid w:val="0051794F"/>
    <w:rsid w:val="00517DA9"/>
    <w:rsid w:val="00517EB0"/>
    <w:rsid w:val="00520923"/>
    <w:rsid w:val="00520B99"/>
    <w:rsid w:val="00520CEA"/>
    <w:rsid w:val="00521357"/>
    <w:rsid w:val="005213E3"/>
    <w:rsid w:val="00521513"/>
    <w:rsid w:val="0052157D"/>
    <w:rsid w:val="005215DD"/>
    <w:rsid w:val="0052197F"/>
    <w:rsid w:val="00521C19"/>
    <w:rsid w:val="00521D0F"/>
    <w:rsid w:val="005220FD"/>
    <w:rsid w:val="00522298"/>
    <w:rsid w:val="00522688"/>
    <w:rsid w:val="00522B40"/>
    <w:rsid w:val="00522B8B"/>
    <w:rsid w:val="00522EE3"/>
    <w:rsid w:val="00522F12"/>
    <w:rsid w:val="005231E7"/>
    <w:rsid w:val="00523527"/>
    <w:rsid w:val="00523594"/>
    <w:rsid w:val="00523B9E"/>
    <w:rsid w:val="00523CA7"/>
    <w:rsid w:val="00523CCC"/>
    <w:rsid w:val="00523D1C"/>
    <w:rsid w:val="0052401A"/>
    <w:rsid w:val="00524196"/>
    <w:rsid w:val="005241E5"/>
    <w:rsid w:val="00524506"/>
    <w:rsid w:val="005246E1"/>
    <w:rsid w:val="0052478E"/>
    <w:rsid w:val="005247DA"/>
    <w:rsid w:val="00524E31"/>
    <w:rsid w:val="00524F5F"/>
    <w:rsid w:val="005250D9"/>
    <w:rsid w:val="00525246"/>
    <w:rsid w:val="005254AA"/>
    <w:rsid w:val="00525647"/>
    <w:rsid w:val="005259F3"/>
    <w:rsid w:val="00525A7D"/>
    <w:rsid w:val="00525A8B"/>
    <w:rsid w:val="00525D85"/>
    <w:rsid w:val="00525E73"/>
    <w:rsid w:val="00525E88"/>
    <w:rsid w:val="00525EEB"/>
    <w:rsid w:val="005261D6"/>
    <w:rsid w:val="0052638F"/>
    <w:rsid w:val="00526415"/>
    <w:rsid w:val="005264A3"/>
    <w:rsid w:val="005264B6"/>
    <w:rsid w:val="005264E5"/>
    <w:rsid w:val="00526730"/>
    <w:rsid w:val="0052676B"/>
    <w:rsid w:val="005267E0"/>
    <w:rsid w:val="0052683B"/>
    <w:rsid w:val="00526AD2"/>
    <w:rsid w:val="00526B93"/>
    <w:rsid w:val="00526BA5"/>
    <w:rsid w:val="00526CE5"/>
    <w:rsid w:val="00526DE5"/>
    <w:rsid w:val="00526EAF"/>
    <w:rsid w:val="00526FF9"/>
    <w:rsid w:val="00526FFD"/>
    <w:rsid w:val="005271D7"/>
    <w:rsid w:val="00527210"/>
    <w:rsid w:val="00527278"/>
    <w:rsid w:val="00527629"/>
    <w:rsid w:val="0052775E"/>
    <w:rsid w:val="005279FF"/>
    <w:rsid w:val="00527A5B"/>
    <w:rsid w:val="00527D61"/>
    <w:rsid w:val="00527DC1"/>
    <w:rsid w:val="00527DD8"/>
    <w:rsid w:val="00527F2C"/>
    <w:rsid w:val="0052C6F0"/>
    <w:rsid w:val="005300CD"/>
    <w:rsid w:val="005301B4"/>
    <w:rsid w:val="005303FC"/>
    <w:rsid w:val="00530474"/>
    <w:rsid w:val="0053047F"/>
    <w:rsid w:val="005304D1"/>
    <w:rsid w:val="00530528"/>
    <w:rsid w:val="00530568"/>
    <w:rsid w:val="00530572"/>
    <w:rsid w:val="005306AB"/>
    <w:rsid w:val="005307A6"/>
    <w:rsid w:val="00530CEC"/>
    <w:rsid w:val="00530D11"/>
    <w:rsid w:val="00530E6F"/>
    <w:rsid w:val="005314C9"/>
    <w:rsid w:val="005317BA"/>
    <w:rsid w:val="00531837"/>
    <w:rsid w:val="0053184D"/>
    <w:rsid w:val="00531947"/>
    <w:rsid w:val="00531B62"/>
    <w:rsid w:val="00531B88"/>
    <w:rsid w:val="00531EA9"/>
    <w:rsid w:val="00531FAA"/>
    <w:rsid w:val="00532206"/>
    <w:rsid w:val="005324DF"/>
    <w:rsid w:val="005324F9"/>
    <w:rsid w:val="0053278D"/>
    <w:rsid w:val="0053294F"/>
    <w:rsid w:val="00532F4F"/>
    <w:rsid w:val="005330BF"/>
    <w:rsid w:val="005331FD"/>
    <w:rsid w:val="005332AA"/>
    <w:rsid w:val="0053334C"/>
    <w:rsid w:val="0053337A"/>
    <w:rsid w:val="00533398"/>
    <w:rsid w:val="0053343C"/>
    <w:rsid w:val="005338F3"/>
    <w:rsid w:val="00533ADD"/>
    <w:rsid w:val="00533CB8"/>
    <w:rsid w:val="00533CCE"/>
    <w:rsid w:val="00533EAC"/>
    <w:rsid w:val="00533F6A"/>
    <w:rsid w:val="00534168"/>
    <w:rsid w:val="0053444B"/>
    <w:rsid w:val="005345FA"/>
    <w:rsid w:val="005348FF"/>
    <w:rsid w:val="005349E3"/>
    <w:rsid w:val="00534AA8"/>
    <w:rsid w:val="00534B5A"/>
    <w:rsid w:val="00534C26"/>
    <w:rsid w:val="00534D24"/>
    <w:rsid w:val="00534EC3"/>
    <w:rsid w:val="00534F29"/>
    <w:rsid w:val="00535201"/>
    <w:rsid w:val="0053520C"/>
    <w:rsid w:val="00535456"/>
    <w:rsid w:val="00535643"/>
    <w:rsid w:val="00535724"/>
    <w:rsid w:val="0053580A"/>
    <w:rsid w:val="005358C2"/>
    <w:rsid w:val="00535E56"/>
    <w:rsid w:val="00535F16"/>
    <w:rsid w:val="00535F3D"/>
    <w:rsid w:val="005360B0"/>
    <w:rsid w:val="00536178"/>
    <w:rsid w:val="00536661"/>
    <w:rsid w:val="005366F1"/>
    <w:rsid w:val="00536755"/>
    <w:rsid w:val="005367BB"/>
    <w:rsid w:val="00536C24"/>
    <w:rsid w:val="005370E7"/>
    <w:rsid w:val="00537118"/>
    <w:rsid w:val="0053717E"/>
    <w:rsid w:val="0053726F"/>
    <w:rsid w:val="00537368"/>
    <w:rsid w:val="0053759F"/>
    <w:rsid w:val="005376D8"/>
    <w:rsid w:val="005376E6"/>
    <w:rsid w:val="00537772"/>
    <w:rsid w:val="00537825"/>
    <w:rsid w:val="0053787F"/>
    <w:rsid w:val="0053798D"/>
    <w:rsid w:val="00537AEC"/>
    <w:rsid w:val="00537BBF"/>
    <w:rsid w:val="00537D9E"/>
    <w:rsid w:val="00537E1F"/>
    <w:rsid w:val="00537F05"/>
    <w:rsid w:val="00537F79"/>
    <w:rsid w:val="00537FBB"/>
    <w:rsid w:val="00540092"/>
    <w:rsid w:val="00540322"/>
    <w:rsid w:val="00540359"/>
    <w:rsid w:val="0054039F"/>
    <w:rsid w:val="00540544"/>
    <w:rsid w:val="00540AB5"/>
    <w:rsid w:val="00540B80"/>
    <w:rsid w:val="00540D7E"/>
    <w:rsid w:val="00540E0F"/>
    <w:rsid w:val="00540F2C"/>
    <w:rsid w:val="00540FA6"/>
    <w:rsid w:val="00541040"/>
    <w:rsid w:val="005411CC"/>
    <w:rsid w:val="00541557"/>
    <w:rsid w:val="00541784"/>
    <w:rsid w:val="00541912"/>
    <w:rsid w:val="00541956"/>
    <w:rsid w:val="00541BED"/>
    <w:rsid w:val="00541BF1"/>
    <w:rsid w:val="00541CA5"/>
    <w:rsid w:val="00541FC2"/>
    <w:rsid w:val="00542217"/>
    <w:rsid w:val="00542292"/>
    <w:rsid w:val="0054232E"/>
    <w:rsid w:val="00542697"/>
    <w:rsid w:val="005427F1"/>
    <w:rsid w:val="005428C7"/>
    <w:rsid w:val="00542B55"/>
    <w:rsid w:val="00542BEE"/>
    <w:rsid w:val="00542C8F"/>
    <w:rsid w:val="00542F01"/>
    <w:rsid w:val="005430C6"/>
    <w:rsid w:val="005430CE"/>
    <w:rsid w:val="0054312F"/>
    <w:rsid w:val="005432D8"/>
    <w:rsid w:val="0054354A"/>
    <w:rsid w:val="0054357B"/>
    <w:rsid w:val="00543A4C"/>
    <w:rsid w:val="00544040"/>
    <w:rsid w:val="0054411F"/>
    <w:rsid w:val="005442D3"/>
    <w:rsid w:val="005442FE"/>
    <w:rsid w:val="0054430C"/>
    <w:rsid w:val="00544321"/>
    <w:rsid w:val="00544382"/>
    <w:rsid w:val="005445AB"/>
    <w:rsid w:val="0054464D"/>
    <w:rsid w:val="00544902"/>
    <w:rsid w:val="0054490B"/>
    <w:rsid w:val="0054497D"/>
    <w:rsid w:val="00544A57"/>
    <w:rsid w:val="00544BC7"/>
    <w:rsid w:val="00544CD0"/>
    <w:rsid w:val="00545062"/>
    <w:rsid w:val="005450AB"/>
    <w:rsid w:val="005453AD"/>
    <w:rsid w:val="00545602"/>
    <w:rsid w:val="005456EA"/>
    <w:rsid w:val="00545860"/>
    <w:rsid w:val="00545AD1"/>
    <w:rsid w:val="00545B32"/>
    <w:rsid w:val="00545B4B"/>
    <w:rsid w:val="00545DAE"/>
    <w:rsid w:val="00545F70"/>
    <w:rsid w:val="00546158"/>
    <w:rsid w:val="00546294"/>
    <w:rsid w:val="00546420"/>
    <w:rsid w:val="00546684"/>
    <w:rsid w:val="00546774"/>
    <w:rsid w:val="00546842"/>
    <w:rsid w:val="0054685F"/>
    <w:rsid w:val="00546B00"/>
    <w:rsid w:val="00546B9C"/>
    <w:rsid w:val="0054710D"/>
    <w:rsid w:val="00547163"/>
    <w:rsid w:val="0054730B"/>
    <w:rsid w:val="005475FF"/>
    <w:rsid w:val="00547785"/>
    <w:rsid w:val="00547B1D"/>
    <w:rsid w:val="00547C7A"/>
    <w:rsid w:val="00547D01"/>
    <w:rsid w:val="00547D07"/>
    <w:rsid w:val="00547E58"/>
    <w:rsid w:val="00550636"/>
    <w:rsid w:val="005506F0"/>
    <w:rsid w:val="00550ABA"/>
    <w:rsid w:val="00550B0B"/>
    <w:rsid w:val="00550B34"/>
    <w:rsid w:val="00550BBB"/>
    <w:rsid w:val="00550C42"/>
    <w:rsid w:val="00550D5A"/>
    <w:rsid w:val="00550F15"/>
    <w:rsid w:val="00551404"/>
    <w:rsid w:val="005516C2"/>
    <w:rsid w:val="00551947"/>
    <w:rsid w:val="00551BE2"/>
    <w:rsid w:val="00551BE9"/>
    <w:rsid w:val="00551CE5"/>
    <w:rsid w:val="00551F9D"/>
    <w:rsid w:val="00552087"/>
    <w:rsid w:val="00552157"/>
    <w:rsid w:val="00552210"/>
    <w:rsid w:val="0055235C"/>
    <w:rsid w:val="005526B3"/>
    <w:rsid w:val="00552723"/>
    <w:rsid w:val="005528E0"/>
    <w:rsid w:val="00552907"/>
    <w:rsid w:val="00552984"/>
    <w:rsid w:val="005529FC"/>
    <w:rsid w:val="00552BB7"/>
    <w:rsid w:val="00552F4D"/>
    <w:rsid w:val="00552FD4"/>
    <w:rsid w:val="00553199"/>
    <w:rsid w:val="005531EA"/>
    <w:rsid w:val="0055330E"/>
    <w:rsid w:val="0055331D"/>
    <w:rsid w:val="0055338B"/>
    <w:rsid w:val="0055349C"/>
    <w:rsid w:val="00553781"/>
    <w:rsid w:val="005538C2"/>
    <w:rsid w:val="00553B9F"/>
    <w:rsid w:val="00553D32"/>
    <w:rsid w:val="00553E2E"/>
    <w:rsid w:val="00553E32"/>
    <w:rsid w:val="00553EC8"/>
    <w:rsid w:val="0055422B"/>
    <w:rsid w:val="0055424F"/>
    <w:rsid w:val="005542CD"/>
    <w:rsid w:val="0055452D"/>
    <w:rsid w:val="005546F9"/>
    <w:rsid w:val="0055477F"/>
    <w:rsid w:val="005547B7"/>
    <w:rsid w:val="0055481A"/>
    <w:rsid w:val="005548F1"/>
    <w:rsid w:val="00554989"/>
    <w:rsid w:val="00554A1F"/>
    <w:rsid w:val="00554A9D"/>
    <w:rsid w:val="00554B80"/>
    <w:rsid w:val="00554C81"/>
    <w:rsid w:val="00554E4E"/>
    <w:rsid w:val="00554E8A"/>
    <w:rsid w:val="00555199"/>
    <w:rsid w:val="00555251"/>
    <w:rsid w:val="0055533F"/>
    <w:rsid w:val="005553A2"/>
    <w:rsid w:val="0055551F"/>
    <w:rsid w:val="005557C0"/>
    <w:rsid w:val="00555891"/>
    <w:rsid w:val="00555935"/>
    <w:rsid w:val="00555951"/>
    <w:rsid w:val="00555EEC"/>
    <w:rsid w:val="00555F21"/>
    <w:rsid w:val="00556135"/>
    <w:rsid w:val="005561E4"/>
    <w:rsid w:val="005562B2"/>
    <w:rsid w:val="0055631D"/>
    <w:rsid w:val="0055645B"/>
    <w:rsid w:val="0055652F"/>
    <w:rsid w:val="00556657"/>
    <w:rsid w:val="0055684D"/>
    <w:rsid w:val="00556AE8"/>
    <w:rsid w:val="00556F2C"/>
    <w:rsid w:val="0055709E"/>
    <w:rsid w:val="0055720A"/>
    <w:rsid w:val="00557216"/>
    <w:rsid w:val="0055721B"/>
    <w:rsid w:val="0055772A"/>
    <w:rsid w:val="00557D53"/>
    <w:rsid w:val="00557E38"/>
    <w:rsid w:val="0056013E"/>
    <w:rsid w:val="00560226"/>
    <w:rsid w:val="00560466"/>
    <w:rsid w:val="00560652"/>
    <w:rsid w:val="005608B3"/>
    <w:rsid w:val="00560A88"/>
    <w:rsid w:val="00560ADE"/>
    <w:rsid w:val="00560B29"/>
    <w:rsid w:val="00560D39"/>
    <w:rsid w:val="00561053"/>
    <w:rsid w:val="005614BE"/>
    <w:rsid w:val="0056164D"/>
    <w:rsid w:val="005616E1"/>
    <w:rsid w:val="0056175C"/>
    <w:rsid w:val="00561A51"/>
    <w:rsid w:val="00561AFF"/>
    <w:rsid w:val="00561DCF"/>
    <w:rsid w:val="00561E76"/>
    <w:rsid w:val="00561F20"/>
    <w:rsid w:val="005621DE"/>
    <w:rsid w:val="005621E3"/>
    <w:rsid w:val="00562239"/>
    <w:rsid w:val="00562318"/>
    <w:rsid w:val="00562842"/>
    <w:rsid w:val="00562AEA"/>
    <w:rsid w:val="005630D8"/>
    <w:rsid w:val="00563159"/>
    <w:rsid w:val="00563971"/>
    <w:rsid w:val="00563B78"/>
    <w:rsid w:val="00563E73"/>
    <w:rsid w:val="00563F57"/>
    <w:rsid w:val="00564050"/>
    <w:rsid w:val="00564071"/>
    <w:rsid w:val="005640C6"/>
    <w:rsid w:val="0056460B"/>
    <w:rsid w:val="005646C5"/>
    <w:rsid w:val="005647A8"/>
    <w:rsid w:val="005647EB"/>
    <w:rsid w:val="00564B74"/>
    <w:rsid w:val="00564D0E"/>
    <w:rsid w:val="00564D14"/>
    <w:rsid w:val="00564DEC"/>
    <w:rsid w:val="00564EE2"/>
    <w:rsid w:val="00564F71"/>
    <w:rsid w:val="00564F99"/>
    <w:rsid w:val="00565255"/>
    <w:rsid w:val="00565287"/>
    <w:rsid w:val="00565421"/>
    <w:rsid w:val="0056552F"/>
    <w:rsid w:val="005658A4"/>
    <w:rsid w:val="00565B58"/>
    <w:rsid w:val="00565E0A"/>
    <w:rsid w:val="00565E79"/>
    <w:rsid w:val="00565E9E"/>
    <w:rsid w:val="00566088"/>
    <w:rsid w:val="00566289"/>
    <w:rsid w:val="005662EE"/>
    <w:rsid w:val="00566324"/>
    <w:rsid w:val="00566406"/>
    <w:rsid w:val="0056657D"/>
    <w:rsid w:val="00566740"/>
    <w:rsid w:val="0056680D"/>
    <w:rsid w:val="00566819"/>
    <w:rsid w:val="00566D5C"/>
    <w:rsid w:val="00566E41"/>
    <w:rsid w:val="00566F14"/>
    <w:rsid w:val="00566F57"/>
    <w:rsid w:val="0056772C"/>
    <w:rsid w:val="005677B2"/>
    <w:rsid w:val="00567808"/>
    <w:rsid w:val="00567949"/>
    <w:rsid w:val="00567C96"/>
    <w:rsid w:val="00567D6D"/>
    <w:rsid w:val="00567E39"/>
    <w:rsid w:val="00570265"/>
    <w:rsid w:val="0057045A"/>
    <w:rsid w:val="005705E9"/>
    <w:rsid w:val="00570855"/>
    <w:rsid w:val="00570883"/>
    <w:rsid w:val="005708C0"/>
    <w:rsid w:val="00570B00"/>
    <w:rsid w:val="00570DFB"/>
    <w:rsid w:val="00570FB7"/>
    <w:rsid w:val="00571001"/>
    <w:rsid w:val="0057105C"/>
    <w:rsid w:val="0057109B"/>
    <w:rsid w:val="005713FB"/>
    <w:rsid w:val="0057151C"/>
    <w:rsid w:val="005719A4"/>
    <w:rsid w:val="00571CB2"/>
    <w:rsid w:val="00571D7C"/>
    <w:rsid w:val="00571D8C"/>
    <w:rsid w:val="00571E61"/>
    <w:rsid w:val="005720E1"/>
    <w:rsid w:val="005721D1"/>
    <w:rsid w:val="0057239C"/>
    <w:rsid w:val="0057249B"/>
    <w:rsid w:val="0057265C"/>
    <w:rsid w:val="005729B2"/>
    <w:rsid w:val="00572CAB"/>
    <w:rsid w:val="00572D29"/>
    <w:rsid w:val="005730FF"/>
    <w:rsid w:val="00573350"/>
    <w:rsid w:val="00573511"/>
    <w:rsid w:val="005735D5"/>
    <w:rsid w:val="005735EA"/>
    <w:rsid w:val="00573672"/>
    <w:rsid w:val="005737E0"/>
    <w:rsid w:val="0057383C"/>
    <w:rsid w:val="00573A12"/>
    <w:rsid w:val="00573CDB"/>
    <w:rsid w:val="00573E94"/>
    <w:rsid w:val="00573F74"/>
    <w:rsid w:val="00573F99"/>
    <w:rsid w:val="00574162"/>
    <w:rsid w:val="005747C0"/>
    <w:rsid w:val="005748EF"/>
    <w:rsid w:val="00574904"/>
    <w:rsid w:val="00574A18"/>
    <w:rsid w:val="00574AD9"/>
    <w:rsid w:val="00574ADD"/>
    <w:rsid w:val="00575086"/>
    <w:rsid w:val="005750CE"/>
    <w:rsid w:val="0057513F"/>
    <w:rsid w:val="0057516B"/>
    <w:rsid w:val="005751C7"/>
    <w:rsid w:val="0057533F"/>
    <w:rsid w:val="005759CC"/>
    <w:rsid w:val="005759EB"/>
    <w:rsid w:val="005760C0"/>
    <w:rsid w:val="00576120"/>
    <w:rsid w:val="0057612F"/>
    <w:rsid w:val="005761CB"/>
    <w:rsid w:val="00576516"/>
    <w:rsid w:val="00576561"/>
    <w:rsid w:val="00576682"/>
    <w:rsid w:val="00576761"/>
    <w:rsid w:val="00576987"/>
    <w:rsid w:val="0057699A"/>
    <w:rsid w:val="005769F4"/>
    <w:rsid w:val="00576A26"/>
    <w:rsid w:val="00576CA2"/>
    <w:rsid w:val="00576D33"/>
    <w:rsid w:val="0057706C"/>
    <w:rsid w:val="005770C3"/>
    <w:rsid w:val="0057714D"/>
    <w:rsid w:val="005772FE"/>
    <w:rsid w:val="00577AD0"/>
    <w:rsid w:val="00577E76"/>
    <w:rsid w:val="00580456"/>
    <w:rsid w:val="0058047E"/>
    <w:rsid w:val="0058068D"/>
    <w:rsid w:val="005807C0"/>
    <w:rsid w:val="00580901"/>
    <w:rsid w:val="00580945"/>
    <w:rsid w:val="005809B7"/>
    <w:rsid w:val="00580A1F"/>
    <w:rsid w:val="00580CB8"/>
    <w:rsid w:val="00580CCD"/>
    <w:rsid w:val="005810A4"/>
    <w:rsid w:val="005812DB"/>
    <w:rsid w:val="00581494"/>
    <w:rsid w:val="005816FB"/>
    <w:rsid w:val="00581737"/>
    <w:rsid w:val="0058194D"/>
    <w:rsid w:val="0058196D"/>
    <w:rsid w:val="00581AC6"/>
    <w:rsid w:val="00581D50"/>
    <w:rsid w:val="00581F46"/>
    <w:rsid w:val="00581F94"/>
    <w:rsid w:val="00582143"/>
    <w:rsid w:val="0058222D"/>
    <w:rsid w:val="0058255A"/>
    <w:rsid w:val="00582706"/>
    <w:rsid w:val="005829A9"/>
    <w:rsid w:val="00582BDC"/>
    <w:rsid w:val="00582D5E"/>
    <w:rsid w:val="00582F34"/>
    <w:rsid w:val="00582F6A"/>
    <w:rsid w:val="00583144"/>
    <w:rsid w:val="005831E2"/>
    <w:rsid w:val="0058327D"/>
    <w:rsid w:val="00583671"/>
    <w:rsid w:val="005837D6"/>
    <w:rsid w:val="005838DD"/>
    <w:rsid w:val="005839C1"/>
    <w:rsid w:val="00583DE1"/>
    <w:rsid w:val="0058416E"/>
    <w:rsid w:val="0058427E"/>
    <w:rsid w:val="00584289"/>
    <w:rsid w:val="005843FB"/>
    <w:rsid w:val="0058441D"/>
    <w:rsid w:val="00584708"/>
    <w:rsid w:val="00584BBA"/>
    <w:rsid w:val="00584D6A"/>
    <w:rsid w:val="00584E65"/>
    <w:rsid w:val="00584E8B"/>
    <w:rsid w:val="005854F7"/>
    <w:rsid w:val="0058561F"/>
    <w:rsid w:val="0058579D"/>
    <w:rsid w:val="00585C1A"/>
    <w:rsid w:val="00585E18"/>
    <w:rsid w:val="0058607A"/>
    <w:rsid w:val="0058654C"/>
    <w:rsid w:val="005865C6"/>
    <w:rsid w:val="005868C7"/>
    <w:rsid w:val="00586A88"/>
    <w:rsid w:val="00586BA6"/>
    <w:rsid w:val="00586C37"/>
    <w:rsid w:val="00586CFC"/>
    <w:rsid w:val="00586DE2"/>
    <w:rsid w:val="00586EB6"/>
    <w:rsid w:val="005871F2"/>
    <w:rsid w:val="00587201"/>
    <w:rsid w:val="00587268"/>
    <w:rsid w:val="00587281"/>
    <w:rsid w:val="0058747D"/>
    <w:rsid w:val="0058750F"/>
    <w:rsid w:val="005877AF"/>
    <w:rsid w:val="00587A4C"/>
    <w:rsid w:val="00587A66"/>
    <w:rsid w:val="00587D42"/>
    <w:rsid w:val="00587DDF"/>
    <w:rsid w:val="0058AD43"/>
    <w:rsid w:val="00590074"/>
    <w:rsid w:val="0059040D"/>
    <w:rsid w:val="0059044E"/>
    <w:rsid w:val="00590468"/>
    <w:rsid w:val="0059096C"/>
    <w:rsid w:val="0059096D"/>
    <w:rsid w:val="00590B61"/>
    <w:rsid w:val="00590CC0"/>
    <w:rsid w:val="00590EF1"/>
    <w:rsid w:val="00591099"/>
    <w:rsid w:val="00591107"/>
    <w:rsid w:val="005911CE"/>
    <w:rsid w:val="00591359"/>
    <w:rsid w:val="00591521"/>
    <w:rsid w:val="00591549"/>
    <w:rsid w:val="00591597"/>
    <w:rsid w:val="005915E2"/>
    <w:rsid w:val="005915FB"/>
    <w:rsid w:val="00591840"/>
    <w:rsid w:val="00591931"/>
    <w:rsid w:val="005919EE"/>
    <w:rsid w:val="00591B18"/>
    <w:rsid w:val="00591B8F"/>
    <w:rsid w:val="00591BBD"/>
    <w:rsid w:val="00591F17"/>
    <w:rsid w:val="00591FF6"/>
    <w:rsid w:val="005924EA"/>
    <w:rsid w:val="00592713"/>
    <w:rsid w:val="0059279F"/>
    <w:rsid w:val="005928DE"/>
    <w:rsid w:val="00592982"/>
    <w:rsid w:val="00592A6E"/>
    <w:rsid w:val="00592B76"/>
    <w:rsid w:val="00592D08"/>
    <w:rsid w:val="005930FF"/>
    <w:rsid w:val="00593312"/>
    <w:rsid w:val="0059355C"/>
    <w:rsid w:val="005935C6"/>
    <w:rsid w:val="005935F1"/>
    <w:rsid w:val="005938AC"/>
    <w:rsid w:val="005938E9"/>
    <w:rsid w:val="00593BAF"/>
    <w:rsid w:val="00593C03"/>
    <w:rsid w:val="00594025"/>
    <w:rsid w:val="00594146"/>
    <w:rsid w:val="005941F7"/>
    <w:rsid w:val="005946D7"/>
    <w:rsid w:val="0059470B"/>
    <w:rsid w:val="00594725"/>
    <w:rsid w:val="0059488B"/>
    <w:rsid w:val="00594B9A"/>
    <w:rsid w:val="00594F7B"/>
    <w:rsid w:val="00594FD2"/>
    <w:rsid w:val="0059502A"/>
    <w:rsid w:val="005952BB"/>
    <w:rsid w:val="005952D2"/>
    <w:rsid w:val="005952FA"/>
    <w:rsid w:val="0059567E"/>
    <w:rsid w:val="005956F6"/>
    <w:rsid w:val="00595958"/>
    <w:rsid w:val="00595A10"/>
    <w:rsid w:val="00595B2B"/>
    <w:rsid w:val="00595C7E"/>
    <w:rsid w:val="00595CCE"/>
    <w:rsid w:val="00595EAA"/>
    <w:rsid w:val="00596280"/>
    <w:rsid w:val="0059634B"/>
    <w:rsid w:val="005965C9"/>
    <w:rsid w:val="005969EA"/>
    <w:rsid w:val="00596A0C"/>
    <w:rsid w:val="00596D71"/>
    <w:rsid w:val="00596E4F"/>
    <w:rsid w:val="00596FF9"/>
    <w:rsid w:val="0059713D"/>
    <w:rsid w:val="00597190"/>
    <w:rsid w:val="005971A7"/>
    <w:rsid w:val="0059724A"/>
    <w:rsid w:val="005972C3"/>
    <w:rsid w:val="00597347"/>
    <w:rsid w:val="0059737D"/>
    <w:rsid w:val="005976FE"/>
    <w:rsid w:val="005977C7"/>
    <w:rsid w:val="00597872"/>
    <w:rsid w:val="005979D7"/>
    <w:rsid w:val="00597AD0"/>
    <w:rsid w:val="00597B18"/>
    <w:rsid w:val="00597BCB"/>
    <w:rsid w:val="005A00BC"/>
    <w:rsid w:val="005A023B"/>
    <w:rsid w:val="005A033D"/>
    <w:rsid w:val="005A03ED"/>
    <w:rsid w:val="005A06CF"/>
    <w:rsid w:val="005A081A"/>
    <w:rsid w:val="005A0820"/>
    <w:rsid w:val="005A089B"/>
    <w:rsid w:val="005A0901"/>
    <w:rsid w:val="005A0AA5"/>
    <w:rsid w:val="005A0BB1"/>
    <w:rsid w:val="005A0C65"/>
    <w:rsid w:val="005A0D53"/>
    <w:rsid w:val="005A0DA1"/>
    <w:rsid w:val="005A0E99"/>
    <w:rsid w:val="005A0F5B"/>
    <w:rsid w:val="005A13AD"/>
    <w:rsid w:val="005A13F8"/>
    <w:rsid w:val="005A1491"/>
    <w:rsid w:val="005A14F1"/>
    <w:rsid w:val="005A1530"/>
    <w:rsid w:val="005A15D1"/>
    <w:rsid w:val="005A16AA"/>
    <w:rsid w:val="005A187A"/>
    <w:rsid w:val="005A1A39"/>
    <w:rsid w:val="005A1BFC"/>
    <w:rsid w:val="005A1EA4"/>
    <w:rsid w:val="005A1ECD"/>
    <w:rsid w:val="005A1F4B"/>
    <w:rsid w:val="005A1FC1"/>
    <w:rsid w:val="005A2140"/>
    <w:rsid w:val="005A2175"/>
    <w:rsid w:val="005A226C"/>
    <w:rsid w:val="005A2289"/>
    <w:rsid w:val="005A22AB"/>
    <w:rsid w:val="005A243A"/>
    <w:rsid w:val="005A243B"/>
    <w:rsid w:val="005A2517"/>
    <w:rsid w:val="005A2A2C"/>
    <w:rsid w:val="005A2B29"/>
    <w:rsid w:val="005A2C2B"/>
    <w:rsid w:val="005A30F7"/>
    <w:rsid w:val="005A317E"/>
    <w:rsid w:val="005A324B"/>
    <w:rsid w:val="005A3606"/>
    <w:rsid w:val="005A36AF"/>
    <w:rsid w:val="005A3AE8"/>
    <w:rsid w:val="005A3C61"/>
    <w:rsid w:val="005A412C"/>
    <w:rsid w:val="005A42CF"/>
    <w:rsid w:val="005A4364"/>
    <w:rsid w:val="005A462F"/>
    <w:rsid w:val="005A46F0"/>
    <w:rsid w:val="005A498B"/>
    <w:rsid w:val="005A49D8"/>
    <w:rsid w:val="005A4A13"/>
    <w:rsid w:val="005A50CE"/>
    <w:rsid w:val="005A5368"/>
    <w:rsid w:val="005A55BA"/>
    <w:rsid w:val="005A5638"/>
    <w:rsid w:val="005A56A2"/>
    <w:rsid w:val="005A573C"/>
    <w:rsid w:val="005A5E6F"/>
    <w:rsid w:val="005A5FF7"/>
    <w:rsid w:val="005A60DF"/>
    <w:rsid w:val="005A6169"/>
    <w:rsid w:val="005A642F"/>
    <w:rsid w:val="005A651C"/>
    <w:rsid w:val="005A6671"/>
    <w:rsid w:val="005A66C0"/>
    <w:rsid w:val="005A66FD"/>
    <w:rsid w:val="005A6859"/>
    <w:rsid w:val="005A6A09"/>
    <w:rsid w:val="005A6BA4"/>
    <w:rsid w:val="005A6D28"/>
    <w:rsid w:val="005A6D64"/>
    <w:rsid w:val="005A6F26"/>
    <w:rsid w:val="005A7215"/>
    <w:rsid w:val="005A72B9"/>
    <w:rsid w:val="005A72C0"/>
    <w:rsid w:val="005A732B"/>
    <w:rsid w:val="005A78D0"/>
    <w:rsid w:val="005A7A0A"/>
    <w:rsid w:val="005A7BED"/>
    <w:rsid w:val="005A7BFD"/>
    <w:rsid w:val="005A7DC5"/>
    <w:rsid w:val="005A7E06"/>
    <w:rsid w:val="005A7E33"/>
    <w:rsid w:val="005A7E49"/>
    <w:rsid w:val="005B0073"/>
    <w:rsid w:val="005B0586"/>
    <w:rsid w:val="005B06FB"/>
    <w:rsid w:val="005B0A81"/>
    <w:rsid w:val="005B0B40"/>
    <w:rsid w:val="005B0B73"/>
    <w:rsid w:val="005B0FD3"/>
    <w:rsid w:val="005B1041"/>
    <w:rsid w:val="005B112B"/>
    <w:rsid w:val="005B124F"/>
    <w:rsid w:val="005B1388"/>
    <w:rsid w:val="005B142B"/>
    <w:rsid w:val="005B14A1"/>
    <w:rsid w:val="005B172F"/>
    <w:rsid w:val="005B1762"/>
    <w:rsid w:val="005B1835"/>
    <w:rsid w:val="005B191D"/>
    <w:rsid w:val="005B1B5E"/>
    <w:rsid w:val="005B1E20"/>
    <w:rsid w:val="005B2089"/>
    <w:rsid w:val="005B2286"/>
    <w:rsid w:val="005B22E4"/>
    <w:rsid w:val="005B2472"/>
    <w:rsid w:val="005B24A5"/>
    <w:rsid w:val="005B24E1"/>
    <w:rsid w:val="005B2D5E"/>
    <w:rsid w:val="005B2DA2"/>
    <w:rsid w:val="005B2F72"/>
    <w:rsid w:val="005B3047"/>
    <w:rsid w:val="005B31E2"/>
    <w:rsid w:val="005B33A9"/>
    <w:rsid w:val="005B3401"/>
    <w:rsid w:val="005B347A"/>
    <w:rsid w:val="005B34CD"/>
    <w:rsid w:val="005B3792"/>
    <w:rsid w:val="005B3D4C"/>
    <w:rsid w:val="005B3EED"/>
    <w:rsid w:val="005B3F0D"/>
    <w:rsid w:val="005B3F74"/>
    <w:rsid w:val="005B405C"/>
    <w:rsid w:val="005B40B7"/>
    <w:rsid w:val="005B42B0"/>
    <w:rsid w:val="005B4345"/>
    <w:rsid w:val="005B4448"/>
    <w:rsid w:val="005B4495"/>
    <w:rsid w:val="005B455B"/>
    <w:rsid w:val="005B4639"/>
    <w:rsid w:val="005B4705"/>
    <w:rsid w:val="005B48B6"/>
    <w:rsid w:val="005B48EA"/>
    <w:rsid w:val="005B4E6E"/>
    <w:rsid w:val="005B5033"/>
    <w:rsid w:val="005B50C6"/>
    <w:rsid w:val="005B51B1"/>
    <w:rsid w:val="005B526F"/>
    <w:rsid w:val="005B53CF"/>
    <w:rsid w:val="005B540E"/>
    <w:rsid w:val="005B5444"/>
    <w:rsid w:val="005B545B"/>
    <w:rsid w:val="005B56E5"/>
    <w:rsid w:val="005B57F0"/>
    <w:rsid w:val="005B5879"/>
    <w:rsid w:val="005B589C"/>
    <w:rsid w:val="005B5915"/>
    <w:rsid w:val="005B5AD1"/>
    <w:rsid w:val="005B5C4D"/>
    <w:rsid w:val="005B5F30"/>
    <w:rsid w:val="005B5F4B"/>
    <w:rsid w:val="005B5F80"/>
    <w:rsid w:val="005B62EA"/>
    <w:rsid w:val="005B65C8"/>
    <w:rsid w:val="005B65CE"/>
    <w:rsid w:val="005B67AA"/>
    <w:rsid w:val="005B6A34"/>
    <w:rsid w:val="005B6A99"/>
    <w:rsid w:val="005B6C94"/>
    <w:rsid w:val="005B6FAB"/>
    <w:rsid w:val="005B6FE3"/>
    <w:rsid w:val="005B71BE"/>
    <w:rsid w:val="005B7BA3"/>
    <w:rsid w:val="005B7C41"/>
    <w:rsid w:val="005B7CE8"/>
    <w:rsid w:val="005B7D30"/>
    <w:rsid w:val="005B7E44"/>
    <w:rsid w:val="005B7ED0"/>
    <w:rsid w:val="005B912D"/>
    <w:rsid w:val="005C0127"/>
    <w:rsid w:val="005C025D"/>
    <w:rsid w:val="005C029D"/>
    <w:rsid w:val="005C0335"/>
    <w:rsid w:val="005C0567"/>
    <w:rsid w:val="005C0637"/>
    <w:rsid w:val="005C0794"/>
    <w:rsid w:val="005C07E8"/>
    <w:rsid w:val="005C0858"/>
    <w:rsid w:val="005C09FB"/>
    <w:rsid w:val="005C0A65"/>
    <w:rsid w:val="005C0C03"/>
    <w:rsid w:val="005C0D45"/>
    <w:rsid w:val="005C12A1"/>
    <w:rsid w:val="005C135C"/>
    <w:rsid w:val="005C13A7"/>
    <w:rsid w:val="005C1486"/>
    <w:rsid w:val="005C1527"/>
    <w:rsid w:val="005C1534"/>
    <w:rsid w:val="005C1707"/>
    <w:rsid w:val="005C187A"/>
    <w:rsid w:val="005C18DE"/>
    <w:rsid w:val="005C1968"/>
    <w:rsid w:val="005C1AAC"/>
    <w:rsid w:val="005C1B9C"/>
    <w:rsid w:val="005C1C08"/>
    <w:rsid w:val="005C1D94"/>
    <w:rsid w:val="005C1F94"/>
    <w:rsid w:val="005C2088"/>
    <w:rsid w:val="005C20B2"/>
    <w:rsid w:val="005C216A"/>
    <w:rsid w:val="005C21A9"/>
    <w:rsid w:val="005C226A"/>
    <w:rsid w:val="005C229C"/>
    <w:rsid w:val="005C249C"/>
    <w:rsid w:val="005C2A0F"/>
    <w:rsid w:val="005C2AEB"/>
    <w:rsid w:val="005C2BFA"/>
    <w:rsid w:val="005C2C88"/>
    <w:rsid w:val="005C2CD1"/>
    <w:rsid w:val="005C2E26"/>
    <w:rsid w:val="005C3079"/>
    <w:rsid w:val="005C3123"/>
    <w:rsid w:val="005C336A"/>
    <w:rsid w:val="005C33CD"/>
    <w:rsid w:val="005C354F"/>
    <w:rsid w:val="005C360A"/>
    <w:rsid w:val="005C3636"/>
    <w:rsid w:val="005C3759"/>
    <w:rsid w:val="005C37CB"/>
    <w:rsid w:val="005C3BA3"/>
    <w:rsid w:val="005C3C12"/>
    <w:rsid w:val="005C3DD2"/>
    <w:rsid w:val="005C3DD8"/>
    <w:rsid w:val="005C3DD9"/>
    <w:rsid w:val="005C3DEA"/>
    <w:rsid w:val="005C3F74"/>
    <w:rsid w:val="005C407D"/>
    <w:rsid w:val="005C413F"/>
    <w:rsid w:val="005C423A"/>
    <w:rsid w:val="005C452D"/>
    <w:rsid w:val="005C48B1"/>
    <w:rsid w:val="005C49CB"/>
    <w:rsid w:val="005C4C0B"/>
    <w:rsid w:val="005C4E8F"/>
    <w:rsid w:val="005C50F1"/>
    <w:rsid w:val="005C53BF"/>
    <w:rsid w:val="005C58F6"/>
    <w:rsid w:val="005C5C3A"/>
    <w:rsid w:val="005C5CD0"/>
    <w:rsid w:val="005C5CDC"/>
    <w:rsid w:val="005C5F97"/>
    <w:rsid w:val="005C5F9D"/>
    <w:rsid w:val="005C60F9"/>
    <w:rsid w:val="005C61D6"/>
    <w:rsid w:val="005C623C"/>
    <w:rsid w:val="005C6466"/>
    <w:rsid w:val="005C67DC"/>
    <w:rsid w:val="005C67ED"/>
    <w:rsid w:val="005C6A6E"/>
    <w:rsid w:val="005C6B17"/>
    <w:rsid w:val="005C6DC2"/>
    <w:rsid w:val="005C6ED5"/>
    <w:rsid w:val="005C70A8"/>
    <w:rsid w:val="005C7252"/>
    <w:rsid w:val="005C72C1"/>
    <w:rsid w:val="005C72D5"/>
    <w:rsid w:val="005C7613"/>
    <w:rsid w:val="005C7654"/>
    <w:rsid w:val="005C769A"/>
    <w:rsid w:val="005C781D"/>
    <w:rsid w:val="005C7D06"/>
    <w:rsid w:val="005D0208"/>
    <w:rsid w:val="005D02B6"/>
    <w:rsid w:val="005D049C"/>
    <w:rsid w:val="005D059A"/>
    <w:rsid w:val="005D086A"/>
    <w:rsid w:val="005D08F9"/>
    <w:rsid w:val="005D0B31"/>
    <w:rsid w:val="005D0C6B"/>
    <w:rsid w:val="005D0C7B"/>
    <w:rsid w:val="005D0FC3"/>
    <w:rsid w:val="005D11AC"/>
    <w:rsid w:val="005D1422"/>
    <w:rsid w:val="005D15B5"/>
    <w:rsid w:val="005D171B"/>
    <w:rsid w:val="005D19F5"/>
    <w:rsid w:val="005D1B74"/>
    <w:rsid w:val="005D1B91"/>
    <w:rsid w:val="005D1BE2"/>
    <w:rsid w:val="005D1E4A"/>
    <w:rsid w:val="005D210D"/>
    <w:rsid w:val="005D2163"/>
    <w:rsid w:val="005D220D"/>
    <w:rsid w:val="005D2260"/>
    <w:rsid w:val="005D2344"/>
    <w:rsid w:val="005D25C0"/>
    <w:rsid w:val="005D25F1"/>
    <w:rsid w:val="005D267E"/>
    <w:rsid w:val="005D26BB"/>
    <w:rsid w:val="005D26FF"/>
    <w:rsid w:val="005D28F5"/>
    <w:rsid w:val="005D2919"/>
    <w:rsid w:val="005D2CE8"/>
    <w:rsid w:val="005D2E2A"/>
    <w:rsid w:val="005D2F4E"/>
    <w:rsid w:val="005D339C"/>
    <w:rsid w:val="005D33EA"/>
    <w:rsid w:val="005D34A2"/>
    <w:rsid w:val="005D389E"/>
    <w:rsid w:val="005D3B07"/>
    <w:rsid w:val="005D3C82"/>
    <w:rsid w:val="005D3CE0"/>
    <w:rsid w:val="005D3CF2"/>
    <w:rsid w:val="005D418C"/>
    <w:rsid w:val="005D4361"/>
    <w:rsid w:val="005D444D"/>
    <w:rsid w:val="005D46E9"/>
    <w:rsid w:val="005D4772"/>
    <w:rsid w:val="005D478F"/>
    <w:rsid w:val="005D4A61"/>
    <w:rsid w:val="005D4D42"/>
    <w:rsid w:val="005D4E32"/>
    <w:rsid w:val="005D4F61"/>
    <w:rsid w:val="005D5142"/>
    <w:rsid w:val="005D5190"/>
    <w:rsid w:val="005D5301"/>
    <w:rsid w:val="005D5571"/>
    <w:rsid w:val="005D5573"/>
    <w:rsid w:val="005D5A4E"/>
    <w:rsid w:val="005D5A75"/>
    <w:rsid w:val="005D5C1C"/>
    <w:rsid w:val="005D5C1F"/>
    <w:rsid w:val="005D5D76"/>
    <w:rsid w:val="005D5EC5"/>
    <w:rsid w:val="005D5F6C"/>
    <w:rsid w:val="005D5FE4"/>
    <w:rsid w:val="005D5FF5"/>
    <w:rsid w:val="005D66DD"/>
    <w:rsid w:val="005D6A1C"/>
    <w:rsid w:val="005D6E75"/>
    <w:rsid w:val="005D7062"/>
    <w:rsid w:val="005D7362"/>
    <w:rsid w:val="005D73A2"/>
    <w:rsid w:val="005D75F1"/>
    <w:rsid w:val="005D7636"/>
    <w:rsid w:val="005D76DC"/>
    <w:rsid w:val="005D79FD"/>
    <w:rsid w:val="005D7C04"/>
    <w:rsid w:val="005D7CC6"/>
    <w:rsid w:val="005D7E83"/>
    <w:rsid w:val="005D7EC5"/>
    <w:rsid w:val="005E04D5"/>
    <w:rsid w:val="005E0668"/>
    <w:rsid w:val="005E0CAD"/>
    <w:rsid w:val="005E0EE1"/>
    <w:rsid w:val="005E1122"/>
    <w:rsid w:val="005E1142"/>
    <w:rsid w:val="005E116C"/>
    <w:rsid w:val="005E11A2"/>
    <w:rsid w:val="005E146B"/>
    <w:rsid w:val="005E165D"/>
    <w:rsid w:val="005E16B4"/>
    <w:rsid w:val="005E17AA"/>
    <w:rsid w:val="005E19BF"/>
    <w:rsid w:val="005E1CD3"/>
    <w:rsid w:val="005E1D10"/>
    <w:rsid w:val="005E1D7D"/>
    <w:rsid w:val="005E1E26"/>
    <w:rsid w:val="005E1FCB"/>
    <w:rsid w:val="005E22CB"/>
    <w:rsid w:val="005E22F5"/>
    <w:rsid w:val="005E2784"/>
    <w:rsid w:val="005E2787"/>
    <w:rsid w:val="005E2B39"/>
    <w:rsid w:val="005E2C9F"/>
    <w:rsid w:val="005E304F"/>
    <w:rsid w:val="005E3299"/>
    <w:rsid w:val="005E356C"/>
    <w:rsid w:val="005E3646"/>
    <w:rsid w:val="005E37A7"/>
    <w:rsid w:val="005E383B"/>
    <w:rsid w:val="005E3984"/>
    <w:rsid w:val="005E3A90"/>
    <w:rsid w:val="005E3AB8"/>
    <w:rsid w:val="005E4124"/>
    <w:rsid w:val="005E419D"/>
    <w:rsid w:val="005E4204"/>
    <w:rsid w:val="005E44D9"/>
    <w:rsid w:val="005E471A"/>
    <w:rsid w:val="005E491C"/>
    <w:rsid w:val="005E4928"/>
    <w:rsid w:val="005E4BCE"/>
    <w:rsid w:val="005E4C8F"/>
    <w:rsid w:val="005E4DF6"/>
    <w:rsid w:val="005E4EA3"/>
    <w:rsid w:val="005E50B1"/>
    <w:rsid w:val="005E5458"/>
    <w:rsid w:val="005E555B"/>
    <w:rsid w:val="005E559D"/>
    <w:rsid w:val="005E5621"/>
    <w:rsid w:val="005E5783"/>
    <w:rsid w:val="005E57D6"/>
    <w:rsid w:val="005E582D"/>
    <w:rsid w:val="005E58F5"/>
    <w:rsid w:val="005E5BDD"/>
    <w:rsid w:val="005E5CA4"/>
    <w:rsid w:val="005E6158"/>
    <w:rsid w:val="005E626D"/>
    <w:rsid w:val="005E64B3"/>
    <w:rsid w:val="005E6568"/>
    <w:rsid w:val="005E657E"/>
    <w:rsid w:val="005E66F5"/>
    <w:rsid w:val="005E68BC"/>
    <w:rsid w:val="005E6A9E"/>
    <w:rsid w:val="005E6C7F"/>
    <w:rsid w:val="005E6DC8"/>
    <w:rsid w:val="005E6FCD"/>
    <w:rsid w:val="005E70BC"/>
    <w:rsid w:val="005E70FC"/>
    <w:rsid w:val="005E7298"/>
    <w:rsid w:val="005E755C"/>
    <w:rsid w:val="005E7652"/>
    <w:rsid w:val="005E7773"/>
    <w:rsid w:val="005E79DB"/>
    <w:rsid w:val="005E7CA6"/>
    <w:rsid w:val="005E7F4F"/>
    <w:rsid w:val="005E7FBC"/>
    <w:rsid w:val="005EC93C"/>
    <w:rsid w:val="005F02BC"/>
    <w:rsid w:val="005F0474"/>
    <w:rsid w:val="005F062D"/>
    <w:rsid w:val="005F067B"/>
    <w:rsid w:val="005F080E"/>
    <w:rsid w:val="005F09F9"/>
    <w:rsid w:val="005F10F4"/>
    <w:rsid w:val="005F1214"/>
    <w:rsid w:val="005F13EA"/>
    <w:rsid w:val="005F1566"/>
    <w:rsid w:val="005F1698"/>
    <w:rsid w:val="005F1862"/>
    <w:rsid w:val="005F1B66"/>
    <w:rsid w:val="005F1D82"/>
    <w:rsid w:val="005F1DB2"/>
    <w:rsid w:val="005F1DD3"/>
    <w:rsid w:val="005F1E02"/>
    <w:rsid w:val="005F20F7"/>
    <w:rsid w:val="005F2285"/>
    <w:rsid w:val="005F228F"/>
    <w:rsid w:val="005F2359"/>
    <w:rsid w:val="005F2547"/>
    <w:rsid w:val="005F26E6"/>
    <w:rsid w:val="005F2A77"/>
    <w:rsid w:val="005F2BA6"/>
    <w:rsid w:val="005F2C45"/>
    <w:rsid w:val="005F2E39"/>
    <w:rsid w:val="005F2EFD"/>
    <w:rsid w:val="005F2F02"/>
    <w:rsid w:val="005F2FB9"/>
    <w:rsid w:val="005F2FE5"/>
    <w:rsid w:val="005F31A3"/>
    <w:rsid w:val="005F3219"/>
    <w:rsid w:val="005F3734"/>
    <w:rsid w:val="005F3858"/>
    <w:rsid w:val="005F3AA7"/>
    <w:rsid w:val="005F3DF1"/>
    <w:rsid w:val="005F411E"/>
    <w:rsid w:val="005F446D"/>
    <w:rsid w:val="005F48EB"/>
    <w:rsid w:val="005F4A2F"/>
    <w:rsid w:val="005F4B0E"/>
    <w:rsid w:val="005F4CFB"/>
    <w:rsid w:val="005F4D9D"/>
    <w:rsid w:val="005F4E89"/>
    <w:rsid w:val="005F4E98"/>
    <w:rsid w:val="005F4EF8"/>
    <w:rsid w:val="005F5067"/>
    <w:rsid w:val="005F50E3"/>
    <w:rsid w:val="005F56E0"/>
    <w:rsid w:val="005F5840"/>
    <w:rsid w:val="005F584C"/>
    <w:rsid w:val="005F5A05"/>
    <w:rsid w:val="005F5A46"/>
    <w:rsid w:val="005F5D83"/>
    <w:rsid w:val="005F5E2C"/>
    <w:rsid w:val="005F5F9E"/>
    <w:rsid w:val="005F60C8"/>
    <w:rsid w:val="005F61B3"/>
    <w:rsid w:val="005F6319"/>
    <w:rsid w:val="005F64C9"/>
    <w:rsid w:val="005F6672"/>
    <w:rsid w:val="005F6A4A"/>
    <w:rsid w:val="005F6CEC"/>
    <w:rsid w:val="005F6F0B"/>
    <w:rsid w:val="005F71CD"/>
    <w:rsid w:val="005F73FD"/>
    <w:rsid w:val="005F7594"/>
    <w:rsid w:val="005F777C"/>
    <w:rsid w:val="005F77BD"/>
    <w:rsid w:val="005F7802"/>
    <w:rsid w:val="005F794A"/>
    <w:rsid w:val="005F7B77"/>
    <w:rsid w:val="005F7EF3"/>
    <w:rsid w:val="005F7F79"/>
    <w:rsid w:val="005F7F7D"/>
    <w:rsid w:val="005F80B7"/>
    <w:rsid w:val="00600A2F"/>
    <w:rsid w:val="00600ABE"/>
    <w:rsid w:val="00600DA8"/>
    <w:rsid w:val="00600DFF"/>
    <w:rsid w:val="00600F4B"/>
    <w:rsid w:val="006010FF"/>
    <w:rsid w:val="006012A9"/>
    <w:rsid w:val="006012DF"/>
    <w:rsid w:val="00601406"/>
    <w:rsid w:val="00601595"/>
    <w:rsid w:val="00601695"/>
    <w:rsid w:val="006016B7"/>
    <w:rsid w:val="0060170C"/>
    <w:rsid w:val="0060176A"/>
    <w:rsid w:val="00601A91"/>
    <w:rsid w:val="00601CFC"/>
    <w:rsid w:val="00601F6E"/>
    <w:rsid w:val="00602132"/>
    <w:rsid w:val="00602756"/>
    <w:rsid w:val="00602827"/>
    <w:rsid w:val="00602993"/>
    <w:rsid w:val="00602AC6"/>
    <w:rsid w:val="00602C39"/>
    <w:rsid w:val="00602C74"/>
    <w:rsid w:val="00602EBD"/>
    <w:rsid w:val="00602F48"/>
    <w:rsid w:val="006030FA"/>
    <w:rsid w:val="0060340C"/>
    <w:rsid w:val="00603535"/>
    <w:rsid w:val="00603584"/>
    <w:rsid w:val="00603740"/>
    <w:rsid w:val="00603843"/>
    <w:rsid w:val="00603A96"/>
    <w:rsid w:val="00603BA3"/>
    <w:rsid w:val="00603CB4"/>
    <w:rsid w:val="00603CFB"/>
    <w:rsid w:val="00604062"/>
    <w:rsid w:val="00604287"/>
    <w:rsid w:val="0060437A"/>
    <w:rsid w:val="006043D5"/>
    <w:rsid w:val="00604969"/>
    <w:rsid w:val="0060498E"/>
    <w:rsid w:val="00604E82"/>
    <w:rsid w:val="00604E9F"/>
    <w:rsid w:val="00604F85"/>
    <w:rsid w:val="00605035"/>
    <w:rsid w:val="00605330"/>
    <w:rsid w:val="00605620"/>
    <w:rsid w:val="00605664"/>
    <w:rsid w:val="006057A0"/>
    <w:rsid w:val="006058A8"/>
    <w:rsid w:val="00605AAE"/>
    <w:rsid w:val="00605B60"/>
    <w:rsid w:val="00605BC4"/>
    <w:rsid w:val="00605E9D"/>
    <w:rsid w:val="00605F4B"/>
    <w:rsid w:val="006062BC"/>
    <w:rsid w:val="006062F6"/>
    <w:rsid w:val="0060646C"/>
    <w:rsid w:val="00606707"/>
    <w:rsid w:val="00606AEE"/>
    <w:rsid w:val="00606D8A"/>
    <w:rsid w:val="00606E8F"/>
    <w:rsid w:val="00606FD5"/>
    <w:rsid w:val="00607080"/>
    <w:rsid w:val="0060708C"/>
    <w:rsid w:val="0060720C"/>
    <w:rsid w:val="00607241"/>
    <w:rsid w:val="00607380"/>
    <w:rsid w:val="00607449"/>
    <w:rsid w:val="00607450"/>
    <w:rsid w:val="00607484"/>
    <w:rsid w:val="006074AD"/>
    <w:rsid w:val="00607743"/>
    <w:rsid w:val="0060783F"/>
    <w:rsid w:val="006078A8"/>
    <w:rsid w:val="00607969"/>
    <w:rsid w:val="006079D8"/>
    <w:rsid w:val="00607AE2"/>
    <w:rsid w:val="00607B01"/>
    <w:rsid w:val="00607D43"/>
    <w:rsid w:val="00607D7C"/>
    <w:rsid w:val="00607F8A"/>
    <w:rsid w:val="00610060"/>
    <w:rsid w:val="006100C5"/>
    <w:rsid w:val="0061011F"/>
    <w:rsid w:val="00610147"/>
    <w:rsid w:val="00610204"/>
    <w:rsid w:val="006102C3"/>
    <w:rsid w:val="006103AB"/>
    <w:rsid w:val="006104D2"/>
    <w:rsid w:val="0061086A"/>
    <w:rsid w:val="00610896"/>
    <w:rsid w:val="00610906"/>
    <w:rsid w:val="006109F3"/>
    <w:rsid w:val="00610A57"/>
    <w:rsid w:val="00610A9D"/>
    <w:rsid w:val="00610BAE"/>
    <w:rsid w:val="00610D5E"/>
    <w:rsid w:val="00610F25"/>
    <w:rsid w:val="00611197"/>
    <w:rsid w:val="006113D8"/>
    <w:rsid w:val="006113E0"/>
    <w:rsid w:val="006113F9"/>
    <w:rsid w:val="0061173F"/>
    <w:rsid w:val="00611C16"/>
    <w:rsid w:val="00611D22"/>
    <w:rsid w:val="00611DE7"/>
    <w:rsid w:val="006121BC"/>
    <w:rsid w:val="0061222A"/>
    <w:rsid w:val="0061230D"/>
    <w:rsid w:val="006123BB"/>
    <w:rsid w:val="0061245E"/>
    <w:rsid w:val="00612541"/>
    <w:rsid w:val="0061291B"/>
    <w:rsid w:val="00612973"/>
    <w:rsid w:val="00612A75"/>
    <w:rsid w:val="00612AEC"/>
    <w:rsid w:val="00612C28"/>
    <w:rsid w:val="00612C44"/>
    <w:rsid w:val="00612C70"/>
    <w:rsid w:val="00613301"/>
    <w:rsid w:val="0061354A"/>
    <w:rsid w:val="00613569"/>
    <w:rsid w:val="0061360C"/>
    <w:rsid w:val="00613BE0"/>
    <w:rsid w:val="00613CE8"/>
    <w:rsid w:val="00613FE4"/>
    <w:rsid w:val="0061400B"/>
    <w:rsid w:val="00614044"/>
    <w:rsid w:val="006140B8"/>
    <w:rsid w:val="006140EF"/>
    <w:rsid w:val="00614290"/>
    <w:rsid w:val="0061434E"/>
    <w:rsid w:val="006144A7"/>
    <w:rsid w:val="0061457E"/>
    <w:rsid w:val="006147C2"/>
    <w:rsid w:val="00614870"/>
    <w:rsid w:val="00614A7D"/>
    <w:rsid w:val="00614ADE"/>
    <w:rsid w:val="00614C03"/>
    <w:rsid w:val="00614CE1"/>
    <w:rsid w:val="00614D0B"/>
    <w:rsid w:val="00614E85"/>
    <w:rsid w:val="00614FBE"/>
    <w:rsid w:val="0061510B"/>
    <w:rsid w:val="00615222"/>
    <w:rsid w:val="0061523D"/>
    <w:rsid w:val="00615273"/>
    <w:rsid w:val="006156B1"/>
    <w:rsid w:val="00615700"/>
    <w:rsid w:val="0061577C"/>
    <w:rsid w:val="006157BE"/>
    <w:rsid w:val="0061588C"/>
    <w:rsid w:val="00615897"/>
    <w:rsid w:val="0061594A"/>
    <w:rsid w:val="00615A8E"/>
    <w:rsid w:val="00615D68"/>
    <w:rsid w:val="00615F45"/>
    <w:rsid w:val="0061600E"/>
    <w:rsid w:val="00616034"/>
    <w:rsid w:val="00616040"/>
    <w:rsid w:val="0061611C"/>
    <w:rsid w:val="00616178"/>
    <w:rsid w:val="0061651E"/>
    <w:rsid w:val="0061655C"/>
    <w:rsid w:val="0061658F"/>
    <w:rsid w:val="006165F5"/>
    <w:rsid w:val="00616749"/>
    <w:rsid w:val="006167B3"/>
    <w:rsid w:val="00616AB5"/>
    <w:rsid w:val="00616ABE"/>
    <w:rsid w:val="00616B0E"/>
    <w:rsid w:val="00616BC5"/>
    <w:rsid w:val="00616C2A"/>
    <w:rsid w:val="00616C2C"/>
    <w:rsid w:val="00616E31"/>
    <w:rsid w:val="00616F85"/>
    <w:rsid w:val="00617449"/>
    <w:rsid w:val="006177F7"/>
    <w:rsid w:val="0061784F"/>
    <w:rsid w:val="006178CC"/>
    <w:rsid w:val="00617A97"/>
    <w:rsid w:val="00617DCD"/>
    <w:rsid w:val="0062011F"/>
    <w:rsid w:val="0062016F"/>
    <w:rsid w:val="0062018E"/>
    <w:rsid w:val="00620197"/>
    <w:rsid w:val="00620322"/>
    <w:rsid w:val="00620602"/>
    <w:rsid w:val="006207A9"/>
    <w:rsid w:val="00620816"/>
    <w:rsid w:val="006208CA"/>
    <w:rsid w:val="00620B27"/>
    <w:rsid w:val="00620C92"/>
    <w:rsid w:val="00620F9A"/>
    <w:rsid w:val="0062101C"/>
    <w:rsid w:val="00621165"/>
    <w:rsid w:val="006211B9"/>
    <w:rsid w:val="006214EA"/>
    <w:rsid w:val="00621671"/>
    <w:rsid w:val="00621677"/>
    <w:rsid w:val="00621878"/>
    <w:rsid w:val="00621B01"/>
    <w:rsid w:val="00621B52"/>
    <w:rsid w:val="00621B7D"/>
    <w:rsid w:val="00621B8B"/>
    <w:rsid w:val="00621BFA"/>
    <w:rsid w:val="00621CA8"/>
    <w:rsid w:val="00622052"/>
    <w:rsid w:val="00622059"/>
    <w:rsid w:val="00622097"/>
    <w:rsid w:val="00622193"/>
    <w:rsid w:val="006221FE"/>
    <w:rsid w:val="00622356"/>
    <w:rsid w:val="006224F2"/>
    <w:rsid w:val="0062276D"/>
    <w:rsid w:val="006227CC"/>
    <w:rsid w:val="00622897"/>
    <w:rsid w:val="00622AD9"/>
    <w:rsid w:val="00622C2A"/>
    <w:rsid w:val="00622C5B"/>
    <w:rsid w:val="00622D29"/>
    <w:rsid w:val="00623434"/>
    <w:rsid w:val="00623458"/>
    <w:rsid w:val="006235FB"/>
    <w:rsid w:val="00623620"/>
    <w:rsid w:val="0062373E"/>
    <w:rsid w:val="006238F9"/>
    <w:rsid w:val="00623A86"/>
    <w:rsid w:val="00623A93"/>
    <w:rsid w:val="00623B05"/>
    <w:rsid w:val="00623CF2"/>
    <w:rsid w:val="00623D84"/>
    <w:rsid w:val="00623FEB"/>
    <w:rsid w:val="0062404E"/>
    <w:rsid w:val="0062436C"/>
    <w:rsid w:val="0062444A"/>
    <w:rsid w:val="00624560"/>
    <w:rsid w:val="006245D4"/>
    <w:rsid w:val="006246DE"/>
    <w:rsid w:val="0062473E"/>
    <w:rsid w:val="00624915"/>
    <w:rsid w:val="00624956"/>
    <w:rsid w:val="006249CE"/>
    <w:rsid w:val="006249ED"/>
    <w:rsid w:val="00624A56"/>
    <w:rsid w:val="00624A7C"/>
    <w:rsid w:val="00624B9D"/>
    <w:rsid w:val="00624D67"/>
    <w:rsid w:val="00624D80"/>
    <w:rsid w:val="00624F7C"/>
    <w:rsid w:val="00625322"/>
    <w:rsid w:val="00625AD4"/>
    <w:rsid w:val="00625AD8"/>
    <w:rsid w:val="00625AF5"/>
    <w:rsid w:val="00625CAE"/>
    <w:rsid w:val="00625CEF"/>
    <w:rsid w:val="006264FA"/>
    <w:rsid w:val="00626728"/>
    <w:rsid w:val="00626D90"/>
    <w:rsid w:val="00626F00"/>
    <w:rsid w:val="00627327"/>
    <w:rsid w:val="006274A7"/>
    <w:rsid w:val="006275AD"/>
    <w:rsid w:val="00627620"/>
    <w:rsid w:val="0062770D"/>
    <w:rsid w:val="00627749"/>
    <w:rsid w:val="00627C92"/>
    <w:rsid w:val="00627E6D"/>
    <w:rsid w:val="00630022"/>
    <w:rsid w:val="00630040"/>
    <w:rsid w:val="006301E2"/>
    <w:rsid w:val="00630709"/>
    <w:rsid w:val="0063096F"/>
    <w:rsid w:val="00630DB0"/>
    <w:rsid w:val="00630E71"/>
    <w:rsid w:val="00630EBA"/>
    <w:rsid w:val="00630F5B"/>
    <w:rsid w:val="00630FDE"/>
    <w:rsid w:val="0063105E"/>
    <w:rsid w:val="00631119"/>
    <w:rsid w:val="00631240"/>
    <w:rsid w:val="006312C5"/>
    <w:rsid w:val="006312E1"/>
    <w:rsid w:val="00631656"/>
    <w:rsid w:val="006319C3"/>
    <w:rsid w:val="00631A44"/>
    <w:rsid w:val="00631A4B"/>
    <w:rsid w:val="00631A69"/>
    <w:rsid w:val="00631D62"/>
    <w:rsid w:val="00631EF3"/>
    <w:rsid w:val="00631FEF"/>
    <w:rsid w:val="006321B6"/>
    <w:rsid w:val="006323F6"/>
    <w:rsid w:val="0063262F"/>
    <w:rsid w:val="00632AE2"/>
    <w:rsid w:val="00632CB2"/>
    <w:rsid w:val="0063336C"/>
    <w:rsid w:val="006333CD"/>
    <w:rsid w:val="00633587"/>
    <w:rsid w:val="006336B4"/>
    <w:rsid w:val="00633718"/>
    <w:rsid w:val="0063378C"/>
    <w:rsid w:val="0063386F"/>
    <w:rsid w:val="00633920"/>
    <w:rsid w:val="00633A0B"/>
    <w:rsid w:val="00633C80"/>
    <w:rsid w:val="00633D1E"/>
    <w:rsid w:val="00633F9F"/>
    <w:rsid w:val="00634119"/>
    <w:rsid w:val="006341D4"/>
    <w:rsid w:val="006341FA"/>
    <w:rsid w:val="006343C9"/>
    <w:rsid w:val="006346A5"/>
    <w:rsid w:val="006349CE"/>
    <w:rsid w:val="00634A57"/>
    <w:rsid w:val="00634F25"/>
    <w:rsid w:val="00635229"/>
    <w:rsid w:val="00635257"/>
    <w:rsid w:val="00635608"/>
    <w:rsid w:val="00635621"/>
    <w:rsid w:val="00635790"/>
    <w:rsid w:val="00635846"/>
    <w:rsid w:val="006359E4"/>
    <w:rsid w:val="00635ACA"/>
    <w:rsid w:val="00635CAB"/>
    <w:rsid w:val="00635E60"/>
    <w:rsid w:val="00636005"/>
    <w:rsid w:val="0063601D"/>
    <w:rsid w:val="0063629E"/>
    <w:rsid w:val="006363D2"/>
    <w:rsid w:val="00636404"/>
    <w:rsid w:val="0063648A"/>
    <w:rsid w:val="00636A87"/>
    <w:rsid w:val="00636AD4"/>
    <w:rsid w:val="00636C5E"/>
    <w:rsid w:val="00636CC1"/>
    <w:rsid w:val="00636DA8"/>
    <w:rsid w:val="00636EFA"/>
    <w:rsid w:val="00636FF2"/>
    <w:rsid w:val="0063757F"/>
    <w:rsid w:val="00637891"/>
    <w:rsid w:val="0063799D"/>
    <w:rsid w:val="006379A5"/>
    <w:rsid w:val="00637BDC"/>
    <w:rsid w:val="00637DFF"/>
    <w:rsid w:val="006404E3"/>
    <w:rsid w:val="00640692"/>
    <w:rsid w:val="00640818"/>
    <w:rsid w:val="006408CE"/>
    <w:rsid w:val="00640923"/>
    <w:rsid w:val="006409ED"/>
    <w:rsid w:val="00640AC3"/>
    <w:rsid w:val="006411DA"/>
    <w:rsid w:val="0064129E"/>
    <w:rsid w:val="006416FB"/>
    <w:rsid w:val="00641798"/>
    <w:rsid w:val="0064179E"/>
    <w:rsid w:val="006417A4"/>
    <w:rsid w:val="00641863"/>
    <w:rsid w:val="0064187F"/>
    <w:rsid w:val="006418CF"/>
    <w:rsid w:val="00641B0B"/>
    <w:rsid w:val="00641CAF"/>
    <w:rsid w:val="00641E9D"/>
    <w:rsid w:val="00642252"/>
    <w:rsid w:val="006422DD"/>
    <w:rsid w:val="0064233A"/>
    <w:rsid w:val="0064238D"/>
    <w:rsid w:val="00642442"/>
    <w:rsid w:val="00642566"/>
    <w:rsid w:val="00642663"/>
    <w:rsid w:val="00642880"/>
    <w:rsid w:val="0064289F"/>
    <w:rsid w:val="00642A2B"/>
    <w:rsid w:val="00642B05"/>
    <w:rsid w:val="00642C1E"/>
    <w:rsid w:val="00642E6D"/>
    <w:rsid w:val="00643228"/>
    <w:rsid w:val="006435F6"/>
    <w:rsid w:val="0064365E"/>
    <w:rsid w:val="0064377D"/>
    <w:rsid w:val="00643917"/>
    <w:rsid w:val="00643A52"/>
    <w:rsid w:val="00643C64"/>
    <w:rsid w:val="00643D3B"/>
    <w:rsid w:val="00643F21"/>
    <w:rsid w:val="006440DC"/>
    <w:rsid w:val="006444D7"/>
    <w:rsid w:val="0064468B"/>
    <w:rsid w:val="00644834"/>
    <w:rsid w:val="00644B24"/>
    <w:rsid w:val="00644BAE"/>
    <w:rsid w:val="00644BE2"/>
    <w:rsid w:val="00644C94"/>
    <w:rsid w:val="00644CE4"/>
    <w:rsid w:val="00644D6D"/>
    <w:rsid w:val="00644ED4"/>
    <w:rsid w:val="00645090"/>
    <w:rsid w:val="00645212"/>
    <w:rsid w:val="006454E9"/>
    <w:rsid w:val="006456CC"/>
    <w:rsid w:val="00645792"/>
    <w:rsid w:val="00645C28"/>
    <w:rsid w:val="00645D9F"/>
    <w:rsid w:val="006463EF"/>
    <w:rsid w:val="00646481"/>
    <w:rsid w:val="0064664E"/>
    <w:rsid w:val="00646A68"/>
    <w:rsid w:val="00647139"/>
    <w:rsid w:val="00647516"/>
    <w:rsid w:val="0064783D"/>
    <w:rsid w:val="00647EDC"/>
    <w:rsid w:val="00647EDF"/>
    <w:rsid w:val="00647F15"/>
    <w:rsid w:val="0065018B"/>
    <w:rsid w:val="0065033F"/>
    <w:rsid w:val="00650393"/>
    <w:rsid w:val="006503D6"/>
    <w:rsid w:val="006504E3"/>
    <w:rsid w:val="00650B24"/>
    <w:rsid w:val="00650E1C"/>
    <w:rsid w:val="00651119"/>
    <w:rsid w:val="006512DD"/>
    <w:rsid w:val="0065135F"/>
    <w:rsid w:val="006513E8"/>
    <w:rsid w:val="0065161B"/>
    <w:rsid w:val="00651A3B"/>
    <w:rsid w:val="00651B2D"/>
    <w:rsid w:val="00651B8C"/>
    <w:rsid w:val="00651CE3"/>
    <w:rsid w:val="00651E0C"/>
    <w:rsid w:val="00651F04"/>
    <w:rsid w:val="006521F6"/>
    <w:rsid w:val="006522C3"/>
    <w:rsid w:val="00652324"/>
    <w:rsid w:val="006523E6"/>
    <w:rsid w:val="006525CF"/>
    <w:rsid w:val="0065286B"/>
    <w:rsid w:val="00652888"/>
    <w:rsid w:val="00652A5F"/>
    <w:rsid w:val="00652B56"/>
    <w:rsid w:val="00652D79"/>
    <w:rsid w:val="00652D9B"/>
    <w:rsid w:val="00653052"/>
    <w:rsid w:val="00653286"/>
    <w:rsid w:val="0065331B"/>
    <w:rsid w:val="00653457"/>
    <w:rsid w:val="006534D2"/>
    <w:rsid w:val="0065353B"/>
    <w:rsid w:val="0065362F"/>
    <w:rsid w:val="006537F1"/>
    <w:rsid w:val="00653A1C"/>
    <w:rsid w:val="00653D23"/>
    <w:rsid w:val="00653D96"/>
    <w:rsid w:val="00654623"/>
    <w:rsid w:val="0065477B"/>
    <w:rsid w:val="00654B9F"/>
    <w:rsid w:val="00654BB0"/>
    <w:rsid w:val="00654BD1"/>
    <w:rsid w:val="00654F7C"/>
    <w:rsid w:val="00654F90"/>
    <w:rsid w:val="00654FCA"/>
    <w:rsid w:val="0065552E"/>
    <w:rsid w:val="0065569A"/>
    <w:rsid w:val="0065571E"/>
    <w:rsid w:val="00655955"/>
    <w:rsid w:val="00655A0A"/>
    <w:rsid w:val="00655D66"/>
    <w:rsid w:val="00655D71"/>
    <w:rsid w:val="00655E47"/>
    <w:rsid w:val="00655EA6"/>
    <w:rsid w:val="00655EE9"/>
    <w:rsid w:val="00655F85"/>
    <w:rsid w:val="00655F8D"/>
    <w:rsid w:val="006562F0"/>
    <w:rsid w:val="00656554"/>
    <w:rsid w:val="0065670B"/>
    <w:rsid w:val="006569D5"/>
    <w:rsid w:val="00656A2F"/>
    <w:rsid w:val="00656D12"/>
    <w:rsid w:val="00656F3B"/>
    <w:rsid w:val="006571A9"/>
    <w:rsid w:val="006572C2"/>
    <w:rsid w:val="006574A3"/>
    <w:rsid w:val="00657D69"/>
    <w:rsid w:val="00657E63"/>
    <w:rsid w:val="006600FC"/>
    <w:rsid w:val="00660104"/>
    <w:rsid w:val="006604F3"/>
    <w:rsid w:val="00660608"/>
    <w:rsid w:val="0066099D"/>
    <w:rsid w:val="00660A01"/>
    <w:rsid w:val="00660B87"/>
    <w:rsid w:val="00660E10"/>
    <w:rsid w:val="00660E40"/>
    <w:rsid w:val="006610EF"/>
    <w:rsid w:val="006611DE"/>
    <w:rsid w:val="00661277"/>
    <w:rsid w:val="006612D7"/>
    <w:rsid w:val="006618B4"/>
    <w:rsid w:val="006618D3"/>
    <w:rsid w:val="00661971"/>
    <w:rsid w:val="00661BF7"/>
    <w:rsid w:val="00661D25"/>
    <w:rsid w:val="0066209A"/>
    <w:rsid w:val="00662863"/>
    <w:rsid w:val="0066287B"/>
    <w:rsid w:val="00662977"/>
    <w:rsid w:val="006629AC"/>
    <w:rsid w:val="00662CD2"/>
    <w:rsid w:val="00662D0A"/>
    <w:rsid w:val="0066336E"/>
    <w:rsid w:val="0066337A"/>
    <w:rsid w:val="00663576"/>
    <w:rsid w:val="00663769"/>
    <w:rsid w:val="006638BB"/>
    <w:rsid w:val="00663F70"/>
    <w:rsid w:val="006640F0"/>
    <w:rsid w:val="0066414F"/>
    <w:rsid w:val="00664274"/>
    <w:rsid w:val="00664344"/>
    <w:rsid w:val="00664352"/>
    <w:rsid w:val="00664606"/>
    <w:rsid w:val="006646AC"/>
    <w:rsid w:val="0066471A"/>
    <w:rsid w:val="00664981"/>
    <w:rsid w:val="00664C7E"/>
    <w:rsid w:val="00664D7F"/>
    <w:rsid w:val="00664F73"/>
    <w:rsid w:val="00665101"/>
    <w:rsid w:val="006652EC"/>
    <w:rsid w:val="0066543E"/>
    <w:rsid w:val="00665568"/>
    <w:rsid w:val="00665A1A"/>
    <w:rsid w:val="00665B9F"/>
    <w:rsid w:val="00665EB5"/>
    <w:rsid w:val="00665FBB"/>
    <w:rsid w:val="0066608B"/>
    <w:rsid w:val="0066617B"/>
    <w:rsid w:val="00666288"/>
    <w:rsid w:val="00666318"/>
    <w:rsid w:val="006663F8"/>
    <w:rsid w:val="00666494"/>
    <w:rsid w:val="0066654E"/>
    <w:rsid w:val="006669B5"/>
    <w:rsid w:val="00666BB4"/>
    <w:rsid w:val="00666BC8"/>
    <w:rsid w:val="00666D99"/>
    <w:rsid w:val="00666FA7"/>
    <w:rsid w:val="00667030"/>
    <w:rsid w:val="00667076"/>
    <w:rsid w:val="0066713D"/>
    <w:rsid w:val="0066739E"/>
    <w:rsid w:val="006674D7"/>
    <w:rsid w:val="006677ED"/>
    <w:rsid w:val="006678CD"/>
    <w:rsid w:val="006678D1"/>
    <w:rsid w:val="00667ADE"/>
    <w:rsid w:val="00667E64"/>
    <w:rsid w:val="0066A29C"/>
    <w:rsid w:val="006704B9"/>
    <w:rsid w:val="006705ED"/>
    <w:rsid w:val="00670788"/>
    <w:rsid w:val="006708A8"/>
    <w:rsid w:val="00670978"/>
    <w:rsid w:val="006709C1"/>
    <w:rsid w:val="00670C30"/>
    <w:rsid w:val="00670C37"/>
    <w:rsid w:val="00670EFF"/>
    <w:rsid w:val="00670F81"/>
    <w:rsid w:val="00670F84"/>
    <w:rsid w:val="00670F8E"/>
    <w:rsid w:val="00671042"/>
    <w:rsid w:val="00671078"/>
    <w:rsid w:val="00671079"/>
    <w:rsid w:val="00671119"/>
    <w:rsid w:val="00671514"/>
    <w:rsid w:val="00671678"/>
    <w:rsid w:val="00671801"/>
    <w:rsid w:val="0067198B"/>
    <w:rsid w:val="00671A34"/>
    <w:rsid w:val="00671A57"/>
    <w:rsid w:val="00671B50"/>
    <w:rsid w:val="00671D85"/>
    <w:rsid w:val="00671DCE"/>
    <w:rsid w:val="00671E49"/>
    <w:rsid w:val="00671FE1"/>
    <w:rsid w:val="00672005"/>
    <w:rsid w:val="0067225B"/>
    <w:rsid w:val="00672522"/>
    <w:rsid w:val="00672551"/>
    <w:rsid w:val="006725AE"/>
    <w:rsid w:val="006725E1"/>
    <w:rsid w:val="00672A42"/>
    <w:rsid w:val="00672ABF"/>
    <w:rsid w:val="00672ED0"/>
    <w:rsid w:val="00672EF0"/>
    <w:rsid w:val="00672F05"/>
    <w:rsid w:val="00672F7E"/>
    <w:rsid w:val="00672FE5"/>
    <w:rsid w:val="0067330D"/>
    <w:rsid w:val="00673398"/>
    <w:rsid w:val="006736ED"/>
    <w:rsid w:val="006739B7"/>
    <w:rsid w:val="00673EB2"/>
    <w:rsid w:val="00673FF0"/>
    <w:rsid w:val="0067443F"/>
    <w:rsid w:val="0067460B"/>
    <w:rsid w:val="0067473B"/>
    <w:rsid w:val="00674874"/>
    <w:rsid w:val="0067488A"/>
    <w:rsid w:val="00674A75"/>
    <w:rsid w:val="00674B91"/>
    <w:rsid w:val="00674F56"/>
    <w:rsid w:val="0067500D"/>
    <w:rsid w:val="0067510F"/>
    <w:rsid w:val="00675814"/>
    <w:rsid w:val="00675867"/>
    <w:rsid w:val="00675A6E"/>
    <w:rsid w:val="00675B9D"/>
    <w:rsid w:val="00675BB4"/>
    <w:rsid w:val="00675E26"/>
    <w:rsid w:val="00675FA8"/>
    <w:rsid w:val="00676000"/>
    <w:rsid w:val="00676460"/>
    <w:rsid w:val="00676482"/>
    <w:rsid w:val="00676495"/>
    <w:rsid w:val="00676628"/>
    <w:rsid w:val="0067685A"/>
    <w:rsid w:val="00676A2E"/>
    <w:rsid w:val="00676FF8"/>
    <w:rsid w:val="006770AF"/>
    <w:rsid w:val="0067717C"/>
    <w:rsid w:val="00677255"/>
    <w:rsid w:val="0067739A"/>
    <w:rsid w:val="00677426"/>
    <w:rsid w:val="0067742E"/>
    <w:rsid w:val="006774E6"/>
    <w:rsid w:val="00677762"/>
    <w:rsid w:val="006777A4"/>
    <w:rsid w:val="0067782C"/>
    <w:rsid w:val="006779A3"/>
    <w:rsid w:val="00677AA5"/>
    <w:rsid w:val="00677AFB"/>
    <w:rsid w:val="00677C9F"/>
    <w:rsid w:val="00680192"/>
    <w:rsid w:val="006803E1"/>
    <w:rsid w:val="0068041F"/>
    <w:rsid w:val="006804CC"/>
    <w:rsid w:val="00680525"/>
    <w:rsid w:val="00680586"/>
    <w:rsid w:val="0068080D"/>
    <w:rsid w:val="006808B1"/>
    <w:rsid w:val="006808E7"/>
    <w:rsid w:val="00680902"/>
    <w:rsid w:val="006809DD"/>
    <w:rsid w:val="00680A2C"/>
    <w:rsid w:val="00680AB9"/>
    <w:rsid w:val="00680AC8"/>
    <w:rsid w:val="00680B32"/>
    <w:rsid w:val="00680CA8"/>
    <w:rsid w:val="00680F1A"/>
    <w:rsid w:val="006812E0"/>
    <w:rsid w:val="0068131D"/>
    <w:rsid w:val="0068135D"/>
    <w:rsid w:val="0068136D"/>
    <w:rsid w:val="0068165A"/>
    <w:rsid w:val="006816DA"/>
    <w:rsid w:val="00681775"/>
    <w:rsid w:val="0068180E"/>
    <w:rsid w:val="00681A1B"/>
    <w:rsid w:val="00681B83"/>
    <w:rsid w:val="00681BD7"/>
    <w:rsid w:val="00681C14"/>
    <w:rsid w:val="00681D19"/>
    <w:rsid w:val="0068223D"/>
    <w:rsid w:val="006822D1"/>
    <w:rsid w:val="00682382"/>
    <w:rsid w:val="006824C0"/>
    <w:rsid w:val="00682542"/>
    <w:rsid w:val="00682776"/>
    <w:rsid w:val="0068277F"/>
    <w:rsid w:val="00682BCF"/>
    <w:rsid w:val="00682FDE"/>
    <w:rsid w:val="00683076"/>
    <w:rsid w:val="006831D9"/>
    <w:rsid w:val="0068329A"/>
    <w:rsid w:val="006832F5"/>
    <w:rsid w:val="006833D9"/>
    <w:rsid w:val="00683556"/>
    <w:rsid w:val="006838D2"/>
    <w:rsid w:val="00683A50"/>
    <w:rsid w:val="00683D3E"/>
    <w:rsid w:val="00683DF9"/>
    <w:rsid w:val="00683E52"/>
    <w:rsid w:val="00683E61"/>
    <w:rsid w:val="00683EA9"/>
    <w:rsid w:val="00684096"/>
    <w:rsid w:val="0068415D"/>
    <w:rsid w:val="0068422B"/>
    <w:rsid w:val="00684318"/>
    <w:rsid w:val="006844B9"/>
    <w:rsid w:val="006845EB"/>
    <w:rsid w:val="006845F0"/>
    <w:rsid w:val="00684787"/>
    <w:rsid w:val="0068483C"/>
    <w:rsid w:val="00684A42"/>
    <w:rsid w:val="00684BD5"/>
    <w:rsid w:val="00684D43"/>
    <w:rsid w:val="00684D59"/>
    <w:rsid w:val="00684E2B"/>
    <w:rsid w:val="00684F39"/>
    <w:rsid w:val="00684F43"/>
    <w:rsid w:val="00685258"/>
    <w:rsid w:val="0068551C"/>
    <w:rsid w:val="006855F2"/>
    <w:rsid w:val="00685706"/>
    <w:rsid w:val="006857CB"/>
    <w:rsid w:val="0068581E"/>
    <w:rsid w:val="00685A47"/>
    <w:rsid w:val="00685B0D"/>
    <w:rsid w:val="00685BF1"/>
    <w:rsid w:val="00685D22"/>
    <w:rsid w:val="006861AA"/>
    <w:rsid w:val="006863DC"/>
    <w:rsid w:val="006863E2"/>
    <w:rsid w:val="006863FC"/>
    <w:rsid w:val="0068649A"/>
    <w:rsid w:val="006865AF"/>
    <w:rsid w:val="0068682E"/>
    <w:rsid w:val="006868CE"/>
    <w:rsid w:val="00686A34"/>
    <w:rsid w:val="00686BD7"/>
    <w:rsid w:val="00686DDF"/>
    <w:rsid w:val="00686E97"/>
    <w:rsid w:val="00687128"/>
    <w:rsid w:val="006872DE"/>
    <w:rsid w:val="00687344"/>
    <w:rsid w:val="00687404"/>
    <w:rsid w:val="006875B9"/>
    <w:rsid w:val="00687900"/>
    <w:rsid w:val="006879EC"/>
    <w:rsid w:val="00687AE1"/>
    <w:rsid w:val="00687AE5"/>
    <w:rsid w:val="00687AFB"/>
    <w:rsid w:val="00687B2F"/>
    <w:rsid w:val="00687C65"/>
    <w:rsid w:val="00687E3A"/>
    <w:rsid w:val="00687EF9"/>
    <w:rsid w:val="006900F3"/>
    <w:rsid w:val="00690170"/>
    <w:rsid w:val="006901EC"/>
    <w:rsid w:val="00690456"/>
    <w:rsid w:val="00690596"/>
    <w:rsid w:val="00690617"/>
    <w:rsid w:val="0069069A"/>
    <w:rsid w:val="006907C5"/>
    <w:rsid w:val="00690E5E"/>
    <w:rsid w:val="0069108F"/>
    <w:rsid w:val="00691180"/>
    <w:rsid w:val="00691842"/>
    <w:rsid w:val="006919D5"/>
    <w:rsid w:val="00691AA3"/>
    <w:rsid w:val="00691BE5"/>
    <w:rsid w:val="00691F44"/>
    <w:rsid w:val="006921A4"/>
    <w:rsid w:val="00692203"/>
    <w:rsid w:val="0069239E"/>
    <w:rsid w:val="00692774"/>
    <w:rsid w:val="00692AB7"/>
    <w:rsid w:val="00692D99"/>
    <w:rsid w:val="00692FA1"/>
    <w:rsid w:val="00692FCF"/>
    <w:rsid w:val="0069321F"/>
    <w:rsid w:val="006932BB"/>
    <w:rsid w:val="006932DC"/>
    <w:rsid w:val="006933B6"/>
    <w:rsid w:val="006934D5"/>
    <w:rsid w:val="00693628"/>
    <w:rsid w:val="00693645"/>
    <w:rsid w:val="00693986"/>
    <w:rsid w:val="006939EF"/>
    <w:rsid w:val="00693A3C"/>
    <w:rsid w:val="00693CB6"/>
    <w:rsid w:val="00693CE5"/>
    <w:rsid w:val="00693D1D"/>
    <w:rsid w:val="00693F09"/>
    <w:rsid w:val="00693FA1"/>
    <w:rsid w:val="00694028"/>
    <w:rsid w:val="00694292"/>
    <w:rsid w:val="00694628"/>
    <w:rsid w:val="0069468B"/>
    <w:rsid w:val="006947D7"/>
    <w:rsid w:val="00694858"/>
    <w:rsid w:val="00694A6D"/>
    <w:rsid w:val="00694CAD"/>
    <w:rsid w:val="00694DDD"/>
    <w:rsid w:val="00694EDA"/>
    <w:rsid w:val="00694F16"/>
    <w:rsid w:val="00695240"/>
    <w:rsid w:val="006954AF"/>
    <w:rsid w:val="0069558C"/>
    <w:rsid w:val="006957C6"/>
    <w:rsid w:val="00695870"/>
    <w:rsid w:val="00695A9E"/>
    <w:rsid w:val="00695B73"/>
    <w:rsid w:val="00695D68"/>
    <w:rsid w:val="00695DCC"/>
    <w:rsid w:val="00695E62"/>
    <w:rsid w:val="00696154"/>
    <w:rsid w:val="00696367"/>
    <w:rsid w:val="00696498"/>
    <w:rsid w:val="006966A9"/>
    <w:rsid w:val="00696770"/>
    <w:rsid w:val="00696784"/>
    <w:rsid w:val="00696CA4"/>
    <w:rsid w:val="00696D1E"/>
    <w:rsid w:val="00696D44"/>
    <w:rsid w:val="00696EC8"/>
    <w:rsid w:val="00696EC9"/>
    <w:rsid w:val="00696F52"/>
    <w:rsid w:val="00696F90"/>
    <w:rsid w:val="0069733F"/>
    <w:rsid w:val="0069741B"/>
    <w:rsid w:val="0069743B"/>
    <w:rsid w:val="006976E6"/>
    <w:rsid w:val="00697808"/>
    <w:rsid w:val="00697C4E"/>
    <w:rsid w:val="00697C72"/>
    <w:rsid w:val="00697EBB"/>
    <w:rsid w:val="00697ECD"/>
    <w:rsid w:val="00697F45"/>
    <w:rsid w:val="006A01CF"/>
    <w:rsid w:val="006A0277"/>
    <w:rsid w:val="006A04C9"/>
    <w:rsid w:val="006A0753"/>
    <w:rsid w:val="006A075A"/>
    <w:rsid w:val="006A0C6A"/>
    <w:rsid w:val="006A0CD2"/>
    <w:rsid w:val="006A0DEC"/>
    <w:rsid w:val="006A0E94"/>
    <w:rsid w:val="006A1023"/>
    <w:rsid w:val="006A104B"/>
    <w:rsid w:val="006A10C5"/>
    <w:rsid w:val="006A12C6"/>
    <w:rsid w:val="006A1447"/>
    <w:rsid w:val="006A15E0"/>
    <w:rsid w:val="006A1996"/>
    <w:rsid w:val="006A1BBE"/>
    <w:rsid w:val="006A201F"/>
    <w:rsid w:val="006A2142"/>
    <w:rsid w:val="006A2395"/>
    <w:rsid w:val="006A2B98"/>
    <w:rsid w:val="006A2CA4"/>
    <w:rsid w:val="006A2CA9"/>
    <w:rsid w:val="006A2EFC"/>
    <w:rsid w:val="006A2FA1"/>
    <w:rsid w:val="006A33E6"/>
    <w:rsid w:val="006A3904"/>
    <w:rsid w:val="006A3B30"/>
    <w:rsid w:val="006A3E5E"/>
    <w:rsid w:val="006A3F49"/>
    <w:rsid w:val="006A403E"/>
    <w:rsid w:val="006A415F"/>
    <w:rsid w:val="006A42B9"/>
    <w:rsid w:val="006A453B"/>
    <w:rsid w:val="006A45A4"/>
    <w:rsid w:val="006A479D"/>
    <w:rsid w:val="006A48CE"/>
    <w:rsid w:val="006A48DA"/>
    <w:rsid w:val="006A4A08"/>
    <w:rsid w:val="006A4B64"/>
    <w:rsid w:val="006A4BEE"/>
    <w:rsid w:val="006A4D83"/>
    <w:rsid w:val="006A4E62"/>
    <w:rsid w:val="006A4E8E"/>
    <w:rsid w:val="006A531A"/>
    <w:rsid w:val="006A56B2"/>
    <w:rsid w:val="006A575B"/>
    <w:rsid w:val="006A58A2"/>
    <w:rsid w:val="006A59C1"/>
    <w:rsid w:val="006A59CA"/>
    <w:rsid w:val="006A59E4"/>
    <w:rsid w:val="006A5A1B"/>
    <w:rsid w:val="006A5B8F"/>
    <w:rsid w:val="006A5BD1"/>
    <w:rsid w:val="006A5F5A"/>
    <w:rsid w:val="006A5FC9"/>
    <w:rsid w:val="006A619E"/>
    <w:rsid w:val="006A63E0"/>
    <w:rsid w:val="006A65B9"/>
    <w:rsid w:val="006A6A71"/>
    <w:rsid w:val="006A6AE9"/>
    <w:rsid w:val="006A6D9A"/>
    <w:rsid w:val="006A6D9F"/>
    <w:rsid w:val="006A717E"/>
    <w:rsid w:val="006A73AE"/>
    <w:rsid w:val="006A74D3"/>
    <w:rsid w:val="006A74FD"/>
    <w:rsid w:val="006A7656"/>
    <w:rsid w:val="006A7753"/>
    <w:rsid w:val="006A7830"/>
    <w:rsid w:val="006A7891"/>
    <w:rsid w:val="006A79E4"/>
    <w:rsid w:val="006A7B82"/>
    <w:rsid w:val="006A7C1B"/>
    <w:rsid w:val="006A7CDC"/>
    <w:rsid w:val="006A7D62"/>
    <w:rsid w:val="006A7F84"/>
    <w:rsid w:val="006B0555"/>
    <w:rsid w:val="006B0773"/>
    <w:rsid w:val="006B0933"/>
    <w:rsid w:val="006B0C03"/>
    <w:rsid w:val="006B0CB5"/>
    <w:rsid w:val="006B0D4D"/>
    <w:rsid w:val="006B0E06"/>
    <w:rsid w:val="006B1024"/>
    <w:rsid w:val="006B1176"/>
    <w:rsid w:val="006B119F"/>
    <w:rsid w:val="006B1212"/>
    <w:rsid w:val="006B128F"/>
    <w:rsid w:val="006B1419"/>
    <w:rsid w:val="006B16B4"/>
    <w:rsid w:val="006B1790"/>
    <w:rsid w:val="006B17C7"/>
    <w:rsid w:val="006B1899"/>
    <w:rsid w:val="006B19C6"/>
    <w:rsid w:val="006B1B52"/>
    <w:rsid w:val="006B1BE2"/>
    <w:rsid w:val="006B1C6D"/>
    <w:rsid w:val="006B20A0"/>
    <w:rsid w:val="006B2235"/>
    <w:rsid w:val="006B22DE"/>
    <w:rsid w:val="006B252E"/>
    <w:rsid w:val="006B2547"/>
    <w:rsid w:val="006B27BF"/>
    <w:rsid w:val="006B28AA"/>
    <w:rsid w:val="006B28BA"/>
    <w:rsid w:val="006B2B8F"/>
    <w:rsid w:val="006B2C1C"/>
    <w:rsid w:val="006B2DBF"/>
    <w:rsid w:val="006B2E6A"/>
    <w:rsid w:val="006B2FC5"/>
    <w:rsid w:val="006B3064"/>
    <w:rsid w:val="006B30F4"/>
    <w:rsid w:val="006B32BE"/>
    <w:rsid w:val="006B3340"/>
    <w:rsid w:val="006B33B4"/>
    <w:rsid w:val="006B3504"/>
    <w:rsid w:val="006B370D"/>
    <w:rsid w:val="006B3A13"/>
    <w:rsid w:val="006B3B78"/>
    <w:rsid w:val="006B3CC6"/>
    <w:rsid w:val="006B3D21"/>
    <w:rsid w:val="006B3D7A"/>
    <w:rsid w:val="006B3F4A"/>
    <w:rsid w:val="006B40E9"/>
    <w:rsid w:val="006B4212"/>
    <w:rsid w:val="006B4327"/>
    <w:rsid w:val="006B43C2"/>
    <w:rsid w:val="006B443D"/>
    <w:rsid w:val="006B4627"/>
    <w:rsid w:val="006B47B7"/>
    <w:rsid w:val="006B4B0C"/>
    <w:rsid w:val="006B4D70"/>
    <w:rsid w:val="006B4EB3"/>
    <w:rsid w:val="006B4EE9"/>
    <w:rsid w:val="006B53A8"/>
    <w:rsid w:val="006B5464"/>
    <w:rsid w:val="006B5745"/>
    <w:rsid w:val="006B588B"/>
    <w:rsid w:val="006B5B24"/>
    <w:rsid w:val="006B5C4E"/>
    <w:rsid w:val="006B5DFD"/>
    <w:rsid w:val="006B5F7B"/>
    <w:rsid w:val="006B5FE8"/>
    <w:rsid w:val="006B625B"/>
    <w:rsid w:val="006B626B"/>
    <w:rsid w:val="006B6343"/>
    <w:rsid w:val="006B6346"/>
    <w:rsid w:val="006B6366"/>
    <w:rsid w:val="006B6480"/>
    <w:rsid w:val="006B6495"/>
    <w:rsid w:val="006B69EA"/>
    <w:rsid w:val="006B6B76"/>
    <w:rsid w:val="006B6BB3"/>
    <w:rsid w:val="006B758A"/>
    <w:rsid w:val="006B7766"/>
    <w:rsid w:val="006B79E5"/>
    <w:rsid w:val="006B7C73"/>
    <w:rsid w:val="006B7D04"/>
    <w:rsid w:val="006B7EB4"/>
    <w:rsid w:val="006C009E"/>
    <w:rsid w:val="006C0402"/>
    <w:rsid w:val="006C0944"/>
    <w:rsid w:val="006C0A5B"/>
    <w:rsid w:val="006C0BD1"/>
    <w:rsid w:val="006C0FD8"/>
    <w:rsid w:val="006C1253"/>
    <w:rsid w:val="006C16CB"/>
    <w:rsid w:val="006C16E4"/>
    <w:rsid w:val="006C174E"/>
    <w:rsid w:val="006C17C1"/>
    <w:rsid w:val="006C17F0"/>
    <w:rsid w:val="006C1A8F"/>
    <w:rsid w:val="006C1DCA"/>
    <w:rsid w:val="006C1E2D"/>
    <w:rsid w:val="006C1E5A"/>
    <w:rsid w:val="006C1EAF"/>
    <w:rsid w:val="006C24C8"/>
    <w:rsid w:val="006C282A"/>
    <w:rsid w:val="006C2B10"/>
    <w:rsid w:val="006C2F6D"/>
    <w:rsid w:val="006C3034"/>
    <w:rsid w:val="006C3555"/>
    <w:rsid w:val="006C35C0"/>
    <w:rsid w:val="006C3625"/>
    <w:rsid w:val="006C3979"/>
    <w:rsid w:val="006C3B58"/>
    <w:rsid w:val="006C3BF5"/>
    <w:rsid w:val="006C4278"/>
    <w:rsid w:val="006C43D8"/>
    <w:rsid w:val="006C49AC"/>
    <w:rsid w:val="006C4BDF"/>
    <w:rsid w:val="006C4D9E"/>
    <w:rsid w:val="006C4FF2"/>
    <w:rsid w:val="006C50B6"/>
    <w:rsid w:val="006C5104"/>
    <w:rsid w:val="006C516E"/>
    <w:rsid w:val="006C51B3"/>
    <w:rsid w:val="006C51F0"/>
    <w:rsid w:val="006C5251"/>
    <w:rsid w:val="006C5277"/>
    <w:rsid w:val="006C55F3"/>
    <w:rsid w:val="006C573E"/>
    <w:rsid w:val="006C5778"/>
    <w:rsid w:val="006C5BBB"/>
    <w:rsid w:val="006C5C65"/>
    <w:rsid w:val="006C5C9A"/>
    <w:rsid w:val="006C6061"/>
    <w:rsid w:val="006C60BD"/>
    <w:rsid w:val="006C6187"/>
    <w:rsid w:val="006C61BF"/>
    <w:rsid w:val="006C668F"/>
    <w:rsid w:val="006C66D0"/>
    <w:rsid w:val="006C6781"/>
    <w:rsid w:val="006C67FE"/>
    <w:rsid w:val="006C6845"/>
    <w:rsid w:val="006C688A"/>
    <w:rsid w:val="006C693A"/>
    <w:rsid w:val="006C6A30"/>
    <w:rsid w:val="006C6ABA"/>
    <w:rsid w:val="006C6CDB"/>
    <w:rsid w:val="006C6E17"/>
    <w:rsid w:val="006C6E44"/>
    <w:rsid w:val="006C6FAC"/>
    <w:rsid w:val="006C6FC8"/>
    <w:rsid w:val="006C70AA"/>
    <w:rsid w:val="006C73A4"/>
    <w:rsid w:val="006C74C5"/>
    <w:rsid w:val="006C7564"/>
    <w:rsid w:val="006C7573"/>
    <w:rsid w:val="006C7612"/>
    <w:rsid w:val="006C7843"/>
    <w:rsid w:val="006C7B8A"/>
    <w:rsid w:val="006C7EE2"/>
    <w:rsid w:val="006D000E"/>
    <w:rsid w:val="006D01B3"/>
    <w:rsid w:val="006D02F7"/>
    <w:rsid w:val="006D043C"/>
    <w:rsid w:val="006D046C"/>
    <w:rsid w:val="006D0584"/>
    <w:rsid w:val="006D05F3"/>
    <w:rsid w:val="006D07E4"/>
    <w:rsid w:val="006D08DD"/>
    <w:rsid w:val="006D0BDD"/>
    <w:rsid w:val="006D0BEE"/>
    <w:rsid w:val="006D0C77"/>
    <w:rsid w:val="006D0CE0"/>
    <w:rsid w:val="006D0D77"/>
    <w:rsid w:val="006D0E1D"/>
    <w:rsid w:val="006D1026"/>
    <w:rsid w:val="006D10A8"/>
    <w:rsid w:val="006D11FF"/>
    <w:rsid w:val="006D14A9"/>
    <w:rsid w:val="006D1656"/>
    <w:rsid w:val="006D1A7E"/>
    <w:rsid w:val="006D1F41"/>
    <w:rsid w:val="006D25EA"/>
    <w:rsid w:val="006D2833"/>
    <w:rsid w:val="006D28D2"/>
    <w:rsid w:val="006D2979"/>
    <w:rsid w:val="006D29D4"/>
    <w:rsid w:val="006D2BBE"/>
    <w:rsid w:val="006D2C49"/>
    <w:rsid w:val="006D2CA8"/>
    <w:rsid w:val="006D2EA3"/>
    <w:rsid w:val="006D30A4"/>
    <w:rsid w:val="006D310E"/>
    <w:rsid w:val="006D31C8"/>
    <w:rsid w:val="006D343A"/>
    <w:rsid w:val="006D375F"/>
    <w:rsid w:val="006D3905"/>
    <w:rsid w:val="006D3A65"/>
    <w:rsid w:val="006D3A80"/>
    <w:rsid w:val="006D3EB5"/>
    <w:rsid w:val="006D3FD9"/>
    <w:rsid w:val="006D44DC"/>
    <w:rsid w:val="006D47B9"/>
    <w:rsid w:val="006D484B"/>
    <w:rsid w:val="006D488C"/>
    <w:rsid w:val="006D496F"/>
    <w:rsid w:val="006D4A14"/>
    <w:rsid w:val="006D4A73"/>
    <w:rsid w:val="006D4B77"/>
    <w:rsid w:val="006D4C36"/>
    <w:rsid w:val="006D4C85"/>
    <w:rsid w:val="006D4D33"/>
    <w:rsid w:val="006D4E9A"/>
    <w:rsid w:val="006D4F38"/>
    <w:rsid w:val="006D50C5"/>
    <w:rsid w:val="006D51F4"/>
    <w:rsid w:val="006D53C4"/>
    <w:rsid w:val="006D57E6"/>
    <w:rsid w:val="006D5895"/>
    <w:rsid w:val="006D5C51"/>
    <w:rsid w:val="006D5C8B"/>
    <w:rsid w:val="006D5D85"/>
    <w:rsid w:val="006D5DC6"/>
    <w:rsid w:val="006D6103"/>
    <w:rsid w:val="006D6A57"/>
    <w:rsid w:val="006D6A84"/>
    <w:rsid w:val="006D6AE7"/>
    <w:rsid w:val="006D6D9A"/>
    <w:rsid w:val="006D72E2"/>
    <w:rsid w:val="006D76AD"/>
    <w:rsid w:val="006D786C"/>
    <w:rsid w:val="006D7872"/>
    <w:rsid w:val="006D7A4D"/>
    <w:rsid w:val="006D7A8A"/>
    <w:rsid w:val="006D7AD0"/>
    <w:rsid w:val="006D7D02"/>
    <w:rsid w:val="006E00AC"/>
    <w:rsid w:val="006E0162"/>
    <w:rsid w:val="006E0243"/>
    <w:rsid w:val="006E061F"/>
    <w:rsid w:val="006E06D1"/>
    <w:rsid w:val="006E06D9"/>
    <w:rsid w:val="006E0A5C"/>
    <w:rsid w:val="006E0A66"/>
    <w:rsid w:val="006E0CDC"/>
    <w:rsid w:val="006E0DEC"/>
    <w:rsid w:val="006E112D"/>
    <w:rsid w:val="006E11F1"/>
    <w:rsid w:val="006E17CC"/>
    <w:rsid w:val="006E1B1C"/>
    <w:rsid w:val="006E1C4C"/>
    <w:rsid w:val="006E1C7D"/>
    <w:rsid w:val="006E1D84"/>
    <w:rsid w:val="006E1EB4"/>
    <w:rsid w:val="006E243A"/>
    <w:rsid w:val="006E264B"/>
    <w:rsid w:val="006E27E8"/>
    <w:rsid w:val="006E2A3A"/>
    <w:rsid w:val="006E2A9E"/>
    <w:rsid w:val="006E2C05"/>
    <w:rsid w:val="006E2D3F"/>
    <w:rsid w:val="006E2EBA"/>
    <w:rsid w:val="006E2F55"/>
    <w:rsid w:val="006E3229"/>
    <w:rsid w:val="006E377F"/>
    <w:rsid w:val="006E378A"/>
    <w:rsid w:val="006E39AC"/>
    <w:rsid w:val="006E3A30"/>
    <w:rsid w:val="006E3BEE"/>
    <w:rsid w:val="006E3C09"/>
    <w:rsid w:val="006E3D11"/>
    <w:rsid w:val="006E402D"/>
    <w:rsid w:val="006E40F9"/>
    <w:rsid w:val="006E415B"/>
    <w:rsid w:val="006E41E3"/>
    <w:rsid w:val="006E43FF"/>
    <w:rsid w:val="006E4531"/>
    <w:rsid w:val="006E45FB"/>
    <w:rsid w:val="006E465F"/>
    <w:rsid w:val="006E469B"/>
    <w:rsid w:val="006E46E3"/>
    <w:rsid w:val="006E4705"/>
    <w:rsid w:val="006E47BD"/>
    <w:rsid w:val="006E4A0C"/>
    <w:rsid w:val="006E4B54"/>
    <w:rsid w:val="006E4BC8"/>
    <w:rsid w:val="006E4D35"/>
    <w:rsid w:val="006E4FF2"/>
    <w:rsid w:val="006E5214"/>
    <w:rsid w:val="006E55DE"/>
    <w:rsid w:val="006E5881"/>
    <w:rsid w:val="006E592A"/>
    <w:rsid w:val="006E5C5F"/>
    <w:rsid w:val="006E5C61"/>
    <w:rsid w:val="006E5D6D"/>
    <w:rsid w:val="006E5F84"/>
    <w:rsid w:val="006E5FF3"/>
    <w:rsid w:val="006E6133"/>
    <w:rsid w:val="006E61C2"/>
    <w:rsid w:val="006E630A"/>
    <w:rsid w:val="006E6679"/>
    <w:rsid w:val="006E66C7"/>
    <w:rsid w:val="006E66C8"/>
    <w:rsid w:val="006E681A"/>
    <w:rsid w:val="006E6AFB"/>
    <w:rsid w:val="006E706B"/>
    <w:rsid w:val="006E7087"/>
    <w:rsid w:val="006E71C5"/>
    <w:rsid w:val="006E735F"/>
    <w:rsid w:val="006E73BD"/>
    <w:rsid w:val="006E74D7"/>
    <w:rsid w:val="006E7611"/>
    <w:rsid w:val="006E7624"/>
    <w:rsid w:val="006E7724"/>
    <w:rsid w:val="006E77F6"/>
    <w:rsid w:val="006E795E"/>
    <w:rsid w:val="006E7BF1"/>
    <w:rsid w:val="006E7C4A"/>
    <w:rsid w:val="006E7EA1"/>
    <w:rsid w:val="006E7EF9"/>
    <w:rsid w:val="006E7F80"/>
    <w:rsid w:val="006F0041"/>
    <w:rsid w:val="006F00F8"/>
    <w:rsid w:val="006F03FF"/>
    <w:rsid w:val="006F0659"/>
    <w:rsid w:val="006F07A0"/>
    <w:rsid w:val="006F07DB"/>
    <w:rsid w:val="006F0882"/>
    <w:rsid w:val="006F08BA"/>
    <w:rsid w:val="006F08CC"/>
    <w:rsid w:val="006F08D5"/>
    <w:rsid w:val="006F08E3"/>
    <w:rsid w:val="006F08F7"/>
    <w:rsid w:val="006F098E"/>
    <w:rsid w:val="006F09DD"/>
    <w:rsid w:val="006F0C3D"/>
    <w:rsid w:val="006F0DF2"/>
    <w:rsid w:val="006F0E23"/>
    <w:rsid w:val="006F0F66"/>
    <w:rsid w:val="006F1137"/>
    <w:rsid w:val="006F1171"/>
    <w:rsid w:val="006F1460"/>
    <w:rsid w:val="006F1514"/>
    <w:rsid w:val="006F157C"/>
    <w:rsid w:val="006F1625"/>
    <w:rsid w:val="006F1889"/>
    <w:rsid w:val="006F18FE"/>
    <w:rsid w:val="006F19E4"/>
    <w:rsid w:val="006F1A85"/>
    <w:rsid w:val="006F1BF7"/>
    <w:rsid w:val="006F1CCF"/>
    <w:rsid w:val="006F1CE5"/>
    <w:rsid w:val="006F1F98"/>
    <w:rsid w:val="006F1FC0"/>
    <w:rsid w:val="006F1FEC"/>
    <w:rsid w:val="006F2080"/>
    <w:rsid w:val="006F213A"/>
    <w:rsid w:val="006F22AF"/>
    <w:rsid w:val="006F2556"/>
    <w:rsid w:val="006F258F"/>
    <w:rsid w:val="006F281E"/>
    <w:rsid w:val="006F281F"/>
    <w:rsid w:val="006F29CB"/>
    <w:rsid w:val="006F29D2"/>
    <w:rsid w:val="006F2D42"/>
    <w:rsid w:val="006F332E"/>
    <w:rsid w:val="006F35D3"/>
    <w:rsid w:val="006F35D7"/>
    <w:rsid w:val="006F3640"/>
    <w:rsid w:val="006F38B8"/>
    <w:rsid w:val="006F3912"/>
    <w:rsid w:val="006F3A7E"/>
    <w:rsid w:val="006F3C4A"/>
    <w:rsid w:val="006F3CEE"/>
    <w:rsid w:val="006F3EF4"/>
    <w:rsid w:val="006F3F50"/>
    <w:rsid w:val="006F4120"/>
    <w:rsid w:val="006F414D"/>
    <w:rsid w:val="006F4233"/>
    <w:rsid w:val="006F4688"/>
    <w:rsid w:val="006F481D"/>
    <w:rsid w:val="006F4A40"/>
    <w:rsid w:val="006F4AC6"/>
    <w:rsid w:val="006F4C30"/>
    <w:rsid w:val="006F4CD9"/>
    <w:rsid w:val="006F4D98"/>
    <w:rsid w:val="006F4F2A"/>
    <w:rsid w:val="006F511A"/>
    <w:rsid w:val="006F520E"/>
    <w:rsid w:val="006F548F"/>
    <w:rsid w:val="006F58F1"/>
    <w:rsid w:val="006F5A5F"/>
    <w:rsid w:val="006F5EE1"/>
    <w:rsid w:val="006F5F0C"/>
    <w:rsid w:val="006F6272"/>
    <w:rsid w:val="006F652E"/>
    <w:rsid w:val="006F66B6"/>
    <w:rsid w:val="006F6749"/>
    <w:rsid w:val="006F6CD8"/>
    <w:rsid w:val="006F6F8B"/>
    <w:rsid w:val="006F7072"/>
    <w:rsid w:val="006F707D"/>
    <w:rsid w:val="006F7704"/>
    <w:rsid w:val="006F7B32"/>
    <w:rsid w:val="006F7D76"/>
    <w:rsid w:val="006F7DBB"/>
    <w:rsid w:val="006F7EA8"/>
    <w:rsid w:val="006F7FAB"/>
    <w:rsid w:val="00700178"/>
    <w:rsid w:val="0070022B"/>
    <w:rsid w:val="007002BC"/>
    <w:rsid w:val="00700749"/>
    <w:rsid w:val="007009B5"/>
    <w:rsid w:val="00700AAB"/>
    <w:rsid w:val="00700BDB"/>
    <w:rsid w:val="00700C16"/>
    <w:rsid w:val="00700E21"/>
    <w:rsid w:val="0070115D"/>
    <w:rsid w:val="007012B4"/>
    <w:rsid w:val="00701723"/>
    <w:rsid w:val="007017CB"/>
    <w:rsid w:val="00701AC9"/>
    <w:rsid w:val="00702007"/>
    <w:rsid w:val="00702143"/>
    <w:rsid w:val="0070216F"/>
    <w:rsid w:val="00702294"/>
    <w:rsid w:val="007024DA"/>
    <w:rsid w:val="0070258A"/>
    <w:rsid w:val="007025AA"/>
    <w:rsid w:val="00702F08"/>
    <w:rsid w:val="00702F56"/>
    <w:rsid w:val="00703074"/>
    <w:rsid w:val="0070318B"/>
    <w:rsid w:val="00703397"/>
    <w:rsid w:val="0070349A"/>
    <w:rsid w:val="007036B6"/>
    <w:rsid w:val="00703820"/>
    <w:rsid w:val="00703908"/>
    <w:rsid w:val="00703965"/>
    <w:rsid w:val="00703C4C"/>
    <w:rsid w:val="00703D89"/>
    <w:rsid w:val="00703E72"/>
    <w:rsid w:val="00703FA5"/>
    <w:rsid w:val="0070413D"/>
    <w:rsid w:val="00704263"/>
    <w:rsid w:val="007042B7"/>
    <w:rsid w:val="00704437"/>
    <w:rsid w:val="007044EE"/>
    <w:rsid w:val="00704833"/>
    <w:rsid w:val="007048CC"/>
    <w:rsid w:val="00704E25"/>
    <w:rsid w:val="00704FB3"/>
    <w:rsid w:val="00705013"/>
    <w:rsid w:val="007050F9"/>
    <w:rsid w:val="00705159"/>
    <w:rsid w:val="00705165"/>
    <w:rsid w:val="00705298"/>
    <w:rsid w:val="007054D2"/>
    <w:rsid w:val="00705575"/>
    <w:rsid w:val="0070584B"/>
    <w:rsid w:val="00705916"/>
    <w:rsid w:val="0070592B"/>
    <w:rsid w:val="00705976"/>
    <w:rsid w:val="00705CB6"/>
    <w:rsid w:val="00705D46"/>
    <w:rsid w:val="00705E25"/>
    <w:rsid w:val="00705F30"/>
    <w:rsid w:val="00706147"/>
    <w:rsid w:val="00706494"/>
    <w:rsid w:val="007066EE"/>
    <w:rsid w:val="007068AE"/>
    <w:rsid w:val="00706A14"/>
    <w:rsid w:val="00706A6B"/>
    <w:rsid w:val="00706E9C"/>
    <w:rsid w:val="00706FA0"/>
    <w:rsid w:val="00707161"/>
    <w:rsid w:val="007071CE"/>
    <w:rsid w:val="00707440"/>
    <w:rsid w:val="0070745B"/>
    <w:rsid w:val="00707922"/>
    <w:rsid w:val="00707BEE"/>
    <w:rsid w:val="00707DF4"/>
    <w:rsid w:val="00707E4F"/>
    <w:rsid w:val="00707EE0"/>
    <w:rsid w:val="00710194"/>
    <w:rsid w:val="0071021D"/>
    <w:rsid w:val="007105A1"/>
    <w:rsid w:val="00710842"/>
    <w:rsid w:val="00710BA3"/>
    <w:rsid w:val="00710BD9"/>
    <w:rsid w:val="007110DA"/>
    <w:rsid w:val="00711327"/>
    <w:rsid w:val="0071139A"/>
    <w:rsid w:val="0071148B"/>
    <w:rsid w:val="00711597"/>
    <w:rsid w:val="007116E8"/>
    <w:rsid w:val="007117E4"/>
    <w:rsid w:val="007119CA"/>
    <w:rsid w:val="00711B48"/>
    <w:rsid w:val="00711C09"/>
    <w:rsid w:val="00711D9A"/>
    <w:rsid w:val="00711FE8"/>
    <w:rsid w:val="007120AB"/>
    <w:rsid w:val="007127FF"/>
    <w:rsid w:val="007129C1"/>
    <w:rsid w:val="007129E6"/>
    <w:rsid w:val="00712C5F"/>
    <w:rsid w:val="0071324C"/>
    <w:rsid w:val="00713387"/>
    <w:rsid w:val="007134E7"/>
    <w:rsid w:val="0071364E"/>
    <w:rsid w:val="0071366B"/>
    <w:rsid w:val="0071398F"/>
    <w:rsid w:val="00713A78"/>
    <w:rsid w:val="00713BE2"/>
    <w:rsid w:val="00713CE0"/>
    <w:rsid w:val="00713E4A"/>
    <w:rsid w:val="00713EAE"/>
    <w:rsid w:val="00713EED"/>
    <w:rsid w:val="00713F3F"/>
    <w:rsid w:val="00714166"/>
    <w:rsid w:val="00714279"/>
    <w:rsid w:val="00714309"/>
    <w:rsid w:val="007143E9"/>
    <w:rsid w:val="0071451D"/>
    <w:rsid w:val="00714856"/>
    <w:rsid w:val="00714900"/>
    <w:rsid w:val="007149C0"/>
    <w:rsid w:val="00714ECF"/>
    <w:rsid w:val="00714F1A"/>
    <w:rsid w:val="00715300"/>
    <w:rsid w:val="0071538C"/>
    <w:rsid w:val="00715400"/>
    <w:rsid w:val="0071540D"/>
    <w:rsid w:val="00715977"/>
    <w:rsid w:val="00715AEC"/>
    <w:rsid w:val="00715C0D"/>
    <w:rsid w:val="00715CE8"/>
    <w:rsid w:val="00715D5A"/>
    <w:rsid w:val="00715ED9"/>
    <w:rsid w:val="00716074"/>
    <w:rsid w:val="0071638B"/>
    <w:rsid w:val="00716495"/>
    <w:rsid w:val="00716506"/>
    <w:rsid w:val="007165C0"/>
    <w:rsid w:val="00716624"/>
    <w:rsid w:val="0071675B"/>
    <w:rsid w:val="00716798"/>
    <w:rsid w:val="0071681E"/>
    <w:rsid w:val="00716834"/>
    <w:rsid w:val="00716850"/>
    <w:rsid w:val="00716AC7"/>
    <w:rsid w:val="00716F32"/>
    <w:rsid w:val="007170D2"/>
    <w:rsid w:val="007171A1"/>
    <w:rsid w:val="0071735C"/>
    <w:rsid w:val="007175DD"/>
    <w:rsid w:val="007177F6"/>
    <w:rsid w:val="00717811"/>
    <w:rsid w:val="007179A8"/>
    <w:rsid w:val="00717BF8"/>
    <w:rsid w:val="00717C2E"/>
    <w:rsid w:val="00717E5C"/>
    <w:rsid w:val="007203D5"/>
    <w:rsid w:val="007203FD"/>
    <w:rsid w:val="0072046A"/>
    <w:rsid w:val="007204D7"/>
    <w:rsid w:val="00720716"/>
    <w:rsid w:val="00720841"/>
    <w:rsid w:val="00720911"/>
    <w:rsid w:val="00720935"/>
    <w:rsid w:val="00720D14"/>
    <w:rsid w:val="00720F06"/>
    <w:rsid w:val="00720F71"/>
    <w:rsid w:val="007210C7"/>
    <w:rsid w:val="00721149"/>
    <w:rsid w:val="007212CF"/>
    <w:rsid w:val="0072141C"/>
    <w:rsid w:val="00721715"/>
    <w:rsid w:val="007217D8"/>
    <w:rsid w:val="0072182E"/>
    <w:rsid w:val="00721C68"/>
    <w:rsid w:val="00721CE7"/>
    <w:rsid w:val="00721DBA"/>
    <w:rsid w:val="00721E4E"/>
    <w:rsid w:val="00721E67"/>
    <w:rsid w:val="00722007"/>
    <w:rsid w:val="007221A8"/>
    <w:rsid w:val="0072230B"/>
    <w:rsid w:val="007225EB"/>
    <w:rsid w:val="007225FB"/>
    <w:rsid w:val="00722846"/>
    <w:rsid w:val="00722C0A"/>
    <w:rsid w:val="00722E57"/>
    <w:rsid w:val="00723060"/>
    <w:rsid w:val="00723255"/>
    <w:rsid w:val="007233ED"/>
    <w:rsid w:val="007233FE"/>
    <w:rsid w:val="00723547"/>
    <w:rsid w:val="007235DD"/>
    <w:rsid w:val="0072362D"/>
    <w:rsid w:val="0072382B"/>
    <w:rsid w:val="00723B96"/>
    <w:rsid w:val="00723CCB"/>
    <w:rsid w:val="00723D0A"/>
    <w:rsid w:val="00723D10"/>
    <w:rsid w:val="00723D39"/>
    <w:rsid w:val="00723E00"/>
    <w:rsid w:val="00724016"/>
    <w:rsid w:val="0072447E"/>
    <w:rsid w:val="007245B8"/>
    <w:rsid w:val="0072463D"/>
    <w:rsid w:val="00724993"/>
    <w:rsid w:val="00724C40"/>
    <w:rsid w:val="00724D59"/>
    <w:rsid w:val="00724F10"/>
    <w:rsid w:val="00724F1E"/>
    <w:rsid w:val="00724FE2"/>
    <w:rsid w:val="00725219"/>
    <w:rsid w:val="00725259"/>
    <w:rsid w:val="00725826"/>
    <w:rsid w:val="00725A60"/>
    <w:rsid w:val="00725B0B"/>
    <w:rsid w:val="00725B81"/>
    <w:rsid w:val="00725D2E"/>
    <w:rsid w:val="00725ECE"/>
    <w:rsid w:val="00725EE6"/>
    <w:rsid w:val="00725F15"/>
    <w:rsid w:val="00725F1D"/>
    <w:rsid w:val="0072614E"/>
    <w:rsid w:val="007261C9"/>
    <w:rsid w:val="007263C9"/>
    <w:rsid w:val="007264C8"/>
    <w:rsid w:val="00726597"/>
    <w:rsid w:val="00726624"/>
    <w:rsid w:val="00726626"/>
    <w:rsid w:val="0072668D"/>
    <w:rsid w:val="0072671B"/>
    <w:rsid w:val="0072685A"/>
    <w:rsid w:val="007269A6"/>
    <w:rsid w:val="00726AA7"/>
    <w:rsid w:val="00726B14"/>
    <w:rsid w:val="00726E86"/>
    <w:rsid w:val="00726FDA"/>
    <w:rsid w:val="00727439"/>
    <w:rsid w:val="007275A6"/>
    <w:rsid w:val="007275AB"/>
    <w:rsid w:val="007275F8"/>
    <w:rsid w:val="0072780A"/>
    <w:rsid w:val="00727BDC"/>
    <w:rsid w:val="00727CAF"/>
    <w:rsid w:val="00727DA9"/>
    <w:rsid w:val="00727DE6"/>
    <w:rsid w:val="00730135"/>
    <w:rsid w:val="0073046D"/>
    <w:rsid w:val="00730479"/>
    <w:rsid w:val="0073053D"/>
    <w:rsid w:val="00730553"/>
    <w:rsid w:val="0073098E"/>
    <w:rsid w:val="00730CC0"/>
    <w:rsid w:val="00730D0A"/>
    <w:rsid w:val="007311DF"/>
    <w:rsid w:val="00731218"/>
    <w:rsid w:val="007313EB"/>
    <w:rsid w:val="0073161A"/>
    <w:rsid w:val="007318F1"/>
    <w:rsid w:val="00731954"/>
    <w:rsid w:val="00731A19"/>
    <w:rsid w:val="00731A58"/>
    <w:rsid w:val="00731AEB"/>
    <w:rsid w:val="00731D53"/>
    <w:rsid w:val="00732053"/>
    <w:rsid w:val="00732063"/>
    <w:rsid w:val="00732167"/>
    <w:rsid w:val="007322E7"/>
    <w:rsid w:val="0073230D"/>
    <w:rsid w:val="0073234B"/>
    <w:rsid w:val="00732428"/>
    <w:rsid w:val="007325BE"/>
    <w:rsid w:val="00732697"/>
    <w:rsid w:val="007328B3"/>
    <w:rsid w:val="00732A0E"/>
    <w:rsid w:val="00732D5E"/>
    <w:rsid w:val="00732DA8"/>
    <w:rsid w:val="00732E89"/>
    <w:rsid w:val="00732F47"/>
    <w:rsid w:val="00732F51"/>
    <w:rsid w:val="0073305E"/>
    <w:rsid w:val="007333C1"/>
    <w:rsid w:val="007336BF"/>
    <w:rsid w:val="0073387E"/>
    <w:rsid w:val="007339F6"/>
    <w:rsid w:val="00733C5F"/>
    <w:rsid w:val="00733CDE"/>
    <w:rsid w:val="00733D88"/>
    <w:rsid w:val="00733FC8"/>
    <w:rsid w:val="0073417E"/>
    <w:rsid w:val="00734322"/>
    <w:rsid w:val="007346F2"/>
    <w:rsid w:val="00734800"/>
    <w:rsid w:val="00734857"/>
    <w:rsid w:val="00734985"/>
    <w:rsid w:val="00734AF1"/>
    <w:rsid w:val="00734B0D"/>
    <w:rsid w:val="00734B68"/>
    <w:rsid w:val="00734CD9"/>
    <w:rsid w:val="00734E7D"/>
    <w:rsid w:val="00735264"/>
    <w:rsid w:val="007352D3"/>
    <w:rsid w:val="00735541"/>
    <w:rsid w:val="007355C5"/>
    <w:rsid w:val="00735713"/>
    <w:rsid w:val="0073571C"/>
    <w:rsid w:val="0073575F"/>
    <w:rsid w:val="007357B8"/>
    <w:rsid w:val="007358F0"/>
    <w:rsid w:val="007358FB"/>
    <w:rsid w:val="007359DD"/>
    <w:rsid w:val="00735A51"/>
    <w:rsid w:val="00735A73"/>
    <w:rsid w:val="00735D73"/>
    <w:rsid w:val="00735FFB"/>
    <w:rsid w:val="0073601E"/>
    <w:rsid w:val="00736092"/>
    <w:rsid w:val="007361FB"/>
    <w:rsid w:val="007362AF"/>
    <w:rsid w:val="0073633F"/>
    <w:rsid w:val="00736340"/>
    <w:rsid w:val="0073661D"/>
    <w:rsid w:val="007367CC"/>
    <w:rsid w:val="00736900"/>
    <w:rsid w:val="00736A8F"/>
    <w:rsid w:val="00736B77"/>
    <w:rsid w:val="00736C70"/>
    <w:rsid w:val="00736CF4"/>
    <w:rsid w:val="00736CFE"/>
    <w:rsid w:val="00736E4C"/>
    <w:rsid w:val="00736FD0"/>
    <w:rsid w:val="00737148"/>
    <w:rsid w:val="007373FB"/>
    <w:rsid w:val="007375E1"/>
    <w:rsid w:val="0073767E"/>
    <w:rsid w:val="00737706"/>
    <w:rsid w:val="00737875"/>
    <w:rsid w:val="0073788B"/>
    <w:rsid w:val="00737A8B"/>
    <w:rsid w:val="00737AF2"/>
    <w:rsid w:val="00737C6B"/>
    <w:rsid w:val="00737EAC"/>
    <w:rsid w:val="00740342"/>
    <w:rsid w:val="0074056C"/>
    <w:rsid w:val="0074063D"/>
    <w:rsid w:val="007406C4"/>
    <w:rsid w:val="00740805"/>
    <w:rsid w:val="0074084F"/>
    <w:rsid w:val="0074093A"/>
    <w:rsid w:val="007409A6"/>
    <w:rsid w:val="00740A6A"/>
    <w:rsid w:val="00740BDE"/>
    <w:rsid w:val="00740D4D"/>
    <w:rsid w:val="0074126C"/>
    <w:rsid w:val="00741566"/>
    <w:rsid w:val="007416B5"/>
    <w:rsid w:val="007416F1"/>
    <w:rsid w:val="007417CA"/>
    <w:rsid w:val="00741855"/>
    <w:rsid w:val="007418C9"/>
    <w:rsid w:val="0074197A"/>
    <w:rsid w:val="007419C4"/>
    <w:rsid w:val="00741AD6"/>
    <w:rsid w:val="00741FAA"/>
    <w:rsid w:val="00741FAF"/>
    <w:rsid w:val="007421F9"/>
    <w:rsid w:val="0074238A"/>
    <w:rsid w:val="00742394"/>
    <w:rsid w:val="0074241F"/>
    <w:rsid w:val="0074260F"/>
    <w:rsid w:val="0074279F"/>
    <w:rsid w:val="00742A7C"/>
    <w:rsid w:val="00742B61"/>
    <w:rsid w:val="00742EF2"/>
    <w:rsid w:val="00743628"/>
    <w:rsid w:val="0074368E"/>
    <w:rsid w:val="0074376C"/>
    <w:rsid w:val="00743952"/>
    <w:rsid w:val="00743B84"/>
    <w:rsid w:val="00743DA5"/>
    <w:rsid w:val="00744544"/>
    <w:rsid w:val="007445F5"/>
    <w:rsid w:val="00744625"/>
    <w:rsid w:val="0074467B"/>
    <w:rsid w:val="007447B6"/>
    <w:rsid w:val="007448E6"/>
    <w:rsid w:val="007449D5"/>
    <w:rsid w:val="00744A1A"/>
    <w:rsid w:val="00744B76"/>
    <w:rsid w:val="0074510B"/>
    <w:rsid w:val="00745162"/>
    <w:rsid w:val="00745238"/>
    <w:rsid w:val="0074545A"/>
    <w:rsid w:val="007455AC"/>
    <w:rsid w:val="00745653"/>
    <w:rsid w:val="00745BA5"/>
    <w:rsid w:val="00745CA1"/>
    <w:rsid w:val="00745E1C"/>
    <w:rsid w:val="0074611D"/>
    <w:rsid w:val="00746184"/>
    <w:rsid w:val="007461F7"/>
    <w:rsid w:val="007461F9"/>
    <w:rsid w:val="0074624F"/>
    <w:rsid w:val="007464A7"/>
    <w:rsid w:val="00746835"/>
    <w:rsid w:val="00746881"/>
    <w:rsid w:val="00746992"/>
    <w:rsid w:val="007469BE"/>
    <w:rsid w:val="00746A78"/>
    <w:rsid w:val="00746B8D"/>
    <w:rsid w:val="00746D98"/>
    <w:rsid w:val="00746E77"/>
    <w:rsid w:val="00747044"/>
    <w:rsid w:val="007470BD"/>
    <w:rsid w:val="00747532"/>
    <w:rsid w:val="00747A68"/>
    <w:rsid w:val="00747F41"/>
    <w:rsid w:val="007502C8"/>
    <w:rsid w:val="0075040D"/>
    <w:rsid w:val="00750441"/>
    <w:rsid w:val="00750467"/>
    <w:rsid w:val="0075051D"/>
    <w:rsid w:val="0075078D"/>
    <w:rsid w:val="00750821"/>
    <w:rsid w:val="00750825"/>
    <w:rsid w:val="00750892"/>
    <w:rsid w:val="007508B3"/>
    <w:rsid w:val="007509C8"/>
    <w:rsid w:val="00750BEC"/>
    <w:rsid w:val="00750BED"/>
    <w:rsid w:val="00750E0E"/>
    <w:rsid w:val="00751216"/>
    <w:rsid w:val="00751551"/>
    <w:rsid w:val="00751633"/>
    <w:rsid w:val="00751884"/>
    <w:rsid w:val="007518D4"/>
    <w:rsid w:val="007518FF"/>
    <w:rsid w:val="0075191D"/>
    <w:rsid w:val="00751B2B"/>
    <w:rsid w:val="00751E00"/>
    <w:rsid w:val="00751EB7"/>
    <w:rsid w:val="00751FFC"/>
    <w:rsid w:val="00752236"/>
    <w:rsid w:val="00752648"/>
    <w:rsid w:val="00752658"/>
    <w:rsid w:val="00752C37"/>
    <w:rsid w:val="00752E42"/>
    <w:rsid w:val="00753072"/>
    <w:rsid w:val="00753128"/>
    <w:rsid w:val="00753569"/>
    <w:rsid w:val="00753615"/>
    <w:rsid w:val="00753683"/>
    <w:rsid w:val="007536C6"/>
    <w:rsid w:val="007536F3"/>
    <w:rsid w:val="0075382B"/>
    <w:rsid w:val="00753D54"/>
    <w:rsid w:val="00753D97"/>
    <w:rsid w:val="00753F3F"/>
    <w:rsid w:val="00753F4F"/>
    <w:rsid w:val="00753F7D"/>
    <w:rsid w:val="00753FE9"/>
    <w:rsid w:val="00754194"/>
    <w:rsid w:val="007541A9"/>
    <w:rsid w:val="0075480B"/>
    <w:rsid w:val="00754948"/>
    <w:rsid w:val="00754CAD"/>
    <w:rsid w:val="00754DEE"/>
    <w:rsid w:val="00754F09"/>
    <w:rsid w:val="00754FB3"/>
    <w:rsid w:val="007552C6"/>
    <w:rsid w:val="0075535A"/>
    <w:rsid w:val="00755542"/>
    <w:rsid w:val="007557A9"/>
    <w:rsid w:val="0075581B"/>
    <w:rsid w:val="00755847"/>
    <w:rsid w:val="007558CE"/>
    <w:rsid w:val="00755BB4"/>
    <w:rsid w:val="00755CE4"/>
    <w:rsid w:val="00755CFD"/>
    <w:rsid w:val="0075625A"/>
    <w:rsid w:val="007563BF"/>
    <w:rsid w:val="007564AD"/>
    <w:rsid w:val="007569F4"/>
    <w:rsid w:val="00756B94"/>
    <w:rsid w:val="00757049"/>
    <w:rsid w:val="007571B5"/>
    <w:rsid w:val="00757532"/>
    <w:rsid w:val="0075753E"/>
    <w:rsid w:val="00757A1A"/>
    <w:rsid w:val="00757DB6"/>
    <w:rsid w:val="00757ECA"/>
    <w:rsid w:val="00760476"/>
    <w:rsid w:val="007606A9"/>
    <w:rsid w:val="00760831"/>
    <w:rsid w:val="00760841"/>
    <w:rsid w:val="00760893"/>
    <w:rsid w:val="00760974"/>
    <w:rsid w:val="00760999"/>
    <w:rsid w:val="00760A0D"/>
    <w:rsid w:val="00760AC5"/>
    <w:rsid w:val="00760B2C"/>
    <w:rsid w:val="00760B7F"/>
    <w:rsid w:val="00760C81"/>
    <w:rsid w:val="00760F98"/>
    <w:rsid w:val="007610B6"/>
    <w:rsid w:val="0076125A"/>
    <w:rsid w:val="007613C1"/>
    <w:rsid w:val="0076147C"/>
    <w:rsid w:val="007614FB"/>
    <w:rsid w:val="007615F6"/>
    <w:rsid w:val="0076196D"/>
    <w:rsid w:val="007619B8"/>
    <w:rsid w:val="00761CD4"/>
    <w:rsid w:val="00761EFA"/>
    <w:rsid w:val="0076223A"/>
    <w:rsid w:val="0076240B"/>
    <w:rsid w:val="007625A3"/>
    <w:rsid w:val="007626E4"/>
    <w:rsid w:val="0076272D"/>
    <w:rsid w:val="007628A8"/>
    <w:rsid w:val="00762ADE"/>
    <w:rsid w:val="00762C56"/>
    <w:rsid w:val="00762F91"/>
    <w:rsid w:val="0076307E"/>
    <w:rsid w:val="00763186"/>
    <w:rsid w:val="00763342"/>
    <w:rsid w:val="00763431"/>
    <w:rsid w:val="007635B6"/>
    <w:rsid w:val="00763802"/>
    <w:rsid w:val="00763EDB"/>
    <w:rsid w:val="00764229"/>
    <w:rsid w:val="0076484D"/>
    <w:rsid w:val="00764904"/>
    <w:rsid w:val="00764A18"/>
    <w:rsid w:val="00764B98"/>
    <w:rsid w:val="00765353"/>
    <w:rsid w:val="00765386"/>
    <w:rsid w:val="00765C48"/>
    <w:rsid w:val="00765CB8"/>
    <w:rsid w:val="00765FBB"/>
    <w:rsid w:val="00766130"/>
    <w:rsid w:val="0076630E"/>
    <w:rsid w:val="00766340"/>
    <w:rsid w:val="007667A1"/>
    <w:rsid w:val="0076689C"/>
    <w:rsid w:val="007668C4"/>
    <w:rsid w:val="00766B41"/>
    <w:rsid w:val="00766DD6"/>
    <w:rsid w:val="00766E99"/>
    <w:rsid w:val="00766FC5"/>
    <w:rsid w:val="0076713E"/>
    <w:rsid w:val="007672B5"/>
    <w:rsid w:val="0076753A"/>
    <w:rsid w:val="00767577"/>
    <w:rsid w:val="00767635"/>
    <w:rsid w:val="00767879"/>
    <w:rsid w:val="00767975"/>
    <w:rsid w:val="00767A57"/>
    <w:rsid w:val="00767B49"/>
    <w:rsid w:val="00767BDE"/>
    <w:rsid w:val="00767CF9"/>
    <w:rsid w:val="00767D56"/>
    <w:rsid w:val="00767E3E"/>
    <w:rsid w:val="00767F68"/>
    <w:rsid w:val="00770040"/>
    <w:rsid w:val="0077015D"/>
    <w:rsid w:val="00770330"/>
    <w:rsid w:val="00770594"/>
    <w:rsid w:val="007705EB"/>
    <w:rsid w:val="00770865"/>
    <w:rsid w:val="0077091C"/>
    <w:rsid w:val="00771105"/>
    <w:rsid w:val="00771228"/>
    <w:rsid w:val="0077128C"/>
    <w:rsid w:val="00771330"/>
    <w:rsid w:val="0077134C"/>
    <w:rsid w:val="00771454"/>
    <w:rsid w:val="007714F4"/>
    <w:rsid w:val="0077163F"/>
    <w:rsid w:val="00771745"/>
    <w:rsid w:val="0077187E"/>
    <w:rsid w:val="0077198B"/>
    <w:rsid w:val="00771A60"/>
    <w:rsid w:val="00771B53"/>
    <w:rsid w:val="00771B98"/>
    <w:rsid w:val="00771CE8"/>
    <w:rsid w:val="00771D1E"/>
    <w:rsid w:val="00771D6D"/>
    <w:rsid w:val="00771F3F"/>
    <w:rsid w:val="00772012"/>
    <w:rsid w:val="007723BF"/>
    <w:rsid w:val="007723D8"/>
    <w:rsid w:val="0077241B"/>
    <w:rsid w:val="00772477"/>
    <w:rsid w:val="007727BF"/>
    <w:rsid w:val="0077285B"/>
    <w:rsid w:val="00772885"/>
    <w:rsid w:val="00772BEE"/>
    <w:rsid w:val="00772DAE"/>
    <w:rsid w:val="00772E9E"/>
    <w:rsid w:val="00772F94"/>
    <w:rsid w:val="0077305D"/>
    <w:rsid w:val="007730EF"/>
    <w:rsid w:val="00773135"/>
    <w:rsid w:val="00773149"/>
    <w:rsid w:val="00773218"/>
    <w:rsid w:val="00773281"/>
    <w:rsid w:val="00773358"/>
    <w:rsid w:val="00773505"/>
    <w:rsid w:val="0077354D"/>
    <w:rsid w:val="007736F5"/>
    <w:rsid w:val="00773738"/>
    <w:rsid w:val="00773A5D"/>
    <w:rsid w:val="00773C92"/>
    <w:rsid w:val="00773DBC"/>
    <w:rsid w:val="00773E25"/>
    <w:rsid w:val="0077403D"/>
    <w:rsid w:val="007742DE"/>
    <w:rsid w:val="0077434F"/>
    <w:rsid w:val="007743B1"/>
    <w:rsid w:val="00774489"/>
    <w:rsid w:val="00774B5C"/>
    <w:rsid w:val="00774B5D"/>
    <w:rsid w:val="00774D28"/>
    <w:rsid w:val="00774EC1"/>
    <w:rsid w:val="00774FE6"/>
    <w:rsid w:val="0077511A"/>
    <w:rsid w:val="00775185"/>
    <w:rsid w:val="007752D3"/>
    <w:rsid w:val="00775395"/>
    <w:rsid w:val="00775786"/>
    <w:rsid w:val="0077586F"/>
    <w:rsid w:val="00775AD3"/>
    <w:rsid w:val="00775C3A"/>
    <w:rsid w:val="00776022"/>
    <w:rsid w:val="007760D1"/>
    <w:rsid w:val="0077618A"/>
    <w:rsid w:val="007762D5"/>
    <w:rsid w:val="007762E0"/>
    <w:rsid w:val="007764FD"/>
    <w:rsid w:val="00776785"/>
    <w:rsid w:val="00776796"/>
    <w:rsid w:val="007767A2"/>
    <w:rsid w:val="00776859"/>
    <w:rsid w:val="00776891"/>
    <w:rsid w:val="00776A42"/>
    <w:rsid w:val="00776B79"/>
    <w:rsid w:val="00776DAF"/>
    <w:rsid w:val="00776DC2"/>
    <w:rsid w:val="00777468"/>
    <w:rsid w:val="0077746D"/>
    <w:rsid w:val="00777559"/>
    <w:rsid w:val="0077756C"/>
    <w:rsid w:val="00777581"/>
    <w:rsid w:val="0077765C"/>
    <w:rsid w:val="007776BA"/>
    <w:rsid w:val="00777764"/>
    <w:rsid w:val="0077777E"/>
    <w:rsid w:val="00777838"/>
    <w:rsid w:val="0077786E"/>
    <w:rsid w:val="00777935"/>
    <w:rsid w:val="00777B23"/>
    <w:rsid w:val="00777F03"/>
    <w:rsid w:val="007800CF"/>
    <w:rsid w:val="00780174"/>
    <w:rsid w:val="007802D9"/>
    <w:rsid w:val="007804FF"/>
    <w:rsid w:val="007805CD"/>
    <w:rsid w:val="00780B01"/>
    <w:rsid w:val="00780B28"/>
    <w:rsid w:val="00780EA9"/>
    <w:rsid w:val="00780EFC"/>
    <w:rsid w:val="00780F10"/>
    <w:rsid w:val="00780F5B"/>
    <w:rsid w:val="0078102A"/>
    <w:rsid w:val="00781430"/>
    <w:rsid w:val="007815F5"/>
    <w:rsid w:val="00781674"/>
    <w:rsid w:val="00781893"/>
    <w:rsid w:val="00781B96"/>
    <w:rsid w:val="00781D81"/>
    <w:rsid w:val="00781E25"/>
    <w:rsid w:val="0078202D"/>
    <w:rsid w:val="007823DC"/>
    <w:rsid w:val="007824CD"/>
    <w:rsid w:val="0078254C"/>
    <w:rsid w:val="00782752"/>
    <w:rsid w:val="007827F4"/>
    <w:rsid w:val="00782B59"/>
    <w:rsid w:val="00782B64"/>
    <w:rsid w:val="00782BE0"/>
    <w:rsid w:val="00782D10"/>
    <w:rsid w:val="00782FA4"/>
    <w:rsid w:val="0078300C"/>
    <w:rsid w:val="007832B6"/>
    <w:rsid w:val="00783753"/>
    <w:rsid w:val="00783912"/>
    <w:rsid w:val="00783999"/>
    <w:rsid w:val="00783B47"/>
    <w:rsid w:val="00783B9C"/>
    <w:rsid w:val="00783BB8"/>
    <w:rsid w:val="00783D60"/>
    <w:rsid w:val="00783D73"/>
    <w:rsid w:val="00783EBA"/>
    <w:rsid w:val="007842DE"/>
    <w:rsid w:val="00784342"/>
    <w:rsid w:val="0078444F"/>
    <w:rsid w:val="00784506"/>
    <w:rsid w:val="00784697"/>
    <w:rsid w:val="00784B40"/>
    <w:rsid w:val="00784B81"/>
    <w:rsid w:val="00784BF7"/>
    <w:rsid w:val="00784BF9"/>
    <w:rsid w:val="00784CF0"/>
    <w:rsid w:val="00784D3F"/>
    <w:rsid w:val="00784EB3"/>
    <w:rsid w:val="0078521E"/>
    <w:rsid w:val="007853C6"/>
    <w:rsid w:val="0078542C"/>
    <w:rsid w:val="0078554A"/>
    <w:rsid w:val="00785681"/>
    <w:rsid w:val="00785864"/>
    <w:rsid w:val="007858BC"/>
    <w:rsid w:val="00785A70"/>
    <w:rsid w:val="00785BC4"/>
    <w:rsid w:val="00785FF0"/>
    <w:rsid w:val="0078612E"/>
    <w:rsid w:val="00786449"/>
    <w:rsid w:val="0078671C"/>
    <w:rsid w:val="00786893"/>
    <w:rsid w:val="0078698B"/>
    <w:rsid w:val="00786D29"/>
    <w:rsid w:val="00787018"/>
    <w:rsid w:val="007871BA"/>
    <w:rsid w:val="0078726B"/>
    <w:rsid w:val="007872E1"/>
    <w:rsid w:val="007872F2"/>
    <w:rsid w:val="0078731B"/>
    <w:rsid w:val="00787375"/>
    <w:rsid w:val="007877CC"/>
    <w:rsid w:val="0078791B"/>
    <w:rsid w:val="00787C4B"/>
    <w:rsid w:val="00787C71"/>
    <w:rsid w:val="00787CB3"/>
    <w:rsid w:val="00787DDF"/>
    <w:rsid w:val="00787E03"/>
    <w:rsid w:val="007900DA"/>
    <w:rsid w:val="00790224"/>
    <w:rsid w:val="0079031A"/>
    <w:rsid w:val="0079068B"/>
    <w:rsid w:val="0079095E"/>
    <w:rsid w:val="00790C5E"/>
    <w:rsid w:val="00790FC1"/>
    <w:rsid w:val="007910BC"/>
    <w:rsid w:val="0079111E"/>
    <w:rsid w:val="00791121"/>
    <w:rsid w:val="007911AE"/>
    <w:rsid w:val="00791552"/>
    <w:rsid w:val="007916A6"/>
    <w:rsid w:val="0079171B"/>
    <w:rsid w:val="007918EF"/>
    <w:rsid w:val="00791977"/>
    <w:rsid w:val="00791DD0"/>
    <w:rsid w:val="00791EEA"/>
    <w:rsid w:val="00792059"/>
    <w:rsid w:val="007920C5"/>
    <w:rsid w:val="007920D3"/>
    <w:rsid w:val="0079225E"/>
    <w:rsid w:val="00792409"/>
    <w:rsid w:val="00792778"/>
    <w:rsid w:val="007928B7"/>
    <w:rsid w:val="00792B52"/>
    <w:rsid w:val="00792D90"/>
    <w:rsid w:val="00792F5E"/>
    <w:rsid w:val="00793296"/>
    <w:rsid w:val="00793476"/>
    <w:rsid w:val="0079356E"/>
    <w:rsid w:val="0079379A"/>
    <w:rsid w:val="0079390D"/>
    <w:rsid w:val="00793928"/>
    <w:rsid w:val="007939FF"/>
    <w:rsid w:val="00793AF4"/>
    <w:rsid w:val="00793AFF"/>
    <w:rsid w:val="00793C4B"/>
    <w:rsid w:val="00793CAC"/>
    <w:rsid w:val="00793CFD"/>
    <w:rsid w:val="00793D53"/>
    <w:rsid w:val="00793E06"/>
    <w:rsid w:val="00793EAE"/>
    <w:rsid w:val="00794037"/>
    <w:rsid w:val="007940D2"/>
    <w:rsid w:val="00794174"/>
    <w:rsid w:val="007946FC"/>
    <w:rsid w:val="00794AEE"/>
    <w:rsid w:val="00794C19"/>
    <w:rsid w:val="00794E2B"/>
    <w:rsid w:val="00794EF7"/>
    <w:rsid w:val="00794F6B"/>
    <w:rsid w:val="007951DE"/>
    <w:rsid w:val="007953D1"/>
    <w:rsid w:val="00795432"/>
    <w:rsid w:val="007956F0"/>
    <w:rsid w:val="007958A6"/>
    <w:rsid w:val="00795922"/>
    <w:rsid w:val="00795B08"/>
    <w:rsid w:val="00795B7B"/>
    <w:rsid w:val="00795BB7"/>
    <w:rsid w:val="00795BEF"/>
    <w:rsid w:val="00795CAE"/>
    <w:rsid w:val="00795DEA"/>
    <w:rsid w:val="00795F02"/>
    <w:rsid w:val="0079618C"/>
    <w:rsid w:val="007961D5"/>
    <w:rsid w:val="007962B2"/>
    <w:rsid w:val="007966C4"/>
    <w:rsid w:val="00796948"/>
    <w:rsid w:val="00796E8C"/>
    <w:rsid w:val="00796EE3"/>
    <w:rsid w:val="00797041"/>
    <w:rsid w:val="007974A4"/>
    <w:rsid w:val="00797606"/>
    <w:rsid w:val="007978DE"/>
    <w:rsid w:val="0079795E"/>
    <w:rsid w:val="00797A57"/>
    <w:rsid w:val="00797A8D"/>
    <w:rsid w:val="00797C86"/>
    <w:rsid w:val="00797FE6"/>
    <w:rsid w:val="007A012C"/>
    <w:rsid w:val="007A01FF"/>
    <w:rsid w:val="007A03B4"/>
    <w:rsid w:val="007A0491"/>
    <w:rsid w:val="007A04B3"/>
    <w:rsid w:val="007A05D9"/>
    <w:rsid w:val="007A0643"/>
    <w:rsid w:val="007A07AC"/>
    <w:rsid w:val="007A0809"/>
    <w:rsid w:val="007A0A80"/>
    <w:rsid w:val="007A0B90"/>
    <w:rsid w:val="007A0C3F"/>
    <w:rsid w:val="007A0EC1"/>
    <w:rsid w:val="007A1026"/>
    <w:rsid w:val="007A10CE"/>
    <w:rsid w:val="007A10EF"/>
    <w:rsid w:val="007A1204"/>
    <w:rsid w:val="007A1343"/>
    <w:rsid w:val="007A16F1"/>
    <w:rsid w:val="007A1A22"/>
    <w:rsid w:val="007A1A3F"/>
    <w:rsid w:val="007A1C54"/>
    <w:rsid w:val="007A20F0"/>
    <w:rsid w:val="007A2438"/>
    <w:rsid w:val="007A250A"/>
    <w:rsid w:val="007A26EA"/>
    <w:rsid w:val="007A28BC"/>
    <w:rsid w:val="007A2933"/>
    <w:rsid w:val="007A29BB"/>
    <w:rsid w:val="007A2AA5"/>
    <w:rsid w:val="007A2D26"/>
    <w:rsid w:val="007A2E3E"/>
    <w:rsid w:val="007A303A"/>
    <w:rsid w:val="007A3096"/>
    <w:rsid w:val="007A3325"/>
    <w:rsid w:val="007A35DF"/>
    <w:rsid w:val="007A38CA"/>
    <w:rsid w:val="007A3A65"/>
    <w:rsid w:val="007A3B44"/>
    <w:rsid w:val="007A3C48"/>
    <w:rsid w:val="007A3E50"/>
    <w:rsid w:val="007A3EC2"/>
    <w:rsid w:val="007A3F4D"/>
    <w:rsid w:val="007A3F82"/>
    <w:rsid w:val="007A4270"/>
    <w:rsid w:val="007A42D2"/>
    <w:rsid w:val="007A44E4"/>
    <w:rsid w:val="007A4646"/>
    <w:rsid w:val="007A46C6"/>
    <w:rsid w:val="007A4B85"/>
    <w:rsid w:val="007A4CC2"/>
    <w:rsid w:val="007A4D87"/>
    <w:rsid w:val="007A4E56"/>
    <w:rsid w:val="007A4FB4"/>
    <w:rsid w:val="007A4FEA"/>
    <w:rsid w:val="007A50E5"/>
    <w:rsid w:val="007A5104"/>
    <w:rsid w:val="007A5342"/>
    <w:rsid w:val="007A53C4"/>
    <w:rsid w:val="007A57CD"/>
    <w:rsid w:val="007A58F2"/>
    <w:rsid w:val="007A58F8"/>
    <w:rsid w:val="007A5AEC"/>
    <w:rsid w:val="007A5C16"/>
    <w:rsid w:val="007A6113"/>
    <w:rsid w:val="007A6230"/>
    <w:rsid w:val="007A6690"/>
    <w:rsid w:val="007A673A"/>
    <w:rsid w:val="007A6AA8"/>
    <w:rsid w:val="007A6AAC"/>
    <w:rsid w:val="007A6CB4"/>
    <w:rsid w:val="007A6D33"/>
    <w:rsid w:val="007A6E8D"/>
    <w:rsid w:val="007A6E93"/>
    <w:rsid w:val="007A6EF5"/>
    <w:rsid w:val="007A6F47"/>
    <w:rsid w:val="007A6F72"/>
    <w:rsid w:val="007A7038"/>
    <w:rsid w:val="007A732A"/>
    <w:rsid w:val="007A7447"/>
    <w:rsid w:val="007A74D0"/>
    <w:rsid w:val="007A76F7"/>
    <w:rsid w:val="007A785D"/>
    <w:rsid w:val="007A787B"/>
    <w:rsid w:val="007A7A81"/>
    <w:rsid w:val="007A7E66"/>
    <w:rsid w:val="007B0030"/>
    <w:rsid w:val="007B009B"/>
    <w:rsid w:val="007B0233"/>
    <w:rsid w:val="007B03AF"/>
    <w:rsid w:val="007B0560"/>
    <w:rsid w:val="007B05AF"/>
    <w:rsid w:val="007B0B15"/>
    <w:rsid w:val="007B0C1C"/>
    <w:rsid w:val="007B1097"/>
    <w:rsid w:val="007B11FA"/>
    <w:rsid w:val="007B1240"/>
    <w:rsid w:val="007B141A"/>
    <w:rsid w:val="007B160F"/>
    <w:rsid w:val="007B1619"/>
    <w:rsid w:val="007B1985"/>
    <w:rsid w:val="007B1CCA"/>
    <w:rsid w:val="007B1CE4"/>
    <w:rsid w:val="007B1EC0"/>
    <w:rsid w:val="007B1EDE"/>
    <w:rsid w:val="007B213F"/>
    <w:rsid w:val="007B2255"/>
    <w:rsid w:val="007B2362"/>
    <w:rsid w:val="007B23F1"/>
    <w:rsid w:val="007B2462"/>
    <w:rsid w:val="007B2782"/>
    <w:rsid w:val="007B2C6F"/>
    <w:rsid w:val="007B2EAA"/>
    <w:rsid w:val="007B3249"/>
    <w:rsid w:val="007B3344"/>
    <w:rsid w:val="007B336D"/>
    <w:rsid w:val="007B35A6"/>
    <w:rsid w:val="007B3DC1"/>
    <w:rsid w:val="007B3EF0"/>
    <w:rsid w:val="007B3FC5"/>
    <w:rsid w:val="007B409C"/>
    <w:rsid w:val="007B40EE"/>
    <w:rsid w:val="007B4395"/>
    <w:rsid w:val="007B4621"/>
    <w:rsid w:val="007B4944"/>
    <w:rsid w:val="007B4A72"/>
    <w:rsid w:val="007B4AAE"/>
    <w:rsid w:val="007B4F6F"/>
    <w:rsid w:val="007B50B9"/>
    <w:rsid w:val="007B5104"/>
    <w:rsid w:val="007B5711"/>
    <w:rsid w:val="007B5730"/>
    <w:rsid w:val="007B57E6"/>
    <w:rsid w:val="007B589A"/>
    <w:rsid w:val="007B5977"/>
    <w:rsid w:val="007B59D2"/>
    <w:rsid w:val="007B5C39"/>
    <w:rsid w:val="007B5C46"/>
    <w:rsid w:val="007B5DF9"/>
    <w:rsid w:val="007B5E31"/>
    <w:rsid w:val="007B60B3"/>
    <w:rsid w:val="007B6155"/>
    <w:rsid w:val="007B61B1"/>
    <w:rsid w:val="007B64B9"/>
    <w:rsid w:val="007B690C"/>
    <w:rsid w:val="007B7020"/>
    <w:rsid w:val="007B70F5"/>
    <w:rsid w:val="007B7154"/>
    <w:rsid w:val="007B7191"/>
    <w:rsid w:val="007B7261"/>
    <w:rsid w:val="007B72F0"/>
    <w:rsid w:val="007B7428"/>
    <w:rsid w:val="007B745E"/>
    <w:rsid w:val="007B7460"/>
    <w:rsid w:val="007B7499"/>
    <w:rsid w:val="007B758E"/>
    <w:rsid w:val="007B7599"/>
    <w:rsid w:val="007B78A8"/>
    <w:rsid w:val="007B7962"/>
    <w:rsid w:val="007B79FC"/>
    <w:rsid w:val="007B7BD4"/>
    <w:rsid w:val="007B7D96"/>
    <w:rsid w:val="007B7EB0"/>
    <w:rsid w:val="007B7F27"/>
    <w:rsid w:val="007BB7AC"/>
    <w:rsid w:val="007C0026"/>
    <w:rsid w:val="007C015E"/>
    <w:rsid w:val="007C01D6"/>
    <w:rsid w:val="007C01D9"/>
    <w:rsid w:val="007C023B"/>
    <w:rsid w:val="007C04F4"/>
    <w:rsid w:val="007C0581"/>
    <w:rsid w:val="007C075F"/>
    <w:rsid w:val="007C09A4"/>
    <w:rsid w:val="007C09E5"/>
    <w:rsid w:val="007C0A77"/>
    <w:rsid w:val="007C0B4F"/>
    <w:rsid w:val="007C0E36"/>
    <w:rsid w:val="007C120F"/>
    <w:rsid w:val="007C1389"/>
    <w:rsid w:val="007C155F"/>
    <w:rsid w:val="007C1564"/>
    <w:rsid w:val="007C16AC"/>
    <w:rsid w:val="007C1704"/>
    <w:rsid w:val="007C173B"/>
    <w:rsid w:val="007C1877"/>
    <w:rsid w:val="007C1B15"/>
    <w:rsid w:val="007C1B9F"/>
    <w:rsid w:val="007C1F73"/>
    <w:rsid w:val="007C2050"/>
    <w:rsid w:val="007C26C0"/>
    <w:rsid w:val="007C26E4"/>
    <w:rsid w:val="007C276A"/>
    <w:rsid w:val="007C2857"/>
    <w:rsid w:val="007C2B55"/>
    <w:rsid w:val="007C2CED"/>
    <w:rsid w:val="007C2CF8"/>
    <w:rsid w:val="007C30AF"/>
    <w:rsid w:val="007C329B"/>
    <w:rsid w:val="007C3700"/>
    <w:rsid w:val="007C384E"/>
    <w:rsid w:val="007C3975"/>
    <w:rsid w:val="007C398F"/>
    <w:rsid w:val="007C3AFF"/>
    <w:rsid w:val="007C3C05"/>
    <w:rsid w:val="007C3C4B"/>
    <w:rsid w:val="007C3D6E"/>
    <w:rsid w:val="007C3DC4"/>
    <w:rsid w:val="007C3E3F"/>
    <w:rsid w:val="007C3ED7"/>
    <w:rsid w:val="007C40B5"/>
    <w:rsid w:val="007C4387"/>
    <w:rsid w:val="007C43D7"/>
    <w:rsid w:val="007C43E6"/>
    <w:rsid w:val="007C4521"/>
    <w:rsid w:val="007C4591"/>
    <w:rsid w:val="007C475D"/>
    <w:rsid w:val="007C48EE"/>
    <w:rsid w:val="007C4972"/>
    <w:rsid w:val="007C498F"/>
    <w:rsid w:val="007C49B2"/>
    <w:rsid w:val="007C4B96"/>
    <w:rsid w:val="007C4CED"/>
    <w:rsid w:val="007C588B"/>
    <w:rsid w:val="007C589B"/>
    <w:rsid w:val="007C58BF"/>
    <w:rsid w:val="007C59CE"/>
    <w:rsid w:val="007C5A86"/>
    <w:rsid w:val="007C5B15"/>
    <w:rsid w:val="007C5B2A"/>
    <w:rsid w:val="007C5B4F"/>
    <w:rsid w:val="007C5C9D"/>
    <w:rsid w:val="007C5D9E"/>
    <w:rsid w:val="007C5DD8"/>
    <w:rsid w:val="007C604C"/>
    <w:rsid w:val="007C6272"/>
    <w:rsid w:val="007C62AE"/>
    <w:rsid w:val="007C6570"/>
    <w:rsid w:val="007C65B3"/>
    <w:rsid w:val="007C6A88"/>
    <w:rsid w:val="007C6B5D"/>
    <w:rsid w:val="007C6BDB"/>
    <w:rsid w:val="007C6C97"/>
    <w:rsid w:val="007C6CE4"/>
    <w:rsid w:val="007C6DF0"/>
    <w:rsid w:val="007C6E13"/>
    <w:rsid w:val="007C6EC2"/>
    <w:rsid w:val="007C7202"/>
    <w:rsid w:val="007C722F"/>
    <w:rsid w:val="007C7411"/>
    <w:rsid w:val="007C74B0"/>
    <w:rsid w:val="007C7552"/>
    <w:rsid w:val="007C7A5E"/>
    <w:rsid w:val="007C7AAA"/>
    <w:rsid w:val="007C7B0A"/>
    <w:rsid w:val="007C7DCE"/>
    <w:rsid w:val="007C7E2E"/>
    <w:rsid w:val="007C7E5B"/>
    <w:rsid w:val="007C7F89"/>
    <w:rsid w:val="007C7F8C"/>
    <w:rsid w:val="007D047C"/>
    <w:rsid w:val="007D05F1"/>
    <w:rsid w:val="007D080C"/>
    <w:rsid w:val="007D0838"/>
    <w:rsid w:val="007D086A"/>
    <w:rsid w:val="007D0B9E"/>
    <w:rsid w:val="007D1242"/>
    <w:rsid w:val="007D126C"/>
    <w:rsid w:val="007D1309"/>
    <w:rsid w:val="007D1361"/>
    <w:rsid w:val="007D14BC"/>
    <w:rsid w:val="007D14F5"/>
    <w:rsid w:val="007D159F"/>
    <w:rsid w:val="007D1681"/>
    <w:rsid w:val="007D170A"/>
    <w:rsid w:val="007D1B1E"/>
    <w:rsid w:val="007D1B2F"/>
    <w:rsid w:val="007D1C01"/>
    <w:rsid w:val="007D1D64"/>
    <w:rsid w:val="007D1E36"/>
    <w:rsid w:val="007D1F07"/>
    <w:rsid w:val="007D2197"/>
    <w:rsid w:val="007D2265"/>
    <w:rsid w:val="007D22DC"/>
    <w:rsid w:val="007D2450"/>
    <w:rsid w:val="007D2615"/>
    <w:rsid w:val="007D26EF"/>
    <w:rsid w:val="007D29AF"/>
    <w:rsid w:val="007D2A1B"/>
    <w:rsid w:val="007D2A7D"/>
    <w:rsid w:val="007D2C59"/>
    <w:rsid w:val="007D2F90"/>
    <w:rsid w:val="007D3026"/>
    <w:rsid w:val="007D30F0"/>
    <w:rsid w:val="007D3476"/>
    <w:rsid w:val="007D349C"/>
    <w:rsid w:val="007D3582"/>
    <w:rsid w:val="007D3630"/>
    <w:rsid w:val="007D36F7"/>
    <w:rsid w:val="007D38B6"/>
    <w:rsid w:val="007D38CB"/>
    <w:rsid w:val="007D3A13"/>
    <w:rsid w:val="007D3BAD"/>
    <w:rsid w:val="007D3C2E"/>
    <w:rsid w:val="007D3CA9"/>
    <w:rsid w:val="007D3DDF"/>
    <w:rsid w:val="007D3E2E"/>
    <w:rsid w:val="007D3E49"/>
    <w:rsid w:val="007D411C"/>
    <w:rsid w:val="007D4318"/>
    <w:rsid w:val="007D462F"/>
    <w:rsid w:val="007D4678"/>
    <w:rsid w:val="007D4BEE"/>
    <w:rsid w:val="007D4CEB"/>
    <w:rsid w:val="007D4D02"/>
    <w:rsid w:val="007D4D79"/>
    <w:rsid w:val="007D4F28"/>
    <w:rsid w:val="007D4F94"/>
    <w:rsid w:val="007D51C3"/>
    <w:rsid w:val="007D523A"/>
    <w:rsid w:val="007D56AB"/>
    <w:rsid w:val="007D57F8"/>
    <w:rsid w:val="007D5813"/>
    <w:rsid w:val="007D585E"/>
    <w:rsid w:val="007D5B27"/>
    <w:rsid w:val="007D5BD7"/>
    <w:rsid w:val="007D6015"/>
    <w:rsid w:val="007D6095"/>
    <w:rsid w:val="007D6245"/>
    <w:rsid w:val="007D625B"/>
    <w:rsid w:val="007D62DD"/>
    <w:rsid w:val="007D63C3"/>
    <w:rsid w:val="007D64DA"/>
    <w:rsid w:val="007D64F9"/>
    <w:rsid w:val="007D6A00"/>
    <w:rsid w:val="007D6BBA"/>
    <w:rsid w:val="007D6C9D"/>
    <w:rsid w:val="007D6F9F"/>
    <w:rsid w:val="007D7064"/>
    <w:rsid w:val="007D7073"/>
    <w:rsid w:val="007D72ED"/>
    <w:rsid w:val="007D7621"/>
    <w:rsid w:val="007D76BB"/>
    <w:rsid w:val="007D7923"/>
    <w:rsid w:val="007D7978"/>
    <w:rsid w:val="007D79F6"/>
    <w:rsid w:val="007D7A3D"/>
    <w:rsid w:val="007D7B15"/>
    <w:rsid w:val="007D7B60"/>
    <w:rsid w:val="007D7DDF"/>
    <w:rsid w:val="007D7FDF"/>
    <w:rsid w:val="007E019B"/>
    <w:rsid w:val="007E0283"/>
    <w:rsid w:val="007E038A"/>
    <w:rsid w:val="007E0468"/>
    <w:rsid w:val="007E0582"/>
    <w:rsid w:val="007E066F"/>
    <w:rsid w:val="007E0764"/>
    <w:rsid w:val="007E08DC"/>
    <w:rsid w:val="007E08E6"/>
    <w:rsid w:val="007E0984"/>
    <w:rsid w:val="007E09C8"/>
    <w:rsid w:val="007E0AD8"/>
    <w:rsid w:val="007E0B9A"/>
    <w:rsid w:val="007E1168"/>
    <w:rsid w:val="007E1251"/>
    <w:rsid w:val="007E1471"/>
    <w:rsid w:val="007E188F"/>
    <w:rsid w:val="007E18CA"/>
    <w:rsid w:val="007E18F1"/>
    <w:rsid w:val="007E1996"/>
    <w:rsid w:val="007E1A75"/>
    <w:rsid w:val="007E1C2D"/>
    <w:rsid w:val="007E1DAF"/>
    <w:rsid w:val="007E21C0"/>
    <w:rsid w:val="007E2461"/>
    <w:rsid w:val="007E2510"/>
    <w:rsid w:val="007E25A2"/>
    <w:rsid w:val="007E2953"/>
    <w:rsid w:val="007E29BB"/>
    <w:rsid w:val="007E2D98"/>
    <w:rsid w:val="007E30BF"/>
    <w:rsid w:val="007E30CA"/>
    <w:rsid w:val="007E30E5"/>
    <w:rsid w:val="007E311B"/>
    <w:rsid w:val="007E350B"/>
    <w:rsid w:val="007E362A"/>
    <w:rsid w:val="007E3767"/>
    <w:rsid w:val="007E3969"/>
    <w:rsid w:val="007E3A5C"/>
    <w:rsid w:val="007E3C33"/>
    <w:rsid w:val="007E3C7C"/>
    <w:rsid w:val="007E3D19"/>
    <w:rsid w:val="007E3E2C"/>
    <w:rsid w:val="007E3E50"/>
    <w:rsid w:val="007E3ECC"/>
    <w:rsid w:val="007E3F3C"/>
    <w:rsid w:val="007E40AA"/>
    <w:rsid w:val="007E43C1"/>
    <w:rsid w:val="007E4583"/>
    <w:rsid w:val="007E479A"/>
    <w:rsid w:val="007E47F9"/>
    <w:rsid w:val="007E495E"/>
    <w:rsid w:val="007E4A00"/>
    <w:rsid w:val="007E4C7D"/>
    <w:rsid w:val="007E4D36"/>
    <w:rsid w:val="007E4EA4"/>
    <w:rsid w:val="007E50E5"/>
    <w:rsid w:val="007E510B"/>
    <w:rsid w:val="007E522A"/>
    <w:rsid w:val="007E5257"/>
    <w:rsid w:val="007E535A"/>
    <w:rsid w:val="007E54D8"/>
    <w:rsid w:val="007E5A66"/>
    <w:rsid w:val="007E5A77"/>
    <w:rsid w:val="007E5E06"/>
    <w:rsid w:val="007E5F95"/>
    <w:rsid w:val="007E60D2"/>
    <w:rsid w:val="007E61B1"/>
    <w:rsid w:val="007E61CA"/>
    <w:rsid w:val="007E6341"/>
    <w:rsid w:val="007E653A"/>
    <w:rsid w:val="007E6567"/>
    <w:rsid w:val="007E677F"/>
    <w:rsid w:val="007E67C3"/>
    <w:rsid w:val="007E682B"/>
    <w:rsid w:val="007E6909"/>
    <w:rsid w:val="007E6985"/>
    <w:rsid w:val="007E698E"/>
    <w:rsid w:val="007E69CF"/>
    <w:rsid w:val="007E6AC1"/>
    <w:rsid w:val="007E7006"/>
    <w:rsid w:val="007E708B"/>
    <w:rsid w:val="007E7149"/>
    <w:rsid w:val="007E7298"/>
    <w:rsid w:val="007E743C"/>
    <w:rsid w:val="007E7841"/>
    <w:rsid w:val="007E7A87"/>
    <w:rsid w:val="007E7BDB"/>
    <w:rsid w:val="007E7D6A"/>
    <w:rsid w:val="007E7DEB"/>
    <w:rsid w:val="007E7E1D"/>
    <w:rsid w:val="007E7EB0"/>
    <w:rsid w:val="007F00E1"/>
    <w:rsid w:val="007F02C7"/>
    <w:rsid w:val="007F034F"/>
    <w:rsid w:val="007F05F5"/>
    <w:rsid w:val="007F07B6"/>
    <w:rsid w:val="007F08D1"/>
    <w:rsid w:val="007F0958"/>
    <w:rsid w:val="007F0BDE"/>
    <w:rsid w:val="007F0C7D"/>
    <w:rsid w:val="007F0E35"/>
    <w:rsid w:val="007F0E72"/>
    <w:rsid w:val="007F14B1"/>
    <w:rsid w:val="007F15F2"/>
    <w:rsid w:val="007F1867"/>
    <w:rsid w:val="007F195F"/>
    <w:rsid w:val="007F1B2D"/>
    <w:rsid w:val="007F1B6D"/>
    <w:rsid w:val="007F1C1E"/>
    <w:rsid w:val="007F1CCF"/>
    <w:rsid w:val="007F1D3E"/>
    <w:rsid w:val="007F1EEE"/>
    <w:rsid w:val="007F1FD7"/>
    <w:rsid w:val="007F234C"/>
    <w:rsid w:val="007F240D"/>
    <w:rsid w:val="007F262F"/>
    <w:rsid w:val="007F2908"/>
    <w:rsid w:val="007F2A62"/>
    <w:rsid w:val="007F2E63"/>
    <w:rsid w:val="007F2F7C"/>
    <w:rsid w:val="007F342C"/>
    <w:rsid w:val="007F3446"/>
    <w:rsid w:val="007F3544"/>
    <w:rsid w:val="007F3576"/>
    <w:rsid w:val="007F3795"/>
    <w:rsid w:val="007F3852"/>
    <w:rsid w:val="007F3A01"/>
    <w:rsid w:val="007F3C5C"/>
    <w:rsid w:val="007F3EAC"/>
    <w:rsid w:val="007F4448"/>
    <w:rsid w:val="007F4627"/>
    <w:rsid w:val="007F4828"/>
    <w:rsid w:val="007F4B3E"/>
    <w:rsid w:val="007F4BE2"/>
    <w:rsid w:val="007F4CA8"/>
    <w:rsid w:val="007F4CE4"/>
    <w:rsid w:val="007F4F87"/>
    <w:rsid w:val="007F5037"/>
    <w:rsid w:val="007F503B"/>
    <w:rsid w:val="007F5318"/>
    <w:rsid w:val="007F5501"/>
    <w:rsid w:val="007F57A5"/>
    <w:rsid w:val="007F599E"/>
    <w:rsid w:val="007F59CE"/>
    <w:rsid w:val="007F5B1D"/>
    <w:rsid w:val="007F5BAA"/>
    <w:rsid w:val="007F5BB5"/>
    <w:rsid w:val="007F6055"/>
    <w:rsid w:val="007F6057"/>
    <w:rsid w:val="007F6186"/>
    <w:rsid w:val="007F6618"/>
    <w:rsid w:val="007F69BA"/>
    <w:rsid w:val="007F6C13"/>
    <w:rsid w:val="007F6D4F"/>
    <w:rsid w:val="007F6EB3"/>
    <w:rsid w:val="007F6ECE"/>
    <w:rsid w:val="007F7206"/>
    <w:rsid w:val="007F7207"/>
    <w:rsid w:val="007F7234"/>
    <w:rsid w:val="007F729B"/>
    <w:rsid w:val="007F72E7"/>
    <w:rsid w:val="007F7406"/>
    <w:rsid w:val="007F751E"/>
    <w:rsid w:val="007F792B"/>
    <w:rsid w:val="007F7BE1"/>
    <w:rsid w:val="007F7D6B"/>
    <w:rsid w:val="007F7DCD"/>
    <w:rsid w:val="007F7FAA"/>
    <w:rsid w:val="00800151"/>
    <w:rsid w:val="00800570"/>
    <w:rsid w:val="008005FE"/>
    <w:rsid w:val="008008B1"/>
    <w:rsid w:val="00800C77"/>
    <w:rsid w:val="00800F6D"/>
    <w:rsid w:val="00801122"/>
    <w:rsid w:val="0080119A"/>
    <w:rsid w:val="0080146C"/>
    <w:rsid w:val="00801621"/>
    <w:rsid w:val="0080165A"/>
    <w:rsid w:val="00801803"/>
    <w:rsid w:val="00801903"/>
    <w:rsid w:val="00801ACF"/>
    <w:rsid w:val="00801B42"/>
    <w:rsid w:val="00801B44"/>
    <w:rsid w:val="00801D0F"/>
    <w:rsid w:val="00801D24"/>
    <w:rsid w:val="00801D6C"/>
    <w:rsid w:val="00801EFE"/>
    <w:rsid w:val="00801FB4"/>
    <w:rsid w:val="00802318"/>
    <w:rsid w:val="0080271B"/>
    <w:rsid w:val="00802796"/>
    <w:rsid w:val="00802B57"/>
    <w:rsid w:val="00802CEC"/>
    <w:rsid w:val="00802D51"/>
    <w:rsid w:val="00802E03"/>
    <w:rsid w:val="00802E23"/>
    <w:rsid w:val="00802EF4"/>
    <w:rsid w:val="0080335A"/>
    <w:rsid w:val="008036BB"/>
    <w:rsid w:val="008036FA"/>
    <w:rsid w:val="008038B2"/>
    <w:rsid w:val="00803900"/>
    <w:rsid w:val="00803B67"/>
    <w:rsid w:val="00803E16"/>
    <w:rsid w:val="00803F92"/>
    <w:rsid w:val="008042FF"/>
    <w:rsid w:val="00804685"/>
    <w:rsid w:val="00804841"/>
    <w:rsid w:val="00804AA4"/>
    <w:rsid w:val="008050EF"/>
    <w:rsid w:val="0080528E"/>
    <w:rsid w:val="008052F1"/>
    <w:rsid w:val="00805779"/>
    <w:rsid w:val="008058F2"/>
    <w:rsid w:val="00805975"/>
    <w:rsid w:val="00805BAC"/>
    <w:rsid w:val="00805CFA"/>
    <w:rsid w:val="00805FD6"/>
    <w:rsid w:val="00806010"/>
    <w:rsid w:val="00806027"/>
    <w:rsid w:val="0080604D"/>
    <w:rsid w:val="0080608A"/>
    <w:rsid w:val="008063E3"/>
    <w:rsid w:val="00806431"/>
    <w:rsid w:val="00806444"/>
    <w:rsid w:val="00806812"/>
    <w:rsid w:val="00806BF8"/>
    <w:rsid w:val="00806C52"/>
    <w:rsid w:val="00806F84"/>
    <w:rsid w:val="008078C1"/>
    <w:rsid w:val="008079F3"/>
    <w:rsid w:val="00807A14"/>
    <w:rsid w:val="00807B8E"/>
    <w:rsid w:val="00807F7F"/>
    <w:rsid w:val="00810075"/>
    <w:rsid w:val="008104C2"/>
    <w:rsid w:val="00810868"/>
    <w:rsid w:val="00810D63"/>
    <w:rsid w:val="00810E18"/>
    <w:rsid w:val="008112DD"/>
    <w:rsid w:val="008113A9"/>
    <w:rsid w:val="00811471"/>
    <w:rsid w:val="00811565"/>
    <w:rsid w:val="00811AF1"/>
    <w:rsid w:val="00811D81"/>
    <w:rsid w:val="00811E37"/>
    <w:rsid w:val="008123D3"/>
    <w:rsid w:val="0081276A"/>
    <w:rsid w:val="00812787"/>
    <w:rsid w:val="008128F2"/>
    <w:rsid w:val="00812A61"/>
    <w:rsid w:val="00812DEB"/>
    <w:rsid w:val="0081302A"/>
    <w:rsid w:val="0081324E"/>
    <w:rsid w:val="00813274"/>
    <w:rsid w:val="00813398"/>
    <w:rsid w:val="008134BB"/>
    <w:rsid w:val="00813562"/>
    <w:rsid w:val="008136F7"/>
    <w:rsid w:val="008137AF"/>
    <w:rsid w:val="00813A3F"/>
    <w:rsid w:val="00813A84"/>
    <w:rsid w:val="00813AB4"/>
    <w:rsid w:val="00813CE0"/>
    <w:rsid w:val="00813D1B"/>
    <w:rsid w:val="00813DF7"/>
    <w:rsid w:val="00814215"/>
    <w:rsid w:val="008149C4"/>
    <w:rsid w:val="00814B2B"/>
    <w:rsid w:val="00814CD3"/>
    <w:rsid w:val="00814DE0"/>
    <w:rsid w:val="008151AC"/>
    <w:rsid w:val="00815259"/>
    <w:rsid w:val="00815DBF"/>
    <w:rsid w:val="00815E2E"/>
    <w:rsid w:val="00815F31"/>
    <w:rsid w:val="00815F6A"/>
    <w:rsid w:val="00815F8B"/>
    <w:rsid w:val="00816355"/>
    <w:rsid w:val="008164C7"/>
    <w:rsid w:val="00816572"/>
    <w:rsid w:val="00816575"/>
    <w:rsid w:val="008167AA"/>
    <w:rsid w:val="008169EA"/>
    <w:rsid w:val="00816B47"/>
    <w:rsid w:val="00816C1C"/>
    <w:rsid w:val="00816C44"/>
    <w:rsid w:val="00816E7A"/>
    <w:rsid w:val="00816F70"/>
    <w:rsid w:val="008171C2"/>
    <w:rsid w:val="0081744B"/>
    <w:rsid w:val="00817B86"/>
    <w:rsid w:val="00817EEF"/>
    <w:rsid w:val="00817F26"/>
    <w:rsid w:val="00817FF7"/>
    <w:rsid w:val="00820287"/>
    <w:rsid w:val="00820357"/>
    <w:rsid w:val="00820359"/>
    <w:rsid w:val="008204FF"/>
    <w:rsid w:val="0082067B"/>
    <w:rsid w:val="0082088D"/>
    <w:rsid w:val="00820940"/>
    <w:rsid w:val="00820A56"/>
    <w:rsid w:val="00820EC6"/>
    <w:rsid w:val="00820FD2"/>
    <w:rsid w:val="00821092"/>
    <w:rsid w:val="008212B3"/>
    <w:rsid w:val="008213FA"/>
    <w:rsid w:val="00821427"/>
    <w:rsid w:val="008215C9"/>
    <w:rsid w:val="008215DE"/>
    <w:rsid w:val="0082177D"/>
    <w:rsid w:val="008218FA"/>
    <w:rsid w:val="00821951"/>
    <w:rsid w:val="00821B27"/>
    <w:rsid w:val="00821B8B"/>
    <w:rsid w:val="00821C89"/>
    <w:rsid w:val="00821D8D"/>
    <w:rsid w:val="00821E89"/>
    <w:rsid w:val="00821FC6"/>
    <w:rsid w:val="00822060"/>
    <w:rsid w:val="00822116"/>
    <w:rsid w:val="008222C4"/>
    <w:rsid w:val="00822310"/>
    <w:rsid w:val="0082287B"/>
    <w:rsid w:val="00822C58"/>
    <w:rsid w:val="00822CB5"/>
    <w:rsid w:val="00822F0E"/>
    <w:rsid w:val="008230C2"/>
    <w:rsid w:val="008231DA"/>
    <w:rsid w:val="00823400"/>
    <w:rsid w:val="008235BC"/>
    <w:rsid w:val="008238E3"/>
    <w:rsid w:val="00823B8F"/>
    <w:rsid w:val="00823CE7"/>
    <w:rsid w:val="00823E43"/>
    <w:rsid w:val="00823FF2"/>
    <w:rsid w:val="0082463C"/>
    <w:rsid w:val="00824784"/>
    <w:rsid w:val="0082492A"/>
    <w:rsid w:val="00824B1D"/>
    <w:rsid w:val="00824CC4"/>
    <w:rsid w:val="00824D59"/>
    <w:rsid w:val="00824D80"/>
    <w:rsid w:val="00824E95"/>
    <w:rsid w:val="00824FC3"/>
    <w:rsid w:val="0082502A"/>
    <w:rsid w:val="0082511F"/>
    <w:rsid w:val="0082527A"/>
    <w:rsid w:val="00825399"/>
    <w:rsid w:val="008253A4"/>
    <w:rsid w:val="008257C9"/>
    <w:rsid w:val="00825811"/>
    <w:rsid w:val="00825B1F"/>
    <w:rsid w:val="00825C04"/>
    <w:rsid w:val="00826249"/>
    <w:rsid w:val="0082624A"/>
    <w:rsid w:val="00826290"/>
    <w:rsid w:val="0082638D"/>
    <w:rsid w:val="008263A9"/>
    <w:rsid w:val="008263C4"/>
    <w:rsid w:val="008265DE"/>
    <w:rsid w:val="00826657"/>
    <w:rsid w:val="00826677"/>
    <w:rsid w:val="00826A73"/>
    <w:rsid w:val="00826C0A"/>
    <w:rsid w:val="00826D64"/>
    <w:rsid w:val="00826E35"/>
    <w:rsid w:val="0082724E"/>
    <w:rsid w:val="00827341"/>
    <w:rsid w:val="0082749E"/>
    <w:rsid w:val="00827606"/>
    <w:rsid w:val="008276AC"/>
    <w:rsid w:val="008276BA"/>
    <w:rsid w:val="008277DD"/>
    <w:rsid w:val="00827A4F"/>
    <w:rsid w:val="00827D76"/>
    <w:rsid w:val="008303A5"/>
    <w:rsid w:val="0083088A"/>
    <w:rsid w:val="00830A3D"/>
    <w:rsid w:val="00830C3B"/>
    <w:rsid w:val="00830CB4"/>
    <w:rsid w:val="00830CC2"/>
    <w:rsid w:val="00830D08"/>
    <w:rsid w:val="00830FA4"/>
    <w:rsid w:val="00831272"/>
    <w:rsid w:val="008314AD"/>
    <w:rsid w:val="008316EF"/>
    <w:rsid w:val="00831A61"/>
    <w:rsid w:val="00831C1C"/>
    <w:rsid w:val="00831CB8"/>
    <w:rsid w:val="00831F6C"/>
    <w:rsid w:val="008320B8"/>
    <w:rsid w:val="00832404"/>
    <w:rsid w:val="0083257B"/>
    <w:rsid w:val="00832CD6"/>
    <w:rsid w:val="00832E34"/>
    <w:rsid w:val="00832F50"/>
    <w:rsid w:val="00832F7F"/>
    <w:rsid w:val="0083312A"/>
    <w:rsid w:val="008331E2"/>
    <w:rsid w:val="008333FB"/>
    <w:rsid w:val="008338AE"/>
    <w:rsid w:val="0083390A"/>
    <w:rsid w:val="00833CE8"/>
    <w:rsid w:val="00833F24"/>
    <w:rsid w:val="00833F59"/>
    <w:rsid w:val="008342D8"/>
    <w:rsid w:val="00834C32"/>
    <w:rsid w:val="00834CA1"/>
    <w:rsid w:val="00834D57"/>
    <w:rsid w:val="00834D7D"/>
    <w:rsid w:val="008350C2"/>
    <w:rsid w:val="00835271"/>
    <w:rsid w:val="008354DF"/>
    <w:rsid w:val="008355A6"/>
    <w:rsid w:val="00835641"/>
    <w:rsid w:val="00835828"/>
    <w:rsid w:val="0083587B"/>
    <w:rsid w:val="0083596B"/>
    <w:rsid w:val="008359B7"/>
    <w:rsid w:val="008359FA"/>
    <w:rsid w:val="00835B6D"/>
    <w:rsid w:val="0083606F"/>
    <w:rsid w:val="008360E7"/>
    <w:rsid w:val="00836133"/>
    <w:rsid w:val="008361F8"/>
    <w:rsid w:val="0083629E"/>
    <w:rsid w:val="0083663F"/>
    <w:rsid w:val="008366F3"/>
    <w:rsid w:val="00836843"/>
    <w:rsid w:val="00836932"/>
    <w:rsid w:val="00836A1C"/>
    <w:rsid w:val="00836A2D"/>
    <w:rsid w:val="00836ABD"/>
    <w:rsid w:val="00836C2C"/>
    <w:rsid w:val="008372F8"/>
    <w:rsid w:val="008373C2"/>
    <w:rsid w:val="0083772F"/>
    <w:rsid w:val="00837763"/>
    <w:rsid w:val="00837848"/>
    <w:rsid w:val="008379CB"/>
    <w:rsid w:val="00837A3A"/>
    <w:rsid w:val="00837BEF"/>
    <w:rsid w:val="00837D9E"/>
    <w:rsid w:val="00840041"/>
    <w:rsid w:val="0084006B"/>
    <w:rsid w:val="008401B0"/>
    <w:rsid w:val="00840389"/>
    <w:rsid w:val="00840998"/>
    <w:rsid w:val="00840A57"/>
    <w:rsid w:val="00840E39"/>
    <w:rsid w:val="00841173"/>
    <w:rsid w:val="008411DB"/>
    <w:rsid w:val="008413E4"/>
    <w:rsid w:val="008414E1"/>
    <w:rsid w:val="008417BE"/>
    <w:rsid w:val="00841AD7"/>
    <w:rsid w:val="00841C4A"/>
    <w:rsid w:val="00841E12"/>
    <w:rsid w:val="00841ED0"/>
    <w:rsid w:val="00842027"/>
    <w:rsid w:val="0084202C"/>
    <w:rsid w:val="008422FF"/>
    <w:rsid w:val="0084259E"/>
    <w:rsid w:val="00842BEF"/>
    <w:rsid w:val="00842C58"/>
    <w:rsid w:val="00842D34"/>
    <w:rsid w:val="00842DA0"/>
    <w:rsid w:val="0084317E"/>
    <w:rsid w:val="0084328C"/>
    <w:rsid w:val="008432A2"/>
    <w:rsid w:val="00843527"/>
    <w:rsid w:val="00843788"/>
    <w:rsid w:val="008437AD"/>
    <w:rsid w:val="0084384D"/>
    <w:rsid w:val="0084390F"/>
    <w:rsid w:val="00843A6C"/>
    <w:rsid w:val="00843D8F"/>
    <w:rsid w:val="00843DFF"/>
    <w:rsid w:val="00844091"/>
    <w:rsid w:val="00844123"/>
    <w:rsid w:val="008441BC"/>
    <w:rsid w:val="008441FE"/>
    <w:rsid w:val="00844207"/>
    <w:rsid w:val="008442F2"/>
    <w:rsid w:val="008444BD"/>
    <w:rsid w:val="0084452E"/>
    <w:rsid w:val="0084467D"/>
    <w:rsid w:val="00844693"/>
    <w:rsid w:val="008449A0"/>
    <w:rsid w:val="00844E1E"/>
    <w:rsid w:val="00844E87"/>
    <w:rsid w:val="00844F07"/>
    <w:rsid w:val="008451A3"/>
    <w:rsid w:val="00845498"/>
    <w:rsid w:val="00845860"/>
    <w:rsid w:val="0084597B"/>
    <w:rsid w:val="00845DF2"/>
    <w:rsid w:val="00845E6E"/>
    <w:rsid w:val="00845FF4"/>
    <w:rsid w:val="008462B0"/>
    <w:rsid w:val="008462C9"/>
    <w:rsid w:val="008462E6"/>
    <w:rsid w:val="008463AF"/>
    <w:rsid w:val="00846461"/>
    <w:rsid w:val="0084665C"/>
    <w:rsid w:val="008467BB"/>
    <w:rsid w:val="008468E8"/>
    <w:rsid w:val="00846928"/>
    <w:rsid w:val="00846AB4"/>
    <w:rsid w:val="00846B4C"/>
    <w:rsid w:val="00846C36"/>
    <w:rsid w:val="00846D9A"/>
    <w:rsid w:val="00846EB3"/>
    <w:rsid w:val="00846F10"/>
    <w:rsid w:val="0084704C"/>
    <w:rsid w:val="0084705A"/>
    <w:rsid w:val="00847091"/>
    <w:rsid w:val="0084719E"/>
    <w:rsid w:val="00847409"/>
    <w:rsid w:val="00847519"/>
    <w:rsid w:val="00847535"/>
    <w:rsid w:val="00847731"/>
    <w:rsid w:val="008477FF"/>
    <w:rsid w:val="008479A1"/>
    <w:rsid w:val="00847B8D"/>
    <w:rsid w:val="00847D22"/>
    <w:rsid w:val="00847DC3"/>
    <w:rsid w:val="00847DF2"/>
    <w:rsid w:val="00847E79"/>
    <w:rsid w:val="00847E7F"/>
    <w:rsid w:val="00847EFB"/>
    <w:rsid w:val="00847F74"/>
    <w:rsid w:val="00847F84"/>
    <w:rsid w:val="0085005F"/>
    <w:rsid w:val="008501AE"/>
    <w:rsid w:val="00850B45"/>
    <w:rsid w:val="00850B57"/>
    <w:rsid w:val="00850BD9"/>
    <w:rsid w:val="00850D1E"/>
    <w:rsid w:val="00850DC9"/>
    <w:rsid w:val="00850EBE"/>
    <w:rsid w:val="0085117D"/>
    <w:rsid w:val="00851A11"/>
    <w:rsid w:val="00851DA5"/>
    <w:rsid w:val="00852058"/>
    <w:rsid w:val="008521B1"/>
    <w:rsid w:val="00852487"/>
    <w:rsid w:val="008526EB"/>
    <w:rsid w:val="008529A1"/>
    <w:rsid w:val="00852D31"/>
    <w:rsid w:val="00852FE0"/>
    <w:rsid w:val="00853065"/>
    <w:rsid w:val="008530AB"/>
    <w:rsid w:val="008533C6"/>
    <w:rsid w:val="008535B6"/>
    <w:rsid w:val="0085366F"/>
    <w:rsid w:val="00853963"/>
    <w:rsid w:val="008539CF"/>
    <w:rsid w:val="00853AA4"/>
    <w:rsid w:val="00853AF0"/>
    <w:rsid w:val="00853B3C"/>
    <w:rsid w:val="00853C5A"/>
    <w:rsid w:val="00853CE2"/>
    <w:rsid w:val="00853D50"/>
    <w:rsid w:val="0085414E"/>
    <w:rsid w:val="008541CD"/>
    <w:rsid w:val="008541DE"/>
    <w:rsid w:val="008541E0"/>
    <w:rsid w:val="00854246"/>
    <w:rsid w:val="008545EA"/>
    <w:rsid w:val="00854A3B"/>
    <w:rsid w:val="00854B28"/>
    <w:rsid w:val="00854D57"/>
    <w:rsid w:val="00854DCE"/>
    <w:rsid w:val="00854E4F"/>
    <w:rsid w:val="00855067"/>
    <w:rsid w:val="00855111"/>
    <w:rsid w:val="00855136"/>
    <w:rsid w:val="0085514C"/>
    <w:rsid w:val="008552CA"/>
    <w:rsid w:val="008552F4"/>
    <w:rsid w:val="00855345"/>
    <w:rsid w:val="008553DE"/>
    <w:rsid w:val="00855636"/>
    <w:rsid w:val="008559A8"/>
    <w:rsid w:val="00855ABE"/>
    <w:rsid w:val="00855D92"/>
    <w:rsid w:val="00855EA6"/>
    <w:rsid w:val="00855F51"/>
    <w:rsid w:val="0085615B"/>
    <w:rsid w:val="0085631F"/>
    <w:rsid w:val="0085645A"/>
    <w:rsid w:val="008564A4"/>
    <w:rsid w:val="008568A9"/>
    <w:rsid w:val="008568F0"/>
    <w:rsid w:val="008569B0"/>
    <w:rsid w:val="008569C9"/>
    <w:rsid w:val="00856B70"/>
    <w:rsid w:val="00856E9E"/>
    <w:rsid w:val="00857039"/>
    <w:rsid w:val="00857192"/>
    <w:rsid w:val="00857507"/>
    <w:rsid w:val="00857553"/>
    <w:rsid w:val="008575AF"/>
    <w:rsid w:val="008576C1"/>
    <w:rsid w:val="00857739"/>
    <w:rsid w:val="00857755"/>
    <w:rsid w:val="00857873"/>
    <w:rsid w:val="00857B9F"/>
    <w:rsid w:val="00857D9A"/>
    <w:rsid w:val="00857FE2"/>
    <w:rsid w:val="00860172"/>
    <w:rsid w:val="008602A6"/>
    <w:rsid w:val="00860431"/>
    <w:rsid w:val="00860473"/>
    <w:rsid w:val="008605DE"/>
    <w:rsid w:val="00860671"/>
    <w:rsid w:val="00860835"/>
    <w:rsid w:val="00860A81"/>
    <w:rsid w:val="00860F49"/>
    <w:rsid w:val="00860FE1"/>
    <w:rsid w:val="00861169"/>
    <w:rsid w:val="008611C4"/>
    <w:rsid w:val="00861342"/>
    <w:rsid w:val="0086142F"/>
    <w:rsid w:val="008614A7"/>
    <w:rsid w:val="00861565"/>
    <w:rsid w:val="00861C32"/>
    <w:rsid w:val="00861EFF"/>
    <w:rsid w:val="00861FB8"/>
    <w:rsid w:val="0086207E"/>
    <w:rsid w:val="008620CE"/>
    <w:rsid w:val="008620F8"/>
    <w:rsid w:val="0086220B"/>
    <w:rsid w:val="008622A0"/>
    <w:rsid w:val="008625C1"/>
    <w:rsid w:val="008629E6"/>
    <w:rsid w:val="00862D83"/>
    <w:rsid w:val="00862DC2"/>
    <w:rsid w:val="00862E44"/>
    <w:rsid w:val="008630C8"/>
    <w:rsid w:val="00863295"/>
    <w:rsid w:val="008635D6"/>
    <w:rsid w:val="008636D8"/>
    <w:rsid w:val="008637E2"/>
    <w:rsid w:val="008638EF"/>
    <w:rsid w:val="008638F4"/>
    <w:rsid w:val="00863E86"/>
    <w:rsid w:val="00863F9B"/>
    <w:rsid w:val="00864581"/>
    <w:rsid w:val="0086464B"/>
    <w:rsid w:val="00864661"/>
    <w:rsid w:val="008646CF"/>
    <w:rsid w:val="00864DEA"/>
    <w:rsid w:val="00864F42"/>
    <w:rsid w:val="0086512A"/>
    <w:rsid w:val="00865186"/>
    <w:rsid w:val="0086529D"/>
    <w:rsid w:val="0086548F"/>
    <w:rsid w:val="0086549E"/>
    <w:rsid w:val="00865750"/>
    <w:rsid w:val="00865784"/>
    <w:rsid w:val="008657FE"/>
    <w:rsid w:val="00865A1B"/>
    <w:rsid w:val="00865B2F"/>
    <w:rsid w:val="00865E61"/>
    <w:rsid w:val="008664FE"/>
    <w:rsid w:val="00866819"/>
    <w:rsid w:val="00866903"/>
    <w:rsid w:val="00866936"/>
    <w:rsid w:val="00866B8D"/>
    <w:rsid w:val="00866B99"/>
    <w:rsid w:val="00866BCB"/>
    <w:rsid w:val="00867256"/>
    <w:rsid w:val="008672AA"/>
    <w:rsid w:val="00867577"/>
    <w:rsid w:val="0086772D"/>
    <w:rsid w:val="008679AF"/>
    <w:rsid w:val="008679E3"/>
    <w:rsid w:val="00867A84"/>
    <w:rsid w:val="00867D13"/>
    <w:rsid w:val="00867DCD"/>
    <w:rsid w:val="00867EF0"/>
    <w:rsid w:val="00870169"/>
    <w:rsid w:val="008701CC"/>
    <w:rsid w:val="008701EF"/>
    <w:rsid w:val="008702E4"/>
    <w:rsid w:val="008702F5"/>
    <w:rsid w:val="00870312"/>
    <w:rsid w:val="008703C2"/>
    <w:rsid w:val="008707AB"/>
    <w:rsid w:val="00870888"/>
    <w:rsid w:val="00870AC1"/>
    <w:rsid w:val="00870C13"/>
    <w:rsid w:val="00870D9E"/>
    <w:rsid w:val="00871587"/>
    <w:rsid w:val="0087158E"/>
    <w:rsid w:val="00871644"/>
    <w:rsid w:val="00871962"/>
    <w:rsid w:val="008719CD"/>
    <w:rsid w:val="00871B8D"/>
    <w:rsid w:val="00871DF7"/>
    <w:rsid w:val="00872166"/>
    <w:rsid w:val="00872432"/>
    <w:rsid w:val="00872439"/>
    <w:rsid w:val="00872554"/>
    <w:rsid w:val="00872685"/>
    <w:rsid w:val="00872834"/>
    <w:rsid w:val="00872935"/>
    <w:rsid w:val="00872A1D"/>
    <w:rsid w:val="00872A21"/>
    <w:rsid w:val="00872AA0"/>
    <w:rsid w:val="00872C81"/>
    <w:rsid w:val="00872D19"/>
    <w:rsid w:val="00872EF4"/>
    <w:rsid w:val="00872F0F"/>
    <w:rsid w:val="00872F11"/>
    <w:rsid w:val="00873105"/>
    <w:rsid w:val="0087343E"/>
    <w:rsid w:val="008734E7"/>
    <w:rsid w:val="0087385D"/>
    <w:rsid w:val="00873D72"/>
    <w:rsid w:val="00873DCF"/>
    <w:rsid w:val="00873E92"/>
    <w:rsid w:val="0087408D"/>
    <w:rsid w:val="00874128"/>
    <w:rsid w:val="008742AD"/>
    <w:rsid w:val="008742D3"/>
    <w:rsid w:val="0087442F"/>
    <w:rsid w:val="00874662"/>
    <w:rsid w:val="008747FF"/>
    <w:rsid w:val="008749B5"/>
    <w:rsid w:val="00874C0E"/>
    <w:rsid w:val="0087530C"/>
    <w:rsid w:val="00875329"/>
    <w:rsid w:val="0087578D"/>
    <w:rsid w:val="008758D2"/>
    <w:rsid w:val="008758E1"/>
    <w:rsid w:val="00875916"/>
    <w:rsid w:val="00875A5D"/>
    <w:rsid w:val="00875B40"/>
    <w:rsid w:val="00875B5A"/>
    <w:rsid w:val="00875CD1"/>
    <w:rsid w:val="00875FBA"/>
    <w:rsid w:val="0087639E"/>
    <w:rsid w:val="00876510"/>
    <w:rsid w:val="00876514"/>
    <w:rsid w:val="00876583"/>
    <w:rsid w:val="008765C6"/>
    <w:rsid w:val="00876622"/>
    <w:rsid w:val="0087668B"/>
    <w:rsid w:val="00876911"/>
    <w:rsid w:val="00876B46"/>
    <w:rsid w:val="00876BEE"/>
    <w:rsid w:val="00876D80"/>
    <w:rsid w:val="00876DCE"/>
    <w:rsid w:val="00876E53"/>
    <w:rsid w:val="00876E62"/>
    <w:rsid w:val="0087705D"/>
    <w:rsid w:val="008771BB"/>
    <w:rsid w:val="008772C4"/>
    <w:rsid w:val="008773AE"/>
    <w:rsid w:val="0087768A"/>
    <w:rsid w:val="0087787A"/>
    <w:rsid w:val="00877979"/>
    <w:rsid w:val="00877A5A"/>
    <w:rsid w:val="00877A61"/>
    <w:rsid w:val="00877FA2"/>
    <w:rsid w:val="008801AA"/>
    <w:rsid w:val="00880245"/>
    <w:rsid w:val="008803B1"/>
    <w:rsid w:val="0088050A"/>
    <w:rsid w:val="00880A8A"/>
    <w:rsid w:val="00880E59"/>
    <w:rsid w:val="0088113D"/>
    <w:rsid w:val="008811CC"/>
    <w:rsid w:val="00881376"/>
    <w:rsid w:val="0088141D"/>
    <w:rsid w:val="008816A7"/>
    <w:rsid w:val="00881796"/>
    <w:rsid w:val="008817F7"/>
    <w:rsid w:val="0088182A"/>
    <w:rsid w:val="00881AA1"/>
    <w:rsid w:val="00881C3E"/>
    <w:rsid w:val="00881C4E"/>
    <w:rsid w:val="00881C83"/>
    <w:rsid w:val="00881F2A"/>
    <w:rsid w:val="00882352"/>
    <w:rsid w:val="008824D1"/>
    <w:rsid w:val="0088266F"/>
    <w:rsid w:val="00882751"/>
    <w:rsid w:val="0088287E"/>
    <w:rsid w:val="00882AD8"/>
    <w:rsid w:val="00882DF6"/>
    <w:rsid w:val="00882F1F"/>
    <w:rsid w:val="00883042"/>
    <w:rsid w:val="0088320B"/>
    <w:rsid w:val="008835EC"/>
    <w:rsid w:val="00883896"/>
    <w:rsid w:val="008838A5"/>
    <w:rsid w:val="0088390D"/>
    <w:rsid w:val="00883BDB"/>
    <w:rsid w:val="00883C00"/>
    <w:rsid w:val="00883DC1"/>
    <w:rsid w:val="00883F02"/>
    <w:rsid w:val="00884013"/>
    <w:rsid w:val="0088412D"/>
    <w:rsid w:val="00884313"/>
    <w:rsid w:val="00884451"/>
    <w:rsid w:val="008845EE"/>
    <w:rsid w:val="00884816"/>
    <w:rsid w:val="00884862"/>
    <w:rsid w:val="0088496A"/>
    <w:rsid w:val="00884A3A"/>
    <w:rsid w:val="00884ABA"/>
    <w:rsid w:val="00884F2C"/>
    <w:rsid w:val="00884F3E"/>
    <w:rsid w:val="00884F70"/>
    <w:rsid w:val="00884F81"/>
    <w:rsid w:val="008852AA"/>
    <w:rsid w:val="00885461"/>
    <w:rsid w:val="00885515"/>
    <w:rsid w:val="008855C2"/>
    <w:rsid w:val="00885640"/>
    <w:rsid w:val="00885791"/>
    <w:rsid w:val="008857A8"/>
    <w:rsid w:val="00885852"/>
    <w:rsid w:val="00885B68"/>
    <w:rsid w:val="00885BB9"/>
    <w:rsid w:val="00885F31"/>
    <w:rsid w:val="00886053"/>
    <w:rsid w:val="0088613F"/>
    <w:rsid w:val="008861E7"/>
    <w:rsid w:val="0088620C"/>
    <w:rsid w:val="00886343"/>
    <w:rsid w:val="008866FD"/>
    <w:rsid w:val="008867D1"/>
    <w:rsid w:val="00886C5C"/>
    <w:rsid w:val="00887041"/>
    <w:rsid w:val="008872E8"/>
    <w:rsid w:val="00887320"/>
    <w:rsid w:val="00887323"/>
    <w:rsid w:val="008873D2"/>
    <w:rsid w:val="008874AD"/>
    <w:rsid w:val="008877D8"/>
    <w:rsid w:val="0088797F"/>
    <w:rsid w:val="00887ADF"/>
    <w:rsid w:val="00887B40"/>
    <w:rsid w:val="00887DD5"/>
    <w:rsid w:val="00887E3C"/>
    <w:rsid w:val="00887E9A"/>
    <w:rsid w:val="00887EF9"/>
    <w:rsid w:val="00887F10"/>
    <w:rsid w:val="008902F6"/>
    <w:rsid w:val="00890303"/>
    <w:rsid w:val="0089075C"/>
    <w:rsid w:val="008908E8"/>
    <w:rsid w:val="00890A77"/>
    <w:rsid w:val="00890AE1"/>
    <w:rsid w:val="00890CD6"/>
    <w:rsid w:val="00890E9F"/>
    <w:rsid w:val="00890EEA"/>
    <w:rsid w:val="00891214"/>
    <w:rsid w:val="008914BE"/>
    <w:rsid w:val="008915B6"/>
    <w:rsid w:val="00891633"/>
    <w:rsid w:val="008918B7"/>
    <w:rsid w:val="008919F9"/>
    <w:rsid w:val="00891A62"/>
    <w:rsid w:val="00891D03"/>
    <w:rsid w:val="00891E31"/>
    <w:rsid w:val="00891F84"/>
    <w:rsid w:val="00892195"/>
    <w:rsid w:val="008923B1"/>
    <w:rsid w:val="00892604"/>
    <w:rsid w:val="00892803"/>
    <w:rsid w:val="00892871"/>
    <w:rsid w:val="008929E5"/>
    <w:rsid w:val="00892B86"/>
    <w:rsid w:val="00892C9D"/>
    <w:rsid w:val="00892DD1"/>
    <w:rsid w:val="0089323B"/>
    <w:rsid w:val="0089375A"/>
    <w:rsid w:val="00893834"/>
    <w:rsid w:val="00893A00"/>
    <w:rsid w:val="00893C1F"/>
    <w:rsid w:val="00893C8C"/>
    <w:rsid w:val="00893DA9"/>
    <w:rsid w:val="008941E5"/>
    <w:rsid w:val="0089430A"/>
    <w:rsid w:val="0089436E"/>
    <w:rsid w:val="008945C9"/>
    <w:rsid w:val="0089483F"/>
    <w:rsid w:val="008949CF"/>
    <w:rsid w:val="00894D59"/>
    <w:rsid w:val="00894F62"/>
    <w:rsid w:val="008950CF"/>
    <w:rsid w:val="00895670"/>
    <w:rsid w:val="00895881"/>
    <w:rsid w:val="008958DE"/>
    <w:rsid w:val="008958E8"/>
    <w:rsid w:val="0089590B"/>
    <w:rsid w:val="00895B02"/>
    <w:rsid w:val="00895B7F"/>
    <w:rsid w:val="00895BEE"/>
    <w:rsid w:val="00895DE4"/>
    <w:rsid w:val="00895E09"/>
    <w:rsid w:val="00895E63"/>
    <w:rsid w:val="00895E9F"/>
    <w:rsid w:val="00895F58"/>
    <w:rsid w:val="00895F77"/>
    <w:rsid w:val="008960C5"/>
    <w:rsid w:val="0089617B"/>
    <w:rsid w:val="0089618B"/>
    <w:rsid w:val="008963A3"/>
    <w:rsid w:val="008964D8"/>
    <w:rsid w:val="0089657D"/>
    <w:rsid w:val="00896D25"/>
    <w:rsid w:val="00896E0E"/>
    <w:rsid w:val="00896E91"/>
    <w:rsid w:val="00896F59"/>
    <w:rsid w:val="0089700E"/>
    <w:rsid w:val="00897055"/>
    <w:rsid w:val="008971E5"/>
    <w:rsid w:val="00897479"/>
    <w:rsid w:val="00897628"/>
    <w:rsid w:val="0089768A"/>
    <w:rsid w:val="00897B10"/>
    <w:rsid w:val="00897FF9"/>
    <w:rsid w:val="008A008B"/>
    <w:rsid w:val="008A011D"/>
    <w:rsid w:val="008A019A"/>
    <w:rsid w:val="008A01FF"/>
    <w:rsid w:val="008A046F"/>
    <w:rsid w:val="008A053A"/>
    <w:rsid w:val="008A0613"/>
    <w:rsid w:val="008A0621"/>
    <w:rsid w:val="008A06CE"/>
    <w:rsid w:val="008A0A95"/>
    <w:rsid w:val="008A0D5A"/>
    <w:rsid w:val="008A10CD"/>
    <w:rsid w:val="008A1173"/>
    <w:rsid w:val="008A1568"/>
    <w:rsid w:val="008A15E6"/>
    <w:rsid w:val="008A1804"/>
    <w:rsid w:val="008A192F"/>
    <w:rsid w:val="008A1B55"/>
    <w:rsid w:val="008A1FB4"/>
    <w:rsid w:val="008A2150"/>
    <w:rsid w:val="008A2232"/>
    <w:rsid w:val="008A2447"/>
    <w:rsid w:val="008A24FC"/>
    <w:rsid w:val="008A250C"/>
    <w:rsid w:val="008A25E5"/>
    <w:rsid w:val="008A2625"/>
    <w:rsid w:val="008A2886"/>
    <w:rsid w:val="008A289A"/>
    <w:rsid w:val="008A2A70"/>
    <w:rsid w:val="008A2BEC"/>
    <w:rsid w:val="008A2CA8"/>
    <w:rsid w:val="008A3126"/>
    <w:rsid w:val="008A325D"/>
    <w:rsid w:val="008A32E1"/>
    <w:rsid w:val="008A3377"/>
    <w:rsid w:val="008A34E3"/>
    <w:rsid w:val="008A3579"/>
    <w:rsid w:val="008A3697"/>
    <w:rsid w:val="008A36D4"/>
    <w:rsid w:val="008A3A58"/>
    <w:rsid w:val="008A3C2F"/>
    <w:rsid w:val="008A3D97"/>
    <w:rsid w:val="008A3EBE"/>
    <w:rsid w:val="008A40A5"/>
    <w:rsid w:val="008A43A1"/>
    <w:rsid w:val="008A43F8"/>
    <w:rsid w:val="008A457D"/>
    <w:rsid w:val="008A46FB"/>
    <w:rsid w:val="008A4B4B"/>
    <w:rsid w:val="008A4CED"/>
    <w:rsid w:val="008A4D7F"/>
    <w:rsid w:val="008A5031"/>
    <w:rsid w:val="008A5282"/>
    <w:rsid w:val="008A539A"/>
    <w:rsid w:val="008A53FE"/>
    <w:rsid w:val="008A5502"/>
    <w:rsid w:val="008A550D"/>
    <w:rsid w:val="008A55E6"/>
    <w:rsid w:val="008A5756"/>
    <w:rsid w:val="008A59EC"/>
    <w:rsid w:val="008A5AA1"/>
    <w:rsid w:val="008A5FA0"/>
    <w:rsid w:val="008A6209"/>
    <w:rsid w:val="008A6373"/>
    <w:rsid w:val="008A6605"/>
    <w:rsid w:val="008A70C3"/>
    <w:rsid w:val="008A7141"/>
    <w:rsid w:val="008A715D"/>
    <w:rsid w:val="008A7208"/>
    <w:rsid w:val="008A735B"/>
    <w:rsid w:val="008A74B1"/>
    <w:rsid w:val="008A74BF"/>
    <w:rsid w:val="008A7502"/>
    <w:rsid w:val="008A762B"/>
    <w:rsid w:val="008A7726"/>
    <w:rsid w:val="008A77B9"/>
    <w:rsid w:val="008A7DAA"/>
    <w:rsid w:val="008B0104"/>
    <w:rsid w:val="008B032A"/>
    <w:rsid w:val="008B099C"/>
    <w:rsid w:val="008B09AC"/>
    <w:rsid w:val="008B113C"/>
    <w:rsid w:val="008B11D6"/>
    <w:rsid w:val="008B1205"/>
    <w:rsid w:val="008B12DD"/>
    <w:rsid w:val="008B12E3"/>
    <w:rsid w:val="008B16DB"/>
    <w:rsid w:val="008B18ED"/>
    <w:rsid w:val="008B1903"/>
    <w:rsid w:val="008B19F2"/>
    <w:rsid w:val="008B1E84"/>
    <w:rsid w:val="008B203B"/>
    <w:rsid w:val="008B2078"/>
    <w:rsid w:val="008B2573"/>
    <w:rsid w:val="008B25D2"/>
    <w:rsid w:val="008B271D"/>
    <w:rsid w:val="008B2723"/>
    <w:rsid w:val="008B2760"/>
    <w:rsid w:val="008B291B"/>
    <w:rsid w:val="008B2C3E"/>
    <w:rsid w:val="008B2F14"/>
    <w:rsid w:val="008B3280"/>
    <w:rsid w:val="008B34E5"/>
    <w:rsid w:val="008B35AE"/>
    <w:rsid w:val="008B36C1"/>
    <w:rsid w:val="008B397B"/>
    <w:rsid w:val="008B3A5D"/>
    <w:rsid w:val="008B3B8E"/>
    <w:rsid w:val="008B3D7E"/>
    <w:rsid w:val="008B3E71"/>
    <w:rsid w:val="008B3EB5"/>
    <w:rsid w:val="008B4133"/>
    <w:rsid w:val="008B4326"/>
    <w:rsid w:val="008B43B4"/>
    <w:rsid w:val="008B4400"/>
    <w:rsid w:val="008B45CC"/>
    <w:rsid w:val="008B45F4"/>
    <w:rsid w:val="008B4962"/>
    <w:rsid w:val="008B4C84"/>
    <w:rsid w:val="008B4E65"/>
    <w:rsid w:val="008B5145"/>
    <w:rsid w:val="008B5484"/>
    <w:rsid w:val="008B5502"/>
    <w:rsid w:val="008B58D9"/>
    <w:rsid w:val="008B5993"/>
    <w:rsid w:val="008B5DD8"/>
    <w:rsid w:val="008B5F61"/>
    <w:rsid w:val="008B645B"/>
    <w:rsid w:val="008B64CF"/>
    <w:rsid w:val="008B6517"/>
    <w:rsid w:val="008B69C9"/>
    <w:rsid w:val="008B6BA4"/>
    <w:rsid w:val="008B6D9C"/>
    <w:rsid w:val="008B6EB9"/>
    <w:rsid w:val="008B6F25"/>
    <w:rsid w:val="008B6F7A"/>
    <w:rsid w:val="008B707E"/>
    <w:rsid w:val="008B721E"/>
    <w:rsid w:val="008B7263"/>
    <w:rsid w:val="008B7425"/>
    <w:rsid w:val="008B758A"/>
    <w:rsid w:val="008B780F"/>
    <w:rsid w:val="008B7A5F"/>
    <w:rsid w:val="008B7B1C"/>
    <w:rsid w:val="008B7DAA"/>
    <w:rsid w:val="008B7FC6"/>
    <w:rsid w:val="008C0125"/>
    <w:rsid w:val="008C0164"/>
    <w:rsid w:val="008C0512"/>
    <w:rsid w:val="008C0547"/>
    <w:rsid w:val="008C05CC"/>
    <w:rsid w:val="008C0679"/>
    <w:rsid w:val="008C069E"/>
    <w:rsid w:val="008C073A"/>
    <w:rsid w:val="008C09CF"/>
    <w:rsid w:val="008C0A04"/>
    <w:rsid w:val="008C0BBC"/>
    <w:rsid w:val="008C0E79"/>
    <w:rsid w:val="008C1030"/>
    <w:rsid w:val="008C1129"/>
    <w:rsid w:val="008C13CC"/>
    <w:rsid w:val="008C14F6"/>
    <w:rsid w:val="008C178E"/>
    <w:rsid w:val="008C1833"/>
    <w:rsid w:val="008C1849"/>
    <w:rsid w:val="008C1B41"/>
    <w:rsid w:val="008C1C9C"/>
    <w:rsid w:val="008C1E21"/>
    <w:rsid w:val="008C1F60"/>
    <w:rsid w:val="008C1F7E"/>
    <w:rsid w:val="008C1F93"/>
    <w:rsid w:val="008C1FAF"/>
    <w:rsid w:val="008C207E"/>
    <w:rsid w:val="008C207F"/>
    <w:rsid w:val="008C2173"/>
    <w:rsid w:val="008C231C"/>
    <w:rsid w:val="008C2752"/>
    <w:rsid w:val="008C2B60"/>
    <w:rsid w:val="008C2BDA"/>
    <w:rsid w:val="008C2CC5"/>
    <w:rsid w:val="008C2D65"/>
    <w:rsid w:val="008C2EBF"/>
    <w:rsid w:val="008C2F4E"/>
    <w:rsid w:val="008C2F5A"/>
    <w:rsid w:val="008C318B"/>
    <w:rsid w:val="008C3634"/>
    <w:rsid w:val="008C36D1"/>
    <w:rsid w:val="008C36DB"/>
    <w:rsid w:val="008C38C2"/>
    <w:rsid w:val="008C3AEB"/>
    <w:rsid w:val="008C41A8"/>
    <w:rsid w:val="008C41A9"/>
    <w:rsid w:val="008C42CB"/>
    <w:rsid w:val="008C436A"/>
    <w:rsid w:val="008C455C"/>
    <w:rsid w:val="008C473F"/>
    <w:rsid w:val="008C47D3"/>
    <w:rsid w:val="008C4D92"/>
    <w:rsid w:val="008C4DAF"/>
    <w:rsid w:val="008C54D5"/>
    <w:rsid w:val="008C54DD"/>
    <w:rsid w:val="008C54E6"/>
    <w:rsid w:val="008C5743"/>
    <w:rsid w:val="008C575D"/>
    <w:rsid w:val="008C57F2"/>
    <w:rsid w:val="008C58A8"/>
    <w:rsid w:val="008C6055"/>
    <w:rsid w:val="008C642D"/>
    <w:rsid w:val="008C64E2"/>
    <w:rsid w:val="008C6A14"/>
    <w:rsid w:val="008C6B7E"/>
    <w:rsid w:val="008C6C09"/>
    <w:rsid w:val="008C71BA"/>
    <w:rsid w:val="008C71D4"/>
    <w:rsid w:val="008C7356"/>
    <w:rsid w:val="008C73DD"/>
    <w:rsid w:val="008C777A"/>
    <w:rsid w:val="008C782A"/>
    <w:rsid w:val="008C78CC"/>
    <w:rsid w:val="008C7A32"/>
    <w:rsid w:val="008C7AD2"/>
    <w:rsid w:val="008C7CA1"/>
    <w:rsid w:val="008C7EA0"/>
    <w:rsid w:val="008C7EC0"/>
    <w:rsid w:val="008C7F88"/>
    <w:rsid w:val="008D0312"/>
    <w:rsid w:val="008D035F"/>
    <w:rsid w:val="008D03EA"/>
    <w:rsid w:val="008D041F"/>
    <w:rsid w:val="008D0439"/>
    <w:rsid w:val="008D04D7"/>
    <w:rsid w:val="008D06CE"/>
    <w:rsid w:val="008D0764"/>
    <w:rsid w:val="008D088B"/>
    <w:rsid w:val="008D0A19"/>
    <w:rsid w:val="008D0AFE"/>
    <w:rsid w:val="008D0B49"/>
    <w:rsid w:val="008D0B4F"/>
    <w:rsid w:val="008D0C85"/>
    <w:rsid w:val="008D0EE3"/>
    <w:rsid w:val="008D0FCD"/>
    <w:rsid w:val="008D1078"/>
    <w:rsid w:val="008D10DC"/>
    <w:rsid w:val="008D147A"/>
    <w:rsid w:val="008D1612"/>
    <w:rsid w:val="008D1AC8"/>
    <w:rsid w:val="008D1B65"/>
    <w:rsid w:val="008D1C20"/>
    <w:rsid w:val="008D22C9"/>
    <w:rsid w:val="008D2833"/>
    <w:rsid w:val="008D2844"/>
    <w:rsid w:val="008D28AC"/>
    <w:rsid w:val="008D294B"/>
    <w:rsid w:val="008D2DAB"/>
    <w:rsid w:val="008D3049"/>
    <w:rsid w:val="008D32AB"/>
    <w:rsid w:val="008D32D8"/>
    <w:rsid w:val="008D3343"/>
    <w:rsid w:val="008D3501"/>
    <w:rsid w:val="008D3850"/>
    <w:rsid w:val="008D39E9"/>
    <w:rsid w:val="008D3D63"/>
    <w:rsid w:val="008D3DCA"/>
    <w:rsid w:val="008D3F2A"/>
    <w:rsid w:val="008D3FD2"/>
    <w:rsid w:val="008D44D9"/>
    <w:rsid w:val="008D4A47"/>
    <w:rsid w:val="008D4B7A"/>
    <w:rsid w:val="008D4F11"/>
    <w:rsid w:val="008D5151"/>
    <w:rsid w:val="008D523C"/>
    <w:rsid w:val="008D5265"/>
    <w:rsid w:val="008D554C"/>
    <w:rsid w:val="008D557F"/>
    <w:rsid w:val="008D56B1"/>
    <w:rsid w:val="008D588E"/>
    <w:rsid w:val="008D5AC2"/>
    <w:rsid w:val="008D5B07"/>
    <w:rsid w:val="008D5DC1"/>
    <w:rsid w:val="008D5DC9"/>
    <w:rsid w:val="008D6212"/>
    <w:rsid w:val="008D6649"/>
    <w:rsid w:val="008D6663"/>
    <w:rsid w:val="008D66EE"/>
    <w:rsid w:val="008D6765"/>
    <w:rsid w:val="008D67BE"/>
    <w:rsid w:val="008D6B0E"/>
    <w:rsid w:val="008D6CF1"/>
    <w:rsid w:val="008D70E2"/>
    <w:rsid w:val="008D71C3"/>
    <w:rsid w:val="008D723B"/>
    <w:rsid w:val="008D734B"/>
    <w:rsid w:val="008D7350"/>
    <w:rsid w:val="008D73EC"/>
    <w:rsid w:val="008D73EF"/>
    <w:rsid w:val="008D76CD"/>
    <w:rsid w:val="008D7A85"/>
    <w:rsid w:val="008D7BCD"/>
    <w:rsid w:val="008D7C79"/>
    <w:rsid w:val="008D7C8F"/>
    <w:rsid w:val="008D7DDA"/>
    <w:rsid w:val="008D7FE8"/>
    <w:rsid w:val="008E005C"/>
    <w:rsid w:val="008E03CE"/>
    <w:rsid w:val="008E04FC"/>
    <w:rsid w:val="008E05A5"/>
    <w:rsid w:val="008E05DA"/>
    <w:rsid w:val="008E06DD"/>
    <w:rsid w:val="008E0A81"/>
    <w:rsid w:val="008E0D84"/>
    <w:rsid w:val="008E11E3"/>
    <w:rsid w:val="008E12E5"/>
    <w:rsid w:val="008E1547"/>
    <w:rsid w:val="008E15BA"/>
    <w:rsid w:val="008E15F4"/>
    <w:rsid w:val="008E1639"/>
    <w:rsid w:val="008E176A"/>
    <w:rsid w:val="008E190B"/>
    <w:rsid w:val="008E1A1B"/>
    <w:rsid w:val="008E1A9E"/>
    <w:rsid w:val="008E1CFA"/>
    <w:rsid w:val="008E1DAA"/>
    <w:rsid w:val="008E1FF1"/>
    <w:rsid w:val="008E2025"/>
    <w:rsid w:val="008E242C"/>
    <w:rsid w:val="008E2544"/>
    <w:rsid w:val="008E26E9"/>
    <w:rsid w:val="008E27AE"/>
    <w:rsid w:val="008E27E2"/>
    <w:rsid w:val="008E2A52"/>
    <w:rsid w:val="008E2C6D"/>
    <w:rsid w:val="008E2D7B"/>
    <w:rsid w:val="008E2E1B"/>
    <w:rsid w:val="008E2F51"/>
    <w:rsid w:val="008E32B5"/>
    <w:rsid w:val="008E3328"/>
    <w:rsid w:val="008E3711"/>
    <w:rsid w:val="008E38D3"/>
    <w:rsid w:val="008E3CCB"/>
    <w:rsid w:val="008E3E60"/>
    <w:rsid w:val="008E4100"/>
    <w:rsid w:val="008E4970"/>
    <w:rsid w:val="008E4A4E"/>
    <w:rsid w:val="008E4AB2"/>
    <w:rsid w:val="008E4BAF"/>
    <w:rsid w:val="008E4C9D"/>
    <w:rsid w:val="008E4C9E"/>
    <w:rsid w:val="008E4CFF"/>
    <w:rsid w:val="008E4EF4"/>
    <w:rsid w:val="008E5030"/>
    <w:rsid w:val="008E5066"/>
    <w:rsid w:val="008E5181"/>
    <w:rsid w:val="008E52A7"/>
    <w:rsid w:val="008E5541"/>
    <w:rsid w:val="008E5821"/>
    <w:rsid w:val="008E5ACE"/>
    <w:rsid w:val="008E5DFA"/>
    <w:rsid w:val="008E5ECC"/>
    <w:rsid w:val="008E5F01"/>
    <w:rsid w:val="008E623B"/>
    <w:rsid w:val="008E6593"/>
    <w:rsid w:val="008E6748"/>
    <w:rsid w:val="008E6B45"/>
    <w:rsid w:val="008E70D3"/>
    <w:rsid w:val="008E70E6"/>
    <w:rsid w:val="008E7210"/>
    <w:rsid w:val="008E7972"/>
    <w:rsid w:val="008E7B90"/>
    <w:rsid w:val="008E7E09"/>
    <w:rsid w:val="008E7F4D"/>
    <w:rsid w:val="008F0328"/>
    <w:rsid w:val="008F0719"/>
    <w:rsid w:val="008F0757"/>
    <w:rsid w:val="008F093B"/>
    <w:rsid w:val="008F099E"/>
    <w:rsid w:val="008F09D2"/>
    <w:rsid w:val="008F0B36"/>
    <w:rsid w:val="008F0C33"/>
    <w:rsid w:val="008F0F67"/>
    <w:rsid w:val="008F1602"/>
    <w:rsid w:val="008F1839"/>
    <w:rsid w:val="008F1B12"/>
    <w:rsid w:val="008F1D27"/>
    <w:rsid w:val="008F1EF9"/>
    <w:rsid w:val="008F2106"/>
    <w:rsid w:val="008F21A2"/>
    <w:rsid w:val="008F21C0"/>
    <w:rsid w:val="008F2269"/>
    <w:rsid w:val="008F2326"/>
    <w:rsid w:val="008F2339"/>
    <w:rsid w:val="008F24AA"/>
    <w:rsid w:val="008F2842"/>
    <w:rsid w:val="008F289D"/>
    <w:rsid w:val="008F2955"/>
    <w:rsid w:val="008F2A44"/>
    <w:rsid w:val="008F2CD7"/>
    <w:rsid w:val="008F2F21"/>
    <w:rsid w:val="008F30BA"/>
    <w:rsid w:val="008F311B"/>
    <w:rsid w:val="008F3456"/>
    <w:rsid w:val="008F3759"/>
    <w:rsid w:val="008F3801"/>
    <w:rsid w:val="008F390D"/>
    <w:rsid w:val="008F3ADF"/>
    <w:rsid w:val="008F3C10"/>
    <w:rsid w:val="008F3C2B"/>
    <w:rsid w:val="008F3D32"/>
    <w:rsid w:val="008F3E38"/>
    <w:rsid w:val="008F401B"/>
    <w:rsid w:val="008F423F"/>
    <w:rsid w:val="008F4630"/>
    <w:rsid w:val="008F48CD"/>
    <w:rsid w:val="008F4CC5"/>
    <w:rsid w:val="008F4D5E"/>
    <w:rsid w:val="008F4F99"/>
    <w:rsid w:val="008F506E"/>
    <w:rsid w:val="008F555D"/>
    <w:rsid w:val="008F5680"/>
    <w:rsid w:val="008F56A7"/>
    <w:rsid w:val="008F57B0"/>
    <w:rsid w:val="008F5A11"/>
    <w:rsid w:val="008F5A39"/>
    <w:rsid w:val="008F5B86"/>
    <w:rsid w:val="008F5BCE"/>
    <w:rsid w:val="008F5BEF"/>
    <w:rsid w:val="008F5CA8"/>
    <w:rsid w:val="008F5F1B"/>
    <w:rsid w:val="008F639B"/>
    <w:rsid w:val="008F6421"/>
    <w:rsid w:val="008F6815"/>
    <w:rsid w:val="008F6DE5"/>
    <w:rsid w:val="008F6F33"/>
    <w:rsid w:val="008F7011"/>
    <w:rsid w:val="008F7362"/>
    <w:rsid w:val="008F7432"/>
    <w:rsid w:val="008F748C"/>
    <w:rsid w:val="008F78C1"/>
    <w:rsid w:val="008F7A46"/>
    <w:rsid w:val="008F7BEC"/>
    <w:rsid w:val="008F7E46"/>
    <w:rsid w:val="008F7F9E"/>
    <w:rsid w:val="008F7FCD"/>
    <w:rsid w:val="009001B7"/>
    <w:rsid w:val="0090028E"/>
    <w:rsid w:val="0090029A"/>
    <w:rsid w:val="009003F9"/>
    <w:rsid w:val="0090058E"/>
    <w:rsid w:val="00900753"/>
    <w:rsid w:val="0090080A"/>
    <w:rsid w:val="009008B1"/>
    <w:rsid w:val="00900A5B"/>
    <w:rsid w:val="00900AFE"/>
    <w:rsid w:val="00900BE4"/>
    <w:rsid w:val="00900F95"/>
    <w:rsid w:val="00901047"/>
    <w:rsid w:val="0090112E"/>
    <w:rsid w:val="009011D8"/>
    <w:rsid w:val="009014B3"/>
    <w:rsid w:val="00901634"/>
    <w:rsid w:val="0090191C"/>
    <w:rsid w:val="00901CEE"/>
    <w:rsid w:val="00901E12"/>
    <w:rsid w:val="00901E5B"/>
    <w:rsid w:val="00902092"/>
    <w:rsid w:val="0090212F"/>
    <w:rsid w:val="00902159"/>
    <w:rsid w:val="009021D2"/>
    <w:rsid w:val="0090258A"/>
    <w:rsid w:val="009026E8"/>
    <w:rsid w:val="0090279D"/>
    <w:rsid w:val="00902DB6"/>
    <w:rsid w:val="00902FFC"/>
    <w:rsid w:val="00903029"/>
    <w:rsid w:val="009033B9"/>
    <w:rsid w:val="0090346F"/>
    <w:rsid w:val="00903546"/>
    <w:rsid w:val="009035E4"/>
    <w:rsid w:val="009036F3"/>
    <w:rsid w:val="009037E0"/>
    <w:rsid w:val="0090396A"/>
    <w:rsid w:val="00903BF7"/>
    <w:rsid w:val="00903D11"/>
    <w:rsid w:val="00904052"/>
    <w:rsid w:val="009040DF"/>
    <w:rsid w:val="009040E0"/>
    <w:rsid w:val="009041B6"/>
    <w:rsid w:val="00904207"/>
    <w:rsid w:val="00904345"/>
    <w:rsid w:val="00904608"/>
    <w:rsid w:val="009047E3"/>
    <w:rsid w:val="0090480E"/>
    <w:rsid w:val="00904901"/>
    <w:rsid w:val="00904B56"/>
    <w:rsid w:val="00904B63"/>
    <w:rsid w:val="00904B7B"/>
    <w:rsid w:val="00905017"/>
    <w:rsid w:val="0090523A"/>
    <w:rsid w:val="009052B8"/>
    <w:rsid w:val="009053C9"/>
    <w:rsid w:val="00905455"/>
    <w:rsid w:val="0090551C"/>
    <w:rsid w:val="0090566C"/>
    <w:rsid w:val="009056A2"/>
    <w:rsid w:val="009056DA"/>
    <w:rsid w:val="009057B7"/>
    <w:rsid w:val="009057D4"/>
    <w:rsid w:val="009059E5"/>
    <w:rsid w:val="00905A96"/>
    <w:rsid w:val="00905B44"/>
    <w:rsid w:val="00905CD6"/>
    <w:rsid w:val="00905E20"/>
    <w:rsid w:val="00905E3F"/>
    <w:rsid w:val="00905E9B"/>
    <w:rsid w:val="00905EB0"/>
    <w:rsid w:val="00905EEF"/>
    <w:rsid w:val="00905F3B"/>
    <w:rsid w:val="0090641F"/>
    <w:rsid w:val="009065B0"/>
    <w:rsid w:val="0090688A"/>
    <w:rsid w:val="00906A2D"/>
    <w:rsid w:val="00906BCA"/>
    <w:rsid w:val="00906D63"/>
    <w:rsid w:val="00906E12"/>
    <w:rsid w:val="00906F31"/>
    <w:rsid w:val="00907014"/>
    <w:rsid w:val="0090746D"/>
    <w:rsid w:val="00907494"/>
    <w:rsid w:val="009076F2"/>
    <w:rsid w:val="0090782B"/>
    <w:rsid w:val="009078CA"/>
    <w:rsid w:val="009078DB"/>
    <w:rsid w:val="00907FCA"/>
    <w:rsid w:val="00907FCB"/>
    <w:rsid w:val="00910065"/>
    <w:rsid w:val="00910144"/>
    <w:rsid w:val="00910290"/>
    <w:rsid w:val="00910382"/>
    <w:rsid w:val="00910626"/>
    <w:rsid w:val="009106CA"/>
    <w:rsid w:val="00910710"/>
    <w:rsid w:val="00910AD9"/>
    <w:rsid w:val="00910D6A"/>
    <w:rsid w:val="00910E0B"/>
    <w:rsid w:val="00910E38"/>
    <w:rsid w:val="0091100B"/>
    <w:rsid w:val="0091110C"/>
    <w:rsid w:val="00911137"/>
    <w:rsid w:val="009115AF"/>
    <w:rsid w:val="009115BD"/>
    <w:rsid w:val="0091163B"/>
    <w:rsid w:val="009116C0"/>
    <w:rsid w:val="00911702"/>
    <w:rsid w:val="009118E5"/>
    <w:rsid w:val="009118FB"/>
    <w:rsid w:val="009119A6"/>
    <w:rsid w:val="00911AAC"/>
    <w:rsid w:val="00911B53"/>
    <w:rsid w:val="00911C1F"/>
    <w:rsid w:val="00911D0D"/>
    <w:rsid w:val="00911DD9"/>
    <w:rsid w:val="00911FC8"/>
    <w:rsid w:val="00912063"/>
    <w:rsid w:val="00912158"/>
    <w:rsid w:val="009121FE"/>
    <w:rsid w:val="009122A6"/>
    <w:rsid w:val="009123D8"/>
    <w:rsid w:val="0091244E"/>
    <w:rsid w:val="00912606"/>
    <w:rsid w:val="00912609"/>
    <w:rsid w:val="009127D7"/>
    <w:rsid w:val="0091283F"/>
    <w:rsid w:val="009128F1"/>
    <w:rsid w:val="00912990"/>
    <w:rsid w:val="00912B97"/>
    <w:rsid w:val="00912BBF"/>
    <w:rsid w:val="00912C6F"/>
    <w:rsid w:val="0091316C"/>
    <w:rsid w:val="009132B0"/>
    <w:rsid w:val="009133C2"/>
    <w:rsid w:val="00913495"/>
    <w:rsid w:val="009134BE"/>
    <w:rsid w:val="00913502"/>
    <w:rsid w:val="009135A4"/>
    <w:rsid w:val="009135C9"/>
    <w:rsid w:val="00913839"/>
    <w:rsid w:val="00913DEE"/>
    <w:rsid w:val="00913E22"/>
    <w:rsid w:val="00913E7C"/>
    <w:rsid w:val="00913E80"/>
    <w:rsid w:val="00913E92"/>
    <w:rsid w:val="0091411C"/>
    <w:rsid w:val="009141C6"/>
    <w:rsid w:val="009142A1"/>
    <w:rsid w:val="009142CC"/>
    <w:rsid w:val="00914551"/>
    <w:rsid w:val="009146E8"/>
    <w:rsid w:val="00914895"/>
    <w:rsid w:val="009148B4"/>
    <w:rsid w:val="00914B1B"/>
    <w:rsid w:val="00914B75"/>
    <w:rsid w:val="00914BCE"/>
    <w:rsid w:val="00914D1E"/>
    <w:rsid w:val="00914E94"/>
    <w:rsid w:val="0091505C"/>
    <w:rsid w:val="00915240"/>
    <w:rsid w:val="0091525B"/>
    <w:rsid w:val="0091531F"/>
    <w:rsid w:val="00915AC3"/>
    <w:rsid w:val="00915AE9"/>
    <w:rsid w:val="00915D24"/>
    <w:rsid w:val="0091601F"/>
    <w:rsid w:val="0091699C"/>
    <w:rsid w:val="00916AAE"/>
    <w:rsid w:val="00916B95"/>
    <w:rsid w:val="00916E62"/>
    <w:rsid w:val="00917252"/>
    <w:rsid w:val="009175EE"/>
    <w:rsid w:val="00917791"/>
    <w:rsid w:val="00917879"/>
    <w:rsid w:val="009178D2"/>
    <w:rsid w:val="009178F4"/>
    <w:rsid w:val="009179D1"/>
    <w:rsid w:val="00917A1A"/>
    <w:rsid w:val="00917F11"/>
    <w:rsid w:val="0092009A"/>
    <w:rsid w:val="0092018E"/>
    <w:rsid w:val="009203CB"/>
    <w:rsid w:val="009203E5"/>
    <w:rsid w:val="0092042F"/>
    <w:rsid w:val="009204B3"/>
    <w:rsid w:val="00920648"/>
    <w:rsid w:val="009207DC"/>
    <w:rsid w:val="0092081B"/>
    <w:rsid w:val="0092089F"/>
    <w:rsid w:val="00920974"/>
    <w:rsid w:val="00920C42"/>
    <w:rsid w:val="00920D19"/>
    <w:rsid w:val="009212B9"/>
    <w:rsid w:val="009214C1"/>
    <w:rsid w:val="009214E3"/>
    <w:rsid w:val="00921688"/>
    <w:rsid w:val="00921808"/>
    <w:rsid w:val="009218DF"/>
    <w:rsid w:val="00921C4F"/>
    <w:rsid w:val="00921DA9"/>
    <w:rsid w:val="00921E4F"/>
    <w:rsid w:val="00921FA1"/>
    <w:rsid w:val="009220E0"/>
    <w:rsid w:val="00922144"/>
    <w:rsid w:val="009221A1"/>
    <w:rsid w:val="009221F8"/>
    <w:rsid w:val="009222F7"/>
    <w:rsid w:val="0092269A"/>
    <w:rsid w:val="00922A58"/>
    <w:rsid w:val="00922C07"/>
    <w:rsid w:val="00922CA7"/>
    <w:rsid w:val="00922D28"/>
    <w:rsid w:val="00922D64"/>
    <w:rsid w:val="00922EFB"/>
    <w:rsid w:val="00923011"/>
    <w:rsid w:val="00923198"/>
    <w:rsid w:val="009232A6"/>
    <w:rsid w:val="00923499"/>
    <w:rsid w:val="00923527"/>
    <w:rsid w:val="00923540"/>
    <w:rsid w:val="009236E3"/>
    <w:rsid w:val="00923AEC"/>
    <w:rsid w:val="00923B98"/>
    <w:rsid w:val="00923C7B"/>
    <w:rsid w:val="00923C92"/>
    <w:rsid w:val="00923D70"/>
    <w:rsid w:val="00923EDB"/>
    <w:rsid w:val="00923FC4"/>
    <w:rsid w:val="00924296"/>
    <w:rsid w:val="009242A4"/>
    <w:rsid w:val="0092444D"/>
    <w:rsid w:val="0092449D"/>
    <w:rsid w:val="009245C8"/>
    <w:rsid w:val="00924741"/>
    <w:rsid w:val="009247CA"/>
    <w:rsid w:val="009247FE"/>
    <w:rsid w:val="0092489E"/>
    <w:rsid w:val="0092490E"/>
    <w:rsid w:val="00924C3B"/>
    <w:rsid w:val="00924DA7"/>
    <w:rsid w:val="00924E65"/>
    <w:rsid w:val="00924EC9"/>
    <w:rsid w:val="009252B8"/>
    <w:rsid w:val="009252FA"/>
    <w:rsid w:val="00925824"/>
    <w:rsid w:val="0092592C"/>
    <w:rsid w:val="0092597C"/>
    <w:rsid w:val="00925D19"/>
    <w:rsid w:val="00925D51"/>
    <w:rsid w:val="00926042"/>
    <w:rsid w:val="0092613F"/>
    <w:rsid w:val="00926146"/>
    <w:rsid w:val="00926440"/>
    <w:rsid w:val="00926530"/>
    <w:rsid w:val="00926715"/>
    <w:rsid w:val="0092689A"/>
    <w:rsid w:val="00926A86"/>
    <w:rsid w:val="00926C48"/>
    <w:rsid w:val="00926D3D"/>
    <w:rsid w:val="009272B4"/>
    <w:rsid w:val="00927725"/>
    <w:rsid w:val="00927821"/>
    <w:rsid w:val="00927838"/>
    <w:rsid w:val="00927A5C"/>
    <w:rsid w:val="00927B1F"/>
    <w:rsid w:val="00927FDE"/>
    <w:rsid w:val="00930010"/>
    <w:rsid w:val="0093087B"/>
    <w:rsid w:val="00930AF0"/>
    <w:rsid w:val="00930D52"/>
    <w:rsid w:val="00930E01"/>
    <w:rsid w:val="00930E1A"/>
    <w:rsid w:val="00930EED"/>
    <w:rsid w:val="009310A8"/>
    <w:rsid w:val="00931273"/>
    <w:rsid w:val="009312EC"/>
    <w:rsid w:val="00931474"/>
    <w:rsid w:val="00931807"/>
    <w:rsid w:val="00931A62"/>
    <w:rsid w:val="00932182"/>
    <w:rsid w:val="009321D2"/>
    <w:rsid w:val="00932283"/>
    <w:rsid w:val="00932599"/>
    <w:rsid w:val="0093262A"/>
    <w:rsid w:val="00932759"/>
    <w:rsid w:val="009327AA"/>
    <w:rsid w:val="0093298A"/>
    <w:rsid w:val="00932AD8"/>
    <w:rsid w:val="00932BE0"/>
    <w:rsid w:val="00932CB3"/>
    <w:rsid w:val="00932D63"/>
    <w:rsid w:val="00932D6B"/>
    <w:rsid w:val="00932D98"/>
    <w:rsid w:val="0093309E"/>
    <w:rsid w:val="00933230"/>
    <w:rsid w:val="009332DB"/>
    <w:rsid w:val="0093330A"/>
    <w:rsid w:val="0093339C"/>
    <w:rsid w:val="009333E7"/>
    <w:rsid w:val="00933456"/>
    <w:rsid w:val="0093353B"/>
    <w:rsid w:val="00933822"/>
    <w:rsid w:val="009338A4"/>
    <w:rsid w:val="0093390E"/>
    <w:rsid w:val="009339C4"/>
    <w:rsid w:val="00933BBA"/>
    <w:rsid w:val="00933D9F"/>
    <w:rsid w:val="00933E24"/>
    <w:rsid w:val="0093439F"/>
    <w:rsid w:val="0093440F"/>
    <w:rsid w:val="00934611"/>
    <w:rsid w:val="0093474B"/>
    <w:rsid w:val="00934B10"/>
    <w:rsid w:val="00934D4A"/>
    <w:rsid w:val="00934F18"/>
    <w:rsid w:val="009351E1"/>
    <w:rsid w:val="00935331"/>
    <w:rsid w:val="00935437"/>
    <w:rsid w:val="009355C3"/>
    <w:rsid w:val="00935901"/>
    <w:rsid w:val="009359BD"/>
    <w:rsid w:val="00935B4F"/>
    <w:rsid w:val="00935E48"/>
    <w:rsid w:val="0093618D"/>
    <w:rsid w:val="009365C2"/>
    <w:rsid w:val="00936709"/>
    <w:rsid w:val="00936813"/>
    <w:rsid w:val="009369DB"/>
    <w:rsid w:val="00936A20"/>
    <w:rsid w:val="00936B3D"/>
    <w:rsid w:val="00936E40"/>
    <w:rsid w:val="00936F31"/>
    <w:rsid w:val="00936FF9"/>
    <w:rsid w:val="00937343"/>
    <w:rsid w:val="00937512"/>
    <w:rsid w:val="00937754"/>
    <w:rsid w:val="0094007C"/>
    <w:rsid w:val="009400EA"/>
    <w:rsid w:val="0094042E"/>
    <w:rsid w:val="00940496"/>
    <w:rsid w:val="00940528"/>
    <w:rsid w:val="00940530"/>
    <w:rsid w:val="00940792"/>
    <w:rsid w:val="00940B0F"/>
    <w:rsid w:val="00940CD5"/>
    <w:rsid w:val="00940D9C"/>
    <w:rsid w:val="00940DC6"/>
    <w:rsid w:val="00940E34"/>
    <w:rsid w:val="00940E37"/>
    <w:rsid w:val="00940EDC"/>
    <w:rsid w:val="00940F39"/>
    <w:rsid w:val="00940F64"/>
    <w:rsid w:val="00941AC8"/>
    <w:rsid w:val="00941B18"/>
    <w:rsid w:val="00941C5E"/>
    <w:rsid w:val="00941C94"/>
    <w:rsid w:val="00941F9B"/>
    <w:rsid w:val="009420C4"/>
    <w:rsid w:val="009421A3"/>
    <w:rsid w:val="00942205"/>
    <w:rsid w:val="0094223E"/>
    <w:rsid w:val="0094228E"/>
    <w:rsid w:val="0094229C"/>
    <w:rsid w:val="0094245E"/>
    <w:rsid w:val="0094246B"/>
    <w:rsid w:val="0094276F"/>
    <w:rsid w:val="00942846"/>
    <w:rsid w:val="00942878"/>
    <w:rsid w:val="009428A5"/>
    <w:rsid w:val="00942902"/>
    <w:rsid w:val="00942DCE"/>
    <w:rsid w:val="00942EA0"/>
    <w:rsid w:val="00942ECB"/>
    <w:rsid w:val="00943196"/>
    <w:rsid w:val="009432F8"/>
    <w:rsid w:val="00943319"/>
    <w:rsid w:val="00943385"/>
    <w:rsid w:val="009434E0"/>
    <w:rsid w:val="009437DB"/>
    <w:rsid w:val="00943CD0"/>
    <w:rsid w:val="00944161"/>
    <w:rsid w:val="0094421E"/>
    <w:rsid w:val="009445C1"/>
    <w:rsid w:val="009447CD"/>
    <w:rsid w:val="0094483F"/>
    <w:rsid w:val="0094490F"/>
    <w:rsid w:val="00944CFE"/>
    <w:rsid w:val="00944D21"/>
    <w:rsid w:val="00944DA7"/>
    <w:rsid w:val="00944DF4"/>
    <w:rsid w:val="00944F31"/>
    <w:rsid w:val="009450BE"/>
    <w:rsid w:val="0094518E"/>
    <w:rsid w:val="00945233"/>
    <w:rsid w:val="0094524C"/>
    <w:rsid w:val="009455AB"/>
    <w:rsid w:val="00945616"/>
    <w:rsid w:val="009456F8"/>
    <w:rsid w:val="00945B96"/>
    <w:rsid w:val="00945D69"/>
    <w:rsid w:val="0094610F"/>
    <w:rsid w:val="0094621B"/>
    <w:rsid w:val="009462EB"/>
    <w:rsid w:val="00946AD8"/>
    <w:rsid w:val="009474F7"/>
    <w:rsid w:val="00947873"/>
    <w:rsid w:val="009479CA"/>
    <w:rsid w:val="009479F7"/>
    <w:rsid w:val="00947B05"/>
    <w:rsid w:val="00947C93"/>
    <w:rsid w:val="00947DCC"/>
    <w:rsid w:val="00947E50"/>
    <w:rsid w:val="00950079"/>
    <w:rsid w:val="00950148"/>
    <w:rsid w:val="00950311"/>
    <w:rsid w:val="009503C2"/>
    <w:rsid w:val="009503C4"/>
    <w:rsid w:val="009504DE"/>
    <w:rsid w:val="009505AA"/>
    <w:rsid w:val="00950724"/>
    <w:rsid w:val="00950AC5"/>
    <w:rsid w:val="00950AE3"/>
    <w:rsid w:val="00950BA8"/>
    <w:rsid w:val="00950D03"/>
    <w:rsid w:val="00950F86"/>
    <w:rsid w:val="009510F0"/>
    <w:rsid w:val="009511A3"/>
    <w:rsid w:val="009518A5"/>
    <w:rsid w:val="00951BAD"/>
    <w:rsid w:val="00951EA1"/>
    <w:rsid w:val="0095217A"/>
    <w:rsid w:val="009521BA"/>
    <w:rsid w:val="00952862"/>
    <w:rsid w:val="009529DD"/>
    <w:rsid w:val="00952B2B"/>
    <w:rsid w:val="00952CB4"/>
    <w:rsid w:val="00952EA6"/>
    <w:rsid w:val="00952F5E"/>
    <w:rsid w:val="00953294"/>
    <w:rsid w:val="00953527"/>
    <w:rsid w:val="00953846"/>
    <w:rsid w:val="00953A57"/>
    <w:rsid w:val="00953ADB"/>
    <w:rsid w:val="00953BB9"/>
    <w:rsid w:val="00954095"/>
    <w:rsid w:val="009541C9"/>
    <w:rsid w:val="00954239"/>
    <w:rsid w:val="009545CE"/>
    <w:rsid w:val="0095463C"/>
    <w:rsid w:val="00954797"/>
    <w:rsid w:val="009547BC"/>
    <w:rsid w:val="009548CD"/>
    <w:rsid w:val="00954A60"/>
    <w:rsid w:val="00954AF4"/>
    <w:rsid w:val="00954B3D"/>
    <w:rsid w:val="00954D8C"/>
    <w:rsid w:val="00954E51"/>
    <w:rsid w:val="0095508F"/>
    <w:rsid w:val="009550A9"/>
    <w:rsid w:val="00955546"/>
    <w:rsid w:val="00955767"/>
    <w:rsid w:val="009559E1"/>
    <w:rsid w:val="00955B3B"/>
    <w:rsid w:val="00955CD7"/>
    <w:rsid w:val="00955DA7"/>
    <w:rsid w:val="0095606E"/>
    <w:rsid w:val="009561F8"/>
    <w:rsid w:val="00956227"/>
    <w:rsid w:val="0095653B"/>
    <w:rsid w:val="00956987"/>
    <w:rsid w:val="00956B39"/>
    <w:rsid w:val="00956D66"/>
    <w:rsid w:val="00956D8D"/>
    <w:rsid w:val="0095709F"/>
    <w:rsid w:val="009572BC"/>
    <w:rsid w:val="009575D0"/>
    <w:rsid w:val="0095763F"/>
    <w:rsid w:val="00957753"/>
    <w:rsid w:val="00957BA4"/>
    <w:rsid w:val="00957F2D"/>
    <w:rsid w:val="009600FF"/>
    <w:rsid w:val="009602F0"/>
    <w:rsid w:val="0096033D"/>
    <w:rsid w:val="009608ED"/>
    <w:rsid w:val="009608F8"/>
    <w:rsid w:val="0096098F"/>
    <w:rsid w:val="00960C51"/>
    <w:rsid w:val="00960F0C"/>
    <w:rsid w:val="009611C1"/>
    <w:rsid w:val="0096126E"/>
    <w:rsid w:val="009613AF"/>
    <w:rsid w:val="009614A7"/>
    <w:rsid w:val="0096159B"/>
    <w:rsid w:val="009615C4"/>
    <w:rsid w:val="009617E6"/>
    <w:rsid w:val="0096186F"/>
    <w:rsid w:val="009618A2"/>
    <w:rsid w:val="009619E7"/>
    <w:rsid w:val="00961F39"/>
    <w:rsid w:val="00961F4B"/>
    <w:rsid w:val="0096213B"/>
    <w:rsid w:val="00962286"/>
    <w:rsid w:val="009625C7"/>
    <w:rsid w:val="0096288F"/>
    <w:rsid w:val="00962A02"/>
    <w:rsid w:val="00962DA3"/>
    <w:rsid w:val="00962EE1"/>
    <w:rsid w:val="0096310B"/>
    <w:rsid w:val="0096322F"/>
    <w:rsid w:val="00963231"/>
    <w:rsid w:val="009633C8"/>
    <w:rsid w:val="009634FD"/>
    <w:rsid w:val="0096351D"/>
    <w:rsid w:val="00963882"/>
    <w:rsid w:val="00963B4B"/>
    <w:rsid w:val="00963BC8"/>
    <w:rsid w:val="00963D5E"/>
    <w:rsid w:val="00963E4B"/>
    <w:rsid w:val="00963EB2"/>
    <w:rsid w:val="00963EF4"/>
    <w:rsid w:val="0096401B"/>
    <w:rsid w:val="00964092"/>
    <w:rsid w:val="009642A3"/>
    <w:rsid w:val="00964799"/>
    <w:rsid w:val="00964876"/>
    <w:rsid w:val="00964881"/>
    <w:rsid w:val="00964968"/>
    <w:rsid w:val="00964975"/>
    <w:rsid w:val="00964A44"/>
    <w:rsid w:val="00964B70"/>
    <w:rsid w:val="00964BEA"/>
    <w:rsid w:val="00964D1E"/>
    <w:rsid w:val="00964F73"/>
    <w:rsid w:val="009651D9"/>
    <w:rsid w:val="00965506"/>
    <w:rsid w:val="0096567A"/>
    <w:rsid w:val="009656C2"/>
    <w:rsid w:val="009659F7"/>
    <w:rsid w:val="00965A47"/>
    <w:rsid w:val="00965AC5"/>
    <w:rsid w:val="00965BE6"/>
    <w:rsid w:val="00965BEE"/>
    <w:rsid w:val="00965DEA"/>
    <w:rsid w:val="00965E16"/>
    <w:rsid w:val="0096611B"/>
    <w:rsid w:val="0096613B"/>
    <w:rsid w:val="009663E8"/>
    <w:rsid w:val="0096644E"/>
    <w:rsid w:val="0096655A"/>
    <w:rsid w:val="0096698C"/>
    <w:rsid w:val="00966A69"/>
    <w:rsid w:val="00966F24"/>
    <w:rsid w:val="0096718F"/>
    <w:rsid w:val="00967212"/>
    <w:rsid w:val="009674C6"/>
    <w:rsid w:val="009679DC"/>
    <w:rsid w:val="00967D5B"/>
    <w:rsid w:val="00967DBE"/>
    <w:rsid w:val="00967FAE"/>
    <w:rsid w:val="0097019E"/>
    <w:rsid w:val="0097030F"/>
    <w:rsid w:val="009703D6"/>
    <w:rsid w:val="009703EE"/>
    <w:rsid w:val="00970B81"/>
    <w:rsid w:val="00970B91"/>
    <w:rsid w:val="00970D9A"/>
    <w:rsid w:val="00970DE9"/>
    <w:rsid w:val="00970E50"/>
    <w:rsid w:val="00970E5D"/>
    <w:rsid w:val="00971271"/>
    <w:rsid w:val="009718E0"/>
    <w:rsid w:val="00971E30"/>
    <w:rsid w:val="00971E89"/>
    <w:rsid w:val="00971F04"/>
    <w:rsid w:val="00971F3A"/>
    <w:rsid w:val="00971F8B"/>
    <w:rsid w:val="00971FEB"/>
    <w:rsid w:val="0097202D"/>
    <w:rsid w:val="0097255B"/>
    <w:rsid w:val="00972629"/>
    <w:rsid w:val="009726F1"/>
    <w:rsid w:val="00972806"/>
    <w:rsid w:val="0097281C"/>
    <w:rsid w:val="00972A4E"/>
    <w:rsid w:val="00972C45"/>
    <w:rsid w:val="00972CC2"/>
    <w:rsid w:val="00972D2D"/>
    <w:rsid w:val="00972D85"/>
    <w:rsid w:val="00972EBD"/>
    <w:rsid w:val="00972FE1"/>
    <w:rsid w:val="0097301F"/>
    <w:rsid w:val="009733CD"/>
    <w:rsid w:val="00973579"/>
    <w:rsid w:val="009735B2"/>
    <w:rsid w:val="00973767"/>
    <w:rsid w:val="009737F7"/>
    <w:rsid w:val="009738D3"/>
    <w:rsid w:val="009739EA"/>
    <w:rsid w:val="00973A12"/>
    <w:rsid w:val="00973B7E"/>
    <w:rsid w:val="00973E3F"/>
    <w:rsid w:val="00973F60"/>
    <w:rsid w:val="00974151"/>
    <w:rsid w:val="009742BC"/>
    <w:rsid w:val="00974684"/>
    <w:rsid w:val="0097479F"/>
    <w:rsid w:val="009747E7"/>
    <w:rsid w:val="009747ED"/>
    <w:rsid w:val="00974921"/>
    <w:rsid w:val="00974A8B"/>
    <w:rsid w:val="00974BAA"/>
    <w:rsid w:val="00974C70"/>
    <w:rsid w:val="00974C8B"/>
    <w:rsid w:val="00974E63"/>
    <w:rsid w:val="00974F28"/>
    <w:rsid w:val="009750C3"/>
    <w:rsid w:val="00975107"/>
    <w:rsid w:val="00975167"/>
    <w:rsid w:val="009753E6"/>
    <w:rsid w:val="00975452"/>
    <w:rsid w:val="009754DB"/>
    <w:rsid w:val="00975720"/>
    <w:rsid w:val="00975A90"/>
    <w:rsid w:val="00975A9E"/>
    <w:rsid w:val="00975AEE"/>
    <w:rsid w:val="00975B39"/>
    <w:rsid w:val="00975DCB"/>
    <w:rsid w:val="00975E98"/>
    <w:rsid w:val="00976063"/>
    <w:rsid w:val="00976229"/>
    <w:rsid w:val="0097654C"/>
    <w:rsid w:val="00976588"/>
    <w:rsid w:val="00976607"/>
    <w:rsid w:val="00976626"/>
    <w:rsid w:val="00976C99"/>
    <w:rsid w:val="00977092"/>
    <w:rsid w:val="00977113"/>
    <w:rsid w:val="009771EE"/>
    <w:rsid w:val="009773D8"/>
    <w:rsid w:val="00977533"/>
    <w:rsid w:val="009775BE"/>
    <w:rsid w:val="009777C0"/>
    <w:rsid w:val="00977942"/>
    <w:rsid w:val="0097799E"/>
    <w:rsid w:val="00977A28"/>
    <w:rsid w:val="00977C60"/>
    <w:rsid w:val="00977E71"/>
    <w:rsid w:val="00977F57"/>
    <w:rsid w:val="00980077"/>
    <w:rsid w:val="009800D3"/>
    <w:rsid w:val="00980141"/>
    <w:rsid w:val="00980155"/>
    <w:rsid w:val="009801D0"/>
    <w:rsid w:val="00980811"/>
    <w:rsid w:val="00980883"/>
    <w:rsid w:val="00980993"/>
    <w:rsid w:val="00980C26"/>
    <w:rsid w:val="00980D5D"/>
    <w:rsid w:val="0098105A"/>
    <w:rsid w:val="0098112F"/>
    <w:rsid w:val="0098124E"/>
    <w:rsid w:val="00981487"/>
    <w:rsid w:val="0098153F"/>
    <w:rsid w:val="009815C4"/>
    <w:rsid w:val="00981668"/>
    <w:rsid w:val="0098173A"/>
    <w:rsid w:val="009817BC"/>
    <w:rsid w:val="009818E0"/>
    <w:rsid w:val="00981AD5"/>
    <w:rsid w:val="00981B76"/>
    <w:rsid w:val="00981C2D"/>
    <w:rsid w:val="00981ED0"/>
    <w:rsid w:val="00981FCA"/>
    <w:rsid w:val="0098233C"/>
    <w:rsid w:val="009826CC"/>
    <w:rsid w:val="0098283C"/>
    <w:rsid w:val="009828BA"/>
    <w:rsid w:val="009829A9"/>
    <w:rsid w:val="00982A45"/>
    <w:rsid w:val="00982B20"/>
    <w:rsid w:val="00982B6E"/>
    <w:rsid w:val="00982D7D"/>
    <w:rsid w:val="00982FA1"/>
    <w:rsid w:val="00983029"/>
    <w:rsid w:val="0098320D"/>
    <w:rsid w:val="0098321C"/>
    <w:rsid w:val="0098356A"/>
    <w:rsid w:val="00983741"/>
    <w:rsid w:val="0098375D"/>
    <w:rsid w:val="009837F8"/>
    <w:rsid w:val="00983803"/>
    <w:rsid w:val="00983883"/>
    <w:rsid w:val="0098394A"/>
    <w:rsid w:val="0098397B"/>
    <w:rsid w:val="00983AA8"/>
    <w:rsid w:val="00983E8D"/>
    <w:rsid w:val="00983E8E"/>
    <w:rsid w:val="009840D7"/>
    <w:rsid w:val="00984441"/>
    <w:rsid w:val="0098453E"/>
    <w:rsid w:val="00984661"/>
    <w:rsid w:val="009847C3"/>
    <w:rsid w:val="009848D3"/>
    <w:rsid w:val="00984A04"/>
    <w:rsid w:val="00984A38"/>
    <w:rsid w:val="00984AA8"/>
    <w:rsid w:val="00984B18"/>
    <w:rsid w:val="00984D0E"/>
    <w:rsid w:val="00984E4D"/>
    <w:rsid w:val="00984E7F"/>
    <w:rsid w:val="00984F65"/>
    <w:rsid w:val="0098515F"/>
    <w:rsid w:val="009851CE"/>
    <w:rsid w:val="00985476"/>
    <w:rsid w:val="00985483"/>
    <w:rsid w:val="0098559D"/>
    <w:rsid w:val="00985755"/>
    <w:rsid w:val="00985991"/>
    <w:rsid w:val="00985A4B"/>
    <w:rsid w:val="00985A4C"/>
    <w:rsid w:val="00985AA8"/>
    <w:rsid w:val="00985B99"/>
    <w:rsid w:val="00985C9E"/>
    <w:rsid w:val="00985E9A"/>
    <w:rsid w:val="00985F48"/>
    <w:rsid w:val="009862A4"/>
    <w:rsid w:val="00986337"/>
    <w:rsid w:val="00986D40"/>
    <w:rsid w:val="00986DFE"/>
    <w:rsid w:val="00986F0E"/>
    <w:rsid w:val="00987037"/>
    <w:rsid w:val="009871B0"/>
    <w:rsid w:val="009873ED"/>
    <w:rsid w:val="0098746E"/>
    <w:rsid w:val="0098776F"/>
    <w:rsid w:val="00987A57"/>
    <w:rsid w:val="00987BE2"/>
    <w:rsid w:val="00987C66"/>
    <w:rsid w:val="00987E9B"/>
    <w:rsid w:val="00987E9C"/>
    <w:rsid w:val="00987F35"/>
    <w:rsid w:val="00987FCD"/>
    <w:rsid w:val="009904E7"/>
    <w:rsid w:val="009905AA"/>
    <w:rsid w:val="009908E7"/>
    <w:rsid w:val="009909AF"/>
    <w:rsid w:val="00990A32"/>
    <w:rsid w:val="00990C46"/>
    <w:rsid w:val="00990FFD"/>
    <w:rsid w:val="009910DD"/>
    <w:rsid w:val="00991152"/>
    <w:rsid w:val="00991245"/>
    <w:rsid w:val="00991436"/>
    <w:rsid w:val="0099157C"/>
    <w:rsid w:val="009915DF"/>
    <w:rsid w:val="009919E7"/>
    <w:rsid w:val="00991A16"/>
    <w:rsid w:val="00991A1D"/>
    <w:rsid w:val="00991B52"/>
    <w:rsid w:val="00991C2F"/>
    <w:rsid w:val="00991D8F"/>
    <w:rsid w:val="00991F55"/>
    <w:rsid w:val="00992096"/>
    <w:rsid w:val="009921FB"/>
    <w:rsid w:val="00992451"/>
    <w:rsid w:val="009926C4"/>
    <w:rsid w:val="009927CE"/>
    <w:rsid w:val="0099288E"/>
    <w:rsid w:val="009929DC"/>
    <w:rsid w:val="00992C61"/>
    <w:rsid w:val="00992D92"/>
    <w:rsid w:val="0099309F"/>
    <w:rsid w:val="0099338C"/>
    <w:rsid w:val="009933C1"/>
    <w:rsid w:val="009935C1"/>
    <w:rsid w:val="0099363A"/>
    <w:rsid w:val="0099380E"/>
    <w:rsid w:val="009939CB"/>
    <w:rsid w:val="00993A79"/>
    <w:rsid w:val="00993F48"/>
    <w:rsid w:val="0099413B"/>
    <w:rsid w:val="00994281"/>
    <w:rsid w:val="0099430B"/>
    <w:rsid w:val="00994641"/>
    <w:rsid w:val="009946C6"/>
    <w:rsid w:val="009946CD"/>
    <w:rsid w:val="00994888"/>
    <w:rsid w:val="00994BD5"/>
    <w:rsid w:val="00994D6C"/>
    <w:rsid w:val="00994FB0"/>
    <w:rsid w:val="009950C8"/>
    <w:rsid w:val="00995144"/>
    <w:rsid w:val="0099517A"/>
    <w:rsid w:val="009955B5"/>
    <w:rsid w:val="00995965"/>
    <w:rsid w:val="00995ECE"/>
    <w:rsid w:val="00995F8D"/>
    <w:rsid w:val="00996246"/>
    <w:rsid w:val="0099653E"/>
    <w:rsid w:val="009965A0"/>
    <w:rsid w:val="00996681"/>
    <w:rsid w:val="009968DB"/>
    <w:rsid w:val="009969EC"/>
    <w:rsid w:val="009969F9"/>
    <w:rsid w:val="00996AB5"/>
    <w:rsid w:val="00996AEE"/>
    <w:rsid w:val="00996C99"/>
    <w:rsid w:val="00996EBA"/>
    <w:rsid w:val="00996F0E"/>
    <w:rsid w:val="00996F3A"/>
    <w:rsid w:val="009970F2"/>
    <w:rsid w:val="009972D7"/>
    <w:rsid w:val="009973B0"/>
    <w:rsid w:val="00997613"/>
    <w:rsid w:val="00997975"/>
    <w:rsid w:val="009979CE"/>
    <w:rsid w:val="00997A21"/>
    <w:rsid w:val="00997A8F"/>
    <w:rsid w:val="00997AE0"/>
    <w:rsid w:val="00997D47"/>
    <w:rsid w:val="00997FB7"/>
    <w:rsid w:val="00997FC4"/>
    <w:rsid w:val="009A000C"/>
    <w:rsid w:val="009A00A9"/>
    <w:rsid w:val="009A012B"/>
    <w:rsid w:val="009A0227"/>
    <w:rsid w:val="009A0704"/>
    <w:rsid w:val="009A0809"/>
    <w:rsid w:val="009A125E"/>
    <w:rsid w:val="009A12A0"/>
    <w:rsid w:val="009A1360"/>
    <w:rsid w:val="009A136E"/>
    <w:rsid w:val="009A13C3"/>
    <w:rsid w:val="009A1535"/>
    <w:rsid w:val="009A17E3"/>
    <w:rsid w:val="009A189D"/>
    <w:rsid w:val="009A1AAE"/>
    <w:rsid w:val="009A1B2C"/>
    <w:rsid w:val="009A1CB8"/>
    <w:rsid w:val="009A1DB2"/>
    <w:rsid w:val="009A1DE0"/>
    <w:rsid w:val="009A1E66"/>
    <w:rsid w:val="009A1E8D"/>
    <w:rsid w:val="009A1F4D"/>
    <w:rsid w:val="009A2359"/>
    <w:rsid w:val="009A2427"/>
    <w:rsid w:val="009A25EE"/>
    <w:rsid w:val="009A26EC"/>
    <w:rsid w:val="009A2794"/>
    <w:rsid w:val="009A2822"/>
    <w:rsid w:val="009A290E"/>
    <w:rsid w:val="009A29A8"/>
    <w:rsid w:val="009A2C8D"/>
    <w:rsid w:val="009A2CBB"/>
    <w:rsid w:val="009A2CD4"/>
    <w:rsid w:val="009A2FB4"/>
    <w:rsid w:val="009A30AF"/>
    <w:rsid w:val="009A31C1"/>
    <w:rsid w:val="009A3258"/>
    <w:rsid w:val="009A3294"/>
    <w:rsid w:val="009A331B"/>
    <w:rsid w:val="009A344F"/>
    <w:rsid w:val="009A3667"/>
    <w:rsid w:val="009A36F7"/>
    <w:rsid w:val="009A374D"/>
    <w:rsid w:val="009A392E"/>
    <w:rsid w:val="009A3B52"/>
    <w:rsid w:val="009A3D73"/>
    <w:rsid w:val="009A4007"/>
    <w:rsid w:val="009A4011"/>
    <w:rsid w:val="009A4043"/>
    <w:rsid w:val="009A43D2"/>
    <w:rsid w:val="009A43DD"/>
    <w:rsid w:val="009A4438"/>
    <w:rsid w:val="009A45BE"/>
    <w:rsid w:val="009A45C3"/>
    <w:rsid w:val="009A482E"/>
    <w:rsid w:val="009A4BEB"/>
    <w:rsid w:val="009A4C76"/>
    <w:rsid w:val="009A4F4F"/>
    <w:rsid w:val="009A4F53"/>
    <w:rsid w:val="009A4FEA"/>
    <w:rsid w:val="009A5184"/>
    <w:rsid w:val="009A537F"/>
    <w:rsid w:val="009A5611"/>
    <w:rsid w:val="009A5B7B"/>
    <w:rsid w:val="009A5C9A"/>
    <w:rsid w:val="009A5DC8"/>
    <w:rsid w:val="009A5DE4"/>
    <w:rsid w:val="009A6050"/>
    <w:rsid w:val="009A6187"/>
    <w:rsid w:val="009A61A7"/>
    <w:rsid w:val="009A61B2"/>
    <w:rsid w:val="009A621A"/>
    <w:rsid w:val="009A62F1"/>
    <w:rsid w:val="009A6649"/>
    <w:rsid w:val="009A6864"/>
    <w:rsid w:val="009A6880"/>
    <w:rsid w:val="009A6928"/>
    <w:rsid w:val="009A69BE"/>
    <w:rsid w:val="009A6CB0"/>
    <w:rsid w:val="009A6D6F"/>
    <w:rsid w:val="009A6F40"/>
    <w:rsid w:val="009A7025"/>
    <w:rsid w:val="009A70AA"/>
    <w:rsid w:val="009A741D"/>
    <w:rsid w:val="009A762F"/>
    <w:rsid w:val="009A776A"/>
    <w:rsid w:val="009A77DE"/>
    <w:rsid w:val="009A7820"/>
    <w:rsid w:val="009A7B25"/>
    <w:rsid w:val="009A7D66"/>
    <w:rsid w:val="009A7D7F"/>
    <w:rsid w:val="009A7FE7"/>
    <w:rsid w:val="009B02AD"/>
    <w:rsid w:val="009B035D"/>
    <w:rsid w:val="009B0409"/>
    <w:rsid w:val="009B0624"/>
    <w:rsid w:val="009B0A78"/>
    <w:rsid w:val="009B0BF5"/>
    <w:rsid w:val="009B0EDC"/>
    <w:rsid w:val="009B10C0"/>
    <w:rsid w:val="009B11FF"/>
    <w:rsid w:val="009B12D1"/>
    <w:rsid w:val="009B1309"/>
    <w:rsid w:val="009B1315"/>
    <w:rsid w:val="009B1561"/>
    <w:rsid w:val="009B15C3"/>
    <w:rsid w:val="009B16A2"/>
    <w:rsid w:val="009B16E4"/>
    <w:rsid w:val="009B1A9B"/>
    <w:rsid w:val="009B1BF9"/>
    <w:rsid w:val="009B2001"/>
    <w:rsid w:val="009B20C5"/>
    <w:rsid w:val="009B2276"/>
    <w:rsid w:val="009B2362"/>
    <w:rsid w:val="009B2411"/>
    <w:rsid w:val="009B258E"/>
    <w:rsid w:val="009B282E"/>
    <w:rsid w:val="009B2935"/>
    <w:rsid w:val="009B2A76"/>
    <w:rsid w:val="009B33F1"/>
    <w:rsid w:val="009B34E2"/>
    <w:rsid w:val="009B34FF"/>
    <w:rsid w:val="009B37E4"/>
    <w:rsid w:val="009B39DE"/>
    <w:rsid w:val="009B39E5"/>
    <w:rsid w:val="009B3A0A"/>
    <w:rsid w:val="009B3BAA"/>
    <w:rsid w:val="009B3DFB"/>
    <w:rsid w:val="009B3E70"/>
    <w:rsid w:val="009B42BD"/>
    <w:rsid w:val="009B4856"/>
    <w:rsid w:val="009B48C6"/>
    <w:rsid w:val="009B49B2"/>
    <w:rsid w:val="009B4A7F"/>
    <w:rsid w:val="009B4B77"/>
    <w:rsid w:val="009B4CA6"/>
    <w:rsid w:val="009B4DE6"/>
    <w:rsid w:val="009B4E4B"/>
    <w:rsid w:val="009B504B"/>
    <w:rsid w:val="009B51C0"/>
    <w:rsid w:val="009B5256"/>
    <w:rsid w:val="009B53D4"/>
    <w:rsid w:val="009B5465"/>
    <w:rsid w:val="009B55F7"/>
    <w:rsid w:val="009B579D"/>
    <w:rsid w:val="009B586C"/>
    <w:rsid w:val="009B58B9"/>
    <w:rsid w:val="009B5AA1"/>
    <w:rsid w:val="009B5B60"/>
    <w:rsid w:val="009B5D36"/>
    <w:rsid w:val="009B5DF2"/>
    <w:rsid w:val="009B5DFB"/>
    <w:rsid w:val="009B5F1E"/>
    <w:rsid w:val="009B5F68"/>
    <w:rsid w:val="009B5F72"/>
    <w:rsid w:val="009B609B"/>
    <w:rsid w:val="009B6117"/>
    <w:rsid w:val="009B64B5"/>
    <w:rsid w:val="009B66DD"/>
    <w:rsid w:val="009B671E"/>
    <w:rsid w:val="009B67CC"/>
    <w:rsid w:val="009B6A91"/>
    <w:rsid w:val="009B6CF6"/>
    <w:rsid w:val="009B6D38"/>
    <w:rsid w:val="009B6E8B"/>
    <w:rsid w:val="009B6F81"/>
    <w:rsid w:val="009B70D2"/>
    <w:rsid w:val="009B7469"/>
    <w:rsid w:val="009B754A"/>
    <w:rsid w:val="009B7771"/>
    <w:rsid w:val="009B7797"/>
    <w:rsid w:val="009B77F6"/>
    <w:rsid w:val="009B7840"/>
    <w:rsid w:val="009B7922"/>
    <w:rsid w:val="009B7EB0"/>
    <w:rsid w:val="009C020E"/>
    <w:rsid w:val="009C023B"/>
    <w:rsid w:val="009C0464"/>
    <w:rsid w:val="009C0DC6"/>
    <w:rsid w:val="009C0E74"/>
    <w:rsid w:val="009C0EEA"/>
    <w:rsid w:val="009C1263"/>
    <w:rsid w:val="009C12C0"/>
    <w:rsid w:val="009C12E2"/>
    <w:rsid w:val="009C13F6"/>
    <w:rsid w:val="009C15ED"/>
    <w:rsid w:val="009C16AE"/>
    <w:rsid w:val="009C16FF"/>
    <w:rsid w:val="009C195F"/>
    <w:rsid w:val="009C1C38"/>
    <w:rsid w:val="009C1C5A"/>
    <w:rsid w:val="009C1CA5"/>
    <w:rsid w:val="009C1E41"/>
    <w:rsid w:val="009C1F9A"/>
    <w:rsid w:val="009C20A4"/>
    <w:rsid w:val="009C2290"/>
    <w:rsid w:val="009C22E8"/>
    <w:rsid w:val="009C26E2"/>
    <w:rsid w:val="009C2AA2"/>
    <w:rsid w:val="009C2B20"/>
    <w:rsid w:val="009C2BF4"/>
    <w:rsid w:val="009C2E5C"/>
    <w:rsid w:val="009C2ED3"/>
    <w:rsid w:val="009C30FD"/>
    <w:rsid w:val="009C343C"/>
    <w:rsid w:val="009C38AF"/>
    <w:rsid w:val="009C3CB9"/>
    <w:rsid w:val="009C4691"/>
    <w:rsid w:val="009C46BA"/>
    <w:rsid w:val="009C48B2"/>
    <w:rsid w:val="009C493A"/>
    <w:rsid w:val="009C4A0B"/>
    <w:rsid w:val="009C4A68"/>
    <w:rsid w:val="009C4ED1"/>
    <w:rsid w:val="009C4FCF"/>
    <w:rsid w:val="009C5135"/>
    <w:rsid w:val="009C513A"/>
    <w:rsid w:val="009C51A5"/>
    <w:rsid w:val="009C51A7"/>
    <w:rsid w:val="009C5243"/>
    <w:rsid w:val="009C52CC"/>
    <w:rsid w:val="009C5392"/>
    <w:rsid w:val="009C551F"/>
    <w:rsid w:val="009C55BB"/>
    <w:rsid w:val="009C563E"/>
    <w:rsid w:val="009C56DD"/>
    <w:rsid w:val="009C595E"/>
    <w:rsid w:val="009C5A06"/>
    <w:rsid w:val="009C5B4B"/>
    <w:rsid w:val="009C5D26"/>
    <w:rsid w:val="009C6137"/>
    <w:rsid w:val="009C6355"/>
    <w:rsid w:val="009C637A"/>
    <w:rsid w:val="009C6465"/>
    <w:rsid w:val="009C6602"/>
    <w:rsid w:val="009C6A61"/>
    <w:rsid w:val="009C6BF3"/>
    <w:rsid w:val="009C7026"/>
    <w:rsid w:val="009C738A"/>
    <w:rsid w:val="009C76E7"/>
    <w:rsid w:val="009C779C"/>
    <w:rsid w:val="009C77A8"/>
    <w:rsid w:val="009C7813"/>
    <w:rsid w:val="009C7838"/>
    <w:rsid w:val="009C784B"/>
    <w:rsid w:val="009C78DA"/>
    <w:rsid w:val="009C7A83"/>
    <w:rsid w:val="009C7E14"/>
    <w:rsid w:val="009C7F8A"/>
    <w:rsid w:val="009D00AA"/>
    <w:rsid w:val="009D01B1"/>
    <w:rsid w:val="009D039F"/>
    <w:rsid w:val="009D0707"/>
    <w:rsid w:val="009D073A"/>
    <w:rsid w:val="009D092D"/>
    <w:rsid w:val="009D0C83"/>
    <w:rsid w:val="009D0D2C"/>
    <w:rsid w:val="009D0F3E"/>
    <w:rsid w:val="009D134C"/>
    <w:rsid w:val="009D18D5"/>
    <w:rsid w:val="009D19CD"/>
    <w:rsid w:val="009D1C60"/>
    <w:rsid w:val="009D1DA3"/>
    <w:rsid w:val="009D1E2E"/>
    <w:rsid w:val="009D1E72"/>
    <w:rsid w:val="009D1F26"/>
    <w:rsid w:val="009D20DC"/>
    <w:rsid w:val="009D22AB"/>
    <w:rsid w:val="009D2348"/>
    <w:rsid w:val="009D2395"/>
    <w:rsid w:val="009D253E"/>
    <w:rsid w:val="009D25A5"/>
    <w:rsid w:val="009D278C"/>
    <w:rsid w:val="009D27AB"/>
    <w:rsid w:val="009D28E4"/>
    <w:rsid w:val="009D2943"/>
    <w:rsid w:val="009D2AE3"/>
    <w:rsid w:val="009D2B22"/>
    <w:rsid w:val="009D2C7C"/>
    <w:rsid w:val="009D2DA0"/>
    <w:rsid w:val="009D2E58"/>
    <w:rsid w:val="009D2FD8"/>
    <w:rsid w:val="009D307A"/>
    <w:rsid w:val="009D308D"/>
    <w:rsid w:val="009D30D7"/>
    <w:rsid w:val="009D30ED"/>
    <w:rsid w:val="009D30FC"/>
    <w:rsid w:val="009D3259"/>
    <w:rsid w:val="009D34A6"/>
    <w:rsid w:val="009D34B3"/>
    <w:rsid w:val="009D356D"/>
    <w:rsid w:val="009D35F9"/>
    <w:rsid w:val="009D398B"/>
    <w:rsid w:val="009D39F4"/>
    <w:rsid w:val="009D3A60"/>
    <w:rsid w:val="009D3BC4"/>
    <w:rsid w:val="009D3C2E"/>
    <w:rsid w:val="009D3EC6"/>
    <w:rsid w:val="009D3F87"/>
    <w:rsid w:val="009D3F98"/>
    <w:rsid w:val="009D4033"/>
    <w:rsid w:val="009D40FB"/>
    <w:rsid w:val="009D4316"/>
    <w:rsid w:val="009D4359"/>
    <w:rsid w:val="009D4465"/>
    <w:rsid w:val="009D44D5"/>
    <w:rsid w:val="009D4626"/>
    <w:rsid w:val="009D4635"/>
    <w:rsid w:val="009D46D7"/>
    <w:rsid w:val="009D47F6"/>
    <w:rsid w:val="009D481D"/>
    <w:rsid w:val="009D4A3B"/>
    <w:rsid w:val="009D4AF2"/>
    <w:rsid w:val="009D4B40"/>
    <w:rsid w:val="009D4BC2"/>
    <w:rsid w:val="009D4DB6"/>
    <w:rsid w:val="009D4F44"/>
    <w:rsid w:val="009D4F70"/>
    <w:rsid w:val="009D4F7E"/>
    <w:rsid w:val="009D547D"/>
    <w:rsid w:val="009D5543"/>
    <w:rsid w:val="009D554E"/>
    <w:rsid w:val="009D558E"/>
    <w:rsid w:val="009D5A57"/>
    <w:rsid w:val="009D5B48"/>
    <w:rsid w:val="009D5F12"/>
    <w:rsid w:val="009D5FB4"/>
    <w:rsid w:val="009D61E7"/>
    <w:rsid w:val="009D6268"/>
    <w:rsid w:val="009D659F"/>
    <w:rsid w:val="009D66FB"/>
    <w:rsid w:val="009D6976"/>
    <w:rsid w:val="009D69CE"/>
    <w:rsid w:val="009D6A87"/>
    <w:rsid w:val="009D6D16"/>
    <w:rsid w:val="009D6F87"/>
    <w:rsid w:val="009D6F9B"/>
    <w:rsid w:val="009D70BC"/>
    <w:rsid w:val="009D73C0"/>
    <w:rsid w:val="009D7516"/>
    <w:rsid w:val="009D761E"/>
    <w:rsid w:val="009D7900"/>
    <w:rsid w:val="009D79F2"/>
    <w:rsid w:val="009D7D78"/>
    <w:rsid w:val="009E01A5"/>
    <w:rsid w:val="009E01F5"/>
    <w:rsid w:val="009E02F0"/>
    <w:rsid w:val="009E03FF"/>
    <w:rsid w:val="009E04C5"/>
    <w:rsid w:val="009E057D"/>
    <w:rsid w:val="009E0657"/>
    <w:rsid w:val="009E0664"/>
    <w:rsid w:val="009E0A71"/>
    <w:rsid w:val="009E0C47"/>
    <w:rsid w:val="009E0D7E"/>
    <w:rsid w:val="009E0EE2"/>
    <w:rsid w:val="009E0F49"/>
    <w:rsid w:val="009E10AD"/>
    <w:rsid w:val="009E120C"/>
    <w:rsid w:val="009E126E"/>
    <w:rsid w:val="009E133E"/>
    <w:rsid w:val="009E1543"/>
    <w:rsid w:val="009E154D"/>
    <w:rsid w:val="009E1C17"/>
    <w:rsid w:val="009E1EAF"/>
    <w:rsid w:val="009E202F"/>
    <w:rsid w:val="009E2067"/>
    <w:rsid w:val="009E23FB"/>
    <w:rsid w:val="009E23FE"/>
    <w:rsid w:val="009E245B"/>
    <w:rsid w:val="009E274E"/>
    <w:rsid w:val="009E298E"/>
    <w:rsid w:val="009E2A0B"/>
    <w:rsid w:val="009E2B7C"/>
    <w:rsid w:val="009E2B82"/>
    <w:rsid w:val="009E2CFD"/>
    <w:rsid w:val="009E2FC3"/>
    <w:rsid w:val="009E3023"/>
    <w:rsid w:val="009E3125"/>
    <w:rsid w:val="009E3150"/>
    <w:rsid w:val="009E31C0"/>
    <w:rsid w:val="009E3317"/>
    <w:rsid w:val="009E3318"/>
    <w:rsid w:val="009E354E"/>
    <w:rsid w:val="009E360C"/>
    <w:rsid w:val="009E3651"/>
    <w:rsid w:val="009E3768"/>
    <w:rsid w:val="009E3939"/>
    <w:rsid w:val="009E3B2E"/>
    <w:rsid w:val="009E3CA8"/>
    <w:rsid w:val="009E3CAE"/>
    <w:rsid w:val="009E3D35"/>
    <w:rsid w:val="009E3D83"/>
    <w:rsid w:val="009E3F6E"/>
    <w:rsid w:val="009E403D"/>
    <w:rsid w:val="009E403E"/>
    <w:rsid w:val="009E4107"/>
    <w:rsid w:val="009E4151"/>
    <w:rsid w:val="009E42AB"/>
    <w:rsid w:val="009E441E"/>
    <w:rsid w:val="009E455E"/>
    <w:rsid w:val="009E4667"/>
    <w:rsid w:val="009E494D"/>
    <w:rsid w:val="009E4AB1"/>
    <w:rsid w:val="009E4BC7"/>
    <w:rsid w:val="009E4DF7"/>
    <w:rsid w:val="009E4E52"/>
    <w:rsid w:val="009E519E"/>
    <w:rsid w:val="009E51CC"/>
    <w:rsid w:val="009E520E"/>
    <w:rsid w:val="009E5285"/>
    <w:rsid w:val="009E5825"/>
    <w:rsid w:val="009E595E"/>
    <w:rsid w:val="009E5E84"/>
    <w:rsid w:val="009E5EA9"/>
    <w:rsid w:val="009E62F7"/>
    <w:rsid w:val="009E6937"/>
    <w:rsid w:val="009E695F"/>
    <w:rsid w:val="009E69DC"/>
    <w:rsid w:val="009E6BA4"/>
    <w:rsid w:val="009E6C3D"/>
    <w:rsid w:val="009E6D05"/>
    <w:rsid w:val="009E6D32"/>
    <w:rsid w:val="009E6DB8"/>
    <w:rsid w:val="009E6DD6"/>
    <w:rsid w:val="009E6ECC"/>
    <w:rsid w:val="009E730C"/>
    <w:rsid w:val="009E7430"/>
    <w:rsid w:val="009E7468"/>
    <w:rsid w:val="009E7656"/>
    <w:rsid w:val="009E7ADB"/>
    <w:rsid w:val="009E7B6D"/>
    <w:rsid w:val="009E7DBA"/>
    <w:rsid w:val="009E7E85"/>
    <w:rsid w:val="009EECDA"/>
    <w:rsid w:val="009F00B5"/>
    <w:rsid w:val="009F01D8"/>
    <w:rsid w:val="009F02F1"/>
    <w:rsid w:val="009F0630"/>
    <w:rsid w:val="009F0A42"/>
    <w:rsid w:val="009F0ACB"/>
    <w:rsid w:val="009F0B8E"/>
    <w:rsid w:val="009F0E6A"/>
    <w:rsid w:val="009F0EBB"/>
    <w:rsid w:val="009F0EEF"/>
    <w:rsid w:val="009F10FC"/>
    <w:rsid w:val="009F1127"/>
    <w:rsid w:val="009F1575"/>
    <w:rsid w:val="009F1C0B"/>
    <w:rsid w:val="009F1DB9"/>
    <w:rsid w:val="009F2043"/>
    <w:rsid w:val="009F20B3"/>
    <w:rsid w:val="009F236D"/>
    <w:rsid w:val="009F270D"/>
    <w:rsid w:val="009F2AFB"/>
    <w:rsid w:val="009F2C51"/>
    <w:rsid w:val="009F2E19"/>
    <w:rsid w:val="009F3254"/>
    <w:rsid w:val="009F3713"/>
    <w:rsid w:val="009F37BF"/>
    <w:rsid w:val="009F382D"/>
    <w:rsid w:val="009F3A4D"/>
    <w:rsid w:val="009F3A65"/>
    <w:rsid w:val="009F3D4F"/>
    <w:rsid w:val="009F3DE1"/>
    <w:rsid w:val="009F3EA1"/>
    <w:rsid w:val="009F3ECF"/>
    <w:rsid w:val="009F402F"/>
    <w:rsid w:val="009F41A5"/>
    <w:rsid w:val="009F43D7"/>
    <w:rsid w:val="009F45F2"/>
    <w:rsid w:val="009F46A2"/>
    <w:rsid w:val="009F49C9"/>
    <w:rsid w:val="009F4C6F"/>
    <w:rsid w:val="009F4CE2"/>
    <w:rsid w:val="009F4F61"/>
    <w:rsid w:val="009F5024"/>
    <w:rsid w:val="009F5234"/>
    <w:rsid w:val="009F5336"/>
    <w:rsid w:val="009F55E2"/>
    <w:rsid w:val="009F5788"/>
    <w:rsid w:val="009F598E"/>
    <w:rsid w:val="009F5B92"/>
    <w:rsid w:val="009F5C36"/>
    <w:rsid w:val="009F5D49"/>
    <w:rsid w:val="009F5DFA"/>
    <w:rsid w:val="009F5E9D"/>
    <w:rsid w:val="009F5F54"/>
    <w:rsid w:val="009F6157"/>
    <w:rsid w:val="009F618D"/>
    <w:rsid w:val="009F62E7"/>
    <w:rsid w:val="009F6380"/>
    <w:rsid w:val="009F6660"/>
    <w:rsid w:val="009F6758"/>
    <w:rsid w:val="009F695C"/>
    <w:rsid w:val="009F6B06"/>
    <w:rsid w:val="009F6C18"/>
    <w:rsid w:val="009F6C71"/>
    <w:rsid w:val="009F6EF0"/>
    <w:rsid w:val="009F6F4F"/>
    <w:rsid w:val="009F6F76"/>
    <w:rsid w:val="009F713C"/>
    <w:rsid w:val="009F722C"/>
    <w:rsid w:val="009F7428"/>
    <w:rsid w:val="009F7767"/>
    <w:rsid w:val="00A00327"/>
    <w:rsid w:val="00A005BB"/>
    <w:rsid w:val="00A0067E"/>
    <w:rsid w:val="00A00913"/>
    <w:rsid w:val="00A00A19"/>
    <w:rsid w:val="00A00AAE"/>
    <w:rsid w:val="00A00B03"/>
    <w:rsid w:val="00A00D7D"/>
    <w:rsid w:val="00A00E4A"/>
    <w:rsid w:val="00A00F6B"/>
    <w:rsid w:val="00A010E9"/>
    <w:rsid w:val="00A01752"/>
    <w:rsid w:val="00A019A3"/>
    <w:rsid w:val="00A01AB4"/>
    <w:rsid w:val="00A01E49"/>
    <w:rsid w:val="00A01FAD"/>
    <w:rsid w:val="00A01FD4"/>
    <w:rsid w:val="00A020C4"/>
    <w:rsid w:val="00A022A9"/>
    <w:rsid w:val="00A02348"/>
    <w:rsid w:val="00A029A1"/>
    <w:rsid w:val="00A02F2C"/>
    <w:rsid w:val="00A0309A"/>
    <w:rsid w:val="00A0365B"/>
    <w:rsid w:val="00A038D3"/>
    <w:rsid w:val="00A03F97"/>
    <w:rsid w:val="00A04016"/>
    <w:rsid w:val="00A041FD"/>
    <w:rsid w:val="00A04205"/>
    <w:rsid w:val="00A04228"/>
    <w:rsid w:val="00A04388"/>
    <w:rsid w:val="00A048CA"/>
    <w:rsid w:val="00A04B13"/>
    <w:rsid w:val="00A05202"/>
    <w:rsid w:val="00A05205"/>
    <w:rsid w:val="00A0522E"/>
    <w:rsid w:val="00A05394"/>
    <w:rsid w:val="00A053E5"/>
    <w:rsid w:val="00A053E6"/>
    <w:rsid w:val="00A054EA"/>
    <w:rsid w:val="00A05546"/>
    <w:rsid w:val="00A0569F"/>
    <w:rsid w:val="00A05822"/>
    <w:rsid w:val="00A05A1E"/>
    <w:rsid w:val="00A05A38"/>
    <w:rsid w:val="00A05D5C"/>
    <w:rsid w:val="00A05D61"/>
    <w:rsid w:val="00A05E02"/>
    <w:rsid w:val="00A05EEF"/>
    <w:rsid w:val="00A060DE"/>
    <w:rsid w:val="00A0610A"/>
    <w:rsid w:val="00A06140"/>
    <w:rsid w:val="00A06284"/>
    <w:rsid w:val="00A065B1"/>
    <w:rsid w:val="00A065FF"/>
    <w:rsid w:val="00A0681F"/>
    <w:rsid w:val="00A06846"/>
    <w:rsid w:val="00A069E4"/>
    <w:rsid w:val="00A07154"/>
    <w:rsid w:val="00A07281"/>
    <w:rsid w:val="00A07507"/>
    <w:rsid w:val="00A07663"/>
    <w:rsid w:val="00A076D2"/>
    <w:rsid w:val="00A077D1"/>
    <w:rsid w:val="00A07817"/>
    <w:rsid w:val="00A07825"/>
    <w:rsid w:val="00A078BF"/>
    <w:rsid w:val="00A07D5D"/>
    <w:rsid w:val="00A07FD2"/>
    <w:rsid w:val="00A07FDC"/>
    <w:rsid w:val="00A10055"/>
    <w:rsid w:val="00A1069D"/>
    <w:rsid w:val="00A106CF"/>
    <w:rsid w:val="00A1080D"/>
    <w:rsid w:val="00A1097A"/>
    <w:rsid w:val="00A10BDB"/>
    <w:rsid w:val="00A10C33"/>
    <w:rsid w:val="00A112D1"/>
    <w:rsid w:val="00A11308"/>
    <w:rsid w:val="00A11312"/>
    <w:rsid w:val="00A117F1"/>
    <w:rsid w:val="00A117F5"/>
    <w:rsid w:val="00A11963"/>
    <w:rsid w:val="00A119B1"/>
    <w:rsid w:val="00A119CC"/>
    <w:rsid w:val="00A11B8A"/>
    <w:rsid w:val="00A11C8C"/>
    <w:rsid w:val="00A11CD2"/>
    <w:rsid w:val="00A11CFE"/>
    <w:rsid w:val="00A11F90"/>
    <w:rsid w:val="00A12178"/>
    <w:rsid w:val="00A12546"/>
    <w:rsid w:val="00A126E4"/>
    <w:rsid w:val="00A127F0"/>
    <w:rsid w:val="00A128CC"/>
    <w:rsid w:val="00A128EF"/>
    <w:rsid w:val="00A129A5"/>
    <w:rsid w:val="00A12A76"/>
    <w:rsid w:val="00A12D92"/>
    <w:rsid w:val="00A12DEF"/>
    <w:rsid w:val="00A12DF6"/>
    <w:rsid w:val="00A12FAD"/>
    <w:rsid w:val="00A12FCE"/>
    <w:rsid w:val="00A133DD"/>
    <w:rsid w:val="00A138FA"/>
    <w:rsid w:val="00A13D29"/>
    <w:rsid w:val="00A14421"/>
    <w:rsid w:val="00A1453F"/>
    <w:rsid w:val="00A14BE0"/>
    <w:rsid w:val="00A14D1B"/>
    <w:rsid w:val="00A14D4B"/>
    <w:rsid w:val="00A14E4A"/>
    <w:rsid w:val="00A15152"/>
    <w:rsid w:val="00A1545C"/>
    <w:rsid w:val="00A15460"/>
    <w:rsid w:val="00A1554E"/>
    <w:rsid w:val="00A155EB"/>
    <w:rsid w:val="00A156D0"/>
    <w:rsid w:val="00A15A37"/>
    <w:rsid w:val="00A163BD"/>
    <w:rsid w:val="00A164F2"/>
    <w:rsid w:val="00A16758"/>
    <w:rsid w:val="00A16A86"/>
    <w:rsid w:val="00A16FD9"/>
    <w:rsid w:val="00A16FF2"/>
    <w:rsid w:val="00A17038"/>
    <w:rsid w:val="00A17055"/>
    <w:rsid w:val="00A17179"/>
    <w:rsid w:val="00A172E0"/>
    <w:rsid w:val="00A17574"/>
    <w:rsid w:val="00A176B3"/>
    <w:rsid w:val="00A177BA"/>
    <w:rsid w:val="00A17A3F"/>
    <w:rsid w:val="00A17B5C"/>
    <w:rsid w:val="00A17C68"/>
    <w:rsid w:val="00A17D37"/>
    <w:rsid w:val="00A17E91"/>
    <w:rsid w:val="00A17EE5"/>
    <w:rsid w:val="00A17F47"/>
    <w:rsid w:val="00A200FB"/>
    <w:rsid w:val="00A20179"/>
    <w:rsid w:val="00A201A2"/>
    <w:rsid w:val="00A2026B"/>
    <w:rsid w:val="00A2027D"/>
    <w:rsid w:val="00A20338"/>
    <w:rsid w:val="00A20391"/>
    <w:rsid w:val="00A203FB"/>
    <w:rsid w:val="00A20499"/>
    <w:rsid w:val="00A20504"/>
    <w:rsid w:val="00A20702"/>
    <w:rsid w:val="00A2079A"/>
    <w:rsid w:val="00A20A15"/>
    <w:rsid w:val="00A20A6E"/>
    <w:rsid w:val="00A20B3B"/>
    <w:rsid w:val="00A20BCF"/>
    <w:rsid w:val="00A20C62"/>
    <w:rsid w:val="00A20CCD"/>
    <w:rsid w:val="00A210CE"/>
    <w:rsid w:val="00A210F3"/>
    <w:rsid w:val="00A21296"/>
    <w:rsid w:val="00A213DB"/>
    <w:rsid w:val="00A21467"/>
    <w:rsid w:val="00A215F1"/>
    <w:rsid w:val="00A21629"/>
    <w:rsid w:val="00A21789"/>
    <w:rsid w:val="00A217BE"/>
    <w:rsid w:val="00A217D1"/>
    <w:rsid w:val="00A21CF9"/>
    <w:rsid w:val="00A21D72"/>
    <w:rsid w:val="00A22116"/>
    <w:rsid w:val="00A22165"/>
    <w:rsid w:val="00A2267B"/>
    <w:rsid w:val="00A2273C"/>
    <w:rsid w:val="00A2278D"/>
    <w:rsid w:val="00A227A4"/>
    <w:rsid w:val="00A228B3"/>
    <w:rsid w:val="00A228E1"/>
    <w:rsid w:val="00A22D46"/>
    <w:rsid w:val="00A2318D"/>
    <w:rsid w:val="00A23610"/>
    <w:rsid w:val="00A2363E"/>
    <w:rsid w:val="00A236CC"/>
    <w:rsid w:val="00A2377F"/>
    <w:rsid w:val="00A23822"/>
    <w:rsid w:val="00A23873"/>
    <w:rsid w:val="00A238C6"/>
    <w:rsid w:val="00A238FA"/>
    <w:rsid w:val="00A239C0"/>
    <w:rsid w:val="00A23BEF"/>
    <w:rsid w:val="00A23D6F"/>
    <w:rsid w:val="00A23D7F"/>
    <w:rsid w:val="00A23FE8"/>
    <w:rsid w:val="00A241B1"/>
    <w:rsid w:val="00A2420D"/>
    <w:rsid w:val="00A242AE"/>
    <w:rsid w:val="00A24405"/>
    <w:rsid w:val="00A24446"/>
    <w:rsid w:val="00A244A5"/>
    <w:rsid w:val="00A248D6"/>
    <w:rsid w:val="00A24AF2"/>
    <w:rsid w:val="00A24CF5"/>
    <w:rsid w:val="00A24EF1"/>
    <w:rsid w:val="00A24FA6"/>
    <w:rsid w:val="00A24FD3"/>
    <w:rsid w:val="00A2500D"/>
    <w:rsid w:val="00A2501C"/>
    <w:rsid w:val="00A25184"/>
    <w:rsid w:val="00A25320"/>
    <w:rsid w:val="00A2540D"/>
    <w:rsid w:val="00A25614"/>
    <w:rsid w:val="00A25831"/>
    <w:rsid w:val="00A259F0"/>
    <w:rsid w:val="00A25BC3"/>
    <w:rsid w:val="00A25F43"/>
    <w:rsid w:val="00A25FDB"/>
    <w:rsid w:val="00A260BB"/>
    <w:rsid w:val="00A26106"/>
    <w:rsid w:val="00A261A3"/>
    <w:rsid w:val="00A26271"/>
    <w:rsid w:val="00A2630B"/>
    <w:rsid w:val="00A26BA0"/>
    <w:rsid w:val="00A26D68"/>
    <w:rsid w:val="00A26D92"/>
    <w:rsid w:val="00A26DFF"/>
    <w:rsid w:val="00A26E31"/>
    <w:rsid w:val="00A274FD"/>
    <w:rsid w:val="00A2764E"/>
    <w:rsid w:val="00A27670"/>
    <w:rsid w:val="00A27700"/>
    <w:rsid w:val="00A27C14"/>
    <w:rsid w:val="00A27CD0"/>
    <w:rsid w:val="00A27D4C"/>
    <w:rsid w:val="00A27F1B"/>
    <w:rsid w:val="00A27FB6"/>
    <w:rsid w:val="00A30075"/>
    <w:rsid w:val="00A303D7"/>
    <w:rsid w:val="00A3071D"/>
    <w:rsid w:val="00A308A0"/>
    <w:rsid w:val="00A30C3F"/>
    <w:rsid w:val="00A30CF7"/>
    <w:rsid w:val="00A310EB"/>
    <w:rsid w:val="00A311A8"/>
    <w:rsid w:val="00A312FE"/>
    <w:rsid w:val="00A314D4"/>
    <w:rsid w:val="00A31F76"/>
    <w:rsid w:val="00A3238D"/>
    <w:rsid w:val="00A32496"/>
    <w:rsid w:val="00A32A27"/>
    <w:rsid w:val="00A32C51"/>
    <w:rsid w:val="00A32CA5"/>
    <w:rsid w:val="00A32F3F"/>
    <w:rsid w:val="00A3305D"/>
    <w:rsid w:val="00A3346E"/>
    <w:rsid w:val="00A334C1"/>
    <w:rsid w:val="00A336AE"/>
    <w:rsid w:val="00A337AF"/>
    <w:rsid w:val="00A33816"/>
    <w:rsid w:val="00A339A6"/>
    <w:rsid w:val="00A33C79"/>
    <w:rsid w:val="00A33D38"/>
    <w:rsid w:val="00A33D7C"/>
    <w:rsid w:val="00A33DCD"/>
    <w:rsid w:val="00A341FF"/>
    <w:rsid w:val="00A34569"/>
    <w:rsid w:val="00A347C0"/>
    <w:rsid w:val="00A34847"/>
    <w:rsid w:val="00A34897"/>
    <w:rsid w:val="00A348BE"/>
    <w:rsid w:val="00A34A91"/>
    <w:rsid w:val="00A34AEC"/>
    <w:rsid w:val="00A34BF0"/>
    <w:rsid w:val="00A34C71"/>
    <w:rsid w:val="00A34D5B"/>
    <w:rsid w:val="00A34E67"/>
    <w:rsid w:val="00A34F77"/>
    <w:rsid w:val="00A34FAF"/>
    <w:rsid w:val="00A350B3"/>
    <w:rsid w:val="00A35183"/>
    <w:rsid w:val="00A351C1"/>
    <w:rsid w:val="00A35658"/>
    <w:rsid w:val="00A3573C"/>
    <w:rsid w:val="00A357AC"/>
    <w:rsid w:val="00A3588B"/>
    <w:rsid w:val="00A358B3"/>
    <w:rsid w:val="00A35B28"/>
    <w:rsid w:val="00A35C87"/>
    <w:rsid w:val="00A35CC3"/>
    <w:rsid w:val="00A3639D"/>
    <w:rsid w:val="00A363E4"/>
    <w:rsid w:val="00A36688"/>
    <w:rsid w:val="00A36697"/>
    <w:rsid w:val="00A3692E"/>
    <w:rsid w:val="00A36A90"/>
    <w:rsid w:val="00A36B93"/>
    <w:rsid w:val="00A36BE1"/>
    <w:rsid w:val="00A36CB3"/>
    <w:rsid w:val="00A37154"/>
    <w:rsid w:val="00A3717F"/>
    <w:rsid w:val="00A371D0"/>
    <w:rsid w:val="00A371F4"/>
    <w:rsid w:val="00A372EB"/>
    <w:rsid w:val="00A3767B"/>
    <w:rsid w:val="00A37C3A"/>
    <w:rsid w:val="00A40192"/>
    <w:rsid w:val="00A402D6"/>
    <w:rsid w:val="00A4032F"/>
    <w:rsid w:val="00A405D4"/>
    <w:rsid w:val="00A40942"/>
    <w:rsid w:val="00A40A53"/>
    <w:rsid w:val="00A40AA2"/>
    <w:rsid w:val="00A40AE9"/>
    <w:rsid w:val="00A40B61"/>
    <w:rsid w:val="00A40B8D"/>
    <w:rsid w:val="00A40BAD"/>
    <w:rsid w:val="00A40C69"/>
    <w:rsid w:val="00A40D1D"/>
    <w:rsid w:val="00A40D44"/>
    <w:rsid w:val="00A40EFF"/>
    <w:rsid w:val="00A40FE7"/>
    <w:rsid w:val="00A41068"/>
    <w:rsid w:val="00A410E1"/>
    <w:rsid w:val="00A4124D"/>
    <w:rsid w:val="00A414A9"/>
    <w:rsid w:val="00A41586"/>
    <w:rsid w:val="00A41A3E"/>
    <w:rsid w:val="00A41AB2"/>
    <w:rsid w:val="00A41D46"/>
    <w:rsid w:val="00A41D9F"/>
    <w:rsid w:val="00A41DA1"/>
    <w:rsid w:val="00A41FC5"/>
    <w:rsid w:val="00A41FFC"/>
    <w:rsid w:val="00A42254"/>
    <w:rsid w:val="00A426A2"/>
    <w:rsid w:val="00A42867"/>
    <w:rsid w:val="00A4299D"/>
    <w:rsid w:val="00A42A8B"/>
    <w:rsid w:val="00A42B76"/>
    <w:rsid w:val="00A42D1C"/>
    <w:rsid w:val="00A435C9"/>
    <w:rsid w:val="00A43671"/>
    <w:rsid w:val="00A4370B"/>
    <w:rsid w:val="00A43768"/>
    <w:rsid w:val="00A43820"/>
    <w:rsid w:val="00A4391A"/>
    <w:rsid w:val="00A43AAD"/>
    <w:rsid w:val="00A43AD2"/>
    <w:rsid w:val="00A440CC"/>
    <w:rsid w:val="00A44380"/>
    <w:rsid w:val="00A44408"/>
    <w:rsid w:val="00A446F6"/>
    <w:rsid w:val="00A44A1E"/>
    <w:rsid w:val="00A44AA2"/>
    <w:rsid w:val="00A44BD0"/>
    <w:rsid w:val="00A44C9A"/>
    <w:rsid w:val="00A44CB8"/>
    <w:rsid w:val="00A45116"/>
    <w:rsid w:val="00A4516E"/>
    <w:rsid w:val="00A45A61"/>
    <w:rsid w:val="00A45AD0"/>
    <w:rsid w:val="00A45B34"/>
    <w:rsid w:val="00A45C20"/>
    <w:rsid w:val="00A45ED2"/>
    <w:rsid w:val="00A45FC8"/>
    <w:rsid w:val="00A46209"/>
    <w:rsid w:val="00A46250"/>
    <w:rsid w:val="00A4651C"/>
    <w:rsid w:val="00A4652E"/>
    <w:rsid w:val="00A46586"/>
    <w:rsid w:val="00A465F8"/>
    <w:rsid w:val="00A46701"/>
    <w:rsid w:val="00A4691A"/>
    <w:rsid w:val="00A469BB"/>
    <w:rsid w:val="00A46D2E"/>
    <w:rsid w:val="00A46D44"/>
    <w:rsid w:val="00A46D8F"/>
    <w:rsid w:val="00A46EED"/>
    <w:rsid w:val="00A46FFA"/>
    <w:rsid w:val="00A47010"/>
    <w:rsid w:val="00A47047"/>
    <w:rsid w:val="00A470D7"/>
    <w:rsid w:val="00A472CC"/>
    <w:rsid w:val="00A47541"/>
    <w:rsid w:val="00A47568"/>
    <w:rsid w:val="00A475AF"/>
    <w:rsid w:val="00A47723"/>
    <w:rsid w:val="00A47CD1"/>
    <w:rsid w:val="00A47EE4"/>
    <w:rsid w:val="00A5005A"/>
    <w:rsid w:val="00A5011A"/>
    <w:rsid w:val="00A5015D"/>
    <w:rsid w:val="00A50209"/>
    <w:rsid w:val="00A50438"/>
    <w:rsid w:val="00A50643"/>
    <w:rsid w:val="00A50812"/>
    <w:rsid w:val="00A50C8A"/>
    <w:rsid w:val="00A50DA1"/>
    <w:rsid w:val="00A514C4"/>
    <w:rsid w:val="00A5180E"/>
    <w:rsid w:val="00A51865"/>
    <w:rsid w:val="00A51C9F"/>
    <w:rsid w:val="00A51F4F"/>
    <w:rsid w:val="00A5229C"/>
    <w:rsid w:val="00A52499"/>
    <w:rsid w:val="00A52517"/>
    <w:rsid w:val="00A5271E"/>
    <w:rsid w:val="00A52968"/>
    <w:rsid w:val="00A529D7"/>
    <w:rsid w:val="00A52A91"/>
    <w:rsid w:val="00A52B5C"/>
    <w:rsid w:val="00A52B7A"/>
    <w:rsid w:val="00A52CE5"/>
    <w:rsid w:val="00A52DFC"/>
    <w:rsid w:val="00A52F59"/>
    <w:rsid w:val="00A5325C"/>
    <w:rsid w:val="00A5345A"/>
    <w:rsid w:val="00A53669"/>
    <w:rsid w:val="00A5366F"/>
    <w:rsid w:val="00A536A6"/>
    <w:rsid w:val="00A5397F"/>
    <w:rsid w:val="00A53AD1"/>
    <w:rsid w:val="00A53AFD"/>
    <w:rsid w:val="00A53E1B"/>
    <w:rsid w:val="00A53E33"/>
    <w:rsid w:val="00A5422E"/>
    <w:rsid w:val="00A542A8"/>
    <w:rsid w:val="00A54838"/>
    <w:rsid w:val="00A5491E"/>
    <w:rsid w:val="00A54AEF"/>
    <w:rsid w:val="00A54C53"/>
    <w:rsid w:val="00A54C96"/>
    <w:rsid w:val="00A54CDD"/>
    <w:rsid w:val="00A54EA9"/>
    <w:rsid w:val="00A551ED"/>
    <w:rsid w:val="00A5525B"/>
    <w:rsid w:val="00A5533D"/>
    <w:rsid w:val="00A555E2"/>
    <w:rsid w:val="00A557B7"/>
    <w:rsid w:val="00A55C20"/>
    <w:rsid w:val="00A56451"/>
    <w:rsid w:val="00A5648E"/>
    <w:rsid w:val="00A567EB"/>
    <w:rsid w:val="00A56904"/>
    <w:rsid w:val="00A56908"/>
    <w:rsid w:val="00A56914"/>
    <w:rsid w:val="00A569A0"/>
    <w:rsid w:val="00A56A41"/>
    <w:rsid w:val="00A56B37"/>
    <w:rsid w:val="00A56BFB"/>
    <w:rsid w:val="00A56CC3"/>
    <w:rsid w:val="00A56DD9"/>
    <w:rsid w:val="00A56F3A"/>
    <w:rsid w:val="00A56F3F"/>
    <w:rsid w:val="00A57320"/>
    <w:rsid w:val="00A57438"/>
    <w:rsid w:val="00A57878"/>
    <w:rsid w:val="00A57B6C"/>
    <w:rsid w:val="00A57B7E"/>
    <w:rsid w:val="00A57BDF"/>
    <w:rsid w:val="00A57C02"/>
    <w:rsid w:val="00A57C73"/>
    <w:rsid w:val="00A57D00"/>
    <w:rsid w:val="00A57E4F"/>
    <w:rsid w:val="00A60012"/>
    <w:rsid w:val="00A600CC"/>
    <w:rsid w:val="00A60166"/>
    <w:rsid w:val="00A6025E"/>
    <w:rsid w:val="00A60500"/>
    <w:rsid w:val="00A60504"/>
    <w:rsid w:val="00A60543"/>
    <w:rsid w:val="00A6083D"/>
    <w:rsid w:val="00A60920"/>
    <w:rsid w:val="00A60983"/>
    <w:rsid w:val="00A60A21"/>
    <w:rsid w:val="00A60A8E"/>
    <w:rsid w:val="00A60AD7"/>
    <w:rsid w:val="00A60D67"/>
    <w:rsid w:val="00A60DA8"/>
    <w:rsid w:val="00A60EA2"/>
    <w:rsid w:val="00A613D7"/>
    <w:rsid w:val="00A617C7"/>
    <w:rsid w:val="00A61B48"/>
    <w:rsid w:val="00A61B6C"/>
    <w:rsid w:val="00A61CA6"/>
    <w:rsid w:val="00A61EF9"/>
    <w:rsid w:val="00A61FF4"/>
    <w:rsid w:val="00A62075"/>
    <w:rsid w:val="00A62264"/>
    <w:rsid w:val="00A622A8"/>
    <w:rsid w:val="00A623F7"/>
    <w:rsid w:val="00A625B3"/>
    <w:rsid w:val="00A628EA"/>
    <w:rsid w:val="00A62966"/>
    <w:rsid w:val="00A62ADD"/>
    <w:rsid w:val="00A62C9A"/>
    <w:rsid w:val="00A62D44"/>
    <w:rsid w:val="00A62DBF"/>
    <w:rsid w:val="00A63261"/>
    <w:rsid w:val="00A632E5"/>
    <w:rsid w:val="00A6333B"/>
    <w:rsid w:val="00A639D3"/>
    <w:rsid w:val="00A639D9"/>
    <w:rsid w:val="00A63E02"/>
    <w:rsid w:val="00A63F69"/>
    <w:rsid w:val="00A640C5"/>
    <w:rsid w:val="00A6480A"/>
    <w:rsid w:val="00A64851"/>
    <w:rsid w:val="00A648A4"/>
    <w:rsid w:val="00A64AB3"/>
    <w:rsid w:val="00A64B2A"/>
    <w:rsid w:val="00A64B2D"/>
    <w:rsid w:val="00A6517D"/>
    <w:rsid w:val="00A65197"/>
    <w:rsid w:val="00A651B2"/>
    <w:rsid w:val="00A654E8"/>
    <w:rsid w:val="00A65561"/>
    <w:rsid w:val="00A65772"/>
    <w:rsid w:val="00A6594E"/>
    <w:rsid w:val="00A65985"/>
    <w:rsid w:val="00A659A5"/>
    <w:rsid w:val="00A65B22"/>
    <w:rsid w:val="00A65CCA"/>
    <w:rsid w:val="00A65D5D"/>
    <w:rsid w:val="00A661DE"/>
    <w:rsid w:val="00A66657"/>
    <w:rsid w:val="00A666C5"/>
    <w:rsid w:val="00A666DE"/>
    <w:rsid w:val="00A66917"/>
    <w:rsid w:val="00A66983"/>
    <w:rsid w:val="00A66AA6"/>
    <w:rsid w:val="00A66B44"/>
    <w:rsid w:val="00A66D9A"/>
    <w:rsid w:val="00A67289"/>
    <w:rsid w:val="00A67342"/>
    <w:rsid w:val="00A6746D"/>
    <w:rsid w:val="00A6782C"/>
    <w:rsid w:val="00A679E0"/>
    <w:rsid w:val="00A67BF7"/>
    <w:rsid w:val="00A67E46"/>
    <w:rsid w:val="00A67E71"/>
    <w:rsid w:val="00A67F7F"/>
    <w:rsid w:val="00A67FC1"/>
    <w:rsid w:val="00A700CC"/>
    <w:rsid w:val="00A702DC"/>
    <w:rsid w:val="00A7038A"/>
    <w:rsid w:val="00A7048E"/>
    <w:rsid w:val="00A706AA"/>
    <w:rsid w:val="00A70975"/>
    <w:rsid w:val="00A70B01"/>
    <w:rsid w:val="00A70B0B"/>
    <w:rsid w:val="00A70B46"/>
    <w:rsid w:val="00A70C0C"/>
    <w:rsid w:val="00A70F25"/>
    <w:rsid w:val="00A70FFD"/>
    <w:rsid w:val="00A7122A"/>
    <w:rsid w:val="00A712B0"/>
    <w:rsid w:val="00A7130D"/>
    <w:rsid w:val="00A71378"/>
    <w:rsid w:val="00A71789"/>
    <w:rsid w:val="00A71AFB"/>
    <w:rsid w:val="00A71DB9"/>
    <w:rsid w:val="00A71E33"/>
    <w:rsid w:val="00A71F73"/>
    <w:rsid w:val="00A7279A"/>
    <w:rsid w:val="00A72BA0"/>
    <w:rsid w:val="00A72D0B"/>
    <w:rsid w:val="00A72E9D"/>
    <w:rsid w:val="00A72F51"/>
    <w:rsid w:val="00A73055"/>
    <w:rsid w:val="00A730A4"/>
    <w:rsid w:val="00A732E2"/>
    <w:rsid w:val="00A735CC"/>
    <w:rsid w:val="00A736A6"/>
    <w:rsid w:val="00A73752"/>
    <w:rsid w:val="00A738D8"/>
    <w:rsid w:val="00A73B32"/>
    <w:rsid w:val="00A73B35"/>
    <w:rsid w:val="00A73FF4"/>
    <w:rsid w:val="00A74032"/>
    <w:rsid w:val="00A7404E"/>
    <w:rsid w:val="00A740E3"/>
    <w:rsid w:val="00A74294"/>
    <w:rsid w:val="00A743A6"/>
    <w:rsid w:val="00A7453D"/>
    <w:rsid w:val="00A74795"/>
    <w:rsid w:val="00A74AA7"/>
    <w:rsid w:val="00A74CD3"/>
    <w:rsid w:val="00A74E59"/>
    <w:rsid w:val="00A74E85"/>
    <w:rsid w:val="00A74EFF"/>
    <w:rsid w:val="00A74FBA"/>
    <w:rsid w:val="00A7510A"/>
    <w:rsid w:val="00A75260"/>
    <w:rsid w:val="00A752BD"/>
    <w:rsid w:val="00A75314"/>
    <w:rsid w:val="00A75ACB"/>
    <w:rsid w:val="00A76054"/>
    <w:rsid w:val="00A7622A"/>
    <w:rsid w:val="00A768CF"/>
    <w:rsid w:val="00A768EE"/>
    <w:rsid w:val="00A76993"/>
    <w:rsid w:val="00A769B8"/>
    <w:rsid w:val="00A76A46"/>
    <w:rsid w:val="00A76AAD"/>
    <w:rsid w:val="00A76D53"/>
    <w:rsid w:val="00A76E4C"/>
    <w:rsid w:val="00A77109"/>
    <w:rsid w:val="00A77129"/>
    <w:rsid w:val="00A77403"/>
    <w:rsid w:val="00A774C3"/>
    <w:rsid w:val="00A774DB"/>
    <w:rsid w:val="00A77636"/>
    <w:rsid w:val="00A77644"/>
    <w:rsid w:val="00A77678"/>
    <w:rsid w:val="00A77681"/>
    <w:rsid w:val="00A776A1"/>
    <w:rsid w:val="00A7783F"/>
    <w:rsid w:val="00A7795D"/>
    <w:rsid w:val="00A779EF"/>
    <w:rsid w:val="00A77A87"/>
    <w:rsid w:val="00A77BA3"/>
    <w:rsid w:val="00A77BFF"/>
    <w:rsid w:val="00A77C6A"/>
    <w:rsid w:val="00A77C84"/>
    <w:rsid w:val="00A77CB6"/>
    <w:rsid w:val="00A77D09"/>
    <w:rsid w:val="00A77DBF"/>
    <w:rsid w:val="00A77E4A"/>
    <w:rsid w:val="00A77F44"/>
    <w:rsid w:val="00A802AC"/>
    <w:rsid w:val="00A80536"/>
    <w:rsid w:val="00A80566"/>
    <w:rsid w:val="00A80956"/>
    <w:rsid w:val="00A80BE8"/>
    <w:rsid w:val="00A80C4E"/>
    <w:rsid w:val="00A80C66"/>
    <w:rsid w:val="00A80CF1"/>
    <w:rsid w:val="00A80CF5"/>
    <w:rsid w:val="00A80F1D"/>
    <w:rsid w:val="00A80F9B"/>
    <w:rsid w:val="00A80FFB"/>
    <w:rsid w:val="00A810D3"/>
    <w:rsid w:val="00A810EB"/>
    <w:rsid w:val="00A81260"/>
    <w:rsid w:val="00A81399"/>
    <w:rsid w:val="00A818DB"/>
    <w:rsid w:val="00A8199E"/>
    <w:rsid w:val="00A81A45"/>
    <w:rsid w:val="00A81C03"/>
    <w:rsid w:val="00A81EED"/>
    <w:rsid w:val="00A81F67"/>
    <w:rsid w:val="00A822B4"/>
    <w:rsid w:val="00A823EF"/>
    <w:rsid w:val="00A8257A"/>
    <w:rsid w:val="00A8270C"/>
    <w:rsid w:val="00A82B75"/>
    <w:rsid w:val="00A82CC3"/>
    <w:rsid w:val="00A82DE4"/>
    <w:rsid w:val="00A830D7"/>
    <w:rsid w:val="00A831C1"/>
    <w:rsid w:val="00A831E7"/>
    <w:rsid w:val="00A8342D"/>
    <w:rsid w:val="00A834D4"/>
    <w:rsid w:val="00A834F0"/>
    <w:rsid w:val="00A83521"/>
    <w:rsid w:val="00A83522"/>
    <w:rsid w:val="00A8358B"/>
    <w:rsid w:val="00A83668"/>
    <w:rsid w:val="00A83A9E"/>
    <w:rsid w:val="00A83C92"/>
    <w:rsid w:val="00A83DAC"/>
    <w:rsid w:val="00A83F15"/>
    <w:rsid w:val="00A844E1"/>
    <w:rsid w:val="00A845CA"/>
    <w:rsid w:val="00A84778"/>
    <w:rsid w:val="00A847DB"/>
    <w:rsid w:val="00A8492D"/>
    <w:rsid w:val="00A84B1A"/>
    <w:rsid w:val="00A84C9C"/>
    <w:rsid w:val="00A84D84"/>
    <w:rsid w:val="00A84F1F"/>
    <w:rsid w:val="00A85034"/>
    <w:rsid w:val="00A85062"/>
    <w:rsid w:val="00A85340"/>
    <w:rsid w:val="00A8534D"/>
    <w:rsid w:val="00A85406"/>
    <w:rsid w:val="00A85639"/>
    <w:rsid w:val="00A858F0"/>
    <w:rsid w:val="00A85D73"/>
    <w:rsid w:val="00A85EF3"/>
    <w:rsid w:val="00A85F47"/>
    <w:rsid w:val="00A860AA"/>
    <w:rsid w:val="00A8616C"/>
    <w:rsid w:val="00A8617F"/>
    <w:rsid w:val="00A861E4"/>
    <w:rsid w:val="00A86437"/>
    <w:rsid w:val="00A86616"/>
    <w:rsid w:val="00A86706"/>
    <w:rsid w:val="00A86791"/>
    <w:rsid w:val="00A86AD6"/>
    <w:rsid w:val="00A8706B"/>
    <w:rsid w:val="00A8710B"/>
    <w:rsid w:val="00A87125"/>
    <w:rsid w:val="00A871D2"/>
    <w:rsid w:val="00A87215"/>
    <w:rsid w:val="00A875B4"/>
    <w:rsid w:val="00A877C3"/>
    <w:rsid w:val="00A87851"/>
    <w:rsid w:val="00A878F4"/>
    <w:rsid w:val="00A87998"/>
    <w:rsid w:val="00A879E3"/>
    <w:rsid w:val="00A87CA7"/>
    <w:rsid w:val="00A90242"/>
    <w:rsid w:val="00A9028B"/>
    <w:rsid w:val="00A904D1"/>
    <w:rsid w:val="00A90799"/>
    <w:rsid w:val="00A90A8D"/>
    <w:rsid w:val="00A90AEB"/>
    <w:rsid w:val="00A91037"/>
    <w:rsid w:val="00A9104B"/>
    <w:rsid w:val="00A9106B"/>
    <w:rsid w:val="00A912A3"/>
    <w:rsid w:val="00A9169C"/>
    <w:rsid w:val="00A916B2"/>
    <w:rsid w:val="00A916FB"/>
    <w:rsid w:val="00A91814"/>
    <w:rsid w:val="00A918C0"/>
    <w:rsid w:val="00A91914"/>
    <w:rsid w:val="00A91989"/>
    <w:rsid w:val="00A91A46"/>
    <w:rsid w:val="00A91AE6"/>
    <w:rsid w:val="00A91B0C"/>
    <w:rsid w:val="00A91B14"/>
    <w:rsid w:val="00A91B6C"/>
    <w:rsid w:val="00A91D51"/>
    <w:rsid w:val="00A91D6B"/>
    <w:rsid w:val="00A91F45"/>
    <w:rsid w:val="00A92593"/>
    <w:rsid w:val="00A92768"/>
    <w:rsid w:val="00A92794"/>
    <w:rsid w:val="00A92798"/>
    <w:rsid w:val="00A929C2"/>
    <w:rsid w:val="00A92AA2"/>
    <w:rsid w:val="00A92BFB"/>
    <w:rsid w:val="00A92C23"/>
    <w:rsid w:val="00A92EF4"/>
    <w:rsid w:val="00A92FC7"/>
    <w:rsid w:val="00A93001"/>
    <w:rsid w:val="00A93345"/>
    <w:rsid w:val="00A934C6"/>
    <w:rsid w:val="00A935A2"/>
    <w:rsid w:val="00A93622"/>
    <w:rsid w:val="00A93650"/>
    <w:rsid w:val="00A9378A"/>
    <w:rsid w:val="00A938B7"/>
    <w:rsid w:val="00A93989"/>
    <w:rsid w:val="00A93DDC"/>
    <w:rsid w:val="00A93EBD"/>
    <w:rsid w:val="00A93F90"/>
    <w:rsid w:val="00A94027"/>
    <w:rsid w:val="00A94260"/>
    <w:rsid w:val="00A94E35"/>
    <w:rsid w:val="00A95215"/>
    <w:rsid w:val="00A957CC"/>
    <w:rsid w:val="00A958C6"/>
    <w:rsid w:val="00A95A96"/>
    <w:rsid w:val="00A95BDD"/>
    <w:rsid w:val="00A95C81"/>
    <w:rsid w:val="00A95D0D"/>
    <w:rsid w:val="00A95EEA"/>
    <w:rsid w:val="00A96619"/>
    <w:rsid w:val="00A96702"/>
    <w:rsid w:val="00A967BB"/>
    <w:rsid w:val="00A9683A"/>
    <w:rsid w:val="00A96A61"/>
    <w:rsid w:val="00A96AF6"/>
    <w:rsid w:val="00A96B2E"/>
    <w:rsid w:val="00A96BE2"/>
    <w:rsid w:val="00A96BF7"/>
    <w:rsid w:val="00A96C85"/>
    <w:rsid w:val="00A96C91"/>
    <w:rsid w:val="00A96D10"/>
    <w:rsid w:val="00A96D85"/>
    <w:rsid w:val="00A96E6F"/>
    <w:rsid w:val="00A96EE2"/>
    <w:rsid w:val="00A96F0B"/>
    <w:rsid w:val="00A970F8"/>
    <w:rsid w:val="00A972A8"/>
    <w:rsid w:val="00A974E8"/>
    <w:rsid w:val="00A97666"/>
    <w:rsid w:val="00A977A6"/>
    <w:rsid w:val="00A97866"/>
    <w:rsid w:val="00A978E8"/>
    <w:rsid w:val="00A979F4"/>
    <w:rsid w:val="00A97B11"/>
    <w:rsid w:val="00A97B4C"/>
    <w:rsid w:val="00A97CF7"/>
    <w:rsid w:val="00A97D57"/>
    <w:rsid w:val="00A97DA3"/>
    <w:rsid w:val="00AA01AD"/>
    <w:rsid w:val="00AA0451"/>
    <w:rsid w:val="00AA0563"/>
    <w:rsid w:val="00AA06BF"/>
    <w:rsid w:val="00AA070B"/>
    <w:rsid w:val="00AA07D4"/>
    <w:rsid w:val="00AA083B"/>
    <w:rsid w:val="00AA0AEA"/>
    <w:rsid w:val="00AA0BD9"/>
    <w:rsid w:val="00AA0C5E"/>
    <w:rsid w:val="00AA0CBC"/>
    <w:rsid w:val="00AA0E99"/>
    <w:rsid w:val="00AA0FF4"/>
    <w:rsid w:val="00AA1125"/>
    <w:rsid w:val="00AA13F8"/>
    <w:rsid w:val="00AA15BC"/>
    <w:rsid w:val="00AA15CA"/>
    <w:rsid w:val="00AA1860"/>
    <w:rsid w:val="00AA1C99"/>
    <w:rsid w:val="00AA1CE5"/>
    <w:rsid w:val="00AA2055"/>
    <w:rsid w:val="00AA246F"/>
    <w:rsid w:val="00AA257F"/>
    <w:rsid w:val="00AA259C"/>
    <w:rsid w:val="00AA25BF"/>
    <w:rsid w:val="00AA25ED"/>
    <w:rsid w:val="00AA2A4D"/>
    <w:rsid w:val="00AA2CF4"/>
    <w:rsid w:val="00AA2F51"/>
    <w:rsid w:val="00AA3186"/>
    <w:rsid w:val="00AA34A9"/>
    <w:rsid w:val="00AA39F3"/>
    <w:rsid w:val="00AA3DC1"/>
    <w:rsid w:val="00AA3FC0"/>
    <w:rsid w:val="00AA42DB"/>
    <w:rsid w:val="00AA4307"/>
    <w:rsid w:val="00AA4342"/>
    <w:rsid w:val="00AA435F"/>
    <w:rsid w:val="00AA469F"/>
    <w:rsid w:val="00AA46C0"/>
    <w:rsid w:val="00AA4989"/>
    <w:rsid w:val="00AA4AB0"/>
    <w:rsid w:val="00AA4B66"/>
    <w:rsid w:val="00AA4B7A"/>
    <w:rsid w:val="00AA4EF8"/>
    <w:rsid w:val="00AA55E4"/>
    <w:rsid w:val="00AA56B9"/>
    <w:rsid w:val="00AA5701"/>
    <w:rsid w:val="00AA594B"/>
    <w:rsid w:val="00AA5CF3"/>
    <w:rsid w:val="00AA610E"/>
    <w:rsid w:val="00AA6150"/>
    <w:rsid w:val="00AA61C9"/>
    <w:rsid w:val="00AA6472"/>
    <w:rsid w:val="00AA65EE"/>
    <w:rsid w:val="00AA66E3"/>
    <w:rsid w:val="00AA6754"/>
    <w:rsid w:val="00AA679E"/>
    <w:rsid w:val="00AA695E"/>
    <w:rsid w:val="00AA69CB"/>
    <w:rsid w:val="00AA6A55"/>
    <w:rsid w:val="00AA6A94"/>
    <w:rsid w:val="00AA6DCC"/>
    <w:rsid w:val="00AA6F56"/>
    <w:rsid w:val="00AA6F77"/>
    <w:rsid w:val="00AA6FF4"/>
    <w:rsid w:val="00AA718D"/>
    <w:rsid w:val="00AA73F6"/>
    <w:rsid w:val="00AA757B"/>
    <w:rsid w:val="00AA75FC"/>
    <w:rsid w:val="00AA76BA"/>
    <w:rsid w:val="00AA7746"/>
    <w:rsid w:val="00AA7CC8"/>
    <w:rsid w:val="00AA7D49"/>
    <w:rsid w:val="00AA7D8C"/>
    <w:rsid w:val="00AA7ED5"/>
    <w:rsid w:val="00AB0195"/>
    <w:rsid w:val="00AB03B1"/>
    <w:rsid w:val="00AB040E"/>
    <w:rsid w:val="00AB069D"/>
    <w:rsid w:val="00AB09FF"/>
    <w:rsid w:val="00AB0CA1"/>
    <w:rsid w:val="00AB0CDE"/>
    <w:rsid w:val="00AB0E4C"/>
    <w:rsid w:val="00AB0E61"/>
    <w:rsid w:val="00AB1090"/>
    <w:rsid w:val="00AB10F2"/>
    <w:rsid w:val="00AB136F"/>
    <w:rsid w:val="00AB13ED"/>
    <w:rsid w:val="00AB1490"/>
    <w:rsid w:val="00AB1504"/>
    <w:rsid w:val="00AB15F2"/>
    <w:rsid w:val="00AB1A81"/>
    <w:rsid w:val="00AB1B4A"/>
    <w:rsid w:val="00AB1EDA"/>
    <w:rsid w:val="00AB24B4"/>
    <w:rsid w:val="00AB24FC"/>
    <w:rsid w:val="00AB2546"/>
    <w:rsid w:val="00AB278D"/>
    <w:rsid w:val="00AB2C2A"/>
    <w:rsid w:val="00AB2F85"/>
    <w:rsid w:val="00AB2FF7"/>
    <w:rsid w:val="00AB3408"/>
    <w:rsid w:val="00AB3633"/>
    <w:rsid w:val="00AB3683"/>
    <w:rsid w:val="00AB36A3"/>
    <w:rsid w:val="00AB36AA"/>
    <w:rsid w:val="00AB371C"/>
    <w:rsid w:val="00AB3813"/>
    <w:rsid w:val="00AB38BB"/>
    <w:rsid w:val="00AB394F"/>
    <w:rsid w:val="00AB3957"/>
    <w:rsid w:val="00AB39FD"/>
    <w:rsid w:val="00AB3A10"/>
    <w:rsid w:val="00AB3A3C"/>
    <w:rsid w:val="00AB3BA1"/>
    <w:rsid w:val="00AB3C12"/>
    <w:rsid w:val="00AB3C5A"/>
    <w:rsid w:val="00AB3CE4"/>
    <w:rsid w:val="00AB4038"/>
    <w:rsid w:val="00AB40B0"/>
    <w:rsid w:val="00AB40EF"/>
    <w:rsid w:val="00AB413C"/>
    <w:rsid w:val="00AB42E9"/>
    <w:rsid w:val="00AB441C"/>
    <w:rsid w:val="00AB46FC"/>
    <w:rsid w:val="00AB4827"/>
    <w:rsid w:val="00AB4896"/>
    <w:rsid w:val="00AB4A09"/>
    <w:rsid w:val="00AB4B77"/>
    <w:rsid w:val="00AB4EAE"/>
    <w:rsid w:val="00AB510C"/>
    <w:rsid w:val="00AB5375"/>
    <w:rsid w:val="00AB567B"/>
    <w:rsid w:val="00AB5A73"/>
    <w:rsid w:val="00AB5DF7"/>
    <w:rsid w:val="00AB5ECA"/>
    <w:rsid w:val="00AB5ED6"/>
    <w:rsid w:val="00AB5F35"/>
    <w:rsid w:val="00AB606D"/>
    <w:rsid w:val="00AB60CC"/>
    <w:rsid w:val="00AB61F8"/>
    <w:rsid w:val="00AB63E3"/>
    <w:rsid w:val="00AB6587"/>
    <w:rsid w:val="00AB66EB"/>
    <w:rsid w:val="00AB6762"/>
    <w:rsid w:val="00AB67E4"/>
    <w:rsid w:val="00AB6B0C"/>
    <w:rsid w:val="00AB6FFA"/>
    <w:rsid w:val="00AB7008"/>
    <w:rsid w:val="00AB710C"/>
    <w:rsid w:val="00AB7450"/>
    <w:rsid w:val="00AB756B"/>
    <w:rsid w:val="00AB75FD"/>
    <w:rsid w:val="00AB769B"/>
    <w:rsid w:val="00AB76D7"/>
    <w:rsid w:val="00AB772D"/>
    <w:rsid w:val="00AB787D"/>
    <w:rsid w:val="00AB7C71"/>
    <w:rsid w:val="00AB7F33"/>
    <w:rsid w:val="00AC00D4"/>
    <w:rsid w:val="00AC0242"/>
    <w:rsid w:val="00AC0356"/>
    <w:rsid w:val="00AC043D"/>
    <w:rsid w:val="00AC04B0"/>
    <w:rsid w:val="00AC0549"/>
    <w:rsid w:val="00AC06FC"/>
    <w:rsid w:val="00AC095C"/>
    <w:rsid w:val="00AC0A84"/>
    <w:rsid w:val="00AC0CA8"/>
    <w:rsid w:val="00AC102A"/>
    <w:rsid w:val="00AC106A"/>
    <w:rsid w:val="00AC107E"/>
    <w:rsid w:val="00AC1083"/>
    <w:rsid w:val="00AC11A5"/>
    <w:rsid w:val="00AC11E2"/>
    <w:rsid w:val="00AC143B"/>
    <w:rsid w:val="00AC1500"/>
    <w:rsid w:val="00AC16DB"/>
    <w:rsid w:val="00AC1726"/>
    <w:rsid w:val="00AC1741"/>
    <w:rsid w:val="00AC18E3"/>
    <w:rsid w:val="00AC1ABC"/>
    <w:rsid w:val="00AC1B9C"/>
    <w:rsid w:val="00AC1DF9"/>
    <w:rsid w:val="00AC1E2F"/>
    <w:rsid w:val="00AC1F57"/>
    <w:rsid w:val="00AC1F77"/>
    <w:rsid w:val="00AC2102"/>
    <w:rsid w:val="00AC2237"/>
    <w:rsid w:val="00AC24C6"/>
    <w:rsid w:val="00AC287A"/>
    <w:rsid w:val="00AC2A57"/>
    <w:rsid w:val="00AC2C84"/>
    <w:rsid w:val="00AC2FCB"/>
    <w:rsid w:val="00AC2FD8"/>
    <w:rsid w:val="00AC307F"/>
    <w:rsid w:val="00AC331E"/>
    <w:rsid w:val="00AC33E3"/>
    <w:rsid w:val="00AC3552"/>
    <w:rsid w:val="00AC367A"/>
    <w:rsid w:val="00AC372D"/>
    <w:rsid w:val="00AC3831"/>
    <w:rsid w:val="00AC3982"/>
    <w:rsid w:val="00AC39E0"/>
    <w:rsid w:val="00AC3B74"/>
    <w:rsid w:val="00AC3C16"/>
    <w:rsid w:val="00AC3E88"/>
    <w:rsid w:val="00AC3F1B"/>
    <w:rsid w:val="00AC3F8B"/>
    <w:rsid w:val="00AC4130"/>
    <w:rsid w:val="00AC4202"/>
    <w:rsid w:val="00AC45D7"/>
    <w:rsid w:val="00AC4632"/>
    <w:rsid w:val="00AC468E"/>
    <w:rsid w:val="00AC474B"/>
    <w:rsid w:val="00AC4971"/>
    <w:rsid w:val="00AC49EF"/>
    <w:rsid w:val="00AC4B6C"/>
    <w:rsid w:val="00AC4EF2"/>
    <w:rsid w:val="00AC5014"/>
    <w:rsid w:val="00AC5030"/>
    <w:rsid w:val="00AC523E"/>
    <w:rsid w:val="00AC524E"/>
    <w:rsid w:val="00AC5508"/>
    <w:rsid w:val="00AC552A"/>
    <w:rsid w:val="00AC55B4"/>
    <w:rsid w:val="00AC56B8"/>
    <w:rsid w:val="00AC57CA"/>
    <w:rsid w:val="00AC58B4"/>
    <w:rsid w:val="00AC59A8"/>
    <w:rsid w:val="00AC5ACE"/>
    <w:rsid w:val="00AC5B84"/>
    <w:rsid w:val="00AC5CE2"/>
    <w:rsid w:val="00AC5D20"/>
    <w:rsid w:val="00AC61EF"/>
    <w:rsid w:val="00AC63FD"/>
    <w:rsid w:val="00AC65EE"/>
    <w:rsid w:val="00AC669A"/>
    <w:rsid w:val="00AC670A"/>
    <w:rsid w:val="00AC6786"/>
    <w:rsid w:val="00AC6A00"/>
    <w:rsid w:val="00AC6BC1"/>
    <w:rsid w:val="00AC6BF4"/>
    <w:rsid w:val="00AC6C11"/>
    <w:rsid w:val="00AC6DB4"/>
    <w:rsid w:val="00AC6FB3"/>
    <w:rsid w:val="00AC73A2"/>
    <w:rsid w:val="00AC7ACD"/>
    <w:rsid w:val="00AC7CE5"/>
    <w:rsid w:val="00AC7D22"/>
    <w:rsid w:val="00AC7E1D"/>
    <w:rsid w:val="00AC9758"/>
    <w:rsid w:val="00AD028B"/>
    <w:rsid w:val="00AD02FF"/>
    <w:rsid w:val="00AD0317"/>
    <w:rsid w:val="00AD097D"/>
    <w:rsid w:val="00AD09CE"/>
    <w:rsid w:val="00AD0B91"/>
    <w:rsid w:val="00AD0C73"/>
    <w:rsid w:val="00AD0E19"/>
    <w:rsid w:val="00AD0E4B"/>
    <w:rsid w:val="00AD0F5E"/>
    <w:rsid w:val="00AD1016"/>
    <w:rsid w:val="00AD11B4"/>
    <w:rsid w:val="00AD11FA"/>
    <w:rsid w:val="00AD12E7"/>
    <w:rsid w:val="00AD137E"/>
    <w:rsid w:val="00AD13C3"/>
    <w:rsid w:val="00AD1502"/>
    <w:rsid w:val="00AD18B4"/>
    <w:rsid w:val="00AD1B63"/>
    <w:rsid w:val="00AD1D83"/>
    <w:rsid w:val="00AD1FB3"/>
    <w:rsid w:val="00AD208D"/>
    <w:rsid w:val="00AD2296"/>
    <w:rsid w:val="00AD2366"/>
    <w:rsid w:val="00AD25D4"/>
    <w:rsid w:val="00AD2621"/>
    <w:rsid w:val="00AD2690"/>
    <w:rsid w:val="00AD2780"/>
    <w:rsid w:val="00AD2790"/>
    <w:rsid w:val="00AD2823"/>
    <w:rsid w:val="00AD29AF"/>
    <w:rsid w:val="00AD29B8"/>
    <w:rsid w:val="00AD2A12"/>
    <w:rsid w:val="00AD2A6B"/>
    <w:rsid w:val="00AD2AEE"/>
    <w:rsid w:val="00AD2B20"/>
    <w:rsid w:val="00AD2B5E"/>
    <w:rsid w:val="00AD2BBE"/>
    <w:rsid w:val="00AD2C94"/>
    <w:rsid w:val="00AD2DF8"/>
    <w:rsid w:val="00AD2E6F"/>
    <w:rsid w:val="00AD315D"/>
    <w:rsid w:val="00AD325B"/>
    <w:rsid w:val="00AD3355"/>
    <w:rsid w:val="00AD3410"/>
    <w:rsid w:val="00AD34FE"/>
    <w:rsid w:val="00AD361D"/>
    <w:rsid w:val="00AD3736"/>
    <w:rsid w:val="00AD3863"/>
    <w:rsid w:val="00AD389B"/>
    <w:rsid w:val="00AD3A90"/>
    <w:rsid w:val="00AD3BD2"/>
    <w:rsid w:val="00AD3C48"/>
    <w:rsid w:val="00AD3E17"/>
    <w:rsid w:val="00AD3F0F"/>
    <w:rsid w:val="00AD43D2"/>
    <w:rsid w:val="00AD4571"/>
    <w:rsid w:val="00AD465D"/>
    <w:rsid w:val="00AD4678"/>
    <w:rsid w:val="00AD475B"/>
    <w:rsid w:val="00AD4848"/>
    <w:rsid w:val="00AD4955"/>
    <w:rsid w:val="00AD4D49"/>
    <w:rsid w:val="00AD4E29"/>
    <w:rsid w:val="00AD4F3F"/>
    <w:rsid w:val="00AD4FEE"/>
    <w:rsid w:val="00AD512D"/>
    <w:rsid w:val="00AD51BB"/>
    <w:rsid w:val="00AD52ED"/>
    <w:rsid w:val="00AD557A"/>
    <w:rsid w:val="00AD5F15"/>
    <w:rsid w:val="00AD604B"/>
    <w:rsid w:val="00AD606F"/>
    <w:rsid w:val="00AD6081"/>
    <w:rsid w:val="00AD62C9"/>
    <w:rsid w:val="00AD62DA"/>
    <w:rsid w:val="00AD630D"/>
    <w:rsid w:val="00AD635A"/>
    <w:rsid w:val="00AD6594"/>
    <w:rsid w:val="00AD6650"/>
    <w:rsid w:val="00AD67CC"/>
    <w:rsid w:val="00AD6814"/>
    <w:rsid w:val="00AD6AD5"/>
    <w:rsid w:val="00AD6C93"/>
    <w:rsid w:val="00AD6F71"/>
    <w:rsid w:val="00AD7036"/>
    <w:rsid w:val="00AD76E9"/>
    <w:rsid w:val="00AD7763"/>
    <w:rsid w:val="00AD77AB"/>
    <w:rsid w:val="00AD77C8"/>
    <w:rsid w:val="00AD784C"/>
    <w:rsid w:val="00AD7A33"/>
    <w:rsid w:val="00AD7A4B"/>
    <w:rsid w:val="00AD7A59"/>
    <w:rsid w:val="00AD7B0A"/>
    <w:rsid w:val="00AD7B7D"/>
    <w:rsid w:val="00AD7FA7"/>
    <w:rsid w:val="00AE0005"/>
    <w:rsid w:val="00AE0010"/>
    <w:rsid w:val="00AE016B"/>
    <w:rsid w:val="00AE0237"/>
    <w:rsid w:val="00AE02C7"/>
    <w:rsid w:val="00AE03E1"/>
    <w:rsid w:val="00AE03F5"/>
    <w:rsid w:val="00AE06E7"/>
    <w:rsid w:val="00AE0775"/>
    <w:rsid w:val="00AE0912"/>
    <w:rsid w:val="00AE09C6"/>
    <w:rsid w:val="00AE09D4"/>
    <w:rsid w:val="00AE0C39"/>
    <w:rsid w:val="00AE0CCD"/>
    <w:rsid w:val="00AE0D3A"/>
    <w:rsid w:val="00AE0D69"/>
    <w:rsid w:val="00AE0D80"/>
    <w:rsid w:val="00AE0F36"/>
    <w:rsid w:val="00AE0FC6"/>
    <w:rsid w:val="00AE10DD"/>
    <w:rsid w:val="00AE15F6"/>
    <w:rsid w:val="00AE1667"/>
    <w:rsid w:val="00AE16F0"/>
    <w:rsid w:val="00AE181A"/>
    <w:rsid w:val="00AE1923"/>
    <w:rsid w:val="00AE1B1B"/>
    <w:rsid w:val="00AE1B45"/>
    <w:rsid w:val="00AE1DE3"/>
    <w:rsid w:val="00AE2170"/>
    <w:rsid w:val="00AE21B8"/>
    <w:rsid w:val="00AE22A3"/>
    <w:rsid w:val="00AE22DC"/>
    <w:rsid w:val="00AE2366"/>
    <w:rsid w:val="00AE245B"/>
    <w:rsid w:val="00AE24F6"/>
    <w:rsid w:val="00AE2955"/>
    <w:rsid w:val="00AE29E3"/>
    <w:rsid w:val="00AE2C1F"/>
    <w:rsid w:val="00AE2DAF"/>
    <w:rsid w:val="00AE2FAF"/>
    <w:rsid w:val="00AE31C6"/>
    <w:rsid w:val="00AE32D6"/>
    <w:rsid w:val="00AE3841"/>
    <w:rsid w:val="00AE3886"/>
    <w:rsid w:val="00AE390B"/>
    <w:rsid w:val="00AE3ABF"/>
    <w:rsid w:val="00AE3D9E"/>
    <w:rsid w:val="00AE3DE3"/>
    <w:rsid w:val="00AE3E33"/>
    <w:rsid w:val="00AE3F81"/>
    <w:rsid w:val="00AE414C"/>
    <w:rsid w:val="00AE416C"/>
    <w:rsid w:val="00AE41B3"/>
    <w:rsid w:val="00AE41B8"/>
    <w:rsid w:val="00AE41CA"/>
    <w:rsid w:val="00AE458C"/>
    <w:rsid w:val="00AE4725"/>
    <w:rsid w:val="00AE47C6"/>
    <w:rsid w:val="00AE4844"/>
    <w:rsid w:val="00AE4A46"/>
    <w:rsid w:val="00AE4B7C"/>
    <w:rsid w:val="00AE4FF6"/>
    <w:rsid w:val="00AE5244"/>
    <w:rsid w:val="00AE52FF"/>
    <w:rsid w:val="00AE534A"/>
    <w:rsid w:val="00AE5467"/>
    <w:rsid w:val="00AE546E"/>
    <w:rsid w:val="00AE56C4"/>
    <w:rsid w:val="00AE5705"/>
    <w:rsid w:val="00AE5A0F"/>
    <w:rsid w:val="00AE5AC2"/>
    <w:rsid w:val="00AE63A9"/>
    <w:rsid w:val="00AE6803"/>
    <w:rsid w:val="00AE6940"/>
    <w:rsid w:val="00AE6B9B"/>
    <w:rsid w:val="00AE6C47"/>
    <w:rsid w:val="00AE6C55"/>
    <w:rsid w:val="00AE6FD5"/>
    <w:rsid w:val="00AE718D"/>
    <w:rsid w:val="00AE7191"/>
    <w:rsid w:val="00AE71EE"/>
    <w:rsid w:val="00AE7653"/>
    <w:rsid w:val="00AE7731"/>
    <w:rsid w:val="00AE7AB5"/>
    <w:rsid w:val="00AE7BCE"/>
    <w:rsid w:val="00AE7BE3"/>
    <w:rsid w:val="00AE7C54"/>
    <w:rsid w:val="00AE7D86"/>
    <w:rsid w:val="00AE7DA6"/>
    <w:rsid w:val="00AE7DF5"/>
    <w:rsid w:val="00AE7EB0"/>
    <w:rsid w:val="00AE7EB5"/>
    <w:rsid w:val="00AF0268"/>
    <w:rsid w:val="00AF02E2"/>
    <w:rsid w:val="00AF031A"/>
    <w:rsid w:val="00AF0368"/>
    <w:rsid w:val="00AF046C"/>
    <w:rsid w:val="00AF0509"/>
    <w:rsid w:val="00AF0581"/>
    <w:rsid w:val="00AF069D"/>
    <w:rsid w:val="00AF0A80"/>
    <w:rsid w:val="00AF0A86"/>
    <w:rsid w:val="00AF0C42"/>
    <w:rsid w:val="00AF0CA6"/>
    <w:rsid w:val="00AF0F15"/>
    <w:rsid w:val="00AF0F3E"/>
    <w:rsid w:val="00AF107C"/>
    <w:rsid w:val="00AF111C"/>
    <w:rsid w:val="00AF1252"/>
    <w:rsid w:val="00AF1464"/>
    <w:rsid w:val="00AF1566"/>
    <w:rsid w:val="00AF163E"/>
    <w:rsid w:val="00AF17AD"/>
    <w:rsid w:val="00AF1906"/>
    <w:rsid w:val="00AF1A44"/>
    <w:rsid w:val="00AF1BE0"/>
    <w:rsid w:val="00AF1F2C"/>
    <w:rsid w:val="00AF1FC7"/>
    <w:rsid w:val="00AF1FFA"/>
    <w:rsid w:val="00AF200F"/>
    <w:rsid w:val="00AF2023"/>
    <w:rsid w:val="00AF23B5"/>
    <w:rsid w:val="00AF285B"/>
    <w:rsid w:val="00AF28AC"/>
    <w:rsid w:val="00AF28EB"/>
    <w:rsid w:val="00AF298D"/>
    <w:rsid w:val="00AF29B1"/>
    <w:rsid w:val="00AF29CD"/>
    <w:rsid w:val="00AF2A95"/>
    <w:rsid w:val="00AF2D4D"/>
    <w:rsid w:val="00AF2F6D"/>
    <w:rsid w:val="00AF30BA"/>
    <w:rsid w:val="00AF3287"/>
    <w:rsid w:val="00AF3516"/>
    <w:rsid w:val="00AF37B8"/>
    <w:rsid w:val="00AF3A1E"/>
    <w:rsid w:val="00AF3C58"/>
    <w:rsid w:val="00AF3E16"/>
    <w:rsid w:val="00AF41BA"/>
    <w:rsid w:val="00AF427A"/>
    <w:rsid w:val="00AF42CD"/>
    <w:rsid w:val="00AF439C"/>
    <w:rsid w:val="00AF4B08"/>
    <w:rsid w:val="00AF4D60"/>
    <w:rsid w:val="00AF5001"/>
    <w:rsid w:val="00AF54EA"/>
    <w:rsid w:val="00AF5878"/>
    <w:rsid w:val="00AF58C8"/>
    <w:rsid w:val="00AF58E7"/>
    <w:rsid w:val="00AF5A00"/>
    <w:rsid w:val="00AF5A65"/>
    <w:rsid w:val="00AF5BD7"/>
    <w:rsid w:val="00AF5BF4"/>
    <w:rsid w:val="00AF5CB9"/>
    <w:rsid w:val="00AF603D"/>
    <w:rsid w:val="00AF614F"/>
    <w:rsid w:val="00AF61EF"/>
    <w:rsid w:val="00AF62F3"/>
    <w:rsid w:val="00AF636F"/>
    <w:rsid w:val="00AF65DB"/>
    <w:rsid w:val="00AF6877"/>
    <w:rsid w:val="00AF68CD"/>
    <w:rsid w:val="00AF69BD"/>
    <w:rsid w:val="00AF6C84"/>
    <w:rsid w:val="00AF6E14"/>
    <w:rsid w:val="00AF7011"/>
    <w:rsid w:val="00AF711E"/>
    <w:rsid w:val="00AF71DD"/>
    <w:rsid w:val="00AF7769"/>
    <w:rsid w:val="00AF7896"/>
    <w:rsid w:val="00AF7AA8"/>
    <w:rsid w:val="00AF7C21"/>
    <w:rsid w:val="00AF7E4E"/>
    <w:rsid w:val="00B00093"/>
    <w:rsid w:val="00B001E1"/>
    <w:rsid w:val="00B0037B"/>
    <w:rsid w:val="00B0042B"/>
    <w:rsid w:val="00B00468"/>
    <w:rsid w:val="00B00752"/>
    <w:rsid w:val="00B00841"/>
    <w:rsid w:val="00B00C0D"/>
    <w:rsid w:val="00B00D5F"/>
    <w:rsid w:val="00B00EFD"/>
    <w:rsid w:val="00B011EA"/>
    <w:rsid w:val="00B01430"/>
    <w:rsid w:val="00B01502"/>
    <w:rsid w:val="00B0164A"/>
    <w:rsid w:val="00B01886"/>
    <w:rsid w:val="00B01B59"/>
    <w:rsid w:val="00B01D2E"/>
    <w:rsid w:val="00B01E6F"/>
    <w:rsid w:val="00B01E95"/>
    <w:rsid w:val="00B01F43"/>
    <w:rsid w:val="00B01F70"/>
    <w:rsid w:val="00B02197"/>
    <w:rsid w:val="00B021A8"/>
    <w:rsid w:val="00B021DE"/>
    <w:rsid w:val="00B02334"/>
    <w:rsid w:val="00B023F6"/>
    <w:rsid w:val="00B02680"/>
    <w:rsid w:val="00B02733"/>
    <w:rsid w:val="00B027CE"/>
    <w:rsid w:val="00B02925"/>
    <w:rsid w:val="00B02A8A"/>
    <w:rsid w:val="00B02A96"/>
    <w:rsid w:val="00B02B38"/>
    <w:rsid w:val="00B02E29"/>
    <w:rsid w:val="00B02F21"/>
    <w:rsid w:val="00B02F8C"/>
    <w:rsid w:val="00B03062"/>
    <w:rsid w:val="00B03457"/>
    <w:rsid w:val="00B03507"/>
    <w:rsid w:val="00B03725"/>
    <w:rsid w:val="00B03B1E"/>
    <w:rsid w:val="00B03B7D"/>
    <w:rsid w:val="00B03BAA"/>
    <w:rsid w:val="00B03BAC"/>
    <w:rsid w:val="00B03DA4"/>
    <w:rsid w:val="00B03FF3"/>
    <w:rsid w:val="00B04006"/>
    <w:rsid w:val="00B0423B"/>
    <w:rsid w:val="00B045E5"/>
    <w:rsid w:val="00B0475A"/>
    <w:rsid w:val="00B0476B"/>
    <w:rsid w:val="00B04998"/>
    <w:rsid w:val="00B04B41"/>
    <w:rsid w:val="00B04D01"/>
    <w:rsid w:val="00B04D6E"/>
    <w:rsid w:val="00B04F6C"/>
    <w:rsid w:val="00B0530E"/>
    <w:rsid w:val="00B0550C"/>
    <w:rsid w:val="00B0581F"/>
    <w:rsid w:val="00B05AA0"/>
    <w:rsid w:val="00B05CBE"/>
    <w:rsid w:val="00B05E0B"/>
    <w:rsid w:val="00B05E19"/>
    <w:rsid w:val="00B05F25"/>
    <w:rsid w:val="00B05F3A"/>
    <w:rsid w:val="00B05FBD"/>
    <w:rsid w:val="00B063AF"/>
    <w:rsid w:val="00B063C1"/>
    <w:rsid w:val="00B065B2"/>
    <w:rsid w:val="00B06671"/>
    <w:rsid w:val="00B06676"/>
    <w:rsid w:val="00B06692"/>
    <w:rsid w:val="00B066F8"/>
    <w:rsid w:val="00B06AE2"/>
    <w:rsid w:val="00B06DE9"/>
    <w:rsid w:val="00B06DFF"/>
    <w:rsid w:val="00B06FD1"/>
    <w:rsid w:val="00B071A9"/>
    <w:rsid w:val="00B073C0"/>
    <w:rsid w:val="00B07480"/>
    <w:rsid w:val="00B07606"/>
    <w:rsid w:val="00B078F7"/>
    <w:rsid w:val="00B07B83"/>
    <w:rsid w:val="00B07BEE"/>
    <w:rsid w:val="00B07C9D"/>
    <w:rsid w:val="00B07D56"/>
    <w:rsid w:val="00B07DAD"/>
    <w:rsid w:val="00B07E29"/>
    <w:rsid w:val="00B07F18"/>
    <w:rsid w:val="00B07FC0"/>
    <w:rsid w:val="00B1008B"/>
    <w:rsid w:val="00B100F2"/>
    <w:rsid w:val="00B10148"/>
    <w:rsid w:val="00B103EC"/>
    <w:rsid w:val="00B1043D"/>
    <w:rsid w:val="00B10529"/>
    <w:rsid w:val="00B1056E"/>
    <w:rsid w:val="00B105DA"/>
    <w:rsid w:val="00B10753"/>
    <w:rsid w:val="00B1075C"/>
    <w:rsid w:val="00B108A3"/>
    <w:rsid w:val="00B108C7"/>
    <w:rsid w:val="00B1091E"/>
    <w:rsid w:val="00B10A94"/>
    <w:rsid w:val="00B10FCF"/>
    <w:rsid w:val="00B110AE"/>
    <w:rsid w:val="00B1150A"/>
    <w:rsid w:val="00B11702"/>
    <w:rsid w:val="00B118D5"/>
    <w:rsid w:val="00B1191D"/>
    <w:rsid w:val="00B11A07"/>
    <w:rsid w:val="00B11B29"/>
    <w:rsid w:val="00B11CA7"/>
    <w:rsid w:val="00B11E51"/>
    <w:rsid w:val="00B1209E"/>
    <w:rsid w:val="00B1223D"/>
    <w:rsid w:val="00B12612"/>
    <w:rsid w:val="00B126CF"/>
    <w:rsid w:val="00B128C5"/>
    <w:rsid w:val="00B129C9"/>
    <w:rsid w:val="00B12A95"/>
    <w:rsid w:val="00B12D02"/>
    <w:rsid w:val="00B13027"/>
    <w:rsid w:val="00B130AA"/>
    <w:rsid w:val="00B13134"/>
    <w:rsid w:val="00B13140"/>
    <w:rsid w:val="00B1340B"/>
    <w:rsid w:val="00B13431"/>
    <w:rsid w:val="00B13583"/>
    <w:rsid w:val="00B13623"/>
    <w:rsid w:val="00B13853"/>
    <w:rsid w:val="00B13A0B"/>
    <w:rsid w:val="00B13AD8"/>
    <w:rsid w:val="00B14192"/>
    <w:rsid w:val="00B14615"/>
    <w:rsid w:val="00B147F4"/>
    <w:rsid w:val="00B148BB"/>
    <w:rsid w:val="00B14ADF"/>
    <w:rsid w:val="00B14D6C"/>
    <w:rsid w:val="00B14F0C"/>
    <w:rsid w:val="00B14F5C"/>
    <w:rsid w:val="00B14FBF"/>
    <w:rsid w:val="00B14FE5"/>
    <w:rsid w:val="00B15192"/>
    <w:rsid w:val="00B154D3"/>
    <w:rsid w:val="00B1551F"/>
    <w:rsid w:val="00B155DB"/>
    <w:rsid w:val="00B15687"/>
    <w:rsid w:val="00B156A9"/>
    <w:rsid w:val="00B158D6"/>
    <w:rsid w:val="00B15A9F"/>
    <w:rsid w:val="00B15B62"/>
    <w:rsid w:val="00B15CB5"/>
    <w:rsid w:val="00B15FD5"/>
    <w:rsid w:val="00B16174"/>
    <w:rsid w:val="00B162F5"/>
    <w:rsid w:val="00B1630A"/>
    <w:rsid w:val="00B163EC"/>
    <w:rsid w:val="00B16772"/>
    <w:rsid w:val="00B16A64"/>
    <w:rsid w:val="00B16A78"/>
    <w:rsid w:val="00B16C05"/>
    <w:rsid w:val="00B16D3B"/>
    <w:rsid w:val="00B16EC8"/>
    <w:rsid w:val="00B16FBB"/>
    <w:rsid w:val="00B171B4"/>
    <w:rsid w:val="00B17234"/>
    <w:rsid w:val="00B17290"/>
    <w:rsid w:val="00B1732B"/>
    <w:rsid w:val="00B1745D"/>
    <w:rsid w:val="00B17AFD"/>
    <w:rsid w:val="00B17E0C"/>
    <w:rsid w:val="00B17EF2"/>
    <w:rsid w:val="00B20092"/>
    <w:rsid w:val="00B200A9"/>
    <w:rsid w:val="00B20134"/>
    <w:rsid w:val="00B20285"/>
    <w:rsid w:val="00B20492"/>
    <w:rsid w:val="00B20A3D"/>
    <w:rsid w:val="00B20AD8"/>
    <w:rsid w:val="00B20D39"/>
    <w:rsid w:val="00B20E22"/>
    <w:rsid w:val="00B20FE6"/>
    <w:rsid w:val="00B2115F"/>
    <w:rsid w:val="00B21639"/>
    <w:rsid w:val="00B216A1"/>
    <w:rsid w:val="00B21AA9"/>
    <w:rsid w:val="00B21ABE"/>
    <w:rsid w:val="00B21B7C"/>
    <w:rsid w:val="00B21D45"/>
    <w:rsid w:val="00B21FA2"/>
    <w:rsid w:val="00B220DB"/>
    <w:rsid w:val="00B22186"/>
    <w:rsid w:val="00B22367"/>
    <w:rsid w:val="00B2271C"/>
    <w:rsid w:val="00B22855"/>
    <w:rsid w:val="00B22A53"/>
    <w:rsid w:val="00B22B21"/>
    <w:rsid w:val="00B22E25"/>
    <w:rsid w:val="00B22F2D"/>
    <w:rsid w:val="00B230E2"/>
    <w:rsid w:val="00B231AA"/>
    <w:rsid w:val="00B2349F"/>
    <w:rsid w:val="00B235AF"/>
    <w:rsid w:val="00B23823"/>
    <w:rsid w:val="00B23894"/>
    <w:rsid w:val="00B23952"/>
    <w:rsid w:val="00B23A90"/>
    <w:rsid w:val="00B23CA6"/>
    <w:rsid w:val="00B23D02"/>
    <w:rsid w:val="00B23F58"/>
    <w:rsid w:val="00B24297"/>
    <w:rsid w:val="00B2442A"/>
    <w:rsid w:val="00B24432"/>
    <w:rsid w:val="00B24776"/>
    <w:rsid w:val="00B24872"/>
    <w:rsid w:val="00B248C1"/>
    <w:rsid w:val="00B24BDD"/>
    <w:rsid w:val="00B24E2C"/>
    <w:rsid w:val="00B25215"/>
    <w:rsid w:val="00B253F6"/>
    <w:rsid w:val="00B25544"/>
    <w:rsid w:val="00B25642"/>
    <w:rsid w:val="00B258E5"/>
    <w:rsid w:val="00B25AE3"/>
    <w:rsid w:val="00B25B40"/>
    <w:rsid w:val="00B25B82"/>
    <w:rsid w:val="00B25C47"/>
    <w:rsid w:val="00B25C4E"/>
    <w:rsid w:val="00B25F44"/>
    <w:rsid w:val="00B25F5E"/>
    <w:rsid w:val="00B26010"/>
    <w:rsid w:val="00B2607D"/>
    <w:rsid w:val="00B26153"/>
    <w:rsid w:val="00B2626D"/>
    <w:rsid w:val="00B262C5"/>
    <w:rsid w:val="00B2634C"/>
    <w:rsid w:val="00B264CD"/>
    <w:rsid w:val="00B26656"/>
    <w:rsid w:val="00B267C0"/>
    <w:rsid w:val="00B267D5"/>
    <w:rsid w:val="00B26B31"/>
    <w:rsid w:val="00B26C51"/>
    <w:rsid w:val="00B26D9E"/>
    <w:rsid w:val="00B27047"/>
    <w:rsid w:val="00B270A5"/>
    <w:rsid w:val="00B2719E"/>
    <w:rsid w:val="00B27329"/>
    <w:rsid w:val="00B27342"/>
    <w:rsid w:val="00B274B3"/>
    <w:rsid w:val="00B274E9"/>
    <w:rsid w:val="00B2757D"/>
    <w:rsid w:val="00B276F9"/>
    <w:rsid w:val="00B27832"/>
    <w:rsid w:val="00B278C4"/>
    <w:rsid w:val="00B27B20"/>
    <w:rsid w:val="00B27FAC"/>
    <w:rsid w:val="00B2B97B"/>
    <w:rsid w:val="00B3044E"/>
    <w:rsid w:val="00B30482"/>
    <w:rsid w:val="00B306C3"/>
    <w:rsid w:val="00B309DB"/>
    <w:rsid w:val="00B30A96"/>
    <w:rsid w:val="00B30BF9"/>
    <w:rsid w:val="00B30CBD"/>
    <w:rsid w:val="00B30E32"/>
    <w:rsid w:val="00B30EA7"/>
    <w:rsid w:val="00B30EBF"/>
    <w:rsid w:val="00B30F76"/>
    <w:rsid w:val="00B31019"/>
    <w:rsid w:val="00B31057"/>
    <w:rsid w:val="00B3138E"/>
    <w:rsid w:val="00B3142B"/>
    <w:rsid w:val="00B31502"/>
    <w:rsid w:val="00B3151A"/>
    <w:rsid w:val="00B31713"/>
    <w:rsid w:val="00B319DC"/>
    <w:rsid w:val="00B31A45"/>
    <w:rsid w:val="00B31A88"/>
    <w:rsid w:val="00B31BC3"/>
    <w:rsid w:val="00B31C71"/>
    <w:rsid w:val="00B31DEF"/>
    <w:rsid w:val="00B3211A"/>
    <w:rsid w:val="00B32232"/>
    <w:rsid w:val="00B32304"/>
    <w:rsid w:val="00B325FF"/>
    <w:rsid w:val="00B3260D"/>
    <w:rsid w:val="00B32636"/>
    <w:rsid w:val="00B3271D"/>
    <w:rsid w:val="00B32755"/>
    <w:rsid w:val="00B32B4E"/>
    <w:rsid w:val="00B32B61"/>
    <w:rsid w:val="00B32D0C"/>
    <w:rsid w:val="00B32D95"/>
    <w:rsid w:val="00B32F72"/>
    <w:rsid w:val="00B33072"/>
    <w:rsid w:val="00B330CE"/>
    <w:rsid w:val="00B33200"/>
    <w:rsid w:val="00B335F3"/>
    <w:rsid w:val="00B33775"/>
    <w:rsid w:val="00B339A0"/>
    <w:rsid w:val="00B33A3C"/>
    <w:rsid w:val="00B33B51"/>
    <w:rsid w:val="00B33E15"/>
    <w:rsid w:val="00B340D8"/>
    <w:rsid w:val="00B3415F"/>
    <w:rsid w:val="00B34239"/>
    <w:rsid w:val="00B3451E"/>
    <w:rsid w:val="00B346CA"/>
    <w:rsid w:val="00B34773"/>
    <w:rsid w:val="00B34911"/>
    <w:rsid w:val="00B349BB"/>
    <w:rsid w:val="00B349EF"/>
    <w:rsid w:val="00B34A64"/>
    <w:rsid w:val="00B34C78"/>
    <w:rsid w:val="00B34D80"/>
    <w:rsid w:val="00B34EB5"/>
    <w:rsid w:val="00B34FF8"/>
    <w:rsid w:val="00B35426"/>
    <w:rsid w:val="00B35612"/>
    <w:rsid w:val="00B3570E"/>
    <w:rsid w:val="00B3583F"/>
    <w:rsid w:val="00B358FB"/>
    <w:rsid w:val="00B35999"/>
    <w:rsid w:val="00B35A84"/>
    <w:rsid w:val="00B361B2"/>
    <w:rsid w:val="00B363C2"/>
    <w:rsid w:val="00B363E4"/>
    <w:rsid w:val="00B36507"/>
    <w:rsid w:val="00B3663B"/>
    <w:rsid w:val="00B367D4"/>
    <w:rsid w:val="00B368A3"/>
    <w:rsid w:val="00B36A25"/>
    <w:rsid w:val="00B36A5D"/>
    <w:rsid w:val="00B36A86"/>
    <w:rsid w:val="00B36BBE"/>
    <w:rsid w:val="00B36C4D"/>
    <w:rsid w:val="00B36C8C"/>
    <w:rsid w:val="00B36D62"/>
    <w:rsid w:val="00B36ED0"/>
    <w:rsid w:val="00B371DD"/>
    <w:rsid w:val="00B37525"/>
    <w:rsid w:val="00B3761E"/>
    <w:rsid w:val="00B3768B"/>
    <w:rsid w:val="00B3783D"/>
    <w:rsid w:val="00B37CFC"/>
    <w:rsid w:val="00B37FD5"/>
    <w:rsid w:val="00B400DF"/>
    <w:rsid w:val="00B40109"/>
    <w:rsid w:val="00B401C5"/>
    <w:rsid w:val="00B40263"/>
    <w:rsid w:val="00B402A2"/>
    <w:rsid w:val="00B40365"/>
    <w:rsid w:val="00B40468"/>
    <w:rsid w:val="00B404F7"/>
    <w:rsid w:val="00B406C5"/>
    <w:rsid w:val="00B40A96"/>
    <w:rsid w:val="00B40D1F"/>
    <w:rsid w:val="00B40DA9"/>
    <w:rsid w:val="00B40DDF"/>
    <w:rsid w:val="00B411B1"/>
    <w:rsid w:val="00B41252"/>
    <w:rsid w:val="00B41298"/>
    <w:rsid w:val="00B414BC"/>
    <w:rsid w:val="00B41554"/>
    <w:rsid w:val="00B41894"/>
    <w:rsid w:val="00B41920"/>
    <w:rsid w:val="00B419D8"/>
    <w:rsid w:val="00B41B08"/>
    <w:rsid w:val="00B41C6A"/>
    <w:rsid w:val="00B41D36"/>
    <w:rsid w:val="00B41DC2"/>
    <w:rsid w:val="00B42129"/>
    <w:rsid w:val="00B421F1"/>
    <w:rsid w:val="00B42264"/>
    <w:rsid w:val="00B4226A"/>
    <w:rsid w:val="00B42290"/>
    <w:rsid w:val="00B424A7"/>
    <w:rsid w:val="00B426B0"/>
    <w:rsid w:val="00B42774"/>
    <w:rsid w:val="00B42A57"/>
    <w:rsid w:val="00B42B44"/>
    <w:rsid w:val="00B42D1B"/>
    <w:rsid w:val="00B42EA7"/>
    <w:rsid w:val="00B42F98"/>
    <w:rsid w:val="00B43330"/>
    <w:rsid w:val="00B438AB"/>
    <w:rsid w:val="00B43A2A"/>
    <w:rsid w:val="00B43A32"/>
    <w:rsid w:val="00B43B13"/>
    <w:rsid w:val="00B43D51"/>
    <w:rsid w:val="00B43DD0"/>
    <w:rsid w:val="00B43E15"/>
    <w:rsid w:val="00B441B6"/>
    <w:rsid w:val="00B441C4"/>
    <w:rsid w:val="00B442E0"/>
    <w:rsid w:val="00B44401"/>
    <w:rsid w:val="00B44745"/>
    <w:rsid w:val="00B448EA"/>
    <w:rsid w:val="00B44915"/>
    <w:rsid w:val="00B44A0C"/>
    <w:rsid w:val="00B44DBC"/>
    <w:rsid w:val="00B44F0F"/>
    <w:rsid w:val="00B45343"/>
    <w:rsid w:val="00B45644"/>
    <w:rsid w:val="00B456DA"/>
    <w:rsid w:val="00B4591F"/>
    <w:rsid w:val="00B45A33"/>
    <w:rsid w:val="00B45A4D"/>
    <w:rsid w:val="00B45A89"/>
    <w:rsid w:val="00B45B17"/>
    <w:rsid w:val="00B45C65"/>
    <w:rsid w:val="00B45D28"/>
    <w:rsid w:val="00B45F57"/>
    <w:rsid w:val="00B46123"/>
    <w:rsid w:val="00B464DD"/>
    <w:rsid w:val="00B4650F"/>
    <w:rsid w:val="00B46686"/>
    <w:rsid w:val="00B46798"/>
    <w:rsid w:val="00B4697C"/>
    <w:rsid w:val="00B46A1E"/>
    <w:rsid w:val="00B46CD3"/>
    <w:rsid w:val="00B46D8A"/>
    <w:rsid w:val="00B46EBE"/>
    <w:rsid w:val="00B4706B"/>
    <w:rsid w:val="00B4712F"/>
    <w:rsid w:val="00B4717F"/>
    <w:rsid w:val="00B473A1"/>
    <w:rsid w:val="00B475F1"/>
    <w:rsid w:val="00B476A3"/>
    <w:rsid w:val="00B47A2A"/>
    <w:rsid w:val="00B47A6C"/>
    <w:rsid w:val="00B47AB7"/>
    <w:rsid w:val="00B47D3F"/>
    <w:rsid w:val="00B47E46"/>
    <w:rsid w:val="00B47F26"/>
    <w:rsid w:val="00B47F4F"/>
    <w:rsid w:val="00B500AD"/>
    <w:rsid w:val="00B5019D"/>
    <w:rsid w:val="00B50457"/>
    <w:rsid w:val="00B505CD"/>
    <w:rsid w:val="00B50AD3"/>
    <w:rsid w:val="00B50CE8"/>
    <w:rsid w:val="00B50DEB"/>
    <w:rsid w:val="00B50EB0"/>
    <w:rsid w:val="00B50F37"/>
    <w:rsid w:val="00B50F79"/>
    <w:rsid w:val="00B50FC4"/>
    <w:rsid w:val="00B50FD5"/>
    <w:rsid w:val="00B51068"/>
    <w:rsid w:val="00B51209"/>
    <w:rsid w:val="00B513A7"/>
    <w:rsid w:val="00B513B4"/>
    <w:rsid w:val="00B51674"/>
    <w:rsid w:val="00B51964"/>
    <w:rsid w:val="00B51B19"/>
    <w:rsid w:val="00B51CAD"/>
    <w:rsid w:val="00B52143"/>
    <w:rsid w:val="00B521FE"/>
    <w:rsid w:val="00B52392"/>
    <w:rsid w:val="00B52631"/>
    <w:rsid w:val="00B5279D"/>
    <w:rsid w:val="00B52AB9"/>
    <w:rsid w:val="00B52BF1"/>
    <w:rsid w:val="00B5315A"/>
    <w:rsid w:val="00B53598"/>
    <w:rsid w:val="00B536C8"/>
    <w:rsid w:val="00B536D4"/>
    <w:rsid w:val="00B53753"/>
    <w:rsid w:val="00B5402E"/>
    <w:rsid w:val="00B54221"/>
    <w:rsid w:val="00B54390"/>
    <w:rsid w:val="00B543D5"/>
    <w:rsid w:val="00B546F1"/>
    <w:rsid w:val="00B54A62"/>
    <w:rsid w:val="00B54A9C"/>
    <w:rsid w:val="00B54B80"/>
    <w:rsid w:val="00B54B9F"/>
    <w:rsid w:val="00B54D38"/>
    <w:rsid w:val="00B54D40"/>
    <w:rsid w:val="00B54D70"/>
    <w:rsid w:val="00B54EFC"/>
    <w:rsid w:val="00B54FDD"/>
    <w:rsid w:val="00B55481"/>
    <w:rsid w:val="00B55793"/>
    <w:rsid w:val="00B558E0"/>
    <w:rsid w:val="00B55B1D"/>
    <w:rsid w:val="00B561E5"/>
    <w:rsid w:val="00B56223"/>
    <w:rsid w:val="00B567FB"/>
    <w:rsid w:val="00B56857"/>
    <w:rsid w:val="00B56AD2"/>
    <w:rsid w:val="00B56D97"/>
    <w:rsid w:val="00B56FA0"/>
    <w:rsid w:val="00B5705F"/>
    <w:rsid w:val="00B572AE"/>
    <w:rsid w:val="00B5741D"/>
    <w:rsid w:val="00B57512"/>
    <w:rsid w:val="00B57586"/>
    <w:rsid w:val="00B575F9"/>
    <w:rsid w:val="00B57841"/>
    <w:rsid w:val="00B5788C"/>
    <w:rsid w:val="00B578B7"/>
    <w:rsid w:val="00B57A74"/>
    <w:rsid w:val="00B57C45"/>
    <w:rsid w:val="00B601D8"/>
    <w:rsid w:val="00B6025D"/>
    <w:rsid w:val="00B602ED"/>
    <w:rsid w:val="00B604A5"/>
    <w:rsid w:val="00B60614"/>
    <w:rsid w:val="00B608EA"/>
    <w:rsid w:val="00B60B85"/>
    <w:rsid w:val="00B60C14"/>
    <w:rsid w:val="00B60E3D"/>
    <w:rsid w:val="00B6110D"/>
    <w:rsid w:val="00B611D0"/>
    <w:rsid w:val="00B61374"/>
    <w:rsid w:val="00B616DA"/>
    <w:rsid w:val="00B61834"/>
    <w:rsid w:val="00B61911"/>
    <w:rsid w:val="00B6194D"/>
    <w:rsid w:val="00B619B8"/>
    <w:rsid w:val="00B61A10"/>
    <w:rsid w:val="00B61D16"/>
    <w:rsid w:val="00B621BB"/>
    <w:rsid w:val="00B6221C"/>
    <w:rsid w:val="00B62542"/>
    <w:rsid w:val="00B62726"/>
    <w:rsid w:val="00B62866"/>
    <w:rsid w:val="00B628DB"/>
    <w:rsid w:val="00B6292B"/>
    <w:rsid w:val="00B6298C"/>
    <w:rsid w:val="00B62A61"/>
    <w:rsid w:val="00B62D04"/>
    <w:rsid w:val="00B62D32"/>
    <w:rsid w:val="00B62D73"/>
    <w:rsid w:val="00B62E4E"/>
    <w:rsid w:val="00B63170"/>
    <w:rsid w:val="00B63337"/>
    <w:rsid w:val="00B63427"/>
    <w:rsid w:val="00B63734"/>
    <w:rsid w:val="00B63A14"/>
    <w:rsid w:val="00B63C35"/>
    <w:rsid w:val="00B63C88"/>
    <w:rsid w:val="00B63D22"/>
    <w:rsid w:val="00B63E5C"/>
    <w:rsid w:val="00B643AC"/>
    <w:rsid w:val="00B6441E"/>
    <w:rsid w:val="00B64608"/>
    <w:rsid w:val="00B64A11"/>
    <w:rsid w:val="00B64B4A"/>
    <w:rsid w:val="00B64D80"/>
    <w:rsid w:val="00B65327"/>
    <w:rsid w:val="00B65AA8"/>
    <w:rsid w:val="00B65AEA"/>
    <w:rsid w:val="00B65B89"/>
    <w:rsid w:val="00B65E6C"/>
    <w:rsid w:val="00B667AC"/>
    <w:rsid w:val="00B6680E"/>
    <w:rsid w:val="00B66924"/>
    <w:rsid w:val="00B66CD5"/>
    <w:rsid w:val="00B66FD6"/>
    <w:rsid w:val="00B6718B"/>
    <w:rsid w:val="00B67246"/>
    <w:rsid w:val="00B67675"/>
    <w:rsid w:val="00B67749"/>
    <w:rsid w:val="00B6784C"/>
    <w:rsid w:val="00B67876"/>
    <w:rsid w:val="00B67B97"/>
    <w:rsid w:val="00B67C1A"/>
    <w:rsid w:val="00B67EBD"/>
    <w:rsid w:val="00B67FFB"/>
    <w:rsid w:val="00B70067"/>
    <w:rsid w:val="00B7006E"/>
    <w:rsid w:val="00B700C5"/>
    <w:rsid w:val="00B700DD"/>
    <w:rsid w:val="00B701CC"/>
    <w:rsid w:val="00B7054B"/>
    <w:rsid w:val="00B705C0"/>
    <w:rsid w:val="00B707DA"/>
    <w:rsid w:val="00B70965"/>
    <w:rsid w:val="00B70A86"/>
    <w:rsid w:val="00B710DD"/>
    <w:rsid w:val="00B711C5"/>
    <w:rsid w:val="00B713EA"/>
    <w:rsid w:val="00B71543"/>
    <w:rsid w:val="00B71645"/>
    <w:rsid w:val="00B71A62"/>
    <w:rsid w:val="00B71AF9"/>
    <w:rsid w:val="00B71C88"/>
    <w:rsid w:val="00B71D42"/>
    <w:rsid w:val="00B71D55"/>
    <w:rsid w:val="00B71DCF"/>
    <w:rsid w:val="00B72032"/>
    <w:rsid w:val="00B720E3"/>
    <w:rsid w:val="00B721E4"/>
    <w:rsid w:val="00B72508"/>
    <w:rsid w:val="00B72954"/>
    <w:rsid w:val="00B72DA6"/>
    <w:rsid w:val="00B73090"/>
    <w:rsid w:val="00B734A3"/>
    <w:rsid w:val="00B739B4"/>
    <w:rsid w:val="00B73AB7"/>
    <w:rsid w:val="00B73DD1"/>
    <w:rsid w:val="00B74070"/>
    <w:rsid w:val="00B74143"/>
    <w:rsid w:val="00B74177"/>
    <w:rsid w:val="00B7424A"/>
    <w:rsid w:val="00B74344"/>
    <w:rsid w:val="00B744BF"/>
    <w:rsid w:val="00B744C6"/>
    <w:rsid w:val="00B746F5"/>
    <w:rsid w:val="00B74B5E"/>
    <w:rsid w:val="00B74C75"/>
    <w:rsid w:val="00B74CBB"/>
    <w:rsid w:val="00B74CE2"/>
    <w:rsid w:val="00B74ECF"/>
    <w:rsid w:val="00B750AF"/>
    <w:rsid w:val="00B752E7"/>
    <w:rsid w:val="00B75378"/>
    <w:rsid w:val="00B753FE"/>
    <w:rsid w:val="00B75460"/>
    <w:rsid w:val="00B75610"/>
    <w:rsid w:val="00B756BD"/>
    <w:rsid w:val="00B75734"/>
    <w:rsid w:val="00B75888"/>
    <w:rsid w:val="00B758F2"/>
    <w:rsid w:val="00B75901"/>
    <w:rsid w:val="00B7596C"/>
    <w:rsid w:val="00B75984"/>
    <w:rsid w:val="00B75BF3"/>
    <w:rsid w:val="00B75DB6"/>
    <w:rsid w:val="00B75FD7"/>
    <w:rsid w:val="00B7600E"/>
    <w:rsid w:val="00B76370"/>
    <w:rsid w:val="00B763CD"/>
    <w:rsid w:val="00B76642"/>
    <w:rsid w:val="00B76762"/>
    <w:rsid w:val="00B76A22"/>
    <w:rsid w:val="00B76AFC"/>
    <w:rsid w:val="00B76BA8"/>
    <w:rsid w:val="00B76D50"/>
    <w:rsid w:val="00B77043"/>
    <w:rsid w:val="00B77118"/>
    <w:rsid w:val="00B77158"/>
    <w:rsid w:val="00B772C2"/>
    <w:rsid w:val="00B77340"/>
    <w:rsid w:val="00B773C2"/>
    <w:rsid w:val="00B77484"/>
    <w:rsid w:val="00B77841"/>
    <w:rsid w:val="00B77CF9"/>
    <w:rsid w:val="00B77D7A"/>
    <w:rsid w:val="00B77DE8"/>
    <w:rsid w:val="00B77F54"/>
    <w:rsid w:val="00B7F64A"/>
    <w:rsid w:val="00B80060"/>
    <w:rsid w:val="00B803A7"/>
    <w:rsid w:val="00B806C3"/>
    <w:rsid w:val="00B8090B"/>
    <w:rsid w:val="00B80A37"/>
    <w:rsid w:val="00B80AC2"/>
    <w:rsid w:val="00B80B58"/>
    <w:rsid w:val="00B80D00"/>
    <w:rsid w:val="00B80EE2"/>
    <w:rsid w:val="00B80F41"/>
    <w:rsid w:val="00B81042"/>
    <w:rsid w:val="00B810B4"/>
    <w:rsid w:val="00B81120"/>
    <w:rsid w:val="00B81136"/>
    <w:rsid w:val="00B8125C"/>
    <w:rsid w:val="00B81277"/>
    <w:rsid w:val="00B81372"/>
    <w:rsid w:val="00B8141A"/>
    <w:rsid w:val="00B815B1"/>
    <w:rsid w:val="00B816D3"/>
    <w:rsid w:val="00B8178F"/>
    <w:rsid w:val="00B81873"/>
    <w:rsid w:val="00B81A93"/>
    <w:rsid w:val="00B81ADA"/>
    <w:rsid w:val="00B81D57"/>
    <w:rsid w:val="00B81F8C"/>
    <w:rsid w:val="00B823EC"/>
    <w:rsid w:val="00B8247F"/>
    <w:rsid w:val="00B824BA"/>
    <w:rsid w:val="00B824D6"/>
    <w:rsid w:val="00B825D6"/>
    <w:rsid w:val="00B8272A"/>
    <w:rsid w:val="00B82773"/>
    <w:rsid w:val="00B82936"/>
    <w:rsid w:val="00B82C75"/>
    <w:rsid w:val="00B82CE0"/>
    <w:rsid w:val="00B82F73"/>
    <w:rsid w:val="00B82FF2"/>
    <w:rsid w:val="00B8342D"/>
    <w:rsid w:val="00B83595"/>
    <w:rsid w:val="00B836E7"/>
    <w:rsid w:val="00B83858"/>
    <w:rsid w:val="00B83A4D"/>
    <w:rsid w:val="00B83A53"/>
    <w:rsid w:val="00B83AD0"/>
    <w:rsid w:val="00B83B21"/>
    <w:rsid w:val="00B83DF9"/>
    <w:rsid w:val="00B83F6F"/>
    <w:rsid w:val="00B84054"/>
    <w:rsid w:val="00B84174"/>
    <w:rsid w:val="00B8418E"/>
    <w:rsid w:val="00B843EC"/>
    <w:rsid w:val="00B8447E"/>
    <w:rsid w:val="00B84550"/>
    <w:rsid w:val="00B8461B"/>
    <w:rsid w:val="00B8482B"/>
    <w:rsid w:val="00B8488C"/>
    <w:rsid w:val="00B84CF6"/>
    <w:rsid w:val="00B84D4E"/>
    <w:rsid w:val="00B850C1"/>
    <w:rsid w:val="00B851DA"/>
    <w:rsid w:val="00B8545D"/>
    <w:rsid w:val="00B85897"/>
    <w:rsid w:val="00B858FD"/>
    <w:rsid w:val="00B858FE"/>
    <w:rsid w:val="00B85942"/>
    <w:rsid w:val="00B859DA"/>
    <w:rsid w:val="00B85C7A"/>
    <w:rsid w:val="00B85C90"/>
    <w:rsid w:val="00B85DEC"/>
    <w:rsid w:val="00B85E81"/>
    <w:rsid w:val="00B85EEF"/>
    <w:rsid w:val="00B8600B"/>
    <w:rsid w:val="00B862E2"/>
    <w:rsid w:val="00B8670B"/>
    <w:rsid w:val="00B8684C"/>
    <w:rsid w:val="00B86A62"/>
    <w:rsid w:val="00B86B09"/>
    <w:rsid w:val="00B86BA5"/>
    <w:rsid w:val="00B86C1B"/>
    <w:rsid w:val="00B86C56"/>
    <w:rsid w:val="00B86D9C"/>
    <w:rsid w:val="00B86DC6"/>
    <w:rsid w:val="00B871B9"/>
    <w:rsid w:val="00B87206"/>
    <w:rsid w:val="00B874E2"/>
    <w:rsid w:val="00B87635"/>
    <w:rsid w:val="00B87D10"/>
    <w:rsid w:val="00B87D39"/>
    <w:rsid w:val="00B90189"/>
    <w:rsid w:val="00B9055F"/>
    <w:rsid w:val="00B908D4"/>
    <w:rsid w:val="00B9097A"/>
    <w:rsid w:val="00B90B9D"/>
    <w:rsid w:val="00B90DFE"/>
    <w:rsid w:val="00B91017"/>
    <w:rsid w:val="00B9129F"/>
    <w:rsid w:val="00B914B5"/>
    <w:rsid w:val="00B91694"/>
    <w:rsid w:val="00B91833"/>
    <w:rsid w:val="00B9185B"/>
    <w:rsid w:val="00B91AF2"/>
    <w:rsid w:val="00B91B22"/>
    <w:rsid w:val="00B91C30"/>
    <w:rsid w:val="00B91CD6"/>
    <w:rsid w:val="00B91FE2"/>
    <w:rsid w:val="00B92055"/>
    <w:rsid w:val="00B920F6"/>
    <w:rsid w:val="00B922CC"/>
    <w:rsid w:val="00B927A0"/>
    <w:rsid w:val="00B927AF"/>
    <w:rsid w:val="00B92D71"/>
    <w:rsid w:val="00B92F50"/>
    <w:rsid w:val="00B92F68"/>
    <w:rsid w:val="00B92F9E"/>
    <w:rsid w:val="00B9318A"/>
    <w:rsid w:val="00B932B3"/>
    <w:rsid w:val="00B933FD"/>
    <w:rsid w:val="00B93592"/>
    <w:rsid w:val="00B936EE"/>
    <w:rsid w:val="00B93749"/>
    <w:rsid w:val="00B937CF"/>
    <w:rsid w:val="00B938EA"/>
    <w:rsid w:val="00B93A29"/>
    <w:rsid w:val="00B93BA0"/>
    <w:rsid w:val="00B93C07"/>
    <w:rsid w:val="00B93C0A"/>
    <w:rsid w:val="00B93C5D"/>
    <w:rsid w:val="00B93CD1"/>
    <w:rsid w:val="00B93E5A"/>
    <w:rsid w:val="00B9400F"/>
    <w:rsid w:val="00B94080"/>
    <w:rsid w:val="00B9414D"/>
    <w:rsid w:val="00B941B8"/>
    <w:rsid w:val="00B942C3"/>
    <w:rsid w:val="00B9433D"/>
    <w:rsid w:val="00B94614"/>
    <w:rsid w:val="00B9475C"/>
    <w:rsid w:val="00B9494A"/>
    <w:rsid w:val="00B9495C"/>
    <w:rsid w:val="00B94A1B"/>
    <w:rsid w:val="00B95020"/>
    <w:rsid w:val="00B9527E"/>
    <w:rsid w:val="00B95380"/>
    <w:rsid w:val="00B95610"/>
    <w:rsid w:val="00B9561F"/>
    <w:rsid w:val="00B956A9"/>
    <w:rsid w:val="00B958AD"/>
    <w:rsid w:val="00B95B68"/>
    <w:rsid w:val="00B95BA1"/>
    <w:rsid w:val="00B95CE5"/>
    <w:rsid w:val="00B95E1C"/>
    <w:rsid w:val="00B95F2E"/>
    <w:rsid w:val="00B96004"/>
    <w:rsid w:val="00B96035"/>
    <w:rsid w:val="00B9632B"/>
    <w:rsid w:val="00B963FB"/>
    <w:rsid w:val="00B96459"/>
    <w:rsid w:val="00B96529"/>
    <w:rsid w:val="00B9663A"/>
    <w:rsid w:val="00B9667D"/>
    <w:rsid w:val="00B967C0"/>
    <w:rsid w:val="00B96922"/>
    <w:rsid w:val="00B96924"/>
    <w:rsid w:val="00B96A4A"/>
    <w:rsid w:val="00B96E93"/>
    <w:rsid w:val="00B96F69"/>
    <w:rsid w:val="00B9730D"/>
    <w:rsid w:val="00B97466"/>
    <w:rsid w:val="00B97513"/>
    <w:rsid w:val="00B97A0D"/>
    <w:rsid w:val="00B97AB9"/>
    <w:rsid w:val="00B97AD7"/>
    <w:rsid w:val="00B97B59"/>
    <w:rsid w:val="00B97EAC"/>
    <w:rsid w:val="00B97EE7"/>
    <w:rsid w:val="00B97F53"/>
    <w:rsid w:val="00B99E3F"/>
    <w:rsid w:val="00BA007E"/>
    <w:rsid w:val="00BA0159"/>
    <w:rsid w:val="00BA03C9"/>
    <w:rsid w:val="00BA04D9"/>
    <w:rsid w:val="00BA0A86"/>
    <w:rsid w:val="00BA0E11"/>
    <w:rsid w:val="00BA0E35"/>
    <w:rsid w:val="00BA0EA8"/>
    <w:rsid w:val="00BA1208"/>
    <w:rsid w:val="00BA134E"/>
    <w:rsid w:val="00BA135F"/>
    <w:rsid w:val="00BA13B0"/>
    <w:rsid w:val="00BA144B"/>
    <w:rsid w:val="00BA14A9"/>
    <w:rsid w:val="00BA181E"/>
    <w:rsid w:val="00BA18E3"/>
    <w:rsid w:val="00BA1A2E"/>
    <w:rsid w:val="00BA1B03"/>
    <w:rsid w:val="00BA1BC0"/>
    <w:rsid w:val="00BA1CCB"/>
    <w:rsid w:val="00BA1E82"/>
    <w:rsid w:val="00BA1EA3"/>
    <w:rsid w:val="00BA2000"/>
    <w:rsid w:val="00BA20B9"/>
    <w:rsid w:val="00BA220E"/>
    <w:rsid w:val="00BA224B"/>
    <w:rsid w:val="00BA247E"/>
    <w:rsid w:val="00BA24DC"/>
    <w:rsid w:val="00BA257A"/>
    <w:rsid w:val="00BA2676"/>
    <w:rsid w:val="00BA2836"/>
    <w:rsid w:val="00BA292B"/>
    <w:rsid w:val="00BA29DC"/>
    <w:rsid w:val="00BA2C70"/>
    <w:rsid w:val="00BA2DF8"/>
    <w:rsid w:val="00BA2E7D"/>
    <w:rsid w:val="00BA3068"/>
    <w:rsid w:val="00BA318C"/>
    <w:rsid w:val="00BA3273"/>
    <w:rsid w:val="00BA3679"/>
    <w:rsid w:val="00BA380E"/>
    <w:rsid w:val="00BA39CF"/>
    <w:rsid w:val="00BA3C94"/>
    <w:rsid w:val="00BA3F8E"/>
    <w:rsid w:val="00BA3FB6"/>
    <w:rsid w:val="00BA4189"/>
    <w:rsid w:val="00BA46A0"/>
    <w:rsid w:val="00BA46F3"/>
    <w:rsid w:val="00BA497E"/>
    <w:rsid w:val="00BA4E75"/>
    <w:rsid w:val="00BA4E9B"/>
    <w:rsid w:val="00BA5173"/>
    <w:rsid w:val="00BA517F"/>
    <w:rsid w:val="00BA5287"/>
    <w:rsid w:val="00BA5556"/>
    <w:rsid w:val="00BA5F4A"/>
    <w:rsid w:val="00BA6084"/>
    <w:rsid w:val="00BA614F"/>
    <w:rsid w:val="00BA63B2"/>
    <w:rsid w:val="00BA6565"/>
    <w:rsid w:val="00BA65D4"/>
    <w:rsid w:val="00BA6640"/>
    <w:rsid w:val="00BA6671"/>
    <w:rsid w:val="00BA66A5"/>
    <w:rsid w:val="00BA67DA"/>
    <w:rsid w:val="00BA6C2C"/>
    <w:rsid w:val="00BA6F3D"/>
    <w:rsid w:val="00BA707F"/>
    <w:rsid w:val="00BA70B2"/>
    <w:rsid w:val="00BA716A"/>
    <w:rsid w:val="00BA77A0"/>
    <w:rsid w:val="00BA77E3"/>
    <w:rsid w:val="00BA7877"/>
    <w:rsid w:val="00BA79FA"/>
    <w:rsid w:val="00BA7A10"/>
    <w:rsid w:val="00BA7B59"/>
    <w:rsid w:val="00BA7D26"/>
    <w:rsid w:val="00BA7DF6"/>
    <w:rsid w:val="00BA7FBB"/>
    <w:rsid w:val="00BB008B"/>
    <w:rsid w:val="00BB06CF"/>
    <w:rsid w:val="00BB0ABB"/>
    <w:rsid w:val="00BB0DDE"/>
    <w:rsid w:val="00BB0DE7"/>
    <w:rsid w:val="00BB1034"/>
    <w:rsid w:val="00BB1076"/>
    <w:rsid w:val="00BB15D4"/>
    <w:rsid w:val="00BB1707"/>
    <w:rsid w:val="00BB17CB"/>
    <w:rsid w:val="00BB193E"/>
    <w:rsid w:val="00BB1AB5"/>
    <w:rsid w:val="00BB1B0B"/>
    <w:rsid w:val="00BB1C07"/>
    <w:rsid w:val="00BB1D31"/>
    <w:rsid w:val="00BB1FD8"/>
    <w:rsid w:val="00BB2002"/>
    <w:rsid w:val="00BB2088"/>
    <w:rsid w:val="00BB22D2"/>
    <w:rsid w:val="00BB2321"/>
    <w:rsid w:val="00BB24B8"/>
    <w:rsid w:val="00BB2632"/>
    <w:rsid w:val="00BB2811"/>
    <w:rsid w:val="00BB2AB9"/>
    <w:rsid w:val="00BB2BD4"/>
    <w:rsid w:val="00BB2C56"/>
    <w:rsid w:val="00BB2E0D"/>
    <w:rsid w:val="00BB2EF0"/>
    <w:rsid w:val="00BB3246"/>
    <w:rsid w:val="00BB33CA"/>
    <w:rsid w:val="00BB363B"/>
    <w:rsid w:val="00BB365F"/>
    <w:rsid w:val="00BB366E"/>
    <w:rsid w:val="00BB38CC"/>
    <w:rsid w:val="00BB3B21"/>
    <w:rsid w:val="00BB3B73"/>
    <w:rsid w:val="00BB4396"/>
    <w:rsid w:val="00BB4789"/>
    <w:rsid w:val="00BB4831"/>
    <w:rsid w:val="00BB4870"/>
    <w:rsid w:val="00BB4933"/>
    <w:rsid w:val="00BB4937"/>
    <w:rsid w:val="00BB4E30"/>
    <w:rsid w:val="00BB4F5F"/>
    <w:rsid w:val="00BB4FF2"/>
    <w:rsid w:val="00BB4FFE"/>
    <w:rsid w:val="00BB5108"/>
    <w:rsid w:val="00BB5140"/>
    <w:rsid w:val="00BB5644"/>
    <w:rsid w:val="00BB5878"/>
    <w:rsid w:val="00BB592E"/>
    <w:rsid w:val="00BB5BAB"/>
    <w:rsid w:val="00BB5D03"/>
    <w:rsid w:val="00BB5DAE"/>
    <w:rsid w:val="00BB60D1"/>
    <w:rsid w:val="00BB61C1"/>
    <w:rsid w:val="00BB62FD"/>
    <w:rsid w:val="00BB649E"/>
    <w:rsid w:val="00BB67FA"/>
    <w:rsid w:val="00BB6A19"/>
    <w:rsid w:val="00BB6E64"/>
    <w:rsid w:val="00BB7099"/>
    <w:rsid w:val="00BB709F"/>
    <w:rsid w:val="00BB720E"/>
    <w:rsid w:val="00BB7260"/>
    <w:rsid w:val="00BB7430"/>
    <w:rsid w:val="00BB74F2"/>
    <w:rsid w:val="00BC065E"/>
    <w:rsid w:val="00BC09D7"/>
    <w:rsid w:val="00BC0BDF"/>
    <w:rsid w:val="00BC0D4D"/>
    <w:rsid w:val="00BC0F94"/>
    <w:rsid w:val="00BC11CF"/>
    <w:rsid w:val="00BC15BA"/>
    <w:rsid w:val="00BC18AA"/>
    <w:rsid w:val="00BC1CA8"/>
    <w:rsid w:val="00BC1CED"/>
    <w:rsid w:val="00BC1D3E"/>
    <w:rsid w:val="00BC2097"/>
    <w:rsid w:val="00BC20C8"/>
    <w:rsid w:val="00BC219E"/>
    <w:rsid w:val="00BC2288"/>
    <w:rsid w:val="00BC22E7"/>
    <w:rsid w:val="00BC248C"/>
    <w:rsid w:val="00BC2559"/>
    <w:rsid w:val="00BC260C"/>
    <w:rsid w:val="00BC2835"/>
    <w:rsid w:val="00BC28BD"/>
    <w:rsid w:val="00BC2BCC"/>
    <w:rsid w:val="00BC2BE4"/>
    <w:rsid w:val="00BC2F51"/>
    <w:rsid w:val="00BC303D"/>
    <w:rsid w:val="00BC39AB"/>
    <w:rsid w:val="00BC4069"/>
    <w:rsid w:val="00BC416E"/>
    <w:rsid w:val="00BC447E"/>
    <w:rsid w:val="00BC4680"/>
    <w:rsid w:val="00BC4728"/>
    <w:rsid w:val="00BC4779"/>
    <w:rsid w:val="00BC492B"/>
    <w:rsid w:val="00BC493F"/>
    <w:rsid w:val="00BC4A47"/>
    <w:rsid w:val="00BC4DA4"/>
    <w:rsid w:val="00BC4E80"/>
    <w:rsid w:val="00BC4FC5"/>
    <w:rsid w:val="00BC4FE9"/>
    <w:rsid w:val="00BC523F"/>
    <w:rsid w:val="00BC52EB"/>
    <w:rsid w:val="00BC5433"/>
    <w:rsid w:val="00BC5467"/>
    <w:rsid w:val="00BC56CC"/>
    <w:rsid w:val="00BC5727"/>
    <w:rsid w:val="00BC5958"/>
    <w:rsid w:val="00BC598A"/>
    <w:rsid w:val="00BC599F"/>
    <w:rsid w:val="00BC59AE"/>
    <w:rsid w:val="00BC5B0E"/>
    <w:rsid w:val="00BC5B4A"/>
    <w:rsid w:val="00BC5BF3"/>
    <w:rsid w:val="00BC603D"/>
    <w:rsid w:val="00BC6148"/>
    <w:rsid w:val="00BC621C"/>
    <w:rsid w:val="00BC65BE"/>
    <w:rsid w:val="00BC67F9"/>
    <w:rsid w:val="00BC6AA2"/>
    <w:rsid w:val="00BC7098"/>
    <w:rsid w:val="00BC7259"/>
    <w:rsid w:val="00BC73D7"/>
    <w:rsid w:val="00BC7417"/>
    <w:rsid w:val="00BC78CD"/>
    <w:rsid w:val="00BC78F7"/>
    <w:rsid w:val="00BC7A66"/>
    <w:rsid w:val="00BC7B63"/>
    <w:rsid w:val="00BC7B9D"/>
    <w:rsid w:val="00BC7CD9"/>
    <w:rsid w:val="00BC7EAE"/>
    <w:rsid w:val="00BC7EB5"/>
    <w:rsid w:val="00BC7FB5"/>
    <w:rsid w:val="00BD0091"/>
    <w:rsid w:val="00BD0231"/>
    <w:rsid w:val="00BD02AA"/>
    <w:rsid w:val="00BD043B"/>
    <w:rsid w:val="00BD0442"/>
    <w:rsid w:val="00BD0623"/>
    <w:rsid w:val="00BD0C7D"/>
    <w:rsid w:val="00BD0C9A"/>
    <w:rsid w:val="00BD0D46"/>
    <w:rsid w:val="00BD0D7F"/>
    <w:rsid w:val="00BD0D9A"/>
    <w:rsid w:val="00BD0E2C"/>
    <w:rsid w:val="00BD0F3B"/>
    <w:rsid w:val="00BD12FB"/>
    <w:rsid w:val="00BD13D3"/>
    <w:rsid w:val="00BD146C"/>
    <w:rsid w:val="00BD15CA"/>
    <w:rsid w:val="00BD18A1"/>
    <w:rsid w:val="00BD1964"/>
    <w:rsid w:val="00BD1B31"/>
    <w:rsid w:val="00BD1B58"/>
    <w:rsid w:val="00BD1B8B"/>
    <w:rsid w:val="00BD1DD8"/>
    <w:rsid w:val="00BD1E52"/>
    <w:rsid w:val="00BD22BB"/>
    <w:rsid w:val="00BD260B"/>
    <w:rsid w:val="00BD269E"/>
    <w:rsid w:val="00BD27D6"/>
    <w:rsid w:val="00BD2869"/>
    <w:rsid w:val="00BD29E4"/>
    <w:rsid w:val="00BD2E75"/>
    <w:rsid w:val="00BD2EA0"/>
    <w:rsid w:val="00BD2FB8"/>
    <w:rsid w:val="00BD313C"/>
    <w:rsid w:val="00BD3171"/>
    <w:rsid w:val="00BD3178"/>
    <w:rsid w:val="00BD31F4"/>
    <w:rsid w:val="00BD322F"/>
    <w:rsid w:val="00BD3354"/>
    <w:rsid w:val="00BD3446"/>
    <w:rsid w:val="00BD353D"/>
    <w:rsid w:val="00BD3632"/>
    <w:rsid w:val="00BD3921"/>
    <w:rsid w:val="00BD39C8"/>
    <w:rsid w:val="00BD3A60"/>
    <w:rsid w:val="00BD3B8E"/>
    <w:rsid w:val="00BD3C17"/>
    <w:rsid w:val="00BD3C83"/>
    <w:rsid w:val="00BD3D86"/>
    <w:rsid w:val="00BD3F05"/>
    <w:rsid w:val="00BD3FE6"/>
    <w:rsid w:val="00BD40BC"/>
    <w:rsid w:val="00BD4125"/>
    <w:rsid w:val="00BD4503"/>
    <w:rsid w:val="00BD4614"/>
    <w:rsid w:val="00BD48FB"/>
    <w:rsid w:val="00BD4A7C"/>
    <w:rsid w:val="00BD4AF6"/>
    <w:rsid w:val="00BD4C68"/>
    <w:rsid w:val="00BD4C6E"/>
    <w:rsid w:val="00BD4DB8"/>
    <w:rsid w:val="00BD4E22"/>
    <w:rsid w:val="00BD4E2C"/>
    <w:rsid w:val="00BD54C6"/>
    <w:rsid w:val="00BD5604"/>
    <w:rsid w:val="00BD57FD"/>
    <w:rsid w:val="00BD587D"/>
    <w:rsid w:val="00BD5CD8"/>
    <w:rsid w:val="00BD5D3C"/>
    <w:rsid w:val="00BD5DE7"/>
    <w:rsid w:val="00BD6192"/>
    <w:rsid w:val="00BD6224"/>
    <w:rsid w:val="00BD654F"/>
    <w:rsid w:val="00BD65A5"/>
    <w:rsid w:val="00BD65C4"/>
    <w:rsid w:val="00BD6671"/>
    <w:rsid w:val="00BD66B7"/>
    <w:rsid w:val="00BD6D22"/>
    <w:rsid w:val="00BD6DCC"/>
    <w:rsid w:val="00BD6E2C"/>
    <w:rsid w:val="00BD6E45"/>
    <w:rsid w:val="00BD6E88"/>
    <w:rsid w:val="00BD6ECB"/>
    <w:rsid w:val="00BD7331"/>
    <w:rsid w:val="00BD74C8"/>
    <w:rsid w:val="00BD7518"/>
    <w:rsid w:val="00BD75E4"/>
    <w:rsid w:val="00BD7931"/>
    <w:rsid w:val="00BD79FD"/>
    <w:rsid w:val="00BD7BE7"/>
    <w:rsid w:val="00BD7C72"/>
    <w:rsid w:val="00BE0337"/>
    <w:rsid w:val="00BE04BF"/>
    <w:rsid w:val="00BE0889"/>
    <w:rsid w:val="00BE09D8"/>
    <w:rsid w:val="00BE0A1F"/>
    <w:rsid w:val="00BE0C5F"/>
    <w:rsid w:val="00BE10B2"/>
    <w:rsid w:val="00BE117D"/>
    <w:rsid w:val="00BE1319"/>
    <w:rsid w:val="00BE14AC"/>
    <w:rsid w:val="00BE158A"/>
    <w:rsid w:val="00BE1AA0"/>
    <w:rsid w:val="00BE1DBD"/>
    <w:rsid w:val="00BE1E5F"/>
    <w:rsid w:val="00BE1E85"/>
    <w:rsid w:val="00BE1F4C"/>
    <w:rsid w:val="00BE20CD"/>
    <w:rsid w:val="00BE211E"/>
    <w:rsid w:val="00BE2172"/>
    <w:rsid w:val="00BE2591"/>
    <w:rsid w:val="00BE25B4"/>
    <w:rsid w:val="00BE25F4"/>
    <w:rsid w:val="00BE278C"/>
    <w:rsid w:val="00BE27CB"/>
    <w:rsid w:val="00BE2808"/>
    <w:rsid w:val="00BE2A45"/>
    <w:rsid w:val="00BE2BCF"/>
    <w:rsid w:val="00BE2BDD"/>
    <w:rsid w:val="00BE2D40"/>
    <w:rsid w:val="00BE2F74"/>
    <w:rsid w:val="00BE2F8F"/>
    <w:rsid w:val="00BE3027"/>
    <w:rsid w:val="00BE3163"/>
    <w:rsid w:val="00BE31EA"/>
    <w:rsid w:val="00BE3348"/>
    <w:rsid w:val="00BE353B"/>
    <w:rsid w:val="00BE35A1"/>
    <w:rsid w:val="00BE372E"/>
    <w:rsid w:val="00BE38C2"/>
    <w:rsid w:val="00BE38E3"/>
    <w:rsid w:val="00BE39C6"/>
    <w:rsid w:val="00BE3B12"/>
    <w:rsid w:val="00BE3CEC"/>
    <w:rsid w:val="00BE3FE9"/>
    <w:rsid w:val="00BE419B"/>
    <w:rsid w:val="00BE4256"/>
    <w:rsid w:val="00BE4402"/>
    <w:rsid w:val="00BE4505"/>
    <w:rsid w:val="00BE46C3"/>
    <w:rsid w:val="00BE473F"/>
    <w:rsid w:val="00BE47B0"/>
    <w:rsid w:val="00BE4912"/>
    <w:rsid w:val="00BE4991"/>
    <w:rsid w:val="00BE4A78"/>
    <w:rsid w:val="00BE4B0B"/>
    <w:rsid w:val="00BE4CC4"/>
    <w:rsid w:val="00BE50B4"/>
    <w:rsid w:val="00BE5208"/>
    <w:rsid w:val="00BE5397"/>
    <w:rsid w:val="00BE54C1"/>
    <w:rsid w:val="00BE55DD"/>
    <w:rsid w:val="00BE5990"/>
    <w:rsid w:val="00BE5AF3"/>
    <w:rsid w:val="00BE5C58"/>
    <w:rsid w:val="00BE600B"/>
    <w:rsid w:val="00BE628C"/>
    <w:rsid w:val="00BE6292"/>
    <w:rsid w:val="00BE638D"/>
    <w:rsid w:val="00BE63F8"/>
    <w:rsid w:val="00BE6456"/>
    <w:rsid w:val="00BE64DC"/>
    <w:rsid w:val="00BE6518"/>
    <w:rsid w:val="00BE691C"/>
    <w:rsid w:val="00BE6AD6"/>
    <w:rsid w:val="00BE6B46"/>
    <w:rsid w:val="00BE6B5F"/>
    <w:rsid w:val="00BE6C5E"/>
    <w:rsid w:val="00BE6CE0"/>
    <w:rsid w:val="00BE6E9F"/>
    <w:rsid w:val="00BE6EAE"/>
    <w:rsid w:val="00BE6F1F"/>
    <w:rsid w:val="00BE7050"/>
    <w:rsid w:val="00BE7344"/>
    <w:rsid w:val="00BE7397"/>
    <w:rsid w:val="00BE76F4"/>
    <w:rsid w:val="00BE77A2"/>
    <w:rsid w:val="00BE79BD"/>
    <w:rsid w:val="00BE7AEB"/>
    <w:rsid w:val="00BF039D"/>
    <w:rsid w:val="00BF0529"/>
    <w:rsid w:val="00BF06D4"/>
    <w:rsid w:val="00BF0936"/>
    <w:rsid w:val="00BF09D2"/>
    <w:rsid w:val="00BF0A38"/>
    <w:rsid w:val="00BF0AAE"/>
    <w:rsid w:val="00BF0CD2"/>
    <w:rsid w:val="00BF1276"/>
    <w:rsid w:val="00BF12E8"/>
    <w:rsid w:val="00BF1549"/>
    <w:rsid w:val="00BF1582"/>
    <w:rsid w:val="00BF15C3"/>
    <w:rsid w:val="00BF1689"/>
    <w:rsid w:val="00BF1B31"/>
    <w:rsid w:val="00BF1B76"/>
    <w:rsid w:val="00BF1F68"/>
    <w:rsid w:val="00BF1F89"/>
    <w:rsid w:val="00BF202F"/>
    <w:rsid w:val="00BF217E"/>
    <w:rsid w:val="00BF2302"/>
    <w:rsid w:val="00BF2696"/>
    <w:rsid w:val="00BF27A3"/>
    <w:rsid w:val="00BF27D1"/>
    <w:rsid w:val="00BF286F"/>
    <w:rsid w:val="00BF29AD"/>
    <w:rsid w:val="00BF2C46"/>
    <w:rsid w:val="00BF2C69"/>
    <w:rsid w:val="00BF331A"/>
    <w:rsid w:val="00BF3408"/>
    <w:rsid w:val="00BF34D6"/>
    <w:rsid w:val="00BF3662"/>
    <w:rsid w:val="00BF38D8"/>
    <w:rsid w:val="00BF3A31"/>
    <w:rsid w:val="00BF3A67"/>
    <w:rsid w:val="00BF3CFB"/>
    <w:rsid w:val="00BF3FFD"/>
    <w:rsid w:val="00BF4310"/>
    <w:rsid w:val="00BF44BE"/>
    <w:rsid w:val="00BF4574"/>
    <w:rsid w:val="00BF46FB"/>
    <w:rsid w:val="00BF4846"/>
    <w:rsid w:val="00BF48CF"/>
    <w:rsid w:val="00BF4BF2"/>
    <w:rsid w:val="00BF4E48"/>
    <w:rsid w:val="00BF4E6E"/>
    <w:rsid w:val="00BF4F75"/>
    <w:rsid w:val="00BF4FBE"/>
    <w:rsid w:val="00BF4FD0"/>
    <w:rsid w:val="00BF510E"/>
    <w:rsid w:val="00BF5531"/>
    <w:rsid w:val="00BF5664"/>
    <w:rsid w:val="00BF5A29"/>
    <w:rsid w:val="00BF5A6F"/>
    <w:rsid w:val="00BF5A99"/>
    <w:rsid w:val="00BF5C98"/>
    <w:rsid w:val="00BF5E52"/>
    <w:rsid w:val="00BF5FE9"/>
    <w:rsid w:val="00BF633B"/>
    <w:rsid w:val="00BF6757"/>
    <w:rsid w:val="00BF6794"/>
    <w:rsid w:val="00BF67A8"/>
    <w:rsid w:val="00BF68C0"/>
    <w:rsid w:val="00BF6BE7"/>
    <w:rsid w:val="00BF6DB6"/>
    <w:rsid w:val="00BF6E81"/>
    <w:rsid w:val="00BF6EDE"/>
    <w:rsid w:val="00BF6F96"/>
    <w:rsid w:val="00BF70AD"/>
    <w:rsid w:val="00BF71B3"/>
    <w:rsid w:val="00BF7349"/>
    <w:rsid w:val="00BF7455"/>
    <w:rsid w:val="00BF75AF"/>
    <w:rsid w:val="00BF7639"/>
    <w:rsid w:val="00BF77BD"/>
    <w:rsid w:val="00BF77FF"/>
    <w:rsid w:val="00BF78A5"/>
    <w:rsid w:val="00BF78CD"/>
    <w:rsid w:val="00BF7D56"/>
    <w:rsid w:val="00BF7DC4"/>
    <w:rsid w:val="00BF7E43"/>
    <w:rsid w:val="00C006C1"/>
    <w:rsid w:val="00C006DD"/>
    <w:rsid w:val="00C006E0"/>
    <w:rsid w:val="00C00825"/>
    <w:rsid w:val="00C00879"/>
    <w:rsid w:val="00C008BF"/>
    <w:rsid w:val="00C00907"/>
    <w:rsid w:val="00C009C3"/>
    <w:rsid w:val="00C00C92"/>
    <w:rsid w:val="00C00C98"/>
    <w:rsid w:val="00C00E09"/>
    <w:rsid w:val="00C00E35"/>
    <w:rsid w:val="00C010BA"/>
    <w:rsid w:val="00C011BE"/>
    <w:rsid w:val="00C011D5"/>
    <w:rsid w:val="00C014BF"/>
    <w:rsid w:val="00C015C2"/>
    <w:rsid w:val="00C018E6"/>
    <w:rsid w:val="00C01C96"/>
    <w:rsid w:val="00C01CCF"/>
    <w:rsid w:val="00C0204D"/>
    <w:rsid w:val="00C02258"/>
    <w:rsid w:val="00C026F6"/>
    <w:rsid w:val="00C02808"/>
    <w:rsid w:val="00C02966"/>
    <w:rsid w:val="00C0297D"/>
    <w:rsid w:val="00C02A25"/>
    <w:rsid w:val="00C02A6B"/>
    <w:rsid w:val="00C02FB7"/>
    <w:rsid w:val="00C03130"/>
    <w:rsid w:val="00C036E1"/>
    <w:rsid w:val="00C0384D"/>
    <w:rsid w:val="00C038F3"/>
    <w:rsid w:val="00C038F7"/>
    <w:rsid w:val="00C03928"/>
    <w:rsid w:val="00C03BDC"/>
    <w:rsid w:val="00C03D41"/>
    <w:rsid w:val="00C03D70"/>
    <w:rsid w:val="00C03E15"/>
    <w:rsid w:val="00C04087"/>
    <w:rsid w:val="00C040DA"/>
    <w:rsid w:val="00C04109"/>
    <w:rsid w:val="00C04228"/>
    <w:rsid w:val="00C04569"/>
    <w:rsid w:val="00C046E8"/>
    <w:rsid w:val="00C0476C"/>
    <w:rsid w:val="00C04796"/>
    <w:rsid w:val="00C047E1"/>
    <w:rsid w:val="00C04800"/>
    <w:rsid w:val="00C04883"/>
    <w:rsid w:val="00C04D15"/>
    <w:rsid w:val="00C04D1A"/>
    <w:rsid w:val="00C04D7E"/>
    <w:rsid w:val="00C05197"/>
    <w:rsid w:val="00C05374"/>
    <w:rsid w:val="00C054A3"/>
    <w:rsid w:val="00C05684"/>
    <w:rsid w:val="00C0578F"/>
    <w:rsid w:val="00C057CD"/>
    <w:rsid w:val="00C0590B"/>
    <w:rsid w:val="00C059C7"/>
    <w:rsid w:val="00C05BE4"/>
    <w:rsid w:val="00C05C80"/>
    <w:rsid w:val="00C05CDD"/>
    <w:rsid w:val="00C05F0E"/>
    <w:rsid w:val="00C06025"/>
    <w:rsid w:val="00C06166"/>
    <w:rsid w:val="00C0630A"/>
    <w:rsid w:val="00C0636A"/>
    <w:rsid w:val="00C0659F"/>
    <w:rsid w:val="00C06620"/>
    <w:rsid w:val="00C0666B"/>
    <w:rsid w:val="00C06759"/>
    <w:rsid w:val="00C068DD"/>
    <w:rsid w:val="00C068F5"/>
    <w:rsid w:val="00C0692D"/>
    <w:rsid w:val="00C0695D"/>
    <w:rsid w:val="00C06A4F"/>
    <w:rsid w:val="00C06BE8"/>
    <w:rsid w:val="00C06CAC"/>
    <w:rsid w:val="00C06FD6"/>
    <w:rsid w:val="00C07239"/>
    <w:rsid w:val="00C0742E"/>
    <w:rsid w:val="00C079DD"/>
    <w:rsid w:val="00C07A63"/>
    <w:rsid w:val="00C07B31"/>
    <w:rsid w:val="00C07B34"/>
    <w:rsid w:val="00C07B3D"/>
    <w:rsid w:val="00C07E6D"/>
    <w:rsid w:val="00C1017D"/>
    <w:rsid w:val="00C1032D"/>
    <w:rsid w:val="00C1055A"/>
    <w:rsid w:val="00C10659"/>
    <w:rsid w:val="00C10CF5"/>
    <w:rsid w:val="00C10E48"/>
    <w:rsid w:val="00C10FF9"/>
    <w:rsid w:val="00C110CB"/>
    <w:rsid w:val="00C11115"/>
    <w:rsid w:val="00C1150D"/>
    <w:rsid w:val="00C1151A"/>
    <w:rsid w:val="00C1155A"/>
    <w:rsid w:val="00C11836"/>
    <w:rsid w:val="00C11855"/>
    <w:rsid w:val="00C11A1C"/>
    <w:rsid w:val="00C11B30"/>
    <w:rsid w:val="00C11CF6"/>
    <w:rsid w:val="00C11E2C"/>
    <w:rsid w:val="00C12026"/>
    <w:rsid w:val="00C120A1"/>
    <w:rsid w:val="00C122FF"/>
    <w:rsid w:val="00C12595"/>
    <w:rsid w:val="00C12690"/>
    <w:rsid w:val="00C1276C"/>
    <w:rsid w:val="00C128AC"/>
    <w:rsid w:val="00C12A86"/>
    <w:rsid w:val="00C12BF1"/>
    <w:rsid w:val="00C12BF2"/>
    <w:rsid w:val="00C12D1F"/>
    <w:rsid w:val="00C13615"/>
    <w:rsid w:val="00C13774"/>
    <w:rsid w:val="00C13A64"/>
    <w:rsid w:val="00C13AE5"/>
    <w:rsid w:val="00C13CBA"/>
    <w:rsid w:val="00C13CF1"/>
    <w:rsid w:val="00C13E60"/>
    <w:rsid w:val="00C13F56"/>
    <w:rsid w:val="00C13F75"/>
    <w:rsid w:val="00C143CE"/>
    <w:rsid w:val="00C144B6"/>
    <w:rsid w:val="00C14816"/>
    <w:rsid w:val="00C14F8F"/>
    <w:rsid w:val="00C14FE0"/>
    <w:rsid w:val="00C152E4"/>
    <w:rsid w:val="00C154A0"/>
    <w:rsid w:val="00C156A1"/>
    <w:rsid w:val="00C156A6"/>
    <w:rsid w:val="00C15897"/>
    <w:rsid w:val="00C15A29"/>
    <w:rsid w:val="00C15B69"/>
    <w:rsid w:val="00C15C71"/>
    <w:rsid w:val="00C15D72"/>
    <w:rsid w:val="00C161CE"/>
    <w:rsid w:val="00C16261"/>
    <w:rsid w:val="00C16286"/>
    <w:rsid w:val="00C163EE"/>
    <w:rsid w:val="00C16485"/>
    <w:rsid w:val="00C16505"/>
    <w:rsid w:val="00C1679A"/>
    <w:rsid w:val="00C16867"/>
    <w:rsid w:val="00C16BB5"/>
    <w:rsid w:val="00C16DC3"/>
    <w:rsid w:val="00C17104"/>
    <w:rsid w:val="00C173F1"/>
    <w:rsid w:val="00C173F9"/>
    <w:rsid w:val="00C17673"/>
    <w:rsid w:val="00C17B6A"/>
    <w:rsid w:val="00C17D59"/>
    <w:rsid w:val="00C201C1"/>
    <w:rsid w:val="00C20462"/>
    <w:rsid w:val="00C206CC"/>
    <w:rsid w:val="00C206E9"/>
    <w:rsid w:val="00C20793"/>
    <w:rsid w:val="00C20C72"/>
    <w:rsid w:val="00C20CBD"/>
    <w:rsid w:val="00C20F5C"/>
    <w:rsid w:val="00C2118E"/>
    <w:rsid w:val="00C213C2"/>
    <w:rsid w:val="00C214F6"/>
    <w:rsid w:val="00C21725"/>
    <w:rsid w:val="00C2176D"/>
    <w:rsid w:val="00C21773"/>
    <w:rsid w:val="00C2194A"/>
    <w:rsid w:val="00C2199A"/>
    <w:rsid w:val="00C21AB8"/>
    <w:rsid w:val="00C21CD7"/>
    <w:rsid w:val="00C21CF3"/>
    <w:rsid w:val="00C21CFC"/>
    <w:rsid w:val="00C21F59"/>
    <w:rsid w:val="00C2209E"/>
    <w:rsid w:val="00C226FC"/>
    <w:rsid w:val="00C22C27"/>
    <w:rsid w:val="00C22D13"/>
    <w:rsid w:val="00C22D8C"/>
    <w:rsid w:val="00C22F95"/>
    <w:rsid w:val="00C22FC6"/>
    <w:rsid w:val="00C232E6"/>
    <w:rsid w:val="00C23344"/>
    <w:rsid w:val="00C2391A"/>
    <w:rsid w:val="00C23A54"/>
    <w:rsid w:val="00C23E55"/>
    <w:rsid w:val="00C23FC7"/>
    <w:rsid w:val="00C2405E"/>
    <w:rsid w:val="00C2408D"/>
    <w:rsid w:val="00C2416D"/>
    <w:rsid w:val="00C241FD"/>
    <w:rsid w:val="00C244C4"/>
    <w:rsid w:val="00C245E4"/>
    <w:rsid w:val="00C2479A"/>
    <w:rsid w:val="00C24847"/>
    <w:rsid w:val="00C2496E"/>
    <w:rsid w:val="00C24C68"/>
    <w:rsid w:val="00C24DA1"/>
    <w:rsid w:val="00C250A5"/>
    <w:rsid w:val="00C250F6"/>
    <w:rsid w:val="00C2517B"/>
    <w:rsid w:val="00C255CA"/>
    <w:rsid w:val="00C255EB"/>
    <w:rsid w:val="00C2568B"/>
    <w:rsid w:val="00C25742"/>
    <w:rsid w:val="00C25749"/>
    <w:rsid w:val="00C257AD"/>
    <w:rsid w:val="00C25B3B"/>
    <w:rsid w:val="00C25C7C"/>
    <w:rsid w:val="00C25CF9"/>
    <w:rsid w:val="00C25FFF"/>
    <w:rsid w:val="00C26153"/>
    <w:rsid w:val="00C26195"/>
    <w:rsid w:val="00C261DC"/>
    <w:rsid w:val="00C262FD"/>
    <w:rsid w:val="00C26399"/>
    <w:rsid w:val="00C2646F"/>
    <w:rsid w:val="00C2674F"/>
    <w:rsid w:val="00C267AA"/>
    <w:rsid w:val="00C26978"/>
    <w:rsid w:val="00C26BBA"/>
    <w:rsid w:val="00C26C87"/>
    <w:rsid w:val="00C26CBA"/>
    <w:rsid w:val="00C26D42"/>
    <w:rsid w:val="00C26DC4"/>
    <w:rsid w:val="00C26F44"/>
    <w:rsid w:val="00C26F58"/>
    <w:rsid w:val="00C27343"/>
    <w:rsid w:val="00C274D2"/>
    <w:rsid w:val="00C27774"/>
    <w:rsid w:val="00C277CE"/>
    <w:rsid w:val="00C27818"/>
    <w:rsid w:val="00C279F9"/>
    <w:rsid w:val="00C27F02"/>
    <w:rsid w:val="00C30173"/>
    <w:rsid w:val="00C3021E"/>
    <w:rsid w:val="00C30362"/>
    <w:rsid w:val="00C30822"/>
    <w:rsid w:val="00C308C8"/>
    <w:rsid w:val="00C30CFC"/>
    <w:rsid w:val="00C30DE0"/>
    <w:rsid w:val="00C30F26"/>
    <w:rsid w:val="00C31067"/>
    <w:rsid w:val="00C310A5"/>
    <w:rsid w:val="00C311B5"/>
    <w:rsid w:val="00C31272"/>
    <w:rsid w:val="00C31714"/>
    <w:rsid w:val="00C31886"/>
    <w:rsid w:val="00C31887"/>
    <w:rsid w:val="00C3194C"/>
    <w:rsid w:val="00C31D44"/>
    <w:rsid w:val="00C31D85"/>
    <w:rsid w:val="00C31E6C"/>
    <w:rsid w:val="00C31EF5"/>
    <w:rsid w:val="00C31F4F"/>
    <w:rsid w:val="00C32104"/>
    <w:rsid w:val="00C32240"/>
    <w:rsid w:val="00C3227F"/>
    <w:rsid w:val="00C322EC"/>
    <w:rsid w:val="00C3260B"/>
    <w:rsid w:val="00C32776"/>
    <w:rsid w:val="00C329D1"/>
    <w:rsid w:val="00C32A01"/>
    <w:rsid w:val="00C32AD7"/>
    <w:rsid w:val="00C32AE8"/>
    <w:rsid w:val="00C32B63"/>
    <w:rsid w:val="00C32BC7"/>
    <w:rsid w:val="00C32D58"/>
    <w:rsid w:val="00C32E40"/>
    <w:rsid w:val="00C32F8A"/>
    <w:rsid w:val="00C32FCE"/>
    <w:rsid w:val="00C3351F"/>
    <w:rsid w:val="00C3355D"/>
    <w:rsid w:val="00C335B6"/>
    <w:rsid w:val="00C335BD"/>
    <w:rsid w:val="00C33647"/>
    <w:rsid w:val="00C33708"/>
    <w:rsid w:val="00C33D3B"/>
    <w:rsid w:val="00C33E98"/>
    <w:rsid w:val="00C33F41"/>
    <w:rsid w:val="00C3401E"/>
    <w:rsid w:val="00C3442C"/>
    <w:rsid w:val="00C344A6"/>
    <w:rsid w:val="00C344CB"/>
    <w:rsid w:val="00C344EA"/>
    <w:rsid w:val="00C34670"/>
    <w:rsid w:val="00C34676"/>
    <w:rsid w:val="00C348F2"/>
    <w:rsid w:val="00C349B1"/>
    <w:rsid w:val="00C34DA5"/>
    <w:rsid w:val="00C34EEE"/>
    <w:rsid w:val="00C34F17"/>
    <w:rsid w:val="00C35031"/>
    <w:rsid w:val="00C352E0"/>
    <w:rsid w:val="00C35339"/>
    <w:rsid w:val="00C3538C"/>
    <w:rsid w:val="00C354EE"/>
    <w:rsid w:val="00C35710"/>
    <w:rsid w:val="00C35866"/>
    <w:rsid w:val="00C358EE"/>
    <w:rsid w:val="00C3594B"/>
    <w:rsid w:val="00C35A01"/>
    <w:rsid w:val="00C35E9D"/>
    <w:rsid w:val="00C3602D"/>
    <w:rsid w:val="00C3619E"/>
    <w:rsid w:val="00C363BC"/>
    <w:rsid w:val="00C364F2"/>
    <w:rsid w:val="00C36632"/>
    <w:rsid w:val="00C3667A"/>
    <w:rsid w:val="00C366F2"/>
    <w:rsid w:val="00C368CF"/>
    <w:rsid w:val="00C36AE0"/>
    <w:rsid w:val="00C36FF2"/>
    <w:rsid w:val="00C36FF4"/>
    <w:rsid w:val="00C3713E"/>
    <w:rsid w:val="00C3723B"/>
    <w:rsid w:val="00C372C2"/>
    <w:rsid w:val="00C37341"/>
    <w:rsid w:val="00C37410"/>
    <w:rsid w:val="00C3758B"/>
    <w:rsid w:val="00C376DD"/>
    <w:rsid w:val="00C39F3D"/>
    <w:rsid w:val="00C401F2"/>
    <w:rsid w:val="00C40276"/>
    <w:rsid w:val="00C4040B"/>
    <w:rsid w:val="00C404FC"/>
    <w:rsid w:val="00C4058B"/>
    <w:rsid w:val="00C405C0"/>
    <w:rsid w:val="00C405F4"/>
    <w:rsid w:val="00C40606"/>
    <w:rsid w:val="00C40B5F"/>
    <w:rsid w:val="00C40B93"/>
    <w:rsid w:val="00C40BE9"/>
    <w:rsid w:val="00C40C8B"/>
    <w:rsid w:val="00C40FD5"/>
    <w:rsid w:val="00C41171"/>
    <w:rsid w:val="00C41315"/>
    <w:rsid w:val="00C414A1"/>
    <w:rsid w:val="00C4179D"/>
    <w:rsid w:val="00C419A4"/>
    <w:rsid w:val="00C41A02"/>
    <w:rsid w:val="00C41B9E"/>
    <w:rsid w:val="00C41C8E"/>
    <w:rsid w:val="00C41F72"/>
    <w:rsid w:val="00C424C1"/>
    <w:rsid w:val="00C426D8"/>
    <w:rsid w:val="00C426D9"/>
    <w:rsid w:val="00C431B6"/>
    <w:rsid w:val="00C433B6"/>
    <w:rsid w:val="00C4359E"/>
    <w:rsid w:val="00C436B3"/>
    <w:rsid w:val="00C436D6"/>
    <w:rsid w:val="00C4379B"/>
    <w:rsid w:val="00C43EE9"/>
    <w:rsid w:val="00C44118"/>
    <w:rsid w:val="00C44154"/>
    <w:rsid w:val="00C44368"/>
    <w:rsid w:val="00C44580"/>
    <w:rsid w:val="00C44657"/>
    <w:rsid w:val="00C4469C"/>
    <w:rsid w:val="00C44802"/>
    <w:rsid w:val="00C4486B"/>
    <w:rsid w:val="00C44949"/>
    <w:rsid w:val="00C44998"/>
    <w:rsid w:val="00C44AC2"/>
    <w:rsid w:val="00C44C2D"/>
    <w:rsid w:val="00C44D39"/>
    <w:rsid w:val="00C44FAE"/>
    <w:rsid w:val="00C45374"/>
    <w:rsid w:val="00C45522"/>
    <w:rsid w:val="00C45581"/>
    <w:rsid w:val="00C45788"/>
    <w:rsid w:val="00C4591E"/>
    <w:rsid w:val="00C45920"/>
    <w:rsid w:val="00C459A6"/>
    <w:rsid w:val="00C45A23"/>
    <w:rsid w:val="00C45B48"/>
    <w:rsid w:val="00C45F83"/>
    <w:rsid w:val="00C46088"/>
    <w:rsid w:val="00C4610F"/>
    <w:rsid w:val="00C46125"/>
    <w:rsid w:val="00C46139"/>
    <w:rsid w:val="00C46197"/>
    <w:rsid w:val="00C46308"/>
    <w:rsid w:val="00C46535"/>
    <w:rsid w:val="00C46AB0"/>
    <w:rsid w:val="00C46C3D"/>
    <w:rsid w:val="00C46D8B"/>
    <w:rsid w:val="00C46E7A"/>
    <w:rsid w:val="00C47063"/>
    <w:rsid w:val="00C47065"/>
    <w:rsid w:val="00C471A5"/>
    <w:rsid w:val="00C47225"/>
    <w:rsid w:val="00C475E5"/>
    <w:rsid w:val="00C47651"/>
    <w:rsid w:val="00C478CE"/>
    <w:rsid w:val="00C47B38"/>
    <w:rsid w:val="00C5009F"/>
    <w:rsid w:val="00C5014B"/>
    <w:rsid w:val="00C503B0"/>
    <w:rsid w:val="00C503E2"/>
    <w:rsid w:val="00C5068A"/>
    <w:rsid w:val="00C50F88"/>
    <w:rsid w:val="00C5110D"/>
    <w:rsid w:val="00C51257"/>
    <w:rsid w:val="00C51406"/>
    <w:rsid w:val="00C5142E"/>
    <w:rsid w:val="00C5176E"/>
    <w:rsid w:val="00C51835"/>
    <w:rsid w:val="00C5187D"/>
    <w:rsid w:val="00C5199E"/>
    <w:rsid w:val="00C51A7E"/>
    <w:rsid w:val="00C51BBA"/>
    <w:rsid w:val="00C51DC3"/>
    <w:rsid w:val="00C51EF7"/>
    <w:rsid w:val="00C52099"/>
    <w:rsid w:val="00C5210B"/>
    <w:rsid w:val="00C524D9"/>
    <w:rsid w:val="00C52945"/>
    <w:rsid w:val="00C52AAB"/>
    <w:rsid w:val="00C52AF0"/>
    <w:rsid w:val="00C52B90"/>
    <w:rsid w:val="00C52D3D"/>
    <w:rsid w:val="00C52EB9"/>
    <w:rsid w:val="00C5309A"/>
    <w:rsid w:val="00C53132"/>
    <w:rsid w:val="00C532F3"/>
    <w:rsid w:val="00C5344B"/>
    <w:rsid w:val="00C5347E"/>
    <w:rsid w:val="00C5351F"/>
    <w:rsid w:val="00C53583"/>
    <w:rsid w:val="00C53813"/>
    <w:rsid w:val="00C53829"/>
    <w:rsid w:val="00C53A23"/>
    <w:rsid w:val="00C53B01"/>
    <w:rsid w:val="00C53D95"/>
    <w:rsid w:val="00C542C4"/>
    <w:rsid w:val="00C54643"/>
    <w:rsid w:val="00C54D2A"/>
    <w:rsid w:val="00C54DAF"/>
    <w:rsid w:val="00C550DF"/>
    <w:rsid w:val="00C554D0"/>
    <w:rsid w:val="00C55563"/>
    <w:rsid w:val="00C55662"/>
    <w:rsid w:val="00C55873"/>
    <w:rsid w:val="00C55A23"/>
    <w:rsid w:val="00C55A9D"/>
    <w:rsid w:val="00C55C17"/>
    <w:rsid w:val="00C55CB9"/>
    <w:rsid w:val="00C55FD3"/>
    <w:rsid w:val="00C563AE"/>
    <w:rsid w:val="00C563AF"/>
    <w:rsid w:val="00C5644A"/>
    <w:rsid w:val="00C564DF"/>
    <w:rsid w:val="00C56602"/>
    <w:rsid w:val="00C56608"/>
    <w:rsid w:val="00C566FA"/>
    <w:rsid w:val="00C567F1"/>
    <w:rsid w:val="00C56A2E"/>
    <w:rsid w:val="00C56B8C"/>
    <w:rsid w:val="00C56C6E"/>
    <w:rsid w:val="00C56D1C"/>
    <w:rsid w:val="00C56DBD"/>
    <w:rsid w:val="00C57127"/>
    <w:rsid w:val="00C572EF"/>
    <w:rsid w:val="00C57651"/>
    <w:rsid w:val="00C57665"/>
    <w:rsid w:val="00C57A16"/>
    <w:rsid w:val="00C57C98"/>
    <w:rsid w:val="00C57E78"/>
    <w:rsid w:val="00C6002D"/>
    <w:rsid w:val="00C600A6"/>
    <w:rsid w:val="00C601E4"/>
    <w:rsid w:val="00C60201"/>
    <w:rsid w:val="00C60362"/>
    <w:rsid w:val="00C606D7"/>
    <w:rsid w:val="00C6078B"/>
    <w:rsid w:val="00C609F0"/>
    <w:rsid w:val="00C60B3C"/>
    <w:rsid w:val="00C61070"/>
    <w:rsid w:val="00C61071"/>
    <w:rsid w:val="00C61142"/>
    <w:rsid w:val="00C61351"/>
    <w:rsid w:val="00C6162C"/>
    <w:rsid w:val="00C6176A"/>
    <w:rsid w:val="00C61783"/>
    <w:rsid w:val="00C61861"/>
    <w:rsid w:val="00C61C3F"/>
    <w:rsid w:val="00C61CAF"/>
    <w:rsid w:val="00C61CB5"/>
    <w:rsid w:val="00C6214A"/>
    <w:rsid w:val="00C62589"/>
    <w:rsid w:val="00C626C8"/>
    <w:rsid w:val="00C626EB"/>
    <w:rsid w:val="00C6270E"/>
    <w:rsid w:val="00C6288B"/>
    <w:rsid w:val="00C62961"/>
    <w:rsid w:val="00C629C6"/>
    <w:rsid w:val="00C62A76"/>
    <w:rsid w:val="00C62A7E"/>
    <w:rsid w:val="00C62D49"/>
    <w:rsid w:val="00C62F4E"/>
    <w:rsid w:val="00C63119"/>
    <w:rsid w:val="00C631F9"/>
    <w:rsid w:val="00C632C6"/>
    <w:rsid w:val="00C63444"/>
    <w:rsid w:val="00C6351E"/>
    <w:rsid w:val="00C63982"/>
    <w:rsid w:val="00C63FBE"/>
    <w:rsid w:val="00C64071"/>
    <w:rsid w:val="00C64288"/>
    <w:rsid w:val="00C642C0"/>
    <w:rsid w:val="00C643E3"/>
    <w:rsid w:val="00C643E7"/>
    <w:rsid w:val="00C64599"/>
    <w:rsid w:val="00C6477D"/>
    <w:rsid w:val="00C64820"/>
    <w:rsid w:val="00C64925"/>
    <w:rsid w:val="00C64A11"/>
    <w:rsid w:val="00C64CCB"/>
    <w:rsid w:val="00C64D1C"/>
    <w:rsid w:val="00C64D24"/>
    <w:rsid w:val="00C64F60"/>
    <w:rsid w:val="00C6529E"/>
    <w:rsid w:val="00C6564E"/>
    <w:rsid w:val="00C65767"/>
    <w:rsid w:val="00C659EE"/>
    <w:rsid w:val="00C65B2F"/>
    <w:rsid w:val="00C65D8A"/>
    <w:rsid w:val="00C662B9"/>
    <w:rsid w:val="00C662C0"/>
    <w:rsid w:val="00C6632E"/>
    <w:rsid w:val="00C664D8"/>
    <w:rsid w:val="00C665F2"/>
    <w:rsid w:val="00C667DD"/>
    <w:rsid w:val="00C66926"/>
    <w:rsid w:val="00C66CE1"/>
    <w:rsid w:val="00C66F04"/>
    <w:rsid w:val="00C66F58"/>
    <w:rsid w:val="00C6789D"/>
    <w:rsid w:val="00C67A52"/>
    <w:rsid w:val="00C67FC5"/>
    <w:rsid w:val="00C67FEB"/>
    <w:rsid w:val="00C67FF9"/>
    <w:rsid w:val="00C7009D"/>
    <w:rsid w:val="00C700A5"/>
    <w:rsid w:val="00C702B5"/>
    <w:rsid w:val="00C7049B"/>
    <w:rsid w:val="00C70B09"/>
    <w:rsid w:val="00C70B7F"/>
    <w:rsid w:val="00C70C7C"/>
    <w:rsid w:val="00C70EBB"/>
    <w:rsid w:val="00C70EF4"/>
    <w:rsid w:val="00C710BE"/>
    <w:rsid w:val="00C71167"/>
    <w:rsid w:val="00C7123E"/>
    <w:rsid w:val="00C7125E"/>
    <w:rsid w:val="00C71281"/>
    <w:rsid w:val="00C714F3"/>
    <w:rsid w:val="00C71739"/>
    <w:rsid w:val="00C71B19"/>
    <w:rsid w:val="00C71D25"/>
    <w:rsid w:val="00C71F56"/>
    <w:rsid w:val="00C71F6D"/>
    <w:rsid w:val="00C71F8C"/>
    <w:rsid w:val="00C72596"/>
    <w:rsid w:val="00C7271E"/>
    <w:rsid w:val="00C72A46"/>
    <w:rsid w:val="00C72E30"/>
    <w:rsid w:val="00C73044"/>
    <w:rsid w:val="00C73524"/>
    <w:rsid w:val="00C73652"/>
    <w:rsid w:val="00C7370C"/>
    <w:rsid w:val="00C7381D"/>
    <w:rsid w:val="00C738C2"/>
    <w:rsid w:val="00C73AB0"/>
    <w:rsid w:val="00C73D88"/>
    <w:rsid w:val="00C73E30"/>
    <w:rsid w:val="00C73F7F"/>
    <w:rsid w:val="00C74103"/>
    <w:rsid w:val="00C7410C"/>
    <w:rsid w:val="00C74449"/>
    <w:rsid w:val="00C745CC"/>
    <w:rsid w:val="00C746DC"/>
    <w:rsid w:val="00C74A01"/>
    <w:rsid w:val="00C74CAE"/>
    <w:rsid w:val="00C75077"/>
    <w:rsid w:val="00C75383"/>
    <w:rsid w:val="00C7549F"/>
    <w:rsid w:val="00C755FD"/>
    <w:rsid w:val="00C7587E"/>
    <w:rsid w:val="00C75C0D"/>
    <w:rsid w:val="00C75E86"/>
    <w:rsid w:val="00C761B0"/>
    <w:rsid w:val="00C76352"/>
    <w:rsid w:val="00C76360"/>
    <w:rsid w:val="00C76414"/>
    <w:rsid w:val="00C76684"/>
    <w:rsid w:val="00C76921"/>
    <w:rsid w:val="00C769C0"/>
    <w:rsid w:val="00C76B85"/>
    <w:rsid w:val="00C76C23"/>
    <w:rsid w:val="00C76EAF"/>
    <w:rsid w:val="00C76F35"/>
    <w:rsid w:val="00C76FF1"/>
    <w:rsid w:val="00C7727A"/>
    <w:rsid w:val="00C77284"/>
    <w:rsid w:val="00C773F5"/>
    <w:rsid w:val="00C77503"/>
    <w:rsid w:val="00C77AA6"/>
    <w:rsid w:val="00C77BA3"/>
    <w:rsid w:val="00C77FEA"/>
    <w:rsid w:val="00C8009C"/>
    <w:rsid w:val="00C80122"/>
    <w:rsid w:val="00C801AC"/>
    <w:rsid w:val="00C80297"/>
    <w:rsid w:val="00C80482"/>
    <w:rsid w:val="00C80586"/>
    <w:rsid w:val="00C807AA"/>
    <w:rsid w:val="00C808B9"/>
    <w:rsid w:val="00C8093A"/>
    <w:rsid w:val="00C80B00"/>
    <w:rsid w:val="00C80B5E"/>
    <w:rsid w:val="00C810AD"/>
    <w:rsid w:val="00C8126C"/>
    <w:rsid w:val="00C81306"/>
    <w:rsid w:val="00C813B1"/>
    <w:rsid w:val="00C81778"/>
    <w:rsid w:val="00C819CC"/>
    <w:rsid w:val="00C81A5F"/>
    <w:rsid w:val="00C81D37"/>
    <w:rsid w:val="00C81DE2"/>
    <w:rsid w:val="00C81E62"/>
    <w:rsid w:val="00C82029"/>
    <w:rsid w:val="00C8235C"/>
    <w:rsid w:val="00C82B77"/>
    <w:rsid w:val="00C83045"/>
    <w:rsid w:val="00C830A5"/>
    <w:rsid w:val="00C835B2"/>
    <w:rsid w:val="00C8383F"/>
    <w:rsid w:val="00C83A93"/>
    <w:rsid w:val="00C83B75"/>
    <w:rsid w:val="00C83CA8"/>
    <w:rsid w:val="00C83D10"/>
    <w:rsid w:val="00C83D6D"/>
    <w:rsid w:val="00C83F2E"/>
    <w:rsid w:val="00C83FE2"/>
    <w:rsid w:val="00C840F9"/>
    <w:rsid w:val="00C84380"/>
    <w:rsid w:val="00C84465"/>
    <w:rsid w:val="00C8449C"/>
    <w:rsid w:val="00C84644"/>
    <w:rsid w:val="00C848EE"/>
    <w:rsid w:val="00C8490A"/>
    <w:rsid w:val="00C84A09"/>
    <w:rsid w:val="00C84AA2"/>
    <w:rsid w:val="00C84C73"/>
    <w:rsid w:val="00C84D28"/>
    <w:rsid w:val="00C85254"/>
    <w:rsid w:val="00C85555"/>
    <w:rsid w:val="00C859CC"/>
    <w:rsid w:val="00C85E55"/>
    <w:rsid w:val="00C85F54"/>
    <w:rsid w:val="00C85FC7"/>
    <w:rsid w:val="00C860E3"/>
    <w:rsid w:val="00C861E5"/>
    <w:rsid w:val="00C8630C"/>
    <w:rsid w:val="00C8638E"/>
    <w:rsid w:val="00C86591"/>
    <w:rsid w:val="00C8666B"/>
    <w:rsid w:val="00C867C0"/>
    <w:rsid w:val="00C869AF"/>
    <w:rsid w:val="00C86B2C"/>
    <w:rsid w:val="00C86D3A"/>
    <w:rsid w:val="00C87069"/>
    <w:rsid w:val="00C871C6"/>
    <w:rsid w:val="00C8721F"/>
    <w:rsid w:val="00C87506"/>
    <w:rsid w:val="00C8769F"/>
    <w:rsid w:val="00C87721"/>
    <w:rsid w:val="00C87818"/>
    <w:rsid w:val="00C90048"/>
    <w:rsid w:val="00C9010C"/>
    <w:rsid w:val="00C90625"/>
    <w:rsid w:val="00C90794"/>
    <w:rsid w:val="00C90860"/>
    <w:rsid w:val="00C90DDD"/>
    <w:rsid w:val="00C91127"/>
    <w:rsid w:val="00C9116E"/>
    <w:rsid w:val="00C912A6"/>
    <w:rsid w:val="00C9138E"/>
    <w:rsid w:val="00C91449"/>
    <w:rsid w:val="00C915FE"/>
    <w:rsid w:val="00C91739"/>
    <w:rsid w:val="00C91828"/>
    <w:rsid w:val="00C9182A"/>
    <w:rsid w:val="00C919B3"/>
    <w:rsid w:val="00C92096"/>
    <w:rsid w:val="00C9245D"/>
    <w:rsid w:val="00C9273E"/>
    <w:rsid w:val="00C92E32"/>
    <w:rsid w:val="00C93192"/>
    <w:rsid w:val="00C936FE"/>
    <w:rsid w:val="00C937EA"/>
    <w:rsid w:val="00C9380F"/>
    <w:rsid w:val="00C938F7"/>
    <w:rsid w:val="00C93A2F"/>
    <w:rsid w:val="00C93CB4"/>
    <w:rsid w:val="00C93CBE"/>
    <w:rsid w:val="00C93D8C"/>
    <w:rsid w:val="00C93FF1"/>
    <w:rsid w:val="00C948A7"/>
    <w:rsid w:val="00C94940"/>
    <w:rsid w:val="00C949E9"/>
    <w:rsid w:val="00C94B78"/>
    <w:rsid w:val="00C94F2E"/>
    <w:rsid w:val="00C952B5"/>
    <w:rsid w:val="00C953A2"/>
    <w:rsid w:val="00C9546E"/>
    <w:rsid w:val="00C9593E"/>
    <w:rsid w:val="00C95944"/>
    <w:rsid w:val="00C959FA"/>
    <w:rsid w:val="00C95A31"/>
    <w:rsid w:val="00C95AD2"/>
    <w:rsid w:val="00C95C70"/>
    <w:rsid w:val="00C95D40"/>
    <w:rsid w:val="00C95D61"/>
    <w:rsid w:val="00C95F79"/>
    <w:rsid w:val="00C9626F"/>
    <w:rsid w:val="00C9639D"/>
    <w:rsid w:val="00C963FE"/>
    <w:rsid w:val="00C96A8C"/>
    <w:rsid w:val="00C96DB9"/>
    <w:rsid w:val="00C96EE3"/>
    <w:rsid w:val="00C97032"/>
    <w:rsid w:val="00C970C5"/>
    <w:rsid w:val="00C978DB"/>
    <w:rsid w:val="00C978DD"/>
    <w:rsid w:val="00C97A40"/>
    <w:rsid w:val="00C97ABF"/>
    <w:rsid w:val="00C97B9E"/>
    <w:rsid w:val="00C97EAA"/>
    <w:rsid w:val="00C97EF4"/>
    <w:rsid w:val="00CA0045"/>
    <w:rsid w:val="00CA007F"/>
    <w:rsid w:val="00CA01B9"/>
    <w:rsid w:val="00CA0288"/>
    <w:rsid w:val="00CA02C2"/>
    <w:rsid w:val="00CA0660"/>
    <w:rsid w:val="00CA087F"/>
    <w:rsid w:val="00CA08AB"/>
    <w:rsid w:val="00CA0A3B"/>
    <w:rsid w:val="00CA0D09"/>
    <w:rsid w:val="00CA0D1F"/>
    <w:rsid w:val="00CA0D25"/>
    <w:rsid w:val="00CA0D61"/>
    <w:rsid w:val="00CA0DFA"/>
    <w:rsid w:val="00CA0F7B"/>
    <w:rsid w:val="00CA0FC3"/>
    <w:rsid w:val="00CA1341"/>
    <w:rsid w:val="00CA1468"/>
    <w:rsid w:val="00CA16F8"/>
    <w:rsid w:val="00CA1930"/>
    <w:rsid w:val="00CA1A4F"/>
    <w:rsid w:val="00CA1C64"/>
    <w:rsid w:val="00CA1CDF"/>
    <w:rsid w:val="00CA1D88"/>
    <w:rsid w:val="00CA1E4D"/>
    <w:rsid w:val="00CA1E66"/>
    <w:rsid w:val="00CA2267"/>
    <w:rsid w:val="00CA22C8"/>
    <w:rsid w:val="00CA22DF"/>
    <w:rsid w:val="00CA22E4"/>
    <w:rsid w:val="00CA232C"/>
    <w:rsid w:val="00CA23AF"/>
    <w:rsid w:val="00CA2670"/>
    <w:rsid w:val="00CA2908"/>
    <w:rsid w:val="00CA2B3E"/>
    <w:rsid w:val="00CA2CF5"/>
    <w:rsid w:val="00CA319D"/>
    <w:rsid w:val="00CA3444"/>
    <w:rsid w:val="00CA35A9"/>
    <w:rsid w:val="00CA3761"/>
    <w:rsid w:val="00CA3817"/>
    <w:rsid w:val="00CA396E"/>
    <w:rsid w:val="00CA3A0E"/>
    <w:rsid w:val="00CA3A53"/>
    <w:rsid w:val="00CA3B06"/>
    <w:rsid w:val="00CA3B41"/>
    <w:rsid w:val="00CA3BC5"/>
    <w:rsid w:val="00CA3D41"/>
    <w:rsid w:val="00CA3D47"/>
    <w:rsid w:val="00CA42EB"/>
    <w:rsid w:val="00CA445F"/>
    <w:rsid w:val="00CA460B"/>
    <w:rsid w:val="00CA46D8"/>
    <w:rsid w:val="00CA4A3E"/>
    <w:rsid w:val="00CA4B74"/>
    <w:rsid w:val="00CA4D31"/>
    <w:rsid w:val="00CA4DED"/>
    <w:rsid w:val="00CA4E20"/>
    <w:rsid w:val="00CA4EBA"/>
    <w:rsid w:val="00CA4EDF"/>
    <w:rsid w:val="00CA5041"/>
    <w:rsid w:val="00CA5065"/>
    <w:rsid w:val="00CA53D5"/>
    <w:rsid w:val="00CA53FA"/>
    <w:rsid w:val="00CA5548"/>
    <w:rsid w:val="00CA57F4"/>
    <w:rsid w:val="00CA5926"/>
    <w:rsid w:val="00CA59EA"/>
    <w:rsid w:val="00CA5B02"/>
    <w:rsid w:val="00CA5D99"/>
    <w:rsid w:val="00CA5FAC"/>
    <w:rsid w:val="00CA5FB1"/>
    <w:rsid w:val="00CA62A8"/>
    <w:rsid w:val="00CA62D6"/>
    <w:rsid w:val="00CA63DB"/>
    <w:rsid w:val="00CA63F5"/>
    <w:rsid w:val="00CA6467"/>
    <w:rsid w:val="00CA6888"/>
    <w:rsid w:val="00CA6DD7"/>
    <w:rsid w:val="00CA6E87"/>
    <w:rsid w:val="00CA7952"/>
    <w:rsid w:val="00CA7A04"/>
    <w:rsid w:val="00CA7D1F"/>
    <w:rsid w:val="00CA7DFC"/>
    <w:rsid w:val="00CB028A"/>
    <w:rsid w:val="00CB0419"/>
    <w:rsid w:val="00CB0658"/>
    <w:rsid w:val="00CB0703"/>
    <w:rsid w:val="00CB0953"/>
    <w:rsid w:val="00CB0A37"/>
    <w:rsid w:val="00CB0A4A"/>
    <w:rsid w:val="00CB0D7E"/>
    <w:rsid w:val="00CB1051"/>
    <w:rsid w:val="00CB1199"/>
    <w:rsid w:val="00CB1794"/>
    <w:rsid w:val="00CB17E7"/>
    <w:rsid w:val="00CB183B"/>
    <w:rsid w:val="00CB18B9"/>
    <w:rsid w:val="00CB1E4D"/>
    <w:rsid w:val="00CB1F0D"/>
    <w:rsid w:val="00CB1FA7"/>
    <w:rsid w:val="00CB21C8"/>
    <w:rsid w:val="00CB23E2"/>
    <w:rsid w:val="00CB250D"/>
    <w:rsid w:val="00CB2873"/>
    <w:rsid w:val="00CB2B83"/>
    <w:rsid w:val="00CB2D92"/>
    <w:rsid w:val="00CB2EAA"/>
    <w:rsid w:val="00CB2FEE"/>
    <w:rsid w:val="00CB3180"/>
    <w:rsid w:val="00CB324A"/>
    <w:rsid w:val="00CB3550"/>
    <w:rsid w:val="00CB3618"/>
    <w:rsid w:val="00CB3B35"/>
    <w:rsid w:val="00CB3BBC"/>
    <w:rsid w:val="00CB3E44"/>
    <w:rsid w:val="00CB3FEB"/>
    <w:rsid w:val="00CB4280"/>
    <w:rsid w:val="00CB4636"/>
    <w:rsid w:val="00CB4A6D"/>
    <w:rsid w:val="00CB4AC0"/>
    <w:rsid w:val="00CB4ACE"/>
    <w:rsid w:val="00CB4AFE"/>
    <w:rsid w:val="00CB4BB7"/>
    <w:rsid w:val="00CB4BC9"/>
    <w:rsid w:val="00CB4C5C"/>
    <w:rsid w:val="00CB4DED"/>
    <w:rsid w:val="00CB50C9"/>
    <w:rsid w:val="00CB51A3"/>
    <w:rsid w:val="00CB59E2"/>
    <w:rsid w:val="00CB5B1B"/>
    <w:rsid w:val="00CB5B63"/>
    <w:rsid w:val="00CB5E2E"/>
    <w:rsid w:val="00CB5EF5"/>
    <w:rsid w:val="00CB6157"/>
    <w:rsid w:val="00CB6233"/>
    <w:rsid w:val="00CB626A"/>
    <w:rsid w:val="00CB6472"/>
    <w:rsid w:val="00CB6648"/>
    <w:rsid w:val="00CB67B9"/>
    <w:rsid w:val="00CB67EC"/>
    <w:rsid w:val="00CB68A7"/>
    <w:rsid w:val="00CB69DD"/>
    <w:rsid w:val="00CB6ED5"/>
    <w:rsid w:val="00CB6EF4"/>
    <w:rsid w:val="00CB6F1F"/>
    <w:rsid w:val="00CB6F96"/>
    <w:rsid w:val="00CB6FA5"/>
    <w:rsid w:val="00CB7254"/>
    <w:rsid w:val="00CB742B"/>
    <w:rsid w:val="00CB74D7"/>
    <w:rsid w:val="00CB752A"/>
    <w:rsid w:val="00CB7549"/>
    <w:rsid w:val="00CB771B"/>
    <w:rsid w:val="00CB7859"/>
    <w:rsid w:val="00CB7959"/>
    <w:rsid w:val="00CB79C5"/>
    <w:rsid w:val="00CB7AC3"/>
    <w:rsid w:val="00CB7B65"/>
    <w:rsid w:val="00CB7C5E"/>
    <w:rsid w:val="00CB7C85"/>
    <w:rsid w:val="00CB7EB4"/>
    <w:rsid w:val="00CC0517"/>
    <w:rsid w:val="00CC054C"/>
    <w:rsid w:val="00CC0806"/>
    <w:rsid w:val="00CC086D"/>
    <w:rsid w:val="00CC0BD7"/>
    <w:rsid w:val="00CC0C30"/>
    <w:rsid w:val="00CC0CC4"/>
    <w:rsid w:val="00CC0F57"/>
    <w:rsid w:val="00CC0F74"/>
    <w:rsid w:val="00CC102E"/>
    <w:rsid w:val="00CC1275"/>
    <w:rsid w:val="00CC1282"/>
    <w:rsid w:val="00CC1403"/>
    <w:rsid w:val="00CC1484"/>
    <w:rsid w:val="00CC169D"/>
    <w:rsid w:val="00CC191B"/>
    <w:rsid w:val="00CC19EF"/>
    <w:rsid w:val="00CC1D5E"/>
    <w:rsid w:val="00CC1E4C"/>
    <w:rsid w:val="00CC21DF"/>
    <w:rsid w:val="00CC23CD"/>
    <w:rsid w:val="00CC240B"/>
    <w:rsid w:val="00CC2709"/>
    <w:rsid w:val="00CC2A9E"/>
    <w:rsid w:val="00CC2B56"/>
    <w:rsid w:val="00CC2BF6"/>
    <w:rsid w:val="00CC2D1D"/>
    <w:rsid w:val="00CC2E4E"/>
    <w:rsid w:val="00CC2F16"/>
    <w:rsid w:val="00CC3383"/>
    <w:rsid w:val="00CC3501"/>
    <w:rsid w:val="00CC377D"/>
    <w:rsid w:val="00CC3803"/>
    <w:rsid w:val="00CC3915"/>
    <w:rsid w:val="00CC3983"/>
    <w:rsid w:val="00CC3A71"/>
    <w:rsid w:val="00CC3B74"/>
    <w:rsid w:val="00CC3CC2"/>
    <w:rsid w:val="00CC3DC9"/>
    <w:rsid w:val="00CC419F"/>
    <w:rsid w:val="00CC423A"/>
    <w:rsid w:val="00CC42F0"/>
    <w:rsid w:val="00CC4343"/>
    <w:rsid w:val="00CC4955"/>
    <w:rsid w:val="00CC4CD5"/>
    <w:rsid w:val="00CC4E68"/>
    <w:rsid w:val="00CC4F2D"/>
    <w:rsid w:val="00CC4F97"/>
    <w:rsid w:val="00CC5175"/>
    <w:rsid w:val="00CC52E4"/>
    <w:rsid w:val="00CC544F"/>
    <w:rsid w:val="00CC556B"/>
    <w:rsid w:val="00CC5585"/>
    <w:rsid w:val="00CC58A6"/>
    <w:rsid w:val="00CC592A"/>
    <w:rsid w:val="00CC5E35"/>
    <w:rsid w:val="00CC5ECF"/>
    <w:rsid w:val="00CC6225"/>
    <w:rsid w:val="00CC63A7"/>
    <w:rsid w:val="00CC6446"/>
    <w:rsid w:val="00CC6538"/>
    <w:rsid w:val="00CC6583"/>
    <w:rsid w:val="00CC6588"/>
    <w:rsid w:val="00CC65A9"/>
    <w:rsid w:val="00CC67D3"/>
    <w:rsid w:val="00CC6857"/>
    <w:rsid w:val="00CC68C3"/>
    <w:rsid w:val="00CC6A17"/>
    <w:rsid w:val="00CC6C76"/>
    <w:rsid w:val="00CC6D2C"/>
    <w:rsid w:val="00CC713C"/>
    <w:rsid w:val="00CC7317"/>
    <w:rsid w:val="00CC7480"/>
    <w:rsid w:val="00CC754C"/>
    <w:rsid w:val="00CC75AF"/>
    <w:rsid w:val="00CC767B"/>
    <w:rsid w:val="00CC7BE1"/>
    <w:rsid w:val="00CC7D3F"/>
    <w:rsid w:val="00CC7D64"/>
    <w:rsid w:val="00CC7EA9"/>
    <w:rsid w:val="00CD0060"/>
    <w:rsid w:val="00CD01DB"/>
    <w:rsid w:val="00CD0225"/>
    <w:rsid w:val="00CD0491"/>
    <w:rsid w:val="00CD09A2"/>
    <w:rsid w:val="00CD09AF"/>
    <w:rsid w:val="00CD09E9"/>
    <w:rsid w:val="00CD0A2A"/>
    <w:rsid w:val="00CD0C36"/>
    <w:rsid w:val="00CD10EB"/>
    <w:rsid w:val="00CD1244"/>
    <w:rsid w:val="00CD128B"/>
    <w:rsid w:val="00CD15F8"/>
    <w:rsid w:val="00CD17D2"/>
    <w:rsid w:val="00CD19BC"/>
    <w:rsid w:val="00CD19DC"/>
    <w:rsid w:val="00CD1B0B"/>
    <w:rsid w:val="00CD1C64"/>
    <w:rsid w:val="00CD1CE9"/>
    <w:rsid w:val="00CD1DDE"/>
    <w:rsid w:val="00CD20E6"/>
    <w:rsid w:val="00CD2127"/>
    <w:rsid w:val="00CD22CE"/>
    <w:rsid w:val="00CD240F"/>
    <w:rsid w:val="00CD2838"/>
    <w:rsid w:val="00CD31A5"/>
    <w:rsid w:val="00CD35A3"/>
    <w:rsid w:val="00CD3A3A"/>
    <w:rsid w:val="00CD3B3E"/>
    <w:rsid w:val="00CD3B4A"/>
    <w:rsid w:val="00CD3CD2"/>
    <w:rsid w:val="00CD3D47"/>
    <w:rsid w:val="00CD3E10"/>
    <w:rsid w:val="00CD3EDE"/>
    <w:rsid w:val="00CD407E"/>
    <w:rsid w:val="00CD409B"/>
    <w:rsid w:val="00CD40EB"/>
    <w:rsid w:val="00CD4186"/>
    <w:rsid w:val="00CD42AB"/>
    <w:rsid w:val="00CD4369"/>
    <w:rsid w:val="00CD47C2"/>
    <w:rsid w:val="00CD49AC"/>
    <w:rsid w:val="00CD4B16"/>
    <w:rsid w:val="00CD4DB9"/>
    <w:rsid w:val="00CD4F0D"/>
    <w:rsid w:val="00CD50C0"/>
    <w:rsid w:val="00CD521B"/>
    <w:rsid w:val="00CD53DA"/>
    <w:rsid w:val="00CD544F"/>
    <w:rsid w:val="00CD554D"/>
    <w:rsid w:val="00CD558F"/>
    <w:rsid w:val="00CD573B"/>
    <w:rsid w:val="00CD57AA"/>
    <w:rsid w:val="00CD583B"/>
    <w:rsid w:val="00CD58B5"/>
    <w:rsid w:val="00CD58CD"/>
    <w:rsid w:val="00CD5F86"/>
    <w:rsid w:val="00CD6270"/>
    <w:rsid w:val="00CD64E1"/>
    <w:rsid w:val="00CD6628"/>
    <w:rsid w:val="00CD66F9"/>
    <w:rsid w:val="00CD698D"/>
    <w:rsid w:val="00CD6BB6"/>
    <w:rsid w:val="00CD6BD0"/>
    <w:rsid w:val="00CD6CFB"/>
    <w:rsid w:val="00CD6D2A"/>
    <w:rsid w:val="00CD6DC6"/>
    <w:rsid w:val="00CD6E76"/>
    <w:rsid w:val="00CD6F5B"/>
    <w:rsid w:val="00CD7137"/>
    <w:rsid w:val="00CD71E4"/>
    <w:rsid w:val="00CD736B"/>
    <w:rsid w:val="00CD7686"/>
    <w:rsid w:val="00CD77CF"/>
    <w:rsid w:val="00CD781C"/>
    <w:rsid w:val="00CD7856"/>
    <w:rsid w:val="00CD7C3C"/>
    <w:rsid w:val="00CD7F11"/>
    <w:rsid w:val="00CD7F96"/>
    <w:rsid w:val="00CD7FD0"/>
    <w:rsid w:val="00CE0129"/>
    <w:rsid w:val="00CE01BB"/>
    <w:rsid w:val="00CE0403"/>
    <w:rsid w:val="00CE04AE"/>
    <w:rsid w:val="00CE0524"/>
    <w:rsid w:val="00CE069C"/>
    <w:rsid w:val="00CE06F2"/>
    <w:rsid w:val="00CE08F5"/>
    <w:rsid w:val="00CE0AA3"/>
    <w:rsid w:val="00CE0AD0"/>
    <w:rsid w:val="00CE0C27"/>
    <w:rsid w:val="00CE0D1A"/>
    <w:rsid w:val="00CE0E65"/>
    <w:rsid w:val="00CE0E84"/>
    <w:rsid w:val="00CE0EBF"/>
    <w:rsid w:val="00CE11BF"/>
    <w:rsid w:val="00CE1671"/>
    <w:rsid w:val="00CE16B1"/>
    <w:rsid w:val="00CE17A1"/>
    <w:rsid w:val="00CE181E"/>
    <w:rsid w:val="00CE1853"/>
    <w:rsid w:val="00CE1976"/>
    <w:rsid w:val="00CE1C55"/>
    <w:rsid w:val="00CE1C67"/>
    <w:rsid w:val="00CE1EEB"/>
    <w:rsid w:val="00CE1F02"/>
    <w:rsid w:val="00CE1F8D"/>
    <w:rsid w:val="00CE21D6"/>
    <w:rsid w:val="00CE220A"/>
    <w:rsid w:val="00CE2556"/>
    <w:rsid w:val="00CE257B"/>
    <w:rsid w:val="00CE2B66"/>
    <w:rsid w:val="00CE2C50"/>
    <w:rsid w:val="00CE2E8A"/>
    <w:rsid w:val="00CE30AB"/>
    <w:rsid w:val="00CE32A7"/>
    <w:rsid w:val="00CE34E4"/>
    <w:rsid w:val="00CE35CC"/>
    <w:rsid w:val="00CE37FB"/>
    <w:rsid w:val="00CE398F"/>
    <w:rsid w:val="00CE3A84"/>
    <w:rsid w:val="00CE3B13"/>
    <w:rsid w:val="00CE3B56"/>
    <w:rsid w:val="00CE3BE5"/>
    <w:rsid w:val="00CE3D49"/>
    <w:rsid w:val="00CE3DEE"/>
    <w:rsid w:val="00CE3F31"/>
    <w:rsid w:val="00CE410A"/>
    <w:rsid w:val="00CE4381"/>
    <w:rsid w:val="00CE44B0"/>
    <w:rsid w:val="00CE45DB"/>
    <w:rsid w:val="00CE4879"/>
    <w:rsid w:val="00CE49D9"/>
    <w:rsid w:val="00CE4B56"/>
    <w:rsid w:val="00CE4BB3"/>
    <w:rsid w:val="00CE4DD3"/>
    <w:rsid w:val="00CE4FED"/>
    <w:rsid w:val="00CE50A8"/>
    <w:rsid w:val="00CE50C2"/>
    <w:rsid w:val="00CE52A5"/>
    <w:rsid w:val="00CE52EA"/>
    <w:rsid w:val="00CE53B2"/>
    <w:rsid w:val="00CE5817"/>
    <w:rsid w:val="00CE59AD"/>
    <w:rsid w:val="00CE5C9E"/>
    <w:rsid w:val="00CE60B0"/>
    <w:rsid w:val="00CE61B9"/>
    <w:rsid w:val="00CE6251"/>
    <w:rsid w:val="00CE6258"/>
    <w:rsid w:val="00CE63F7"/>
    <w:rsid w:val="00CE67CD"/>
    <w:rsid w:val="00CE68C8"/>
    <w:rsid w:val="00CE6A47"/>
    <w:rsid w:val="00CE6AC3"/>
    <w:rsid w:val="00CE6B27"/>
    <w:rsid w:val="00CE6E2D"/>
    <w:rsid w:val="00CE6EC2"/>
    <w:rsid w:val="00CE6EED"/>
    <w:rsid w:val="00CE7158"/>
    <w:rsid w:val="00CE715D"/>
    <w:rsid w:val="00CE71D3"/>
    <w:rsid w:val="00CE7224"/>
    <w:rsid w:val="00CE734A"/>
    <w:rsid w:val="00CE749B"/>
    <w:rsid w:val="00CE769B"/>
    <w:rsid w:val="00CE7706"/>
    <w:rsid w:val="00CE7AFD"/>
    <w:rsid w:val="00CE7CC3"/>
    <w:rsid w:val="00CE7CCA"/>
    <w:rsid w:val="00CE7D84"/>
    <w:rsid w:val="00CE7DD2"/>
    <w:rsid w:val="00CF03B9"/>
    <w:rsid w:val="00CF041B"/>
    <w:rsid w:val="00CF05BF"/>
    <w:rsid w:val="00CF05E0"/>
    <w:rsid w:val="00CF081F"/>
    <w:rsid w:val="00CF0C7D"/>
    <w:rsid w:val="00CF12BE"/>
    <w:rsid w:val="00CF17A8"/>
    <w:rsid w:val="00CF17D2"/>
    <w:rsid w:val="00CF1E00"/>
    <w:rsid w:val="00CF1EBD"/>
    <w:rsid w:val="00CF1FA5"/>
    <w:rsid w:val="00CF1FB1"/>
    <w:rsid w:val="00CF2000"/>
    <w:rsid w:val="00CF2166"/>
    <w:rsid w:val="00CF21EB"/>
    <w:rsid w:val="00CF22F1"/>
    <w:rsid w:val="00CF240B"/>
    <w:rsid w:val="00CF25B7"/>
    <w:rsid w:val="00CF2642"/>
    <w:rsid w:val="00CF2784"/>
    <w:rsid w:val="00CF27AA"/>
    <w:rsid w:val="00CF2810"/>
    <w:rsid w:val="00CF28F9"/>
    <w:rsid w:val="00CF295B"/>
    <w:rsid w:val="00CF2B53"/>
    <w:rsid w:val="00CF2BDB"/>
    <w:rsid w:val="00CF2E18"/>
    <w:rsid w:val="00CF2E3A"/>
    <w:rsid w:val="00CF3117"/>
    <w:rsid w:val="00CF31B0"/>
    <w:rsid w:val="00CF3A1F"/>
    <w:rsid w:val="00CF3C3B"/>
    <w:rsid w:val="00CF3D8E"/>
    <w:rsid w:val="00CF42BF"/>
    <w:rsid w:val="00CF45DA"/>
    <w:rsid w:val="00CF461C"/>
    <w:rsid w:val="00CF4A82"/>
    <w:rsid w:val="00CF4DB0"/>
    <w:rsid w:val="00CF501A"/>
    <w:rsid w:val="00CF5112"/>
    <w:rsid w:val="00CF51DF"/>
    <w:rsid w:val="00CF53B6"/>
    <w:rsid w:val="00CF54FB"/>
    <w:rsid w:val="00CF55D6"/>
    <w:rsid w:val="00CF576F"/>
    <w:rsid w:val="00CF57C6"/>
    <w:rsid w:val="00CF59F5"/>
    <w:rsid w:val="00CF5A7C"/>
    <w:rsid w:val="00CF5A86"/>
    <w:rsid w:val="00CF5C35"/>
    <w:rsid w:val="00CF6031"/>
    <w:rsid w:val="00CF6148"/>
    <w:rsid w:val="00CF638C"/>
    <w:rsid w:val="00CF6779"/>
    <w:rsid w:val="00CF68AA"/>
    <w:rsid w:val="00CF6920"/>
    <w:rsid w:val="00CF6D89"/>
    <w:rsid w:val="00CF7101"/>
    <w:rsid w:val="00CF72D0"/>
    <w:rsid w:val="00CF7391"/>
    <w:rsid w:val="00CF754D"/>
    <w:rsid w:val="00CF756D"/>
    <w:rsid w:val="00CF76F9"/>
    <w:rsid w:val="00CF776E"/>
    <w:rsid w:val="00CF7A3C"/>
    <w:rsid w:val="00CF7BB0"/>
    <w:rsid w:val="00CF7C94"/>
    <w:rsid w:val="00CF7E8A"/>
    <w:rsid w:val="00CF7FF4"/>
    <w:rsid w:val="00D004B3"/>
    <w:rsid w:val="00D00770"/>
    <w:rsid w:val="00D007E5"/>
    <w:rsid w:val="00D00A79"/>
    <w:rsid w:val="00D00F28"/>
    <w:rsid w:val="00D00FAB"/>
    <w:rsid w:val="00D0127B"/>
    <w:rsid w:val="00D01627"/>
    <w:rsid w:val="00D0183B"/>
    <w:rsid w:val="00D01BC7"/>
    <w:rsid w:val="00D01C47"/>
    <w:rsid w:val="00D01C4C"/>
    <w:rsid w:val="00D020E9"/>
    <w:rsid w:val="00D0215B"/>
    <w:rsid w:val="00D02199"/>
    <w:rsid w:val="00D02319"/>
    <w:rsid w:val="00D023DD"/>
    <w:rsid w:val="00D02550"/>
    <w:rsid w:val="00D026E0"/>
    <w:rsid w:val="00D028AF"/>
    <w:rsid w:val="00D02CA3"/>
    <w:rsid w:val="00D02DD3"/>
    <w:rsid w:val="00D0302B"/>
    <w:rsid w:val="00D03223"/>
    <w:rsid w:val="00D0322A"/>
    <w:rsid w:val="00D032E5"/>
    <w:rsid w:val="00D0345F"/>
    <w:rsid w:val="00D03677"/>
    <w:rsid w:val="00D03981"/>
    <w:rsid w:val="00D03BFB"/>
    <w:rsid w:val="00D040D1"/>
    <w:rsid w:val="00D042C0"/>
    <w:rsid w:val="00D042EA"/>
    <w:rsid w:val="00D0434E"/>
    <w:rsid w:val="00D0440A"/>
    <w:rsid w:val="00D044D9"/>
    <w:rsid w:val="00D04B80"/>
    <w:rsid w:val="00D04CA6"/>
    <w:rsid w:val="00D04CBA"/>
    <w:rsid w:val="00D04EBB"/>
    <w:rsid w:val="00D04EC1"/>
    <w:rsid w:val="00D04F0E"/>
    <w:rsid w:val="00D05581"/>
    <w:rsid w:val="00D055C8"/>
    <w:rsid w:val="00D05751"/>
    <w:rsid w:val="00D0589C"/>
    <w:rsid w:val="00D05DF6"/>
    <w:rsid w:val="00D05F53"/>
    <w:rsid w:val="00D060C5"/>
    <w:rsid w:val="00D061C5"/>
    <w:rsid w:val="00D061FA"/>
    <w:rsid w:val="00D066F8"/>
    <w:rsid w:val="00D06846"/>
    <w:rsid w:val="00D06997"/>
    <w:rsid w:val="00D06BEA"/>
    <w:rsid w:val="00D06E0D"/>
    <w:rsid w:val="00D06EF1"/>
    <w:rsid w:val="00D07127"/>
    <w:rsid w:val="00D074E3"/>
    <w:rsid w:val="00D076B7"/>
    <w:rsid w:val="00D07C80"/>
    <w:rsid w:val="00D10448"/>
    <w:rsid w:val="00D10972"/>
    <w:rsid w:val="00D10A4C"/>
    <w:rsid w:val="00D10B1D"/>
    <w:rsid w:val="00D10D59"/>
    <w:rsid w:val="00D10D85"/>
    <w:rsid w:val="00D10E98"/>
    <w:rsid w:val="00D11089"/>
    <w:rsid w:val="00D1115C"/>
    <w:rsid w:val="00D113CF"/>
    <w:rsid w:val="00D115B5"/>
    <w:rsid w:val="00D1167C"/>
    <w:rsid w:val="00D1171A"/>
    <w:rsid w:val="00D118C7"/>
    <w:rsid w:val="00D11AF6"/>
    <w:rsid w:val="00D11C33"/>
    <w:rsid w:val="00D11ED2"/>
    <w:rsid w:val="00D11ED3"/>
    <w:rsid w:val="00D1225F"/>
    <w:rsid w:val="00D1234B"/>
    <w:rsid w:val="00D123AC"/>
    <w:rsid w:val="00D12517"/>
    <w:rsid w:val="00D12A19"/>
    <w:rsid w:val="00D12AB5"/>
    <w:rsid w:val="00D12AF5"/>
    <w:rsid w:val="00D12B94"/>
    <w:rsid w:val="00D12C00"/>
    <w:rsid w:val="00D12CC1"/>
    <w:rsid w:val="00D12D9D"/>
    <w:rsid w:val="00D12F48"/>
    <w:rsid w:val="00D12F4D"/>
    <w:rsid w:val="00D130B6"/>
    <w:rsid w:val="00D13133"/>
    <w:rsid w:val="00D13157"/>
    <w:rsid w:val="00D13216"/>
    <w:rsid w:val="00D132CB"/>
    <w:rsid w:val="00D1361F"/>
    <w:rsid w:val="00D13679"/>
    <w:rsid w:val="00D136E7"/>
    <w:rsid w:val="00D13987"/>
    <w:rsid w:val="00D13A65"/>
    <w:rsid w:val="00D13CB0"/>
    <w:rsid w:val="00D13D71"/>
    <w:rsid w:val="00D13E1D"/>
    <w:rsid w:val="00D13F97"/>
    <w:rsid w:val="00D1422F"/>
    <w:rsid w:val="00D142DA"/>
    <w:rsid w:val="00D142E8"/>
    <w:rsid w:val="00D144DD"/>
    <w:rsid w:val="00D14793"/>
    <w:rsid w:val="00D1486E"/>
    <w:rsid w:val="00D14938"/>
    <w:rsid w:val="00D14B4F"/>
    <w:rsid w:val="00D14CF8"/>
    <w:rsid w:val="00D14D21"/>
    <w:rsid w:val="00D14D43"/>
    <w:rsid w:val="00D14E71"/>
    <w:rsid w:val="00D14EA8"/>
    <w:rsid w:val="00D14F1E"/>
    <w:rsid w:val="00D14FA9"/>
    <w:rsid w:val="00D15094"/>
    <w:rsid w:val="00D15101"/>
    <w:rsid w:val="00D1545C"/>
    <w:rsid w:val="00D155EC"/>
    <w:rsid w:val="00D157BF"/>
    <w:rsid w:val="00D15941"/>
    <w:rsid w:val="00D15AD2"/>
    <w:rsid w:val="00D15BB5"/>
    <w:rsid w:val="00D15BEB"/>
    <w:rsid w:val="00D15C20"/>
    <w:rsid w:val="00D15C51"/>
    <w:rsid w:val="00D15CE0"/>
    <w:rsid w:val="00D15CE3"/>
    <w:rsid w:val="00D15F40"/>
    <w:rsid w:val="00D15FE7"/>
    <w:rsid w:val="00D1601C"/>
    <w:rsid w:val="00D160C9"/>
    <w:rsid w:val="00D162F2"/>
    <w:rsid w:val="00D167D3"/>
    <w:rsid w:val="00D16B49"/>
    <w:rsid w:val="00D16CE2"/>
    <w:rsid w:val="00D16CFB"/>
    <w:rsid w:val="00D16DCD"/>
    <w:rsid w:val="00D16FB6"/>
    <w:rsid w:val="00D17093"/>
    <w:rsid w:val="00D17153"/>
    <w:rsid w:val="00D17209"/>
    <w:rsid w:val="00D17238"/>
    <w:rsid w:val="00D17247"/>
    <w:rsid w:val="00D17344"/>
    <w:rsid w:val="00D17466"/>
    <w:rsid w:val="00D17492"/>
    <w:rsid w:val="00D17BFB"/>
    <w:rsid w:val="00D17C98"/>
    <w:rsid w:val="00D17CDC"/>
    <w:rsid w:val="00D17D5C"/>
    <w:rsid w:val="00D17DDF"/>
    <w:rsid w:val="00D17E73"/>
    <w:rsid w:val="00D20044"/>
    <w:rsid w:val="00D20179"/>
    <w:rsid w:val="00D203D9"/>
    <w:rsid w:val="00D2057F"/>
    <w:rsid w:val="00D20722"/>
    <w:rsid w:val="00D20B3C"/>
    <w:rsid w:val="00D20C69"/>
    <w:rsid w:val="00D20F35"/>
    <w:rsid w:val="00D21171"/>
    <w:rsid w:val="00D215DF"/>
    <w:rsid w:val="00D21930"/>
    <w:rsid w:val="00D2194C"/>
    <w:rsid w:val="00D21C67"/>
    <w:rsid w:val="00D21CB7"/>
    <w:rsid w:val="00D21DC7"/>
    <w:rsid w:val="00D21E2F"/>
    <w:rsid w:val="00D21E52"/>
    <w:rsid w:val="00D21FAB"/>
    <w:rsid w:val="00D21FAF"/>
    <w:rsid w:val="00D22039"/>
    <w:rsid w:val="00D22134"/>
    <w:rsid w:val="00D22185"/>
    <w:rsid w:val="00D22208"/>
    <w:rsid w:val="00D22720"/>
    <w:rsid w:val="00D22939"/>
    <w:rsid w:val="00D22A86"/>
    <w:rsid w:val="00D22C8B"/>
    <w:rsid w:val="00D22CCF"/>
    <w:rsid w:val="00D22E83"/>
    <w:rsid w:val="00D230FB"/>
    <w:rsid w:val="00D23106"/>
    <w:rsid w:val="00D2340B"/>
    <w:rsid w:val="00D23532"/>
    <w:rsid w:val="00D2358D"/>
    <w:rsid w:val="00D2361D"/>
    <w:rsid w:val="00D23C35"/>
    <w:rsid w:val="00D23CE9"/>
    <w:rsid w:val="00D23CED"/>
    <w:rsid w:val="00D23EB0"/>
    <w:rsid w:val="00D23ED4"/>
    <w:rsid w:val="00D23F21"/>
    <w:rsid w:val="00D2428F"/>
    <w:rsid w:val="00D24290"/>
    <w:rsid w:val="00D242C6"/>
    <w:rsid w:val="00D243A4"/>
    <w:rsid w:val="00D245B9"/>
    <w:rsid w:val="00D24679"/>
    <w:rsid w:val="00D2481E"/>
    <w:rsid w:val="00D2485D"/>
    <w:rsid w:val="00D248BD"/>
    <w:rsid w:val="00D24951"/>
    <w:rsid w:val="00D24AE1"/>
    <w:rsid w:val="00D24B65"/>
    <w:rsid w:val="00D24D4F"/>
    <w:rsid w:val="00D25077"/>
    <w:rsid w:val="00D25151"/>
    <w:rsid w:val="00D2519B"/>
    <w:rsid w:val="00D25232"/>
    <w:rsid w:val="00D255AA"/>
    <w:rsid w:val="00D255F5"/>
    <w:rsid w:val="00D256D7"/>
    <w:rsid w:val="00D2584C"/>
    <w:rsid w:val="00D25992"/>
    <w:rsid w:val="00D25A4F"/>
    <w:rsid w:val="00D25B52"/>
    <w:rsid w:val="00D260B5"/>
    <w:rsid w:val="00D261CC"/>
    <w:rsid w:val="00D2623E"/>
    <w:rsid w:val="00D26341"/>
    <w:rsid w:val="00D2677B"/>
    <w:rsid w:val="00D2696A"/>
    <w:rsid w:val="00D26ED3"/>
    <w:rsid w:val="00D27124"/>
    <w:rsid w:val="00D27204"/>
    <w:rsid w:val="00D278C8"/>
    <w:rsid w:val="00D27C58"/>
    <w:rsid w:val="00D27C65"/>
    <w:rsid w:val="00D27D9A"/>
    <w:rsid w:val="00D2ABD5"/>
    <w:rsid w:val="00D300FD"/>
    <w:rsid w:val="00D30355"/>
    <w:rsid w:val="00D30363"/>
    <w:rsid w:val="00D3068D"/>
    <w:rsid w:val="00D30768"/>
    <w:rsid w:val="00D30781"/>
    <w:rsid w:val="00D30883"/>
    <w:rsid w:val="00D309B7"/>
    <w:rsid w:val="00D30A53"/>
    <w:rsid w:val="00D30ABC"/>
    <w:rsid w:val="00D30BC7"/>
    <w:rsid w:val="00D30BFB"/>
    <w:rsid w:val="00D30D2B"/>
    <w:rsid w:val="00D30DAB"/>
    <w:rsid w:val="00D30E84"/>
    <w:rsid w:val="00D30F4F"/>
    <w:rsid w:val="00D31175"/>
    <w:rsid w:val="00D31314"/>
    <w:rsid w:val="00D313B4"/>
    <w:rsid w:val="00D317CC"/>
    <w:rsid w:val="00D31903"/>
    <w:rsid w:val="00D31AEE"/>
    <w:rsid w:val="00D31C31"/>
    <w:rsid w:val="00D31CA4"/>
    <w:rsid w:val="00D31DF4"/>
    <w:rsid w:val="00D31E6E"/>
    <w:rsid w:val="00D31F4D"/>
    <w:rsid w:val="00D31FB1"/>
    <w:rsid w:val="00D32028"/>
    <w:rsid w:val="00D320F1"/>
    <w:rsid w:val="00D32169"/>
    <w:rsid w:val="00D325E7"/>
    <w:rsid w:val="00D329D1"/>
    <w:rsid w:val="00D32A8D"/>
    <w:rsid w:val="00D32B45"/>
    <w:rsid w:val="00D32BB7"/>
    <w:rsid w:val="00D32C2D"/>
    <w:rsid w:val="00D32DA0"/>
    <w:rsid w:val="00D32E8A"/>
    <w:rsid w:val="00D32F17"/>
    <w:rsid w:val="00D32F40"/>
    <w:rsid w:val="00D32F5B"/>
    <w:rsid w:val="00D334C8"/>
    <w:rsid w:val="00D33B19"/>
    <w:rsid w:val="00D33B26"/>
    <w:rsid w:val="00D33CD6"/>
    <w:rsid w:val="00D33DFA"/>
    <w:rsid w:val="00D34114"/>
    <w:rsid w:val="00D343CE"/>
    <w:rsid w:val="00D346DB"/>
    <w:rsid w:val="00D3480E"/>
    <w:rsid w:val="00D34830"/>
    <w:rsid w:val="00D348B2"/>
    <w:rsid w:val="00D349A6"/>
    <w:rsid w:val="00D349F1"/>
    <w:rsid w:val="00D349F9"/>
    <w:rsid w:val="00D34B2E"/>
    <w:rsid w:val="00D34D53"/>
    <w:rsid w:val="00D34DF3"/>
    <w:rsid w:val="00D34F74"/>
    <w:rsid w:val="00D350B0"/>
    <w:rsid w:val="00D355B8"/>
    <w:rsid w:val="00D356B1"/>
    <w:rsid w:val="00D358C7"/>
    <w:rsid w:val="00D35B2F"/>
    <w:rsid w:val="00D35E45"/>
    <w:rsid w:val="00D35F72"/>
    <w:rsid w:val="00D36113"/>
    <w:rsid w:val="00D3631D"/>
    <w:rsid w:val="00D3643E"/>
    <w:rsid w:val="00D3645D"/>
    <w:rsid w:val="00D36591"/>
    <w:rsid w:val="00D36692"/>
    <w:rsid w:val="00D366FD"/>
    <w:rsid w:val="00D36842"/>
    <w:rsid w:val="00D36BC8"/>
    <w:rsid w:val="00D36C9A"/>
    <w:rsid w:val="00D36D91"/>
    <w:rsid w:val="00D3709D"/>
    <w:rsid w:val="00D373E8"/>
    <w:rsid w:val="00D377DB"/>
    <w:rsid w:val="00D378DD"/>
    <w:rsid w:val="00D37B00"/>
    <w:rsid w:val="00D37B56"/>
    <w:rsid w:val="00D37BC9"/>
    <w:rsid w:val="00D37C37"/>
    <w:rsid w:val="00D37C9F"/>
    <w:rsid w:val="00D37D02"/>
    <w:rsid w:val="00D37DA7"/>
    <w:rsid w:val="00D37EF3"/>
    <w:rsid w:val="00D401B4"/>
    <w:rsid w:val="00D40247"/>
    <w:rsid w:val="00D4044D"/>
    <w:rsid w:val="00D404AC"/>
    <w:rsid w:val="00D40883"/>
    <w:rsid w:val="00D40DF2"/>
    <w:rsid w:val="00D4104E"/>
    <w:rsid w:val="00D4105C"/>
    <w:rsid w:val="00D41105"/>
    <w:rsid w:val="00D41211"/>
    <w:rsid w:val="00D41556"/>
    <w:rsid w:val="00D41642"/>
    <w:rsid w:val="00D4174B"/>
    <w:rsid w:val="00D41B77"/>
    <w:rsid w:val="00D41E23"/>
    <w:rsid w:val="00D4218C"/>
    <w:rsid w:val="00D42302"/>
    <w:rsid w:val="00D423D6"/>
    <w:rsid w:val="00D42841"/>
    <w:rsid w:val="00D42861"/>
    <w:rsid w:val="00D428A5"/>
    <w:rsid w:val="00D42A40"/>
    <w:rsid w:val="00D42CEC"/>
    <w:rsid w:val="00D42DA7"/>
    <w:rsid w:val="00D42F56"/>
    <w:rsid w:val="00D430B7"/>
    <w:rsid w:val="00D430C8"/>
    <w:rsid w:val="00D43118"/>
    <w:rsid w:val="00D431A7"/>
    <w:rsid w:val="00D431C8"/>
    <w:rsid w:val="00D431D8"/>
    <w:rsid w:val="00D43691"/>
    <w:rsid w:val="00D436A9"/>
    <w:rsid w:val="00D436EB"/>
    <w:rsid w:val="00D4370A"/>
    <w:rsid w:val="00D43972"/>
    <w:rsid w:val="00D43B39"/>
    <w:rsid w:val="00D440B6"/>
    <w:rsid w:val="00D4417F"/>
    <w:rsid w:val="00D441C8"/>
    <w:rsid w:val="00D4439F"/>
    <w:rsid w:val="00D44417"/>
    <w:rsid w:val="00D444D7"/>
    <w:rsid w:val="00D44708"/>
    <w:rsid w:val="00D44739"/>
    <w:rsid w:val="00D447F0"/>
    <w:rsid w:val="00D44A4F"/>
    <w:rsid w:val="00D44BF2"/>
    <w:rsid w:val="00D44DF3"/>
    <w:rsid w:val="00D4539F"/>
    <w:rsid w:val="00D4564E"/>
    <w:rsid w:val="00D456A4"/>
    <w:rsid w:val="00D45940"/>
    <w:rsid w:val="00D45A16"/>
    <w:rsid w:val="00D45DA6"/>
    <w:rsid w:val="00D45DD3"/>
    <w:rsid w:val="00D45F35"/>
    <w:rsid w:val="00D46075"/>
    <w:rsid w:val="00D460D5"/>
    <w:rsid w:val="00D4613B"/>
    <w:rsid w:val="00D46781"/>
    <w:rsid w:val="00D468E1"/>
    <w:rsid w:val="00D46947"/>
    <w:rsid w:val="00D46A3E"/>
    <w:rsid w:val="00D46B70"/>
    <w:rsid w:val="00D46BBA"/>
    <w:rsid w:val="00D46ECA"/>
    <w:rsid w:val="00D473B5"/>
    <w:rsid w:val="00D47511"/>
    <w:rsid w:val="00D47604"/>
    <w:rsid w:val="00D477E7"/>
    <w:rsid w:val="00D47D34"/>
    <w:rsid w:val="00D47DB0"/>
    <w:rsid w:val="00D50169"/>
    <w:rsid w:val="00D50241"/>
    <w:rsid w:val="00D50BF5"/>
    <w:rsid w:val="00D50CDE"/>
    <w:rsid w:val="00D50E70"/>
    <w:rsid w:val="00D50F94"/>
    <w:rsid w:val="00D51081"/>
    <w:rsid w:val="00D51219"/>
    <w:rsid w:val="00D51280"/>
    <w:rsid w:val="00D51421"/>
    <w:rsid w:val="00D5142F"/>
    <w:rsid w:val="00D5166C"/>
    <w:rsid w:val="00D51712"/>
    <w:rsid w:val="00D5174A"/>
    <w:rsid w:val="00D517C2"/>
    <w:rsid w:val="00D517D5"/>
    <w:rsid w:val="00D51B2B"/>
    <w:rsid w:val="00D51EEA"/>
    <w:rsid w:val="00D51F50"/>
    <w:rsid w:val="00D51F64"/>
    <w:rsid w:val="00D52074"/>
    <w:rsid w:val="00D52222"/>
    <w:rsid w:val="00D5241B"/>
    <w:rsid w:val="00D524FC"/>
    <w:rsid w:val="00D5274F"/>
    <w:rsid w:val="00D529E2"/>
    <w:rsid w:val="00D52A3F"/>
    <w:rsid w:val="00D52BA2"/>
    <w:rsid w:val="00D53016"/>
    <w:rsid w:val="00D53312"/>
    <w:rsid w:val="00D53464"/>
    <w:rsid w:val="00D534C1"/>
    <w:rsid w:val="00D5351D"/>
    <w:rsid w:val="00D535C8"/>
    <w:rsid w:val="00D53826"/>
    <w:rsid w:val="00D53A88"/>
    <w:rsid w:val="00D53DB3"/>
    <w:rsid w:val="00D5409F"/>
    <w:rsid w:val="00D54193"/>
    <w:rsid w:val="00D541A8"/>
    <w:rsid w:val="00D54245"/>
    <w:rsid w:val="00D543FB"/>
    <w:rsid w:val="00D544D4"/>
    <w:rsid w:val="00D5463E"/>
    <w:rsid w:val="00D54692"/>
    <w:rsid w:val="00D54C03"/>
    <w:rsid w:val="00D54C0A"/>
    <w:rsid w:val="00D54DA2"/>
    <w:rsid w:val="00D5507C"/>
    <w:rsid w:val="00D550B1"/>
    <w:rsid w:val="00D55153"/>
    <w:rsid w:val="00D5578C"/>
    <w:rsid w:val="00D557A2"/>
    <w:rsid w:val="00D55A55"/>
    <w:rsid w:val="00D55B5B"/>
    <w:rsid w:val="00D55B6B"/>
    <w:rsid w:val="00D55EAD"/>
    <w:rsid w:val="00D5607F"/>
    <w:rsid w:val="00D560C3"/>
    <w:rsid w:val="00D565CB"/>
    <w:rsid w:val="00D5662D"/>
    <w:rsid w:val="00D567E4"/>
    <w:rsid w:val="00D568E0"/>
    <w:rsid w:val="00D569F7"/>
    <w:rsid w:val="00D56A85"/>
    <w:rsid w:val="00D56EB0"/>
    <w:rsid w:val="00D56ED4"/>
    <w:rsid w:val="00D570CB"/>
    <w:rsid w:val="00D57108"/>
    <w:rsid w:val="00D573BB"/>
    <w:rsid w:val="00D574A0"/>
    <w:rsid w:val="00D57B59"/>
    <w:rsid w:val="00D57C58"/>
    <w:rsid w:val="00D57F54"/>
    <w:rsid w:val="00D6014E"/>
    <w:rsid w:val="00D601B8"/>
    <w:rsid w:val="00D60308"/>
    <w:rsid w:val="00D6037E"/>
    <w:rsid w:val="00D60434"/>
    <w:rsid w:val="00D60716"/>
    <w:rsid w:val="00D60811"/>
    <w:rsid w:val="00D60D87"/>
    <w:rsid w:val="00D60DC6"/>
    <w:rsid w:val="00D60E9D"/>
    <w:rsid w:val="00D60EE9"/>
    <w:rsid w:val="00D60FC8"/>
    <w:rsid w:val="00D6143B"/>
    <w:rsid w:val="00D614CB"/>
    <w:rsid w:val="00D61A6C"/>
    <w:rsid w:val="00D61DF7"/>
    <w:rsid w:val="00D61E88"/>
    <w:rsid w:val="00D62045"/>
    <w:rsid w:val="00D621F0"/>
    <w:rsid w:val="00D6226A"/>
    <w:rsid w:val="00D622B3"/>
    <w:rsid w:val="00D6239E"/>
    <w:rsid w:val="00D624EC"/>
    <w:rsid w:val="00D62673"/>
    <w:rsid w:val="00D62AE8"/>
    <w:rsid w:val="00D62B35"/>
    <w:rsid w:val="00D62B97"/>
    <w:rsid w:val="00D62BA7"/>
    <w:rsid w:val="00D62C67"/>
    <w:rsid w:val="00D62D57"/>
    <w:rsid w:val="00D62DD1"/>
    <w:rsid w:val="00D62E83"/>
    <w:rsid w:val="00D631BA"/>
    <w:rsid w:val="00D63692"/>
    <w:rsid w:val="00D63705"/>
    <w:rsid w:val="00D6377A"/>
    <w:rsid w:val="00D638AF"/>
    <w:rsid w:val="00D63AF0"/>
    <w:rsid w:val="00D63DDD"/>
    <w:rsid w:val="00D63E64"/>
    <w:rsid w:val="00D63EA7"/>
    <w:rsid w:val="00D63EF3"/>
    <w:rsid w:val="00D64158"/>
    <w:rsid w:val="00D641BD"/>
    <w:rsid w:val="00D64238"/>
    <w:rsid w:val="00D64414"/>
    <w:rsid w:val="00D64507"/>
    <w:rsid w:val="00D64749"/>
    <w:rsid w:val="00D647DE"/>
    <w:rsid w:val="00D6488B"/>
    <w:rsid w:val="00D6495A"/>
    <w:rsid w:val="00D649ED"/>
    <w:rsid w:val="00D64BB0"/>
    <w:rsid w:val="00D64C88"/>
    <w:rsid w:val="00D64FA1"/>
    <w:rsid w:val="00D64FED"/>
    <w:rsid w:val="00D6502E"/>
    <w:rsid w:val="00D65148"/>
    <w:rsid w:val="00D6552A"/>
    <w:rsid w:val="00D65578"/>
    <w:rsid w:val="00D65669"/>
    <w:rsid w:val="00D656AC"/>
    <w:rsid w:val="00D657A8"/>
    <w:rsid w:val="00D657F6"/>
    <w:rsid w:val="00D65BBF"/>
    <w:rsid w:val="00D65E20"/>
    <w:rsid w:val="00D65FB5"/>
    <w:rsid w:val="00D6623E"/>
    <w:rsid w:val="00D6630F"/>
    <w:rsid w:val="00D666C1"/>
    <w:rsid w:val="00D667DA"/>
    <w:rsid w:val="00D66858"/>
    <w:rsid w:val="00D66A1B"/>
    <w:rsid w:val="00D66DD7"/>
    <w:rsid w:val="00D66FBF"/>
    <w:rsid w:val="00D66FE4"/>
    <w:rsid w:val="00D673B9"/>
    <w:rsid w:val="00D67735"/>
    <w:rsid w:val="00D678C7"/>
    <w:rsid w:val="00D67924"/>
    <w:rsid w:val="00D67B41"/>
    <w:rsid w:val="00D67EC2"/>
    <w:rsid w:val="00D70641"/>
    <w:rsid w:val="00D7074C"/>
    <w:rsid w:val="00D7083C"/>
    <w:rsid w:val="00D70B77"/>
    <w:rsid w:val="00D70E6E"/>
    <w:rsid w:val="00D7112B"/>
    <w:rsid w:val="00D71501"/>
    <w:rsid w:val="00D71509"/>
    <w:rsid w:val="00D7163D"/>
    <w:rsid w:val="00D71693"/>
    <w:rsid w:val="00D7194A"/>
    <w:rsid w:val="00D71A2A"/>
    <w:rsid w:val="00D71CC3"/>
    <w:rsid w:val="00D71D88"/>
    <w:rsid w:val="00D71DA7"/>
    <w:rsid w:val="00D721DD"/>
    <w:rsid w:val="00D724C5"/>
    <w:rsid w:val="00D72501"/>
    <w:rsid w:val="00D72FB7"/>
    <w:rsid w:val="00D733AB"/>
    <w:rsid w:val="00D733CA"/>
    <w:rsid w:val="00D73435"/>
    <w:rsid w:val="00D7346F"/>
    <w:rsid w:val="00D735E1"/>
    <w:rsid w:val="00D736FA"/>
    <w:rsid w:val="00D73718"/>
    <w:rsid w:val="00D73C2E"/>
    <w:rsid w:val="00D73C4B"/>
    <w:rsid w:val="00D73DAB"/>
    <w:rsid w:val="00D73DC3"/>
    <w:rsid w:val="00D73E42"/>
    <w:rsid w:val="00D740E7"/>
    <w:rsid w:val="00D7442C"/>
    <w:rsid w:val="00D7442D"/>
    <w:rsid w:val="00D74496"/>
    <w:rsid w:val="00D7452E"/>
    <w:rsid w:val="00D745E5"/>
    <w:rsid w:val="00D7480A"/>
    <w:rsid w:val="00D74949"/>
    <w:rsid w:val="00D7497C"/>
    <w:rsid w:val="00D74A21"/>
    <w:rsid w:val="00D74AA7"/>
    <w:rsid w:val="00D74CE3"/>
    <w:rsid w:val="00D74D5C"/>
    <w:rsid w:val="00D75021"/>
    <w:rsid w:val="00D75031"/>
    <w:rsid w:val="00D75164"/>
    <w:rsid w:val="00D75187"/>
    <w:rsid w:val="00D75285"/>
    <w:rsid w:val="00D754E4"/>
    <w:rsid w:val="00D754FF"/>
    <w:rsid w:val="00D7588A"/>
    <w:rsid w:val="00D75AA3"/>
    <w:rsid w:val="00D75BE7"/>
    <w:rsid w:val="00D75FB4"/>
    <w:rsid w:val="00D760BF"/>
    <w:rsid w:val="00D760C1"/>
    <w:rsid w:val="00D761EF"/>
    <w:rsid w:val="00D76429"/>
    <w:rsid w:val="00D76448"/>
    <w:rsid w:val="00D7645E"/>
    <w:rsid w:val="00D76477"/>
    <w:rsid w:val="00D764C0"/>
    <w:rsid w:val="00D767BD"/>
    <w:rsid w:val="00D770C5"/>
    <w:rsid w:val="00D77350"/>
    <w:rsid w:val="00D773A8"/>
    <w:rsid w:val="00D775A5"/>
    <w:rsid w:val="00D77787"/>
    <w:rsid w:val="00D777D1"/>
    <w:rsid w:val="00D77926"/>
    <w:rsid w:val="00D77996"/>
    <w:rsid w:val="00D779D7"/>
    <w:rsid w:val="00D77BF4"/>
    <w:rsid w:val="00D77F31"/>
    <w:rsid w:val="00D77F72"/>
    <w:rsid w:val="00D8002F"/>
    <w:rsid w:val="00D80069"/>
    <w:rsid w:val="00D80080"/>
    <w:rsid w:val="00D803B6"/>
    <w:rsid w:val="00D80447"/>
    <w:rsid w:val="00D80560"/>
    <w:rsid w:val="00D80BA4"/>
    <w:rsid w:val="00D80C4E"/>
    <w:rsid w:val="00D80C6C"/>
    <w:rsid w:val="00D81270"/>
    <w:rsid w:val="00D81352"/>
    <w:rsid w:val="00D814BC"/>
    <w:rsid w:val="00D814EC"/>
    <w:rsid w:val="00D81641"/>
    <w:rsid w:val="00D81683"/>
    <w:rsid w:val="00D816F6"/>
    <w:rsid w:val="00D817D8"/>
    <w:rsid w:val="00D817E0"/>
    <w:rsid w:val="00D81824"/>
    <w:rsid w:val="00D81A63"/>
    <w:rsid w:val="00D81AD0"/>
    <w:rsid w:val="00D81BA2"/>
    <w:rsid w:val="00D81EB8"/>
    <w:rsid w:val="00D8236E"/>
    <w:rsid w:val="00D82853"/>
    <w:rsid w:val="00D82A5E"/>
    <w:rsid w:val="00D82B29"/>
    <w:rsid w:val="00D82C9F"/>
    <w:rsid w:val="00D82FAD"/>
    <w:rsid w:val="00D8323E"/>
    <w:rsid w:val="00D83268"/>
    <w:rsid w:val="00D8336F"/>
    <w:rsid w:val="00D8347D"/>
    <w:rsid w:val="00D836B6"/>
    <w:rsid w:val="00D83764"/>
    <w:rsid w:val="00D8388B"/>
    <w:rsid w:val="00D8389D"/>
    <w:rsid w:val="00D83A61"/>
    <w:rsid w:val="00D83AAE"/>
    <w:rsid w:val="00D844B9"/>
    <w:rsid w:val="00D844CC"/>
    <w:rsid w:val="00D8468D"/>
    <w:rsid w:val="00D84EB4"/>
    <w:rsid w:val="00D84EF4"/>
    <w:rsid w:val="00D8514A"/>
    <w:rsid w:val="00D85437"/>
    <w:rsid w:val="00D8558B"/>
    <w:rsid w:val="00D8559E"/>
    <w:rsid w:val="00D8571B"/>
    <w:rsid w:val="00D85EEB"/>
    <w:rsid w:val="00D85F97"/>
    <w:rsid w:val="00D86140"/>
    <w:rsid w:val="00D861A9"/>
    <w:rsid w:val="00D861F3"/>
    <w:rsid w:val="00D86293"/>
    <w:rsid w:val="00D86407"/>
    <w:rsid w:val="00D866AF"/>
    <w:rsid w:val="00D868BD"/>
    <w:rsid w:val="00D868C4"/>
    <w:rsid w:val="00D86B79"/>
    <w:rsid w:val="00D86E78"/>
    <w:rsid w:val="00D86EEC"/>
    <w:rsid w:val="00D8710C"/>
    <w:rsid w:val="00D87204"/>
    <w:rsid w:val="00D87358"/>
    <w:rsid w:val="00D875F4"/>
    <w:rsid w:val="00D8766C"/>
    <w:rsid w:val="00D876F8"/>
    <w:rsid w:val="00D877C5"/>
    <w:rsid w:val="00D87823"/>
    <w:rsid w:val="00D87BF6"/>
    <w:rsid w:val="00D87EA3"/>
    <w:rsid w:val="00D87EAB"/>
    <w:rsid w:val="00D901F1"/>
    <w:rsid w:val="00D9031F"/>
    <w:rsid w:val="00D9053A"/>
    <w:rsid w:val="00D9061A"/>
    <w:rsid w:val="00D90719"/>
    <w:rsid w:val="00D90872"/>
    <w:rsid w:val="00D9088D"/>
    <w:rsid w:val="00D908C3"/>
    <w:rsid w:val="00D90978"/>
    <w:rsid w:val="00D90A12"/>
    <w:rsid w:val="00D90AEF"/>
    <w:rsid w:val="00D90BE9"/>
    <w:rsid w:val="00D91306"/>
    <w:rsid w:val="00D9141E"/>
    <w:rsid w:val="00D91481"/>
    <w:rsid w:val="00D91614"/>
    <w:rsid w:val="00D918F6"/>
    <w:rsid w:val="00D91A1B"/>
    <w:rsid w:val="00D91BF6"/>
    <w:rsid w:val="00D91D95"/>
    <w:rsid w:val="00D91E85"/>
    <w:rsid w:val="00D92188"/>
    <w:rsid w:val="00D92442"/>
    <w:rsid w:val="00D925DC"/>
    <w:rsid w:val="00D9262B"/>
    <w:rsid w:val="00D92640"/>
    <w:rsid w:val="00D9266A"/>
    <w:rsid w:val="00D92696"/>
    <w:rsid w:val="00D92849"/>
    <w:rsid w:val="00D92A91"/>
    <w:rsid w:val="00D92A9E"/>
    <w:rsid w:val="00D92BD5"/>
    <w:rsid w:val="00D931D3"/>
    <w:rsid w:val="00D932D6"/>
    <w:rsid w:val="00D93519"/>
    <w:rsid w:val="00D93662"/>
    <w:rsid w:val="00D93863"/>
    <w:rsid w:val="00D93A62"/>
    <w:rsid w:val="00D93B6C"/>
    <w:rsid w:val="00D93BF8"/>
    <w:rsid w:val="00D93C71"/>
    <w:rsid w:val="00D93FD6"/>
    <w:rsid w:val="00D9403B"/>
    <w:rsid w:val="00D9425B"/>
    <w:rsid w:val="00D942B2"/>
    <w:rsid w:val="00D94335"/>
    <w:rsid w:val="00D94361"/>
    <w:rsid w:val="00D944D8"/>
    <w:rsid w:val="00D946D0"/>
    <w:rsid w:val="00D946DE"/>
    <w:rsid w:val="00D947C3"/>
    <w:rsid w:val="00D9482A"/>
    <w:rsid w:val="00D94931"/>
    <w:rsid w:val="00D9493A"/>
    <w:rsid w:val="00D94A30"/>
    <w:rsid w:val="00D94A76"/>
    <w:rsid w:val="00D94A84"/>
    <w:rsid w:val="00D94D3A"/>
    <w:rsid w:val="00D94FE7"/>
    <w:rsid w:val="00D951EA"/>
    <w:rsid w:val="00D9525C"/>
    <w:rsid w:val="00D9541E"/>
    <w:rsid w:val="00D954BA"/>
    <w:rsid w:val="00D95535"/>
    <w:rsid w:val="00D95536"/>
    <w:rsid w:val="00D95602"/>
    <w:rsid w:val="00D956AE"/>
    <w:rsid w:val="00D95884"/>
    <w:rsid w:val="00D9588C"/>
    <w:rsid w:val="00D95C3E"/>
    <w:rsid w:val="00D95C5D"/>
    <w:rsid w:val="00D95EF2"/>
    <w:rsid w:val="00D95F92"/>
    <w:rsid w:val="00D95FDF"/>
    <w:rsid w:val="00D96037"/>
    <w:rsid w:val="00D960D2"/>
    <w:rsid w:val="00D96555"/>
    <w:rsid w:val="00D965D1"/>
    <w:rsid w:val="00D965FB"/>
    <w:rsid w:val="00D9670A"/>
    <w:rsid w:val="00D96714"/>
    <w:rsid w:val="00D96B15"/>
    <w:rsid w:val="00D96D3F"/>
    <w:rsid w:val="00D97015"/>
    <w:rsid w:val="00D97046"/>
    <w:rsid w:val="00D97107"/>
    <w:rsid w:val="00D97243"/>
    <w:rsid w:val="00D974D7"/>
    <w:rsid w:val="00D975E5"/>
    <w:rsid w:val="00D97734"/>
    <w:rsid w:val="00D977A4"/>
    <w:rsid w:val="00D97CD6"/>
    <w:rsid w:val="00D97DF2"/>
    <w:rsid w:val="00D97E11"/>
    <w:rsid w:val="00D97EB1"/>
    <w:rsid w:val="00D97F92"/>
    <w:rsid w:val="00D97FC8"/>
    <w:rsid w:val="00DA0486"/>
    <w:rsid w:val="00DA0550"/>
    <w:rsid w:val="00DA078B"/>
    <w:rsid w:val="00DA0813"/>
    <w:rsid w:val="00DA0D40"/>
    <w:rsid w:val="00DA0EB3"/>
    <w:rsid w:val="00DA0EED"/>
    <w:rsid w:val="00DA0FD1"/>
    <w:rsid w:val="00DA10CB"/>
    <w:rsid w:val="00DA1383"/>
    <w:rsid w:val="00DA1832"/>
    <w:rsid w:val="00DA1844"/>
    <w:rsid w:val="00DA19EF"/>
    <w:rsid w:val="00DA1ABB"/>
    <w:rsid w:val="00DA1BDD"/>
    <w:rsid w:val="00DA1BF0"/>
    <w:rsid w:val="00DA1CDD"/>
    <w:rsid w:val="00DA231F"/>
    <w:rsid w:val="00DA254F"/>
    <w:rsid w:val="00DA2754"/>
    <w:rsid w:val="00DA28E2"/>
    <w:rsid w:val="00DA29AD"/>
    <w:rsid w:val="00DA2A7C"/>
    <w:rsid w:val="00DA3399"/>
    <w:rsid w:val="00DA33F9"/>
    <w:rsid w:val="00DA36BD"/>
    <w:rsid w:val="00DA372E"/>
    <w:rsid w:val="00DA375D"/>
    <w:rsid w:val="00DA38E7"/>
    <w:rsid w:val="00DA3A41"/>
    <w:rsid w:val="00DA3A61"/>
    <w:rsid w:val="00DA3AA4"/>
    <w:rsid w:val="00DA3E6A"/>
    <w:rsid w:val="00DA3E74"/>
    <w:rsid w:val="00DA4252"/>
    <w:rsid w:val="00DA4446"/>
    <w:rsid w:val="00DA4570"/>
    <w:rsid w:val="00DA46B9"/>
    <w:rsid w:val="00DA46D4"/>
    <w:rsid w:val="00DA4A76"/>
    <w:rsid w:val="00DA4A90"/>
    <w:rsid w:val="00DA4B24"/>
    <w:rsid w:val="00DA4BBC"/>
    <w:rsid w:val="00DA4D0A"/>
    <w:rsid w:val="00DA4D81"/>
    <w:rsid w:val="00DA4DB7"/>
    <w:rsid w:val="00DA4EDA"/>
    <w:rsid w:val="00DA4F03"/>
    <w:rsid w:val="00DA50F8"/>
    <w:rsid w:val="00DA5149"/>
    <w:rsid w:val="00DA51A0"/>
    <w:rsid w:val="00DA52CD"/>
    <w:rsid w:val="00DA5321"/>
    <w:rsid w:val="00DA534D"/>
    <w:rsid w:val="00DA53C3"/>
    <w:rsid w:val="00DA546C"/>
    <w:rsid w:val="00DA5495"/>
    <w:rsid w:val="00DA55C2"/>
    <w:rsid w:val="00DA5732"/>
    <w:rsid w:val="00DA575D"/>
    <w:rsid w:val="00DA57FD"/>
    <w:rsid w:val="00DA580A"/>
    <w:rsid w:val="00DA5992"/>
    <w:rsid w:val="00DA5A9E"/>
    <w:rsid w:val="00DA5AE4"/>
    <w:rsid w:val="00DA5C8C"/>
    <w:rsid w:val="00DA5EEA"/>
    <w:rsid w:val="00DA5F9B"/>
    <w:rsid w:val="00DA6351"/>
    <w:rsid w:val="00DA667C"/>
    <w:rsid w:val="00DA6732"/>
    <w:rsid w:val="00DA68DA"/>
    <w:rsid w:val="00DA6915"/>
    <w:rsid w:val="00DA69A8"/>
    <w:rsid w:val="00DA69D9"/>
    <w:rsid w:val="00DA6B40"/>
    <w:rsid w:val="00DA6B4D"/>
    <w:rsid w:val="00DA6E2A"/>
    <w:rsid w:val="00DA6E33"/>
    <w:rsid w:val="00DA6EBE"/>
    <w:rsid w:val="00DA737D"/>
    <w:rsid w:val="00DA73DF"/>
    <w:rsid w:val="00DA73FB"/>
    <w:rsid w:val="00DA7463"/>
    <w:rsid w:val="00DA752B"/>
    <w:rsid w:val="00DA7537"/>
    <w:rsid w:val="00DA7687"/>
    <w:rsid w:val="00DA783C"/>
    <w:rsid w:val="00DA7C1F"/>
    <w:rsid w:val="00DA7D7F"/>
    <w:rsid w:val="00DA7F10"/>
    <w:rsid w:val="00DB007B"/>
    <w:rsid w:val="00DB017F"/>
    <w:rsid w:val="00DB0365"/>
    <w:rsid w:val="00DB0431"/>
    <w:rsid w:val="00DB044E"/>
    <w:rsid w:val="00DB06B5"/>
    <w:rsid w:val="00DB06D6"/>
    <w:rsid w:val="00DB0836"/>
    <w:rsid w:val="00DB09CF"/>
    <w:rsid w:val="00DB0A6D"/>
    <w:rsid w:val="00DB0D08"/>
    <w:rsid w:val="00DB0D53"/>
    <w:rsid w:val="00DB0D95"/>
    <w:rsid w:val="00DB0E23"/>
    <w:rsid w:val="00DB0FF8"/>
    <w:rsid w:val="00DB164E"/>
    <w:rsid w:val="00DB1724"/>
    <w:rsid w:val="00DB1848"/>
    <w:rsid w:val="00DB1886"/>
    <w:rsid w:val="00DB18BC"/>
    <w:rsid w:val="00DB1905"/>
    <w:rsid w:val="00DB19B4"/>
    <w:rsid w:val="00DB19C7"/>
    <w:rsid w:val="00DB1BD9"/>
    <w:rsid w:val="00DB1C67"/>
    <w:rsid w:val="00DB1DA4"/>
    <w:rsid w:val="00DB1E7D"/>
    <w:rsid w:val="00DB207C"/>
    <w:rsid w:val="00DB2327"/>
    <w:rsid w:val="00DB232B"/>
    <w:rsid w:val="00DB257A"/>
    <w:rsid w:val="00DB25AD"/>
    <w:rsid w:val="00DB2699"/>
    <w:rsid w:val="00DB29B7"/>
    <w:rsid w:val="00DB29E4"/>
    <w:rsid w:val="00DB2C69"/>
    <w:rsid w:val="00DB2EB8"/>
    <w:rsid w:val="00DB3145"/>
    <w:rsid w:val="00DB340D"/>
    <w:rsid w:val="00DB34C4"/>
    <w:rsid w:val="00DB363F"/>
    <w:rsid w:val="00DB3893"/>
    <w:rsid w:val="00DB389E"/>
    <w:rsid w:val="00DB3BA3"/>
    <w:rsid w:val="00DB3BB1"/>
    <w:rsid w:val="00DB3ED5"/>
    <w:rsid w:val="00DB3F42"/>
    <w:rsid w:val="00DB40F8"/>
    <w:rsid w:val="00DB41FE"/>
    <w:rsid w:val="00DB4430"/>
    <w:rsid w:val="00DB4445"/>
    <w:rsid w:val="00DB4515"/>
    <w:rsid w:val="00DB49A0"/>
    <w:rsid w:val="00DB4AAF"/>
    <w:rsid w:val="00DB4B9D"/>
    <w:rsid w:val="00DB4C20"/>
    <w:rsid w:val="00DB4F3E"/>
    <w:rsid w:val="00DB51D2"/>
    <w:rsid w:val="00DB52F5"/>
    <w:rsid w:val="00DB5640"/>
    <w:rsid w:val="00DB56A5"/>
    <w:rsid w:val="00DB5A83"/>
    <w:rsid w:val="00DB5B7B"/>
    <w:rsid w:val="00DB5C1C"/>
    <w:rsid w:val="00DB5CFA"/>
    <w:rsid w:val="00DB5F17"/>
    <w:rsid w:val="00DB5FB9"/>
    <w:rsid w:val="00DB607B"/>
    <w:rsid w:val="00DB63E5"/>
    <w:rsid w:val="00DB63F3"/>
    <w:rsid w:val="00DB64DB"/>
    <w:rsid w:val="00DB6622"/>
    <w:rsid w:val="00DB67B6"/>
    <w:rsid w:val="00DB6989"/>
    <w:rsid w:val="00DB6A0A"/>
    <w:rsid w:val="00DB6A30"/>
    <w:rsid w:val="00DB6ABB"/>
    <w:rsid w:val="00DB6B51"/>
    <w:rsid w:val="00DB6BD1"/>
    <w:rsid w:val="00DB6CA6"/>
    <w:rsid w:val="00DB6D77"/>
    <w:rsid w:val="00DB6E9F"/>
    <w:rsid w:val="00DB71C2"/>
    <w:rsid w:val="00DB7327"/>
    <w:rsid w:val="00DB7A2F"/>
    <w:rsid w:val="00DB7B5C"/>
    <w:rsid w:val="00DB7D8B"/>
    <w:rsid w:val="00DB7E62"/>
    <w:rsid w:val="00DB7EA0"/>
    <w:rsid w:val="00DC00AF"/>
    <w:rsid w:val="00DC00EF"/>
    <w:rsid w:val="00DC0240"/>
    <w:rsid w:val="00DC02DC"/>
    <w:rsid w:val="00DC03B8"/>
    <w:rsid w:val="00DC05D3"/>
    <w:rsid w:val="00DC06A4"/>
    <w:rsid w:val="00DC0746"/>
    <w:rsid w:val="00DC0783"/>
    <w:rsid w:val="00DC09FE"/>
    <w:rsid w:val="00DC0C35"/>
    <w:rsid w:val="00DC0D7A"/>
    <w:rsid w:val="00DC0F94"/>
    <w:rsid w:val="00DC1118"/>
    <w:rsid w:val="00DC114F"/>
    <w:rsid w:val="00DC1159"/>
    <w:rsid w:val="00DC1204"/>
    <w:rsid w:val="00DC1278"/>
    <w:rsid w:val="00DC1632"/>
    <w:rsid w:val="00DC17A7"/>
    <w:rsid w:val="00DC1861"/>
    <w:rsid w:val="00DC1B6B"/>
    <w:rsid w:val="00DC1DEB"/>
    <w:rsid w:val="00DC1EE5"/>
    <w:rsid w:val="00DC22FF"/>
    <w:rsid w:val="00DC2333"/>
    <w:rsid w:val="00DC2653"/>
    <w:rsid w:val="00DC2887"/>
    <w:rsid w:val="00DC2908"/>
    <w:rsid w:val="00DC2909"/>
    <w:rsid w:val="00DC2AC1"/>
    <w:rsid w:val="00DC2E8A"/>
    <w:rsid w:val="00DC2F05"/>
    <w:rsid w:val="00DC3036"/>
    <w:rsid w:val="00DC365E"/>
    <w:rsid w:val="00DC36B8"/>
    <w:rsid w:val="00DC36C6"/>
    <w:rsid w:val="00DC38FC"/>
    <w:rsid w:val="00DC391D"/>
    <w:rsid w:val="00DC39D7"/>
    <w:rsid w:val="00DC3A5E"/>
    <w:rsid w:val="00DC3B10"/>
    <w:rsid w:val="00DC3B8C"/>
    <w:rsid w:val="00DC3C4A"/>
    <w:rsid w:val="00DC3E29"/>
    <w:rsid w:val="00DC401E"/>
    <w:rsid w:val="00DC407C"/>
    <w:rsid w:val="00DC40E4"/>
    <w:rsid w:val="00DC41D5"/>
    <w:rsid w:val="00DC430C"/>
    <w:rsid w:val="00DC4329"/>
    <w:rsid w:val="00DC457E"/>
    <w:rsid w:val="00DC4A24"/>
    <w:rsid w:val="00DC4B78"/>
    <w:rsid w:val="00DC4DC2"/>
    <w:rsid w:val="00DC5014"/>
    <w:rsid w:val="00DC5052"/>
    <w:rsid w:val="00DC50D9"/>
    <w:rsid w:val="00DC522E"/>
    <w:rsid w:val="00DC5304"/>
    <w:rsid w:val="00DC539D"/>
    <w:rsid w:val="00DC571B"/>
    <w:rsid w:val="00DC5DEF"/>
    <w:rsid w:val="00DC5E3A"/>
    <w:rsid w:val="00DC5F93"/>
    <w:rsid w:val="00DC6103"/>
    <w:rsid w:val="00DC66C8"/>
    <w:rsid w:val="00DC66FD"/>
    <w:rsid w:val="00DC670B"/>
    <w:rsid w:val="00DC6837"/>
    <w:rsid w:val="00DC6AE5"/>
    <w:rsid w:val="00DC6B9D"/>
    <w:rsid w:val="00DC6F82"/>
    <w:rsid w:val="00DC6F9B"/>
    <w:rsid w:val="00DC71F7"/>
    <w:rsid w:val="00DC768B"/>
    <w:rsid w:val="00DC786D"/>
    <w:rsid w:val="00DC78D3"/>
    <w:rsid w:val="00DC7905"/>
    <w:rsid w:val="00DC79E1"/>
    <w:rsid w:val="00DC7A63"/>
    <w:rsid w:val="00DC7CFB"/>
    <w:rsid w:val="00DC7D81"/>
    <w:rsid w:val="00DC7EC5"/>
    <w:rsid w:val="00DD01E2"/>
    <w:rsid w:val="00DD0204"/>
    <w:rsid w:val="00DD0528"/>
    <w:rsid w:val="00DD08E1"/>
    <w:rsid w:val="00DD095C"/>
    <w:rsid w:val="00DD0AAD"/>
    <w:rsid w:val="00DD0DD9"/>
    <w:rsid w:val="00DD0E6E"/>
    <w:rsid w:val="00DD0F6C"/>
    <w:rsid w:val="00DD1051"/>
    <w:rsid w:val="00DD14E0"/>
    <w:rsid w:val="00DD155D"/>
    <w:rsid w:val="00DD1A0D"/>
    <w:rsid w:val="00DD1AFF"/>
    <w:rsid w:val="00DD1BD4"/>
    <w:rsid w:val="00DD1DB5"/>
    <w:rsid w:val="00DD1F44"/>
    <w:rsid w:val="00DD21D5"/>
    <w:rsid w:val="00DD26A8"/>
    <w:rsid w:val="00DD29B7"/>
    <w:rsid w:val="00DD2BD5"/>
    <w:rsid w:val="00DD2D17"/>
    <w:rsid w:val="00DD2D28"/>
    <w:rsid w:val="00DD3130"/>
    <w:rsid w:val="00DD31C2"/>
    <w:rsid w:val="00DD33E0"/>
    <w:rsid w:val="00DD3689"/>
    <w:rsid w:val="00DD36CB"/>
    <w:rsid w:val="00DD36ED"/>
    <w:rsid w:val="00DD3848"/>
    <w:rsid w:val="00DD392E"/>
    <w:rsid w:val="00DD3A23"/>
    <w:rsid w:val="00DD4062"/>
    <w:rsid w:val="00DD40D5"/>
    <w:rsid w:val="00DD42E8"/>
    <w:rsid w:val="00DD47A2"/>
    <w:rsid w:val="00DD4A71"/>
    <w:rsid w:val="00DD4A7E"/>
    <w:rsid w:val="00DD4EC1"/>
    <w:rsid w:val="00DD5071"/>
    <w:rsid w:val="00DD50E7"/>
    <w:rsid w:val="00DD51A0"/>
    <w:rsid w:val="00DD57B1"/>
    <w:rsid w:val="00DD5855"/>
    <w:rsid w:val="00DD5990"/>
    <w:rsid w:val="00DD5A47"/>
    <w:rsid w:val="00DD5E4F"/>
    <w:rsid w:val="00DD5FA3"/>
    <w:rsid w:val="00DD6253"/>
    <w:rsid w:val="00DD6471"/>
    <w:rsid w:val="00DD691C"/>
    <w:rsid w:val="00DD696D"/>
    <w:rsid w:val="00DD69F2"/>
    <w:rsid w:val="00DD6A84"/>
    <w:rsid w:val="00DD6C25"/>
    <w:rsid w:val="00DD6EF0"/>
    <w:rsid w:val="00DD6F1B"/>
    <w:rsid w:val="00DD6FCA"/>
    <w:rsid w:val="00DD7024"/>
    <w:rsid w:val="00DD714C"/>
    <w:rsid w:val="00DD7233"/>
    <w:rsid w:val="00DD7358"/>
    <w:rsid w:val="00DD73C4"/>
    <w:rsid w:val="00DD73D7"/>
    <w:rsid w:val="00DD73FF"/>
    <w:rsid w:val="00DD763C"/>
    <w:rsid w:val="00DD77AE"/>
    <w:rsid w:val="00DD78B9"/>
    <w:rsid w:val="00DD7CF2"/>
    <w:rsid w:val="00DD7E9E"/>
    <w:rsid w:val="00DD7F8B"/>
    <w:rsid w:val="00DE0114"/>
    <w:rsid w:val="00DE0388"/>
    <w:rsid w:val="00DE05B8"/>
    <w:rsid w:val="00DE0643"/>
    <w:rsid w:val="00DE0BBC"/>
    <w:rsid w:val="00DE0D43"/>
    <w:rsid w:val="00DE0E4B"/>
    <w:rsid w:val="00DE10D6"/>
    <w:rsid w:val="00DE1105"/>
    <w:rsid w:val="00DE17C4"/>
    <w:rsid w:val="00DE17F4"/>
    <w:rsid w:val="00DE1868"/>
    <w:rsid w:val="00DE1A6C"/>
    <w:rsid w:val="00DE1B63"/>
    <w:rsid w:val="00DE1D52"/>
    <w:rsid w:val="00DE1E1F"/>
    <w:rsid w:val="00DE1F94"/>
    <w:rsid w:val="00DE2120"/>
    <w:rsid w:val="00DE223C"/>
    <w:rsid w:val="00DE2313"/>
    <w:rsid w:val="00DE25EB"/>
    <w:rsid w:val="00DE25EF"/>
    <w:rsid w:val="00DE28C2"/>
    <w:rsid w:val="00DE2A1F"/>
    <w:rsid w:val="00DE2D09"/>
    <w:rsid w:val="00DE2DD6"/>
    <w:rsid w:val="00DE30EE"/>
    <w:rsid w:val="00DE31B0"/>
    <w:rsid w:val="00DE321A"/>
    <w:rsid w:val="00DE342D"/>
    <w:rsid w:val="00DE352C"/>
    <w:rsid w:val="00DE3901"/>
    <w:rsid w:val="00DE3954"/>
    <w:rsid w:val="00DE3B1D"/>
    <w:rsid w:val="00DE4094"/>
    <w:rsid w:val="00DE40DC"/>
    <w:rsid w:val="00DE4104"/>
    <w:rsid w:val="00DE4232"/>
    <w:rsid w:val="00DE43D0"/>
    <w:rsid w:val="00DE4544"/>
    <w:rsid w:val="00DE461C"/>
    <w:rsid w:val="00DE4690"/>
    <w:rsid w:val="00DE4A20"/>
    <w:rsid w:val="00DE4AAF"/>
    <w:rsid w:val="00DE4B6E"/>
    <w:rsid w:val="00DE4B89"/>
    <w:rsid w:val="00DE4B90"/>
    <w:rsid w:val="00DE4CB3"/>
    <w:rsid w:val="00DE4D96"/>
    <w:rsid w:val="00DE5007"/>
    <w:rsid w:val="00DE5116"/>
    <w:rsid w:val="00DE51DD"/>
    <w:rsid w:val="00DE5231"/>
    <w:rsid w:val="00DE53C1"/>
    <w:rsid w:val="00DE556A"/>
    <w:rsid w:val="00DE560E"/>
    <w:rsid w:val="00DE5794"/>
    <w:rsid w:val="00DE5AFD"/>
    <w:rsid w:val="00DE5BB7"/>
    <w:rsid w:val="00DE5E02"/>
    <w:rsid w:val="00DE6080"/>
    <w:rsid w:val="00DE623A"/>
    <w:rsid w:val="00DE65A0"/>
    <w:rsid w:val="00DE6A66"/>
    <w:rsid w:val="00DE71D4"/>
    <w:rsid w:val="00DE73AA"/>
    <w:rsid w:val="00DE7435"/>
    <w:rsid w:val="00DE7593"/>
    <w:rsid w:val="00DE7AE6"/>
    <w:rsid w:val="00DE7F7F"/>
    <w:rsid w:val="00DEDDDE"/>
    <w:rsid w:val="00DF00F7"/>
    <w:rsid w:val="00DF019D"/>
    <w:rsid w:val="00DF02F3"/>
    <w:rsid w:val="00DF05DF"/>
    <w:rsid w:val="00DF08A6"/>
    <w:rsid w:val="00DF094B"/>
    <w:rsid w:val="00DF096F"/>
    <w:rsid w:val="00DF0A28"/>
    <w:rsid w:val="00DF0AB5"/>
    <w:rsid w:val="00DF0B0E"/>
    <w:rsid w:val="00DF0B28"/>
    <w:rsid w:val="00DF0C5B"/>
    <w:rsid w:val="00DF0FD8"/>
    <w:rsid w:val="00DF1309"/>
    <w:rsid w:val="00DF1409"/>
    <w:rsid w:val="00DF160B"/>
    <w:rsid w:val="00DF16AF"/>
    <w:rsid w:val="00DF1A46"/>
    <w:rsid w:val="00DF1A4F"/>
    <w:rsid w:val="00DF1F45"/>
    <w:rsid w:val="00DF22FD"/>
    <w:rsid w:val="00DF2367"/>
    <w:rsid w:val="00DF25C4"/>
    <w:rsid w:val="00DF26BD"/>
    <w:rsid w:val="00DF2953"/>
    <w:rsid w:val="00DF2A88"/>
    <w:rsid w:val="00DF2BD3"/>
    <w:rsid w:val="00DF2C85"/>
    <w:rsid w:val="00DF2C96"/>
    <w:rsid w:val="00DF2E75"/>
    <w:rsid w:val="00DF2F1E"/>
    <w:rsid w:val="00DF3069"/>
    <w:rsid w:val="00DF31AB"/>
    <w:rsid w:val="00DF3915"/>
    <w:rsid w:val="00DF3A3C"/>
    <w:rsid w:val="00DF3A4F"/>
    <w:rsid w:val="00DF3AC8"/>
    <w:rsid w:val="00DF3D0F"/>
    <w:rsid w:val="00DF4319"/>
    <w:rsid w:val="00DF436F"/>
    <w:rsid w:val="00DF4373"/>
    <w:rsid w:val="00DF438E"/>
    <w:rsid w:val="00DF441C"/>
    <w:rsid w:val="00DF4752"/>
    <w:rsid w:val="00DF47BB"/>
    <w:rsid w:val="00DF4894"/>
    <w:rsid w:val="00DF49C3"/>
    <w:rsid w:val="00DF4A6A"/>
    <w:rsid w:val="00DF4AF3"/>
    <w:rsid w:val="00DF4BBE"/>
    <w:rsid w:val="00DF4C2C"/>
    <w:rsid w:val="00DF4D3C"/>
    <w:rsid w:val="00DF4EC5"/>
    <w:rsid w:val="00DF4EE8"/>
    <w:rsid w:val="00DF4FDE"/>
    <w:rsid w:val="00DF5251"/>
    <w:rsid w:val="00DF578D"/>
    <w:rsid w:val="00DF59F6"/>
    <w:rsid w:val="00DF5A18"/>
    <w:rsid w:val="00DF5BFB"/>
    <w:rsid w:val="00DF5D75"/>
    <w:rsid w:val="00DF5EFD"/>
    <w:rsid w:val="00DF602B"/>
    <w:rsid w:val="00DF6338"/>
    <w:rsid w:val="00DF63F8"/>
    <w:rsid w:val="00DF6608"/>
    <w:rsid w:val="00DF667B"/>
    <w:rsid w:val="00DF6900"/>
    <w:rsid w:val="00DF6A50"/>
    <w:rsid w:val="00DF6CA9"/>
    <w:rsid w:val="00DF6D9D"/>
    <w:rsid w:val="00DF7018"/>
    <w:rsid w:val="00DF72D8"/>
    <w:rsid w:val="00DF7316"/>
    <w:rsid w:val="00DF7330"/>
    <w:rsid w:val="00DF7450"/>
    <w:rsid w:val="00DF7562"/>
    <w:rsid w:val="00DF771F"/>
    <w:rsid w:val="00DF7B91"/>
    <w:rsid w:val="00DF7D61"/>
    <w:rsid w:val="00DF7DC7"/>
    <w:rsid w:val="00DF7EA0"/>
    <w:rsid w:val="00DF7EEA"/>
    <w:rsid w:val="00DF7F0D"/>
    <w:rsid w:val="00DF7FCB"/>
    <w:rsid w:val="00E00113"/>
    <w:rsid w:val="00E00116"/>
    <w:rsid w:val="00E001B2"/>
    <w:rsid w:val="00E00356"/>
    <w:rsid w:val="00E00435"/>
    <w:rsid w:val="00E0088D"/>
    <w:rsid w:val="00E008E9"/>
    <w:rsid w:val="00E0090F"/>
    <w:rsid w:val="00E00E77"/>
    <w:rsid w:val="00E01169"/>
    <w:rsid w:val="00E011D2"/>
    <w:rsid w:val="00E01520"/>
    <w:rsid w:val="00E01570"/>
    <w:rsid w:val="00E0163C"/>
    <w:rsid w:val="00E0185F"/>
    <w:rsid w:val="00E01868"/>
    <w:rsid w:val="00E01A31"/>
    <w:rsid w:val="00E01B4C"/>
    <w:rsid w:val="00E01E1A"/>
    <w:rsid w:val="00E02281"/>
    <w:rsid w:val="00E0238D"/>
    <w:rsid w:val="00E0244A"/>
    <w:rsid w:val="00E024DF"/>
    <w:rsid w:val="00E0269F"/>
    <w:rsid w:val="00E02736"/>
    <w:rsid w:val="00E0275E"/>
    <w:rsid w:val="00E029DD"/>
    <w:rsid w:val="00E02BC3"/>
    <w:rsid w:val="00E02C26"/>
    <w:rsid w:val="00E02F43"/>
    <w:rsid w:val="00E03060"/>
    <w:rsid w:val="00E0306A"/>
    <w:rsid w:val="00E03277"/>
    <w:rsid w:val="00E034C2"/>
    <w:rsid w:val="00E035AB"/>
    <w:rsid w:val="00E0374F"/>
    <w:rsid w:val="00E0376C"/>
    <w:rsid w:val="00E03B57"/>
    <w:rsid w:val="00E03BF0"/>
    <w:rsid w:val="00E03DD7"/>
    <w:rsid w:val="00E03FE1"/>
    <w:rsid w:val="00E04039"/>
    <w:rsid w:val="00E040F4"/>
    <w:rsid w:val="00E0437C"/>
    <w:rsid w:val="00E04476"/>
    <w:rsid w:val="00E04655"/>
    <w:rsid w:val="00E04A48"/>
    <w:rsid w:val="00E04AD0"/>
    <w:rsid w:val="00E04AF1"/>
    <w:rsid w:val="00E04B96"/>
    <w:rsid w:val="00E04D5B"/>
    <w:rsid w:val="00E04F7C"/>
    <w:rsid w:val="00E053C7"/>
    <w:rsid w:val="00E0542E"/>
    <w:rsid w:val="00E054C7"/>
    <w:rsid w:val="00E05561"/>
    <w:rsid w:val="00E0577E"/>
    <w:rsid w:val="00E059C3"/>
    <w:rsid w:val="00E05BCF"/>
    <w:rsid w:val="00E05DCC"/>
    <w:rsid w:val="00E05E7A"/>
    <w:rsid w:val="00E061D4"/>
    <w:rsid w:val="00E06247"/>
    <w:rsid w:val="00E06750"/>
    <w:rsid w:val="00E06868"/>
    <w:rsid w:val="00E0696D"/>
    <w:rsid w:val="00E06AA5"/>
    <w:rsid w:val="00E0705D"/>
    <w:rsid w:val="00E0724A"/>
    <w:rsid w:val="00E073F9"/>
    <w:rsid w:val="00E07601"/>
    <w:rsid w:val="00E079F5"/>
    <w:rsid w:val="00E07A07"/>
    <w:rsid w:val="00E07A7B"/>
    <w:rsid w:val="00E100A2"/>
    <w:rsid w:val="00E104ED"/>
    <w:rsid w:val="00E1052A"/>
    <w:rsid w:val="00E105F5"/>
    <w:rsid w:val="00E10687"/>
    <w:rsid w:val="00E1071D"/>
    <w:rsid w:val="00E1073E"/>
    <w:rsid w:val="00E107D2"/>
    <w:rsid w:val="00E107FA"/>
    <w:rsid w:val="00E10FE4"/>
    <w:rsid w:val="00E10FE8"/>
    <w:rsid w:val="00E1101F"/>
    <w:rsid w:val="00E111D1"/>
    <w:rsid w:val="00E11259"/>
    <w:rsid w:val="00E112AF"/>
    <w:rsid w:val="00E114C9"/>
    <w:rsid w:val="00E1157A"/>
    <w:rsid w:val="00E1157B"/>
    <w:rsid w:val="00E11673"/>
    <w:rsid w:val="00E117A2"/>
    <w:rsid w:val="00E119EE"/>
    <w:rsid w:val="00E11A5F"/>
    <w:rsid w:val="00E11D76"/>
    <w:rsid w:val="00E120B8"/>
    <w:rsid w:val="00E12480"/>
    <w:rsid w:val="00E1287D"/>
    <w:rsid w:val="00E12C69"/>
    <w:rsid w:val="00E12E9C"/>
    <w:rsid w:val="00E12FA6"/>
    <w:rsid w:val="00E1310A"/>
    <w:rsid w:val="00E13141"/>
    <w:rsid w:val="00E1347C"/>
    <w:rsid w:val="00E136E7"/>
    <w:rsid w:val="00E1380F"/>
    <w:rsid w:val="00E13890"/>
    <w:rsid w:val="00E13895"/>
    <w:rsid w:val="00E138ED"/>
    <w:rsid w:val="00E13D44"/>
    <w:rsid w:val="00E14229"/>
    <w:rsid w:val="00E14761"/>
    <w:rsid w:val="00E147A4"/>
    <w:rsid w:val="00E14842"/>
    <w:rsid w:val="00E1488B"/>
    <w:rsid w:val="00E149EF"/>
    <w:rsid w:val="00E14F6D"/>
    <w:rsid w:val="00E15047"/>
    <w:rsid w:val="00E1546E"/>
    <w:rsid w:val="00E154CD"/>
    <w:rsid w:val="00E1564E"/>
    <w:rsid w:val="00E15C85"/>
    <w:rsid w:val="00E15CDA"/>
    <w:rsid w:val="00E15D15"/>
    <w:rsid w:val="00E15D82"/>
    <w:rsid w:val="00E15F4D"/>
    <w:rsid w:val="00E16481"/>
    <w:rsid w:val="00E16BFF"/>
    <w:rsid w:val="00E16C01"/>
    <w:rsid w:val="00E16D67"/>
    <w:rsid w:val="00E16DB2"/>
    <w:rsid w:val="00E16FA2"/>
    <w:rsid w:val="00E171F7"/>
    <w:rsid w:val="00E172AF"/>
    <w:rsid w:val="00E174E2"/>
    <w:rsid w:val="00E1754A"/>
    <w:rsid w:val="00E17698"/>
    <w:rsid w:val="00E178C5"/>
    <w:rsid w:val="00E1792B"/>
    <w:rsid w:val="00E179A7"/>
    <w:rsid w:val="00E17AEB"/>
    <w:rsid w:val="00E17D74"/>
    <w:rsid w:val="00E17E03"/>
    <w:rsid w:val="00E200C4"/>
    <w:rsid w:val="00E20649"/>
    <w:rsid w:val="00E208F0"/>
    <w:rsid w:val="00E20A51"/>
    <w:rsid w:val="00E20C7F"/>
    <w:rsid w:val="00E20D25"/>
    <w:rsid w:val="00E20F7A"/>
    <w:rsid w:val="00E20FB0"/>
    <w:rsid w:val="00E2107A"/>
    <w:rsid w:val="00E21322"/>
    <w:rsid w:val="00E216AD"/>
    <w:rsid w:val="00E216B3"/>
    <w:rsid w:val="00E21943"/>
    <w:rsid w:val="00E21C45"/>
    <w:rsid w:val="00E21D53"/>
    <w:rsid w:val="00E21DF1"/>
    <w:rsid w:val="00E225D5"/>
    <w:rsid w:val="00E2276F"/>
    <w:rsid w:val="00E227FD"/>
    <w:rsid w:val="00E2282E"/>
    <w:rsid w:val="00E2285F"/>
    <w:rsid w:val="00E22ACA"/>
    <w:rsid w:val="00E22ED4"/>
    <w:rsid w:val="00E22F7A"/>
    <w:rsid w:val="00E23402"/>
    <w:rsid w:val="00E2348B"/>
    <w:rsid w:val="00E2352A"/>
    <w:rsid w:val="00E23873"/>
    <w:rsid w:val="00E23B21"/>
    <w:rsid w:val="00E23FA6"/>
    <w:rsid w:val="00E24107"/>
    <w:rsid w:val="00E24179"/>
    <w:rsid w:val="00E2421A"/>
    <w:rsid w:val="00E242AE"/>
    <w:rsid w:val="00E242B5"/>
    <w:rsid w:val="00E242BD"/>
    <w:rsid w:val="00E244AE"/>
    <w:rsid w:val="00E244B0"/>
    <w:rsid w:val="00E24644"/>
    <w:rsid w:val="00E24689"/>
    <w:rsid w:val="00E24862"/>
    <w:rsid w:val="00E249DA"/>
    <w:rsid w:val="00E24CD9"/>
    <w:rsid w:val="00E24D0C"/>
    <w:rsid w:val="00E24E56"/>
    <w:rsid w:val="00E24EAA"/>
    <w:rsid w:val="00E25043"/>
    <w:rsid w:val="00E25145"/>
    <w:rsid w:val="00E25259"/>
    <w:rsid w:val="00E252D9"/>
    <w:rsid w:val="00E2534F"/>
    <w:rsid w:val="00E255E9"/>
    <w:rsid w:val="00E25647"/>
    <w:rsid w:val="00E25656"/>
    <w:rsid w:val="00E25A42"/>
    <w:rsid w:val="00E25C2C"/>
    <w:rsid w:val="00E2600B"/>
    <w:rsid w:val="00E260E5"/>
    <w:rsid w:val="00E26332"/>
    <w:rsid w:val="00E2647E"/>
    <w:rsid w:val="00E2662B"/>
    <w:rsid w:val="00E266FC"/>
    <w:rsid w:val="00E267CB"/>
    <w:rsid w:val="00E26962"/>
    <w:rsid w:val="00E26969"/>
    <w:rsid w:val="00E269D9"/>
    <w:rsid w:val="00E26B6B"/>
    <w:rsid w:val="00E26C7D"/>
    <w:rsid w:val="00E271E2"/>
    <w:rsid w:val="00E2730F"/>
    <w:rsid w:val="00E273DF"/>
    <w:rsid w:val="00E273FF"/>
    <w:rsid w:val="00E276F6"/>
    <w:rsid w:val="00E27886"/>
    <w:rsid w:val="00E27E1D"/>
    <w:rsid w:val="00E27F4B"/>
    <w:rsid w:val="00E27FDA"/>
    <w:rsid w:val="00E30073"/>
    <w:rsid w:val="00E30114"/>
    <w:rsid w:val="00E3027D"/>
    <w:rsid w:val="00E3035B"/>
    <w:rsid w:val="00E303A4"/>
    <w:rsid w:val="00E3046E"/>
    <w:rsid w:val="00E3062F"/>
    <w:rsid w:val="00E30799"/>
    <w:rsid w:val="00E3086C"/>
    <w:rsid w:val="00E30A34"/>
    <w:rsid w:val="00E30F13"/>
    <w:rsid w:val="00E310FA"/>
    <w:rsid w:val="00E31108"/>
    <w:rsid w:val="00E31123"/>
    <w:rsid w:val="00E311E6"/>
    <w:rsid w:val="00E3120E"/>
    <w:rsid w:val="00E31370"/>
    <w:rsid w:val="00E31430"/>
    <w:rsid w:val="00E3182E"/>
    <w:rsid w:val="00E31AF0"/>
    <w:rsid w:val="00E31D95"/>
    <w:rsid w:val="00E31EFE"/>
    <w:rsid w:val="00E31F71"/>
    <w:rsid w:val="00E31FCC"/>
    <w:rsid w:val="00E320FF"/>
    <w:rsid w:val="00E3217E"/>
    <w:rsid w:val="00E3227E"/>
    <w:rsid w:val="00E323C9"/>
    <w:rsid w:val="00E3258F"/>
    <w:rsid w:val="00E32729"/>
    <w:rsid w:val="00E327EC"/>
    <w:rsid w:val="00E32BC5"/>
    <w:rsid w:val="00E32E73"/>
    <w:rsid w:val="00E331A2"/>
    <w:rsid w:val="00E332FB"/>
    <w:rsid w:val="00E33485"/>
    <w:rsid w:val="00E335D4"/>
    <w:rsid w:val="00E33845"/>
    <w:rsid w:val="00E339A6"/>
    <w:rsid w:val="00E33B7E"/>
    <w:rsid w:val="00E33BEC"/>
    <w:rsid w:val="00E33E16"/>
    <w:rsid w:val="00E33EB5"/>
    <w:rsid w:val="00E3402F"/>
    <w:rsid w:val="00E3459D"/>
    <w:rsid w:val="00E345C0"/>
    <w:rsid w:val="00E34817"/>
    <w:rsid w:val="00E34893"/>
    <w:rsid w:val="00E34904"/>
    <w:rsid w:val="00E3499C"/>
    <w:rsid w:val="00E34A76"/>
    <w:rsid w:val="00E34CF9"/>
    <w:rsid w:val="00E35044"/>
    <w:rsid w:val="00E35592"/>
    <w:rsid w:val="00E35670"/>
    <w:rsid w:val="00E35956"/>
    <w:rsid w:val="00E35A8F"/>
    <w:rsid w:val="00E35B7F"/>
    <w:rsid w:val="00E35D7D"/>
    <w:rsid w:val="00E35F31"/>
    <w:rsid w:val="00E35FA3"/>
    <w:rsid w:val="00E360DF"/>
    <w:rsid w:val="00E361D5"/>
    <w:rsid w:val="00E361F7"/>
    <w:rsid w:val="00E36378"/>
    <w:rsid w:val="00E36526"/>
    <w:rsid w:val="00E3658A"/>
    <w:rsid w:val="00E36D6A"/>
    <w:rsid w:val="00E36DFE"/>
    <w:rsid w:val="00E36E07"/>
    <w:rsid w:val="00E36F7F"/>
    <w:rsid w:val="00E37150"/>
    <w:rsid w:val="00E3719A"/>
    <w:rsid w:val="00E3735F"/>
    <w:rsid w:val="00E37762"/>
    <w:rsid w:val="00E378A7"/>
    <w:rsid w:val="00E37C0C"/>
    <w:rsid w:val="00E3F7A9"/>
    <w:rsid w:val="00E4019E"/>
    <w:rsid w:val="00E404C4"/>
    <w:rsid w:val="00E40599"/>
    <w:rsid w:val="00E406CC"/>
    <w:rsid w:val="00E4075F"/>
    <w:rsid w:val="00E40DEB"/>
    <w:rsid w:val="00E40F73"/>
    <w:rsid w:val="00E41072"/>
    <w:rsid w:val="00E41106"/>
    <w:rsid w:val="00E41156"/>
    <w:rsid w:val="00E41223"/>
    <w:rsid w:val="00E4149D"/>
    <w:rsid w:val="00E414F1"/>
    <w:rsid w:val="00E417D0"/>
    <w:rsid w:val="00E41851"/>
    <w:rsid w:val="00E418C9"/>
    <w:rsid w:val="00E418F8"/>
    <w:rsid w:val="00E419EE"/>
    <w:rsid w:val="00E41A8F"/>
    <w:rsid w:val="00E41AF9"/>
    <w:rsid w:val="00E41BE8"/>
    <w:rsid w:val="00E41C32"/>
    <w:rsid w:val="00E41FF1"/>
    <w:rsid w:val="00E42158"/>
    <w:rsid w:val="00E42566"/>
    <w:rsid w:val="00E425C9"/>
    <w:rsid w:val="00E42789"/>
    <w:rsid w:val="00E42907"/>
    <w:rsid w:val="00E42B02"/>
    <w:rsid w:val="00E42B59"/>
    <w:rsid w:val="00E42C30"/>
    <w:rsid w:val="00E431C0"/>
    <w:rsid w:val="00E43254"/>
    <w:rsid w:val="00E434E6"/>
    <w:rsid w:val="00E43674"/>
    <w:rsid w:val="00E439AD"/>
    <w:rsid w:val="00E43B96"/>
    <w:rsid w:val="00E43CB9"/>
    <w:rsid w:val="00E43CDC"/>
    <w:rsid w:val="00E43D6D"/>
    <w:rsid w:val="00E43E5E"/>
    <w:rsid w:val="00E43F76"/>
    <w:rsid w:val="00E44208"/>
    <w:rsid w:val="00E4434F"/>
    <w:rsid w:val="00E444E1"/>
    <w:rsid w:val="00E444F4"/>
    <w:rsid w:val="00E4467A"/>
    <w:rsid w:val="00E4488A"/>
    <w:rsid w:val="00E454E3"/>
    <w:rsid w:val="00E454E7"/>
    <w:rsid w:val="00E45914"/>
    <w:rsid w:val="00E45998"/>
    <w:rsid w:val="00E45DE8"/>
    <w:rsid w:val="00E4600E"/>
    <w:rsid w:val="00E464A3"/>
    <w:rsid w:val="00E4659F"/>
    <w:rsid w:val="00E4664F"/>
    <w:rsid w:val="00E4667E"/>
    <w:rsid w:val="00E46684"/>
    <w:rsid w:val="00E46950"/>
    <w:rsid w:val="00E46A1D"/>
    <w:rsid w:val="00E47395"/>
    <w:rsid w:val="00E473BC"/>
    <w:rsid w:val="00E475E6"/>
    <w:rsid w:val="00E476E3"/>
    <w:rsid w:val="00E47857"/>
    <w:rsid w:val="00E47AFD"/>
    <w:rsid w:val="00E47CC2"/>
    <w:rsid w:val="00E47D2A"/>
    <w:rsid w:val="00E502F5"/>
    <w:rsid w:val="00E50399"/>
    <w:rsid w:val="00E503F4"/>
    <w:rsid w:val="00E50513"/>
    <w:rsid w:val="00E50671"/>
    <w:rsid w:val="00E5067E"/>
    <w:rsid w:val="00E508CC"/>
    <w:rsid w:val="00E50A54"/>
    <w:rsid w:val="00E50BD1"/>
    <w:rsid w:val="00E50CF2"/>
    <w:rsid w:val="00E50D73"/>
    <w:rsid w:val="00E511A3"/>
    <w:rsid w:val="00E51297"/>
    <w:rsid w:val="00E51347"/>
    <w:rsid w:val="00E51514"/>
    <w:rsid w:val="00E5180B"/>
    <w:rsid w:val="00E51913"/>
    <w:rsid w:val="00E51943"/>
    <w:rsid w:val="00E51B26"/>
    <w:rsid w:val="00E51E53"/>
    <w:rsid w:val="00E52001"/>
    <w:rsid w:val="00E52760"/>
    <w:rsid w:val="00E529CF"/>
    <w:rsid w:val="00E52ACF"/>
    <w:rsid w:val="00E52B3D"/>
    <w:rsid w:val="00E52C73"/>
    <w:rsid w:val="00E52F06"/>
    <w:rsid w:val="00E531FA"/>
    <w:rsid w:val="00E53228"/>
    <w:rsid w:val="00E5328F"/>
    <w:rsid w:val="00E53402"/>
    <w:rsid w:val="00E5369F"/>
    <w:rsid w:val="00E53730"/>
    <w:rsid w:val="00E5378B"/>
    <w:rsid w:val="00E5388A"/>
    <w:rsid w:val="00E53910"/>
    <w:rsid w:val="00E53B0F"/>
    <w:rsid w:val="00E53C74"/>
    <w:rsid w:val="00E5435D"/>
    <w:rsid w:val="00E5442D"/>
    <w:rsid w:val="00E5480B"/>
    <w:rsid w:val="00E54BF7"/>
    <w:rsid w:val="00E54D66"/>
    <w:rsid w:val="00E54EA3"/>
    <w:rsid w:val="00E54F44"/>
    <w:rsid w:val="00E54F6F"/>
    <w:rsid w:val="00E54FD4"/>
    <w:rsid w:val="00E550DF"/>
    <w:rsid w:val="00E55179"/>
    <w:rsid w:val="00E5533A"/>
    <w:rsid w:val="00E55380"/>
    <w:rsid w:val="00E553F0"/>
    <w:rsid w:val="00E55467"/>
    <w:rsid w:val="00E555EC"/>
    <w:rsid w:val="00E556AD"/>
    <w:rsid w:val="00E55813"/>
    <w:rsid w:val="00E5596C"/>
    <w:rsid w:val="00E55A70"/>
    <w:rsid w:val="00E55D45"/>
    <w:rsid w:val="00E55D91"/>
    <w:rsid w:val="00E55E7C"/>
    <w:rsid w:val="00E56026"/>
    <w:rsid w:val="00E56155"/>
    <w:rsid w:val="00E5640A"/>
    <w:rsid w:val="00E564ED"/>
    <w:rsid w:val="00E5653E"/>
    <w:rsid w:val="00E56657"/>
    <w:rsid w:val="00E566F0"/>
    <w:rsid w:val="00E56985"/>
    <w:rsid w:val="00E56A66"/>
    <w:rsid w:val="00E56B4C"/>
    <w:rsid w:val="00E56B7E"/>
    <w:rsid w:val="00E56CBE"/>
    <w:rsid w:val="00E56E4D"/>
    <w:rsid w:val="00E56FC6"/>
    <w:rsid w:val="00E56FD6"/>
    <w:rsid w:val="00E5703B"/>
    <w:rsid w:val="00E570C8"/>
    <w:rsid w:val="00E5712A"/>
    <w:rsid w:val="00E571E6"/>
    <w:rsid w:val="00E57341"/>
    <w:rsid w:val="00E5743E"/>
    <w:rsid w:val="00E57638"/>
    <w:rsid w:val="00E57756"/>
    <w:rsid w:val="00E57BE0"/>
    <w:rsid w:val="00E57DB9"/>
    <w:rsid w:val="00E57FAC"/>
    <w:rsid w:val="00E601ED"/>
    <w:rsid w:val="00E60414"/>
    <w:rsid w:val="00E6044C"/>
    <w:rsid w:val="00E60458"/>
    <w:rsid w:val="00E604A1"/>
    <w:rsid w:val="00E6057B"/>
    <w:rsid w:val="00E60740"/>
    <w:rsid w:val="00E60746"/>
    <w:rsid w:val="00E60781"/>
    <w:rsid w:val="00E6088D"/>
    <w:rsid w:val="00E60898"/>
    <w:rsid w:val="00E60AFB"/>
    <w:rsid w:val="00E60CAE"/>
    <w:rsid w:val="00E60CBF"/>
    <w:rsid w:val="00E60F97"/>
    <w:rsid w:val="00E611D0"/>
    <w:rsid w:val="00E611F0"/>
    <w:rsid w:val="00E612CF"/>
    <w:rsid w:val="00E6147D"/>
    <w:rsid w:val="00E61542"/>
    <w:rsid w:val="00E615A9"/>
    <w:rsid w:val="00E61656"/>
    <w:rsid w:val="00E616DF"/>
    <w:rsid w:val="00E61E56"/>
    <w:rsid w:val="00E6201F"/>
    <w:rsid w:val="00E62318"/>
    <w:rsid w:val="00E625A8"/>
    <w:rsid w:val="00E625D2"/>
    <w:rsid w:val="00E62855"/>
    <w:rsid w:val="00E62893"/>
    <w:rsid w:val="00E62A5B"/>
    <w:rsid w:val="00E62BC1"/>
    <w:rsid w:val="00E62C20"/>
    <w:rsid w:val="00E62D5B"/>
    <w:rsid w:val="00E62E7F"/>
    <w:rsid w:val="00E62E8F"/>
    <w:rsid w:val="00E6321D"/>
    <w:rsid w:val="00E63278"/>
    <w:rsid w:val="00E63308"/>
    <w:rsid w:val="00E633E0"/>
    <w:rsid w:val="00E63462"/>
    <w:rsid w:val="00E63500"/>
    <w:rsid w:val="00E6362B"/>
    <w:rsid w:val="00E637F7"/>
    <w:rsid w:val="00E63878"/>
    <w:rsid w:val="00E63935"/>
    <w:rsid w:val="00E6393F"/>
    <w:rsid w:val="00E63B1E"/>
    <w:rsid w:val="00E63D08"/>
    <w:rsid w:val="00E63F56"/>
    <w:rsid w:val="00E6401D"/>
    <w:rsid w:val="00E64122"/>
    <w:rsid w:val="00E641CE"/>
    <w:rsid w:val="00E64702"/>
    <w:rsid w:val="00E64754"/>
    <w:rsid w:val="00E648DE"/>
    <w:rsid w:val="00E649EC"/>
    <w:rsid w:val="00E64A0D"/>
    <w:rsid w:val="00E64B60"/>
    <w:rsid w:val="00E64CE7"/>
    <w:rsid w:val="00E652AD"/>
    <w:rsid w:val="00E653C9"/>
    <w:rsid w:val="00E65877"/>
    <w:rsid w:val="00E65947"/>
    <w:rsid w:val="00E65990"/>
    <w:rsid w:val="00E65996"/>
    <w:rsid w:val="00E65B48"/>
    <w:rsid w:val="00E65BD2"/>
    <w:rsid w:val="00E6602D"/>
    <w:rsid w:val="00E661BF"/>
    <w:rsid w:val="00E662E9"/>
    <w:rsid w:val="00E663FE"/>
    <w:rsid w:val="00E66587"/>
    <w:rsid w:val="00E66675"/>
    <w:rsid w:val="00E66716"/>
    <w:rsid w:val="00E6673F"/>
    <w:rsid w:val="00E66A38"/>
    <w:rsid w:val="00E66BDD"/>
    <w:rsid w:val="00E66D39"/>
    <w:rsid w:val="00E672A8"/>
    <w:rsid w:val="00E6755B"/>
    <w:rsid w:val="00E6765A"/>
    <w:rsid w:val="00E67792"/>
    <w:rsid w:val="00E67851"/>
    <w:rsid w:val="00E6789B"/>
    <w:rsid w:val="00E6795A"/>
    <w:rsid w:val="00E67C9E"/>
    <w:rsid w:val="00E67D11"/>
    <w:rsid w:val="00E67D27"/>
    <w:rsid w:val="00E67D64"/>
    <w:rsid w:val="00E67E04"/>
    <w:rsid w:val="00E67FA4"/>
    <w:rsid w:val="00E70045"/>
    <w:rsid w:val="00E7027D"/>
    <w:rsid w:val="00E70284"/>
    <w:rsid w:val="00E7065A"/>
    <w:rsid w:val="00E70890"/>
    <w:rsid w:val="00E70931"/>
    <w:rsid w:val="00E709F6"/>
    <w:rsid w:val="00E70A07"/>
    <w:rsid w:val="00E70E89"/>
    <w:rsid w:val="00E70F5A"/>
    <w:rsid w:val="00E711E9"/>
    <w:rsid w:val="00E71355"/>
    <w:rsid w:val="00E7150D"/>
    <w:rsid w:val="00E7167F"/>
    <w:rsid w:val="00E71730"/>
    <w:rsid w:val="00E7198B"/>
    <w:rsid w:val="00E7198F"/>
    <w:rsid w:val="00E71BED"/>
    <w:rsid w:val="00E71FCF"/>
    <w:rsid w:val="00E721C8"/>
    <w:rsid w:val="00E7242B"/>
    <w:rsid w:val="00E7251F"/>
    <w:rsid w:val="00E7257F"/>
    <w:rsid w:val="00E7259D"/>
    <w:rsid w:val="00E725B2"/>
    <w:rsid w:val="00E7289E"/>
    <w:rsid w:val="00E72B1D"/>
    <w:rsid w:val="00E72D34"/>
    <w:rsid w:val="00E72D6E"/>
    <w:rsid w:val="00E72E48"/>
    <w:rsid w:val="00E72EAD"/>
    <w:rsid w:val="00E72F76"/>
    <w:rsid w:val="00E73183"/>
    <w:rsid w:val="00E731FC"/>
    <w:rsid w:val="00E7327A"/>
    <w:rsid w:val="00E732D3"/>
    <w:rsid w:val="00E732F2"/>
    <w:rsid w:val="00E7357B"/>
    <w:rsid w:val="00E7358B"/>
    <w:rsid w:val="00E73A58"/>
    <w:rsid w:val="00E73C3A"/>
    <w:rsid w:val="00E73D8C"/>
    <w:rsid w:val="00E7414C"/>
    <w:rsid w:val="00E742C2"/>
    <w:rsid w:val="00E745E1"/>
    <w:rsid w:val="00E7465E"/>
    <w:rsid w:val="00E747A0"/>
    <w:rsid w:val="00E747C0"/>
    <w:rsid w:val="00E747D4"/>
    <w:rsid w:val="00E749A2"/>
    <w:rsid w:val="00E74B03"/>
    <w:rsid w:val="00E74BCA"/>
    <w:rsid w:val="00E750B5"/>
    <w:rsid w:val="00E752C4"/>
    <w:rsid w:val="00E753FC"/>
    <w:rsid w:val="00E75410"/>
    <w:rsid w:val="00E75563"/>
    <w:rsid w:val="00E756BA"/>
    <w:rsid w:val="00E7571D"/>
    <w:rsid w:val="00E75856"/>
    <w:rsid w:val="00E75C84"/>
    <w:rsid w:val="00E75E9B"/>
    <w:rsid w:val="00E75EEA"/>
    <w:rsid w:val="00E76018"/>
    <w:rsid w:val="00E76119"/>
    <w:rsid w:val="00E7624A"/>
    <w:rsid w:val="00E765F2"/>
    <w:rsid w:val="00E7683A"/>
    <w:rsid w:val="00E76AAA"/>
    <w:rsid w:val="00E76AC4"/>
    <w:rsid w:val="00E76BD9"/>
    <w:rsid w:val="00E76E40"/>
    <w:rsid w:val="00E76F33"/>
    <w:rsid w:val="00E76F9D"/>
    <w:rsid w:val="00E76FD4"/>
    <w:rsid w:val="00E771F1"/>
    <w:rsid w:val="00E77421"/>
    <w:rsid w:val="00E77544"/>
    <w:rsid w:val="00E7765C"/>
    <w:rsid w:val="00E776C7"/>
    <w:rsid w:val="00E77706"/>
    <w:rsid w:val="00E77729"/>
    <w:rsid w:val="00E77745"/>
    <w:rsid w:val="00E77907"/>
    <w:rsid w:val="00E77B27"/>
    <w:rsid w:val="00E77C28"/>
    <w:rsid w:val="00E77C85"/>
    <w:rsid w:val="00E77D4E"/>
    <w:rsid w:val="00E77D8B"/>
    <w:rsid w:val="00E77DED"/>
    <w:rsid w:val="00E77ECC"/>
    <w:rsid w:val="00E8030B"/>
    <w:rsid w:val="00E803BC"/>
    <w:rsid w:val="00E80500"/>
    <w:rsid w:val="00E80567"/>
    <w:rsid w:val="00E8058E"/>
    <w:rsid w:val="00E805A1"/>
    <w:rsid w:val="00E80701"/>
    <w:rsid w:val="00E8083C"/>
    <w:rsid w:val="00E8090A"/>
    <w:rsid w:val="00E80C76"/>
    <w:rsid w:val="00E80CA2"/>
    <w:rsid w:val="00E80CD4"/>
    <w:rsid w:val="00E80CF2"/>
    <w:rsid w:val="00E80F6B"/>
    <w:rsid w:val="00E814E6"/>
    <w:rsid w:val="00E81A6F"/>
    <w:rsid w:val="00E81BD0"/>
    <w:rsid w:val="00E820A3"/>
    <w:rsid w:val="00E8215B"/>
    <w:rsid w:val="00E82335"/>
    <w:rsid w:val="00E823F1"/>
    <w:rsid w:val="00E824C7"/>
    <w:rsid w:val="00E82516"/>
    <w:rsid w:val="00E825BB"/>
    <w:rsid w:val="00E829BC"/>
    <w:rsid w:val="00E82A6B"/>
    <w:rsid w:val="00E82B1D"/>
    <w:rsid w:val="00E82C39"/>
    <w:rsid w:val="00E82DD3"/>
    <w:rsid w:val="00E82E79"/>
    <w:rsid w:val="00E82E91"/>
    <w:rsid w:val="00E82F01"/>
    <w:rsid w:val="00E83109"/>
    <w:rsid w:val="00E83138"/>
    <w:rsid w:val="00E8340B"/>
    <w:rsid w:val="00E834E4"/>
    <w:rsid w:val="00E834F8"/>
    <w:rsid w:val="00E835A4"/>
    <w:rsid w:val="00E835B8"/>
    <w:rsid w:val="00E836B9"/>
    <w:rsid w:val="00E83778"/>
    <w:rsid w:val="00E83868"/>
    <w:rsid w:val="00E8398E"/>
    <w:rsid w:val="00E83A97"/>
    <w:rsid w:val="00E83AEA"/>
    <w:rsid w:val="00E83B3B"/>
    <w:rsid w:val="00E83E70"/>
    <w:rsid w:val="00E83EA4"/>
    <w:rsid w:val="00E84049"/>
    <w:rsid w:val="00E84636"/>
    <w:rsid w:val="00E84666"/>
    <w:rsid w:val="00E846E6"/>
    <w:rsid w:val="00E84960"/>
    <w:rsid w:val="00E849F2"/>
    <w:rsid w:val="00E84A1E"/>
    <w:rsid w:val="00E84B02"/>
    <w:rsid w:val="00E84B31"/>
    <w:rsid w:val="00E84BE1"/>
    <w:rsid w:val="00E84C69"/>
    <w:rsid w:val="00E84E56"/>
    <w:rsid w:val="00E84EF3"/>
    <w:rsid w:val="00E851B4"/>
    <w:rsid w:val="00E854B1"/>
    <w:rsid w:val="00E855D4"/>
    <w:rsid w:val="00E85AEB"/>
    <w:rsid w:val="00E85B79"/>
    <w:rsid w:val="00E85C35"/>
    <w:rsid w:val="00E85C58"/>
    <w:rsid w:val="00E85F8E"/>
    <w:rsid w:val="00E86043"/>
    <w:rsid w:val="00E8605A"/>
    <w:rsid w:val="00E862AE"/>
    <w:rsid w:val="00E86404"/>
    <w:rsid w:val="00E865C5"/>
    <w:rsid w:val="00E8660F"/>
    <w:rsid w:val="00E8696E"/>
    <w:rsid w:val="00E86AA9"/>
    <w:rsid w:val="00E86B34"/>
    <w:rsid w:val="00E86D13"/>
    <w:rsid w:val="00E8702A"/>
    <w:rsid w:val="00E875DE"/>
    <w:rsid w:val="00E8792A"/>
    <w:rsid w:val="00E87971"/>
    <w:rsid w:val="00E87DDF"/>
    <w:rsid w:val="00E87DED"/>
    <w:rsid w:val="00E87ED9"/>
    <w:rsid w:val="00E9020C"/>
    <w:rsid w:val="00E9037A"/>
    <w:rsid w:val="00E9039B"/>
    <w:rsid w:val="00E90490"/>
    <w:rsid w:val="00E90771"/>
    <w:rsid w:val="00E907FD"/>
    <w:rsid w:val="00E90969"/>
    <w:rsid w:val="00E90AB9"/>
    <w:rsid w:val="00E90C33"/>
    <w:rsid w:val="00E90CDF"/>
    <w:rsid w:val="00E90CE8"/>
    <w:rsid w:val="00E90E22"/>
    <w:rsid w:val="00E9116B"/>
    <w:rsid w:val="00E911BB"/>
    <w:rsid w:val="00E913B6"/>
    <w:rsid w:val="00E914A9"/>
    <w:rsid w:val="00E9167A"/>
    <w:rsid w:val="00E91977"/>
    <w:rsid w:val="00E919DE"/>
    <w:rsid w:val="00E919F3"/>
    <w:rsid w:val="00E91A25"/>
    <w:rsid w:val="00E91AA4"/>
    <w:rsid w:val="00E91ACC"/>
    <w:rsid w:val="00E91CB0"/>
    <w:rsid w:val="00E91CD0"/>
    <w:rsid w:val="00E91D58"/>
    <w:rsid w:val="00E91FB1"/>
    <w:rsid w:val="00E920D6"/>
    <w:rsid w:val="00E923F1"/>
    <w:rsid w:val="00E92428"/>
    <w:rsid w:val="00E926B9"/>
    <w:rsid w:val="00E92C50"/>
    <w:rsid w:val="00E92DFD"/>
    <w:rsid w:val="00E92F0C"/>
    <w:rsid w:val="00E93007"/>
    <w:rsid w:val="00E93087"/>
    <w:rsid w:val="00E9343A"/>
    <w:rsid w:val="00E935BB"/>
    <w:rsid w:val="00E93801"/>
    <w:rsid w:val="00E93876"/>
    <w:rsid w:val="00E93A0E"/>
    <w:rsid w:val="00E93A8D"/>
    <w:rsid w:val="00E93BA0"/>
    <w:rsid w:val="00E93BA3"/>
    <w:rsid w:val="00E93F5C"/>
    <w:rsid w:val="00E93FCC"/>
    <w:rsid w:val="00E9402D"/>
    <w:rsid w:val="00E9451B"/>
    <w:rsid w:val="00E948E3"/>
    <w:rsid w:val="00E94936"/>
    <w:rsid w:val="00E94B29"/>
    <w:rsid w:val="00E94C11"/>
    <w:rsid w:val="00E94DC8"/>
    <w:rsid w:val="00E94E86"/>
    <w:rsid w:val="00E94F3E"/>
    <w:rsid w:val="00E9504D"/>
    <w:rsid w:val="00E951D1"/>
    <w:rsid w:val="00E95336"/>
    <w:rsid w:val="00E95389"/>
    <w:rsid w:val="00E953E7"/>
    <w:rsid w:val="00E95463"/>
    <w:rsid w:val="00E954A8"/>
    <w:rsid w:val="00E95670"/>
    <w:rsid w:val="00E95967"/>
    <w:rsid w:val="00E95A75"/>
    <w:rsid w:val="00E95D4B"/>
    <w:rsid w:val="00E95E04"/>
    <w:rsid w:val="00E96056"/>
    <w:rsid w:val="00E960E1"/>
    <w:rsid w:val="00E960E2"/>
    <w:rsid w:val="00E9632E"/>
    <w:rsid w:val="00E9650A"/>
    <w:rsid w:val="00E96591"/>
    <w:rsid w:val="00E966F9"/>
    <w:rsid w:val="00E967A3"/>
    <w:rsid w:val="00E967ED"/>
    <w:rsid w:val="00E9698D"/>
    <w:rsid w:val="00E96997"/>
    <w:rsid w:val="00E96A42"/>
    <w:rsid w:val="00E97096"/>
    <w:rsid w:val="00E971B8"/>
    <w:rsid w:val="00E971BA"/>
    <w:rsid w:val="00E97449"/>
    <w:rsid w:val="00E9795C"/>
    <w:rsid w:val="00E97AB4"/>
    <w:rsid w:val="00E97BA7"/>
    <w:rsid w:val="00E97C84"/>
    <w:rsid w:val="00E97CAC"/>
    <w:rsid w:val="00E97E00"/>
    <w:rsid w:val="00E97E4D"/>
    <w:rsid w:val="00E97F52"/>
    <w:rsid w:val="00EA000E"/>
    <w:rsid w:val="00EA012D"/>
    <w:rsid w:val="00EA020D"/>
    <w:rsid w:val="00EA03C3"/>
    <w:rsid w:val="00EA0504"/>
    <w:rsid w:val="00EA057B"/>
    <w:rsid w:val="00EA0736"/>
    <w:rsid w:val="00EA0847"/>
    <w:rsid w:val="00EA0871"/>
    <w:rsid w:val="00EA0C2C"/>
    <w:rsid w:val="00EA0C6B"/>
    <w:rsid w:val="00EA0C8B"/>
    <w:rsid w:val="00EA111F"/>
    <w:rsid w:val="00EA1154"/>
    <w:rsid w:val="00EA11EE"/>
    <w:rsid w:val="00EA1521"/>
    <w:rsid w:val="00EA1AB9"/>
    <w:rsid w:val="00EA1E91"/>
    <w:rsid w:val="00EA2673"/>
    <w:rsid w:val="00EA2856"/>
    <w:rsid w:val="00EA2A9A"/>
    <w:rsid w:val="00EA2D2D"/>
    <w:rsid w:val="00EA2E3A"/>
    <w:rsid w:val="00EA2F24"/>
    <w:rsid w:val="00EA2FEB"/>
    <w:rsid w:val="00EA318E"/>
    <w:rsid w:val="00EA3293"/>
    <w:rsid w:val="00EA33C0"/>
    <w:rsid w:val="00EA3942"/>
    <w:rsid w:val="00EA39D7"/>
    <w:rsid w:val="00EA3A7A"/>
    <w:rsid w:val="00EA3B1E"/>
    <w:rsid w:val="00EA3FBB"/>
    <w:rsid w:val="00EA40DE"/>
    <w:rsid w:val="00EA42F9"/>
    <w:rsid w:val="00EA435F"/>
    <w:rsid w:val="00EA44DE"/>
    <w:rsid w:val="00EA46B0"/>
    <w:rsid w:val="00EA49C2"/>
    <w:rsid w:val="00EA505A"/>
    <w:rsid w:val="00EA5202"/>
    <w:rsid w:val="00EA5284"/>
    <w:rsid w:val="00EA5319"/>
    <w:rsid w:val="00EA5567"/>
    <w:rsid w:val="00EA5654"/>
    <w:rsid w:val="00EA5679"/>
    <w:rsid w:val="00EA5730"/>
    <w:rsid w:val="00EA58B2"/>
    <w:rsid w:val="00EA591D"/>
    <w:rsid w:val="00EA5947"/>
    <w:rsid w:val="00EA5952"/>
    <w:rsid w:val="00EA59E0"/>
    <w:rsid w:val="00EA5A7D"/>
    <w:rsid w:val="00EA5DEE"/>
    <w:rsid w:val="00EA5DF0"/>
    <w:rsid w:val="00EA5E65"/>
    <w:rsid w:val="00EA5FFB"/>
    <w:rsid w:val="00EA63F0"/>
    <w:rsid w:val="00EA65A1"/>
    <w:rsid w:val="00EA66FC"/>
    <w:rsid w:val="00EA687D"/>
    <w:rsid w:val="00EA68CF"/>
    <w:rsid w:val="00EA6968"/>
    <w:rsid w:val="00EA6DB2"/>
    <w:rsid w:val="00EA6F9F"/>
    <w:rsid w:val="00EA7220"/>
    <w:rsid w:val="00EA72F7"/>
    <w:rsid w:val="00EA75FC"/>
    <w:rsid w:val="00EA7C12"/>
    <w:rsid w:val="00EA7C20"/>
    <w:rsid w:val="00EA7C75"/>
    <w:rsid w:val="00EB05A6"/>
    <w:rsid w:val="00EB098A"/>
    <w:rsid w:val="00EB0CBB"/>
    <w:rsid w:val="00EB0EF5"/>
    <w:rsid w:val="00EB1068"/>
    <w:rsid w:val="00EB13EC"/>
    <w:rsid w:val="00EB1A2C"/>
    <w:rsid w:val="00EB1DC0"/>
    <w:rsid w:val="00EB1E10"/>
    <w:rsid w:val="00EB1EEC"/>
    <w:rsid w:val="00EB216B"/>
    <w:rsid w:val="00EB2441"/>
    <w:rsid w:val="00EB26DA"/>
    <w:rsid w:val="00EB27C5"/>
    <w:rsid w:val="00EB2972"/>
    <w:rsid w:val="00EB2AD9"/>
    <w:rsid w:val="00EB2B35"/>
    <w:rsid w:val="00EB2B96"/>
    <w:rsid w:val="00EB2C02"/>
    <w:rsid w:val="00EB2E23"/>
    <w:rsid w:val="00EB3017"/>
    <w:rsid w:val="00EB302A"/>
    <w:rsid w:val="00EB31FE"/>
    <w:rsid w:val="00EB35A6"/>
    <w:rsid w:val="00EB379C"/>
    <w:rsid w:val="00EB3949"/>
    <w:rsid w:val="00EB3B9A"/>
    <w:rsid w:val="00EB4086"/>
    <w:rsid w:val="00EB40A0"/>
    <w:rsid w:val="00EB411E"/>
    <w:rsid w:val="00EB42D4"/>
    <w:rsid w:val="00EB449A"/>
    <w:rsid w:val="00EB47A2"/>
    <w:rsid w:val="00EB4812"/>
    <w:rsid w:val="00EB4836"/>
    <w:rsid w:val="00EB488F"/>
    <w:rsid w:val="00EB4A15"/>
    <w:rsid w:val="00EB4F72"/>
    <w:rsid w:val="00EB56AD"/>
    <w:rsid w:val="00EB587B"/>
    <w:rsid w:val="00EB5B36"/>
    <w:rsid w:val="00EB5C69"/>
    <w:rsid w:val="00EB5C9B"/>
    <w:rsid w:val="00EB5E3D"/>
    <w:rsid w:val="00EB5F58"/>
    <w:rsid w:val="00EB5F5D"/>
    <w:rsid w:val="00EB5FDA"/>
    <w:rsid w:val="00EB60ED"/>
    <w:rsid w:val="00EB61D0"/>
    <w:rsid w:val="00EB6414"/>
    <w:rsid w:val="00EB655E"/>
    <w:rsid w:val="00EB6833"/>
    <w:rsid w:val="00EB6E28"/>
    <w:rsid w:val="00EB700C"/>
    <w:rsid w:val="00EB7084"/>
    <w:rsid w:val="00EB70BF"/>
    <w:rsid w:val="00EB70D4"/>
    <w:rsid w:val="00EB7319"/>
    <w:rsid w:val="00EB739A"/>
    <w:rsid w:val="00EB750A"/>
    <w:rsid w:val="00EB7782"/>
    <w:rsid w:val="00EB7991"/>
    <w:rsid w:val="00EB7C5D"/>
    <w:rsid w:val="00EC0222"/>
    <w:rsid w:val="00EC03DE"/>
    <w:rsid w:val="00EC04BF"/>
    <w:rsid w:val="00EC0B93"/>
    <w:rsid w:val="00EC0C74"/>
    <w:rsid w:val="00EC0CBA"/>
    <w:rsid w:val="00EC0D68"/>
    <w:rsid w:val="00EC0D9E"/>
    <w:rsid w:val="00EC103E"/>
    <w:rsid w:val="00EC1055"/>
    <w:rsid w:val="00EC1464"/>
    <w:rsid w:val="00EC157C"/>
    <w:rsid w:val="00EC1710"/>
    <w:rsid w:val="00EC18B8"/>
    <w:rsid w:val="00EC194A"/>
    <w:rsid w:val="00EC19B3"/>
    <w:rsid w:val="00EC1B2B"/>
    <w:rsid w:val="00EC1BDF"/>
    <w:rsid w:val="00EC1E4B"/>
    <w:rsid w:val="00EC210B"/>
    <w:rsid w:val="00EC24A6"/>
    <w:rsid w:val="00EC24BA"/>
    <w:rsid w:val="00EC2546"/>
    <w:rsid w:val="00EC2626"/>
    <w:rsid w:val="00EC29B0"/>
    <w:rsid w:val="00EC2BD0"/>
    <w:rsid w:val="00EC2BED"/>
    <w:rsid w:val="00EC2ECB"/>
    <w:rsid w:val="00EC2F0A"/>
    <w:rsid w:val="00EC3087"/>
    <w:rsid w:val="00EC30D7"/>
    <w:rsid w:val="00EC328E"/>
    <w:rsid w:val="00EC32AF"/>
    <w:rsid w:val="00EC33BB"/>
    <w:rsid w:val="00EC33E7"/>
    <w:rsid w:val="00EC367A"/>
    <w:rsid w:val="00EC36D6"/>
    <w:rsid w:val="00EC3AA6"/>
    <w:rsid w:val="00EC3EF9"/>
    <w:rsid w:val="00EC40C9"/>
    <w:rsid w:val="00EC41B0"/>
    <w:rsid w:val="00EC46F4"/>
    <w:rsid w:val="00EC4B13"/>
    <w:rsid w:val="00EC4F7E"/>
    <w:rsid w:val="00EC4FAC"/>
    <w:rsid w:val="00EC5007"/>
    <w:rsid w:val="00EC5131"/>
    <w:rsid w:val="00EC5194"/>
    <w:rsid w:val="00EC5330"/>
    <w:rsid w:val="00EC5397"/>
    <w:rsid w:val="00EC53F8"/>
    <w:rsid w:val="00EC5438"/>
    <w:rsid w:val="00EC556F"/>
    <w:rsid w:val="00EC562B"/>
    <w:rsid w:val="00EC58D5"/>
    <w:rsid w:val="00EC5980"/>
    <w:rsid w:val="00EC5ADF"/>
    <w:rsid w:val="00EC5BA4"/>
    <w:rsid w:val="00EC5BFC"/>
    <w:rsid w:val="00EC5DCF"/>
    <w:rsid w:val="00EC5EBF"/>
    <w:rsid w:val="00EC6067"/>
    <w:rsid w:val="00EC60F1"/>
    <w:rsid w:val="00EC6110"/>
    <w:rsid w:val="00EC617E"/>
    <w:rsid w:val="00EC620B"/>
    <w:rsid w:val="00EC6254"/>
    <w:rsid w:val="00EC62B7"/>
    <w:rsid w:val="00EC67AE"/>
    <w:rsid w:val="00EC67EA"/>
    <w:rsid w:val="00EC683E"/>
    <w:rsid w:val="00EC6887"/>
    <w:rsid w:val="00EC68A6"/>
    <w:rsid w:val="00EC68DB"/>
    <w:rsid w:val="00EC697A"/>
    <w:rsid w:val="00EC69A9"/>
    <w:rsid w:val="00EC6B98"/>
    <w:rsid w:val="00EC6C85"/>
    <w:rsid w:val="00EC6E90"/>
    <w:rsid w:val="00EC6F7E"/>
    <w:rsid w:val="00EC71F7"/>
    <w:rsid w:val="00EC73EF"/>
    <w:rsid w:val="00EC7727"/>
    <w:rsid w:val="00EC772C"/>
    <w:rsid w:val="00EC7914"/>
    <w:rsid w:val="00EC7E00"/>
    <w:rsid w:val="00ED0139"/>
    <w:rsid w:val="00ED0292"/>
    <w:rsid w:val="00ED0394"/>
    <w:rsid w:val="00ED03A4"/>
    <w:rsid w:val="00ED0475"/>
    <w:rsid w:val="00ED0544"/>
    <w:rsid w:val="00ED05AE"/>
    <w:rsid w:val="00ED0729"/>
    <w:rsid w:val="00ED0804"/>
    <w:rsid w:val="00ED08F3"/>
    <w:rsid w:val="00ED0A4E"/>
    <w:rsid w:val="00ED0C15"/>
    <w:rsid w:val="00ED0CB4"/>
    <w:rsid w:val="00ED0CC5"/>
    <w:rsid w:val="00ED0D6C"/>
    <w:rsid w:val="00ED1078"/>
    <w:rsid w:val="00ED121E"/>
    <w:rsid w:val="00ED1279"/>
    <w:rsid w:val="00ED1361"/>
    <w:rsid w:val="00ED151B"/>
    <w:rsid w:val="00ED152E"/>
    <w:rsid w:val="00ED15E2"/>
    <w:rsid w:val="00ED1614"/>
    <w:rsid w:val="00ED167F"/>
    <w:rsid w:val="00ED189A"/>
    <w:rsid w:val="00ED18EC"/>
    <w:rsid w:val="00ED1A5F"/>
    <w:rsid w:val="00ED1A82"/>
    <w:rsid w:val="00ED1B5E"/>
    <w:rsid w:val="00ED1C41"/>
    <w:rsid w:val="00ED1F8B"/>
    <w:rsid w:val="00ED2103"/>
    <w:rsid w:val="00ED2223"/>
    <w:rsid w:val="00ED22FD"/>
    <w:rsid w:val="00ED2414"/>
    <w:rsid w:val="00ED2538"/>
    <w:rsid w:val="00ED2710"/>
    <w:rsid w:val="00ED2894"/>
    <w:rsid w:val="00ED2941"/>
    <w:rsid w:val="00ED2A8A"/>
    <w:rsid w:val="00ED2E71"/>
    <w:rsid w:val="00ED2E78"/>
    <w:rsid w:val="00ED2EC5"/>
    <w:rsid w:val="00ED2F58"/>
    <w:rsid w:val="00ED3188"/>
    <w:rsid w:val="00ED33F4"/>
    <w:rsid w:val="00ED3492"/>
    <w:rsid w:val="00ED34AE"/>
    <w:rsid w:val="00ED351C"/>
    <w:rsid w:val="00ED3554"/>
    <w:rsid w:val="00ED36A9"/>
    <w:rsid w:val="00ED36F8"/>
    <w:rsid w:val="00ED3976"/>
    <w:rsid w:val="00ED3AFD"/>
    <w:rsid w:val="00ED3F19"/>
    <w:rsid w:val="00ED405A"/>
    <w:rsid w:val="00ED4061"/>
    <w:rsid w:val="00ED4609"/>
    <w:rsid w:val="00ED4977"/>
    <w:rsid w:val="00ED4BC0"/>
    <w:rsid w:val="00ED4C23"/>
    <w:rsid w:val="00ED4DA6"/>
    <w:rsid w:val="00ED4EE8"/>
    <w:rsid w:val="00ED503A"/>
    <w:rsid w:val="00ED53BF"/>
    <w:rsid w:val="00ED548F"/>
    <w:rsid w:val="00ED5512"/>
    <w:rsid w:val="00ED5638"/>
    <w:rsid w:val="00ED5A9F"/>
    <w:rsid w:val="00ED5FD4"/>
    <w:rsid w:val="00ED6091"/>
    <w:rsid w:val="00ED617E"/>
    <w:rsid w:val="00ED64AD"/>
    <w:rsid w:val="00ED65F2"/>
    <w:rsid w:val="00ED6625"/>
    <w:rsid w:val="00ED6730"/>
    <w:rsid w:val="00ED678F"/>
    <w:rsid w:val="00ED67D1"/>
    <w:rsid w:val="00ED6854"/>
    <w:rsid w:val="00ED6896"/>
    <w:rsid w:val="00ED6D12"/>
    <w:rsid w:val="00ED6D4A"/>
    <w:rsid w:val="00ED6DA7"/>
    <w:rsid w:val="00ED6F3E"/>
    <w:rsid w:val="00ED71C2"/>
    <w:rsid w:val="00ED71FF"/>
    <w:rsid w:val="00ED7286"/>
    <w:rsid w:val="00ED7348"/>
    <w:rsid w:val="00ED76C7"/>
    <w:rsid w:val="00ED7A6C"/>
    <w:rsid w:val="00ED7C9E"/>
    <w:rsid w:val="00ED7D1E"/>
    <w:rsid w:val="00EE0105"/>
    <w:rsid w:val="00EE0353"/>
    <w:rsid w:val="00EE05D7"/>
    <w:rsid w:val="00EE06C9"/>
    <w:rsid w:val="00EE07FA"/>
    <w:rsid w:val="00EE0A39"/>
    <w:rsid w:val="00EE0A56"/>
    <w:rsid w:val="00EE0B1F"/>
    <w:rsid w:val="00EE0B9E"/>
    <w:rsid w:val="00EE0DDC"/>
    <w:rsid w:val="00EE0DE6"/>
    <w:rsid w:val="00EE0E62"/>
    <w:rsid w:val="00EE0F3C"/>
    <w:rsid w:val="00EE12FC"/>
    <w:rsid w:val="00EE1325"/>
    <w:rsid w:val="00EE1511"/>
    <w:rsid w:val="00EE1534"/>
    <w:rsid w:val="00EE157A"/>
    <w:rsid w:val="00EE157D"/>
    <w:rsid w:val="00EE16FE"/>
    <w:rsid w:val="00EE1926"/>
    <w:rsid w:val="00EE1E46"/>
    <w:rsid w:val="00EE1FDD"/>
    <w:rsid w:val="00EE2321"/>
    <w:rsid w:val="00EE234C"/>
    <w:rsid w:val="00EE251C"/>
    <w:rsid w:val="00EE2639"/>
    <w:rsid w:val="00EE3000"/>
    <w:rsid w:val="00EE3005"/>
    <w:rsid w:val="00EE31F9"/>
    <w:rsid w:val="00EE323C"/>
    <w:rsid w:val="00EE32F4"/>
    <w:rsid w:val="00EE351F"/>
    <w:rsid w:val="00EE36FE"/>
    <w:rsid w:val="00EE3A7D"/>
    <w:rsid w:val="00EE3C7A"/>
    <w:rsid w:val="00EE3D6D"/>
    <w:rsid w:val="00EE3E3D"/>
    <w:rsid w:val="00EE4335"/>
    <w:rsid w:val="00EE433A"/>
    <w:rsid w:val="00EE4362"/>
    <w:rsid w:val="00EE4472"/>
    <w:rsid w:val="00EE48B9"/>
    <w:rsid w:val="00EE49F9"/>
    <w:rsid w:val="00EE4A5A"/>
    <w:rsid w:val="00EE537B"/>
    <w:rsid w:val="00EE54D7"/>
    <w:rsid w:val="00EE5737"/>
    <w:rsid w:val="00EE5742"/>
    <w:rsid w:val="00EE5921"/>
    <w:rsid w:val="00EE59DC"/>
    <w:rsid w:val="00EE5A71"/>
    <w:rsid w:val="00EE5A7A"/>
    <w:rsid w:val="00EE5B4C"/>
    <w:rsid w:val="00EE5C4B"/>
    <w:rsid w:val="00EE5EF7"/>
    <w:rsid w:val="00EE61BC"/>
    <w:rsid w:val="00EE6299"/>
    <w:rsid w:val="00EE6525"/>
    <w:rsid w:val="00EE667A"/>
    <w:rsid w:val="00EE67EA"/>
    <w:rsid w:val="00EE691C"/>
    <w:rsid w:val="00EE6B63"/>
    <w:rsid w:val="00EE6C36"/>
    <w:rsid w:val="00EE6CA0"/>
    <w:rsid w:val="00EE7377"/>
    <w:rsid w:val="00EE73CE"/>
    <w:rsid w:val="00EE742A"/>
    <w:rsid w:val="00EE7658"/>
    <w:rsid w:val="00EE788E"/>
    <w:rsid w:val="00EE79C6"/>
    <w:rsid w:val="00EE79D2"/>
    <w:rsid w:val="00EE7B3E"/>
    <w:rsid w:val="00EE7EE0"/>
    <w:rsid w:val="00EE7EEE"/>
    <w:rsid w:val="00EF0011"/>
    <w:rsid w:val="00EF0166"/>
    <w:rsid w:val="00EF0469"/>
    <w:rsid w:val="00EF0492"/>
    <w:rsid w:val="00EF0527"/>
    <w:rsid w:val="00EF0720"/>
    <w:rsid w:val="00EF0743"/>
    <w:rsid w:val="00EF0793"/>
    <w:rsid w:val="00EF07C3"/>
    <w:rsid w:val="00EF0940"/>
    <w:rsid w:val="00EF0A73"/>
    <w:rsid w:val="00EF0A81"/>
    <w:rsid w:val="00EF0B15"/>
    <w:rsid w:val="00EF0BCE"/>
    <w:rsid w:val="00EF0C60"/>
    <w:rsid w:val="00EF0F32"/>
    <w:rsid w:val="00EF104D"/>
    <w:rsid w:val="00EF1215"/>
    <w:rsid w:val="00EF155D"/>
    <w:rsid w:val="00EF16E8"/>
    <w:rsid w:val="00EF1886"/>
    <w:rsid w:val="00EF1951"/>
    <w:rsid w:val="00EF1BAE"/>
    <w:rsid w:val="00EF1C5D"/>
    <w:rsid w:val="00EF1D83"/>
    <w:rsid w:val="00EF1F09"/>
    <w:rsid w:val="00EF1F3B"/>
    <w:rsid w:val="00EF2079"/>
    <w:rsid w:val="00EF2158"/>
    <w:rsid w:val="00EF21F1"/>
    <w:rsid w:val="00EF23BD"/>
    <w:rsid w:val="00EF23D5"/>
    <w:rsid w:val="00EF2488"/>
    <w:rsid w:val="00EF2493"/>
    <w:rsid w:val="00EF2BBB"/>
    <w:rsid w:val="00EF2C8F"/>
    <w:rsid w:val="00EF2D36"/>
    <w:rsid w:val="00EF32C6"/>
    <w:rsid w:val="00EF33E9"/>
    <w:rsid w:val="00EF35B9"/>
    <w:rsid w:val="00EF36E2"/>
    <w:rsid w:val="00EF36EB"/>
    <w:rsid w:val="00EF3722"/>
    <w:rsid w:val="00EF37AC"/>
    <w:rsid w:val="00EF386D"/>
    <w:rsid w:val="00EF3925"/>
    <w:rsid w:val="00EF3954"/>
    <w:rsid w:val="00EF3C1E"/>
    <w:rsid w:val="00EF3C4C"/>
    <w:rsid w:val="00EF3CC8"/>
    <w:rsid w:val="00EF3E5D"/>
    <w:rsid w:val="00EF3F34"/>
    <w:rsid w:val="00EF4213"/>
    <w:rsid w:val="00EF4314"/>
    <w:rsid w:val="00EF4A04"/>
    <w:rsid w:val="00EF4A41"/>
    <w:rsid w:val="00EF4A7A"/>
    <w:rsid w:val="00EF4B7E"/>
    <w:rsid w:val="00EF4BF0"/>
    <w:rsid w:val="00EF4F62"/>
    <w:rsid w:val="00EF56D1"/>
    <w:rsid w:val="00EF578A"/>
    <w:rsid w:val="00EF5849"/>
    <w:rsid w:val="00EF5946"/>
    <w:rsid w:val="00EF595F"/>
    <w:rsid w:val="00EF5BD2"/>
    <w:rsid w:val="00EF5C33"/>
    <w:rsid w:val="00EF5D9D"/>
    <w:rsid w:val="00EF5E69"/>
    <w:rsid w:val="00EF5F27"/>
    <w:rsid w:val="00EF5FB7"/>
    <w:rsid w:val="00EF60D9"/>
    <w:rsid w:val="00EF6367"/>
    <w:rsid w:val="00EF63B8"/>
    <w:rsid w:val="00EF655A"/>
    <w:rsid w:val="00EF6605"/>
    <w:rsid w:val="00EF6BEB"/>
    <w:rsid w:val="00EF6C76"/>
    <w:rsid w:val="00EF6DD7"/>
    <w:rsid w:val="00EF6E1A"/>
    <w:rsid w:val="00EF7076"/>
    <w:rsid w:val="00EF7129"/>
    <w:rsid w:val="00EF7311"/>
    <w:rsid w:val="00EF739B"/>
    <w:rsid w:val="00EF76A9"/>
    <w:rsid w:val="00EF7796"/>
    <w:rsid w:val="00EF7AD0"/>
    <w:rsid w:val="00EF7CA4"/>
    <w:rsid w:val="00EF7D90"/>
    <w:rsid w:val="00F00247"/>
    <w:rsid w:val="00F003E0"/>
    <w:rsid w:val="00F00494"/>
    <w:rsid w:val="00F00590"/>
    <w:rsid w:val="00F00727"/>
    <w:rsid w:val="00F00A03"/>
    <w:rsid w:val="00F00C3D"/>
    <w:rsid w:val="00F00DE4"/>
    <w:rsid w:val="00F00F7E"/>
    <w:rsid w:val="00F00FA3"/>
    <w:rsid w:val="00F011B0"/>
    <w:rsid w:val="00F01352"/>
    <w:rsid w:val="00F013F9"/>
    <w:rsid w:val="00F015E4"/>
    <w:rsid w:val="00F01644"/>
    <w:rsid w:val="00F01671"/>
    <w:rsid w:val="00F01727"/>
    <w:rsid w:val="00F01751"/>
    <w:rsid w:val="00F01756"/>
    <w:rsid w:val="00F017D7"/>
    <w:rsid w:val="00F018E3"/>
    <w:rsid w:val="00F01947"/>
    <w:rsid w:val="00F01A08"/>
    <w:rsid w:val="00F01C6E"/>
    <w:rsid w:val="00F01D8F"/>
    <w:rsid w:val="00F01FE9"/>
    <w:rsid w:val="00F0214C"/>
    <w:rsid w:val="00F02162"/>
    <w:rsid w:val="00F021DC"/>
    <w:rsid w:val="00F02273"/>
    <w:rsid w:val="00F02386"/>
    <w:rsid w:val="00F023AA"/>
    <w:rsid w:val="00F0246E"/>
    <w:rsid w:val="00F024B2"/>
    <w:rsid w:val="00F024DE"/>
    <w:rsid w:val="00F02552"/>
    <w:rsid w:val="00F02599"/>
    <w:rsid w:val="00F02903"/>
    <w:rsid w:val="00F02971"/>
    <w:rsid w:val="00F02A81"/>
    <w:rsid w:val="00F02C44"/>
    <w:rsid w:val="00F02D0C"/>
    <w:rsid w:val="00F02DF5"/>
    <w:rsid w:val="00F031D2"/>
    <w:rsid w:val="00F032F0"/>
    <w:rsid w:val="00F03641"/>
    <w:rsid w:val="00F0369E"/>
    <w:rsid w:val="00F036EB"/>
    <w:rsid w:val="00F0387C"/>
    <w:rsid w:val="00F038DF"/>
    <w:rsid w:val="00F03A61"/>
    <w:rsid w:val="00F03A97"/>
    <w:rsid w:val="00F03DED"/>
    <w:rsid w:val="00F03E52"/>
    <w:rsid w:val="00F043A9"/>
    <w:rsid w:val="00F0445D"/>
    <w:rsid w:val="00F0454E"/>
    <w:rsid w:val="00F04561"/>
    <w:rsid w:val="00F046B2"/>
    <w:rsid w:val="00F0491A"/>
    <w:rsid w:val="00F04D46"/>
    <w:rsid w:val="00F04D5B"/>
    <w:rsid w:val="00F04E0A"/>
    <w:rsid w:val="00F05103"/>
    <w:rsid w:val="00F05227"/>
    <w:rsid w:val="00F052C8"/>
    <w:rsid w:val="00F0530F"/>
    <w:rsid w:val="00F05454"/>
    <w:rsid w:val="00F054DE"/>
    <w:rsid w:val="00F056EF"/>
    <w:rsid w:val="00F0570E"/>
    <w:rsid w:val="00F05718"/>
    <w:rsid w:val="00F05725"/>
    <w:rsid w:val="00F0577A"/>
    <w:rsid w:val="00F057CA"/>
    <w:rsid w:val="00F058C0"/>
    <w:rsid w:val="00F05932"/>
    <w:rsid w:val="00F05A9E"/>
    <w:rsid w:val="00F05EFE"/>
    <w:rsid w:val="00F0602C"/>
    <w:rsid w:val="00F06137"/>
    <w:rsid w:val="00F0620B"/>
    <w:rsid w:val="00F06263"/>
    <w:rsid w:val="00F06576"/>
    <w:rsid w:val="00F0671D"/>
    <w:rsid w:val="00F0682E"/>
    <w:rsid w:val="00F06848"/>
    <w:rsid w:val="00F06912"/>
    <w:rsid w:val="00F069B3"/>
    <w:rsid w:val="00F06A2D"/>
    <w:rsid w:val="00F06A55"/>
    <w:rsid w:val="00F06F1C"/>
    <w:rsid w:val="00F070E3"/>
    <w:rsid w:val="00F07118"/>
    <w:rsid w:val="00F072CD"/>
    <w:rsid w:val="00F072D2"/>
    <w:rsid w:val="00F07307"/>
    <w:rsid w:val="00F0748C"/>
    <w:rsid w:val="00F07537"/>
    <w:rsid w:val="00F0774B"/>
    <w:rsid w:val="00F101B7"/>
    <w:rsid w:val="00F101D1"/>
    <w:rsid w:val="00F103BC"/>
    <w:rsid w:val="00F1040B"/>
    <w:rsid w:val="00F104EE"/>
    <w:rsid w:val="00F10545"/>
    <w:rsid w:val="00F10597"/>
    <w:rsid w:val="00F105E2"/>
    <w:rsid w:val="00F108CC"/>
    <w:rsid w:val="00F109AB"/>
    <w:rsid w:val="00F10AF0"/>
    <w:rsid w:val="00F10B7D"/>
    <w:rsid w:val="00F10C27"/>
    <w:rsid w:val="00F10E3D"/>
    <w:rsid w:val="00F111F3"/>
    <w:rsid w:val="00F112AE"/>
    <w:rsid w:val="00F113D9"/>
    <w:rsid w:val="00F11864"/>
    <w:rsid w:val="00F1188E"/>
    <w:rsid w:val="00F11A73"/>
    <w:rsid w:val="00F11B87"/>
    <w:rsid w:val="00F11BBC"/>
    <w:rsid w:val="00F11C62"/>
    <w:rsid w:val="00F11D4E"/>
    <w:rsid w:val="00F11F40"/>
    <w:rsid w:val="00F125CF"/>
    <w:rsid w:val="00F126E4"/>
    <w:rsid w:val="00F12C0F"/>
    <w:rsid w:val="00F12E82"/>
    <w:rsid w:val="00F132BE"/>
    <w:rsid w:val="00F13351"/>
    <w:rsid w:val="00F1342A"/>
    <w:rsid w:val="00F1350E"/>
    <w:rsid w:val="00F13770"/>
    <w:rsid w:val="00F13A04"/>
    <w:rsid w:val="00F13A64"/>
    <w:rsid w:val="00F13AF2"/>
    <w:rsid w:val="00F13C8C"/>
    <w:rsid w:val="00F13D42"/>
    <w:rsid w:val="00F13D46"/>
    <w:rsid w:val="00F13EE9"/>
    <w:rsid w:val="00F13FD7"/>
    <w:rsid w:val="00F14366"/>
    <w:rsid w:val="00F143BA"/>
    <w:rsid w:val="00F14437"/>
    <w:rsid w:val="00F1459A"/>
    <w:rsid w:val="00F1461E"/>
    <w:rsid w:val="00F14663"/>
    <w:rsid w:val="00F14675"/>
    <w:rsid w:val="00F14782"/>
    <w:rsid w:val="00F147BF"/>
    <w:rsid w:val="00F1487A"/>
    <w:rsid w:val="00F14B31"/>
    <w:rsid w:val="00F14DAD"/>
    <w:rsid w:val="00F14E04"/>
    <w:rsid w:val="00F1507C"/>
    <w:rsid w:val="00F15342"/>
    <w:rsid w:val="00F15558"/>
    <w:rsid w:val="00F1568E"/>
    <w:rsid w:val="00F1584C"/>
    <w:rsid w:val="00F158C3"/>
    <w:rsid w:val="00F15ABF"/>
    <w:rsid w:val="00F15E35"/>
    <w:rsid w:val="00F15E4A"/>
    <w:rsid w:val="00F16034"/>
    <w:rsid w:val="00F16142"/>
    <w:rsid w:val="00F163C7"/>
    <w:rsid w:val="00F163D7"/>
    <w:rsid w:val="00F165EB"/>
    <w:rsid w:val="00F16777"/>
    <w:rsid w:val="00F169B4"/>
    <w:rsid w:val="00F16C68"/>
    <w:rsid w:val="00F16D4E"/>
    <w:rsid w:val="00F16D6D"/>
    <w:rsid w:val="00F16E05"/>
    <w:rsid w:val="00F16F34"/>
    <w:rsid w:val="00F16FE1"/>
    <w:rsid w:val="00F17103"/>
    <w:rsid w:val="00F1731F"/>
    <w:rsid w:val="00F177BB"/>
    <w:rsid w:val="00F177E9"/>
    <w:rsid w:val="00F17840"/>
    <w:rsid w:val="00F17966"/>
    <w:rsid w:val="00F1798A"/>
    <w:rsid w:val="00F17A43"/>
    <w:rsid w:val="00F17DA8"/>
    <w:rsid w:val="00F20202"/>
    <w:rsid w:val="00F206CA"/>
    <w:rsid w:val="00F20790"/>
    <w:rsid w:val="00F20918"/>
    <w:rsid w:val="00F20B27"/>
    <w:rsid w:val="00F20F58"/>
    <w:rsid w:val="00F2127D"/>
    <w:rsid w:val="00F215A8"/>
    <w:rsid w:val="00F21631"/>
    <w:rsid w:val="00F219C3"/>
    <w:rsid w:val="00F21A8D"/>
    <w:rsid w:val="00F21EB1"/>
    <w:rsid w:val="00F22094"/>
    <w:rsid w:val="00F2212B"/>
    <w:rsid w:val="00F2226D"/>
    <w:rsid w:val="00F226D2"/>
    <w:rsid w:val="00F229B8"/>
    <w:rsid w:val="00F229ED"/>
    <w:rsid w:val="00F22C46"/>
    <w:rsid w:val="00F230E4"/>
    <w:rsid w:val="00F23108"/>
    <w:rsid w:val="00F23370"/>
    <w:rsid w:val="00F2343A"/>
    <w:rsid w:val="00F23763"/>
    <w:rsid w:val="00F2394E"/>
    <w:rsid w:val="00F2397C"/>
    <w:rsid w:val="00F239A7"/>
    <w:rsid w:val="00F23B09"/>
    <w:rsid w:val="00F23B73"/>
    <w:rsid w:val="00F23D38"/>
    <w:rsid w:val="00F23DDA"/>
    <w:rsid w:val="00F23E0F"/>
    <w:rsid w:val="00F23F27"/>
    <w:rsid w:val="00F24082"/>
    <w:rsid w:val="00F24343"/>
    <w:rsid w:val="00F2441E"/>
    <w:rsid w:val="00F2449D"/>
    <w:rsid w:val="00F24598"/>
    <w:rsid w:val="00F2463D"/>
    <w:rsid w:val="00F246D3"/>
    <w:rsid w:val="00F248B2"/>
    <w:rsid w:val="00F25228"/>
    <w:rsid w:val="00F255D5"/>
    <w:rsid w:val="00F257BD"/>
    <w:rsid w:val="00F25976"/>
    <w:rsid w:val="00F259EB"/>
    <w:rsid w:val="00F25A30"/>
    <w:rsid w:val="00F25A79"/>
    <w:rsid w:val="00F25A8D"/>
    <w:rsid w:val="00F25B13"/>
    <w:rsid w:val="00F25ED5"/>
    <w:rsid w:val="00F26088"/>
    <w:rsid w:val="00F2636B"/>
    <w:rsid w:val="00F264D5"/>
    <w:rsid w:val="00F265FE"/>
    <w:rsid w:val="00F26624"/>
    <w:rsid w:val="00F268F6"/>
    <w:rsid w:val="00F26BB7"/>
    <w:rsid w:val="00F2703F"/>
    <w:rsid w:val="00F27144"/>
    <w:rsid w:val="00F27176"/>
    <w:rsid w:val="00F272C8"/>
    <w:rsid w:val="00F273C0"/>
    <w:rsid w:val="00F27407"/>
    <w:rsid w:val="00F27522"/>
    <w:rsid w:val="00F2765D"/>
    <w:rsid w:val="00F277AD"/>
    <w:rsid w:val="00F27809"/>
    <w:rsid w:val="00F27852"/>
    <w:rsid w:val="00F27C5B"/>
    <w:rsid w:val="00F27F53"/>
    <w:rsid w:val="00F30053"/>
    <w:rsid w:val="00F30147"/>
    <w:rsid w:val="00F3032B"/>
    <w:rsid w:val="00F3044C"/>
    <w:rsid w:val="00F3096E"/>
    <w:rsid w:val="00F30A98"/>
    <w:rsid w:val="00F30B1A"/>
    <w:rsid w:val="00F30CDF"/>
    <w:rsid w:val="00F30D49"/>
    <w:rsid w:val="00F310D8"/>
    <w:rsid w:val="00F3131F"/>
    <w:rsid w:val="00F31544"/>
    <w:rsid w:val="00F317EA"/>
    <w:rsid w:val="00F31C38"/>
    <w:rsid w:val="00F32048"/>
    <w:rsid w:val="00F3238E"/>
    <w:rsid w:val="00F32595"/>
    <w:rsid w:val="00F32795"/>
    <w:rsid w:val="00F32A7C"/>
    <w:rsid w:val="00F32ACC"/>
    <w:rsid w:val="00F32BA9"/>
    <w:rsid w:val="00F32D67"/>
    <w:rsid w:val="00F32EBB"/>
    <w:rsid w:val="00F3307D"/>
    <w:rsid w:val="00F33323"/>
    <w:rsid w:val="00F333AC"/>
    <w:rsid w:val="00F33400"/>
    <w:rsid w:val="00F33423"/>
    <w:rsid w:val="00F3367A"/>
    <w:rsid w:val="00F33827"/>
    <w:rsid w:val="00F3383F"/>
    <w:rsid w:val="00F33AA3"/>
    <w:rsid w:val="00F33AEB"/>
    <w:rsid w:val="00F33B19"/>
    <w:rsid w:val="00F33BBC"/>
    <w:rsid w:val="00F33D35"/>
    <w:rsid w:val="00F33D95"/>
    <w:rsid w:val="00F33E33"/>
    <w:rsid w:val="00F33EE8"/>
    <w:rsid w:val="00F33FD1"/>
    <w:rsid w:val="00F34119"/>
    <w:rsid w:val="00F34245"/>
    <w:rsid w:val="00F348AF"/>
    <w:rsid w:val="00F34A07"/>
    <w:rsid w:val="00F34D48"/>
    <w:rsid w:val="00F34D79"/>
    <w:rsid w:val="00F34F73"/>
    <w:rsid w:val="00F3509C"/>
    <w:rsid w:val="00F350A0"/>
    <w:rsid w:val="00F350F6"/>
    <w:rsid w:val="00F35232"/>
    <w:rsid w:val="00F35312"/>
    <w:rsid w:val="00F354CE"/>
    <w:rsid w:val="00F3550F"/>
    <w:rsid w:val="00F35637"/>
    <w:rsid w:val="00F358B9"/>
    <w:rsid w:val="00F35A33"/>
    <w:rsid w:val="00F35BC8"/>
    <w:rsid w:val="00F35DF3"/>
    <w:rsid w:val="00F361BC"/>
    <w:rsid w:val="00F36219"/>
    <w:rsid w:val="00F36443"/>
    <w:rsid w:val="00F366CC"/>
    <w:rsid w:val="00F36789"/>
    <w:rsid w:val="00F3691F"/>
    <w:rsid w:val="00F3698A"/>
    <w:rsid w:val="00F36A1A"/>
    <w:rsid w:val="00F36A7B"/>
    <w:rsid w:val="00F36E0A"/>
    <w:rsid w:val="00F3753E"/>
    <w:rsid w:val="00F37550"/>
    <w:rsid w:val="00F37556"/>
    <w:rsid w:val="00F376B9"/>
    <w:rsid w:val="00F37823"/>
    <w:rsid w:val="00F3787F"/>
    <w:rsid w:val="00F37D45"/>
    <w:rsid w:val="00F37EBA"/>
    <w:rsid w:val="00F40027"/>
    <w:rsid w:val="00F40084"/>
    <w:rsid w:val="00F40206"/>
    <w:rsid w:val="00F403A9"/>
    <w:rsid w:val="00F403B5"/>
    <w:rsid w:val="00F403DE"/>
    <w:rsid w:val="00F403F2"/>
    <w:rsid w:val="00F404CE"/>
    <w:rsid w:val="00F40516"/>
    <w:rsid w:val="00F40536"/>
    <w:rsid w:val="00F4056B"/>
    <w:rsid w:val="00F408ED"/>
    <w:rsid w:val="00F40BAD"/>
    <w:rsid w:val="00F40CB7"/>
    <w:rsid w:val="00F40CCC"/>
    <w:rsid w:val="00F40E43"/>
    <w:rsid w:val="00F41464"/>
    <w:rsid w:val="00F4149E"/>
    <w:rsid w:val="00F41778"/>
    <w:rsid w:val="00F41942"/>
    <w:rsid w:val="00F41B2F"/>
    <w:rsid w:val="00F41BB5"/>
    <w:rsid w:val="00F41BD4"/>
    <w:rsid w:val="00F41CD5"/>
    <w:rsid w:val="00F41D06"/>
    <w:rsid w:val="00F41F2F"/>
    <w:rsid w:val="00F41F40"/>
    <w:rsid w:val="00F42024"/>
    <w:rsid w:val="00F421DE"/>
    <w:rsid w:val="00F421F7"/>
    <w:rsid w:val="00F42365"/>
    <w:rsid w:val="00F423E7"/>
    <w:rsid w:val="00F423FF"/>
    <w:rsid w:val="00F425A0"/>
    <w:rsid w:val="00F42766"/>
    <w:rsid w:val="00F42825"/>
    <w:rsid w:val="00F428B8"/>
    <w:rsid w:val="00F42A61"/>
    <w:rsid w:val="00F42A9F"/>
    <w:rsid w:val="00F42AB8"/>
    <w:rsid w:val="00F42B50"/>
    <w:rsid w:val="00F42C2B"/>
    <w:rsid w:val="00F4312F"/>
    <w:rsid w:val="00F4314A"/>
    <w:rsid w:val="00F432A5"/>
    <w:rsid w:val="00F4349A"/>
    <w:rsid w:val="00F434CB"/>
    <w:rsid w:val="00F434DA"/>
    <w:rsid w:val="00F4352E"/>
    <w:rsid w:val="00F43554"/>
    <w:rsid w:val="00F435EC"/>
    <w:rsid w:val="00F43651"/>
    <w:rsid w:val="00F4379A"/>
    <w:rsid w:val="00F438DE"/>
    <w:rsid w:val="00F438F0"/>
    <w:rsid w:val="00F438FA"/>
    <w:rsid w:val="00F43A3C"/>
    <w:rsid w:val="00F43A61"/>
    <w:rsid w:val="00F43B42"/>
    <w:rsid w:val="00F43C5F"/>
    <w:rsid w:val="00F43DEA"/>
    <w:rsid w:val="00F43DFA"/>
    <w:rsid w:val="00F43F11"/>
    <w:rsid w:val="00F44130"/>
    <w:rsid w:val="00F442B7"/>
    <w:rsid w:val="00F4433F"/>
    <w:rsid w:val="00F445A9"/>
    <w:rsid w:val="00F447B6"/>
    <w:rsid w:val="00F448BE"/>
    <w:rsid w:val="00F44AD5"/>
    <w:rsid w:val="00F44C31"/>
    <w:rsid w:val="00F44CDF"/>
    <w:rsid w:val="00F44E0D"/>
    <w:rsid w:val="00F44F19"/>
    <w:rsid w:val="00F44F95"/>
    <w:rsid w:val="00F45180"/>
    <w:rsid w:val="00F455CD"/>
    <w:rsid w:val="00F455D7"/>
    <w:rsid w:val="00F45822"/>
    <w:rsid w:val="00F45BBF"/>
    <w:rsid w:val="00F45CB4"/>
    <w:rsid w:val="00F45D41"/>
    <w:rsid w:val="00F45E5F"/>
    <w:rsid w:val="00F46025"/>
    <w:rsid w:val="00F466CC"/>
    <w:rsid w:val="00F46783"/>
    <w:rsid w:val="00F46870"/>
    <w:rsid w:val="00F46BB0"/>
    <w:rsid w:val="00F46C07"/>
    <w:rsid w:val="00F46CD5"/>
    <w:rsid w:val="00F46D8D"/>
    <w:rsid w:val="00F46E13"/>
    <w:rsid w:val="00F4712F"/>
    <w:rsid w:val="00F47158"/>
    <w:rsid w:val="00F47214"/>
    <w:rsid w:val="00F472C1"/>
    <w:rsid w:val="00F477B5"/>
    <w:rsid w:val="00F479AF"/>
    <w:rsid w:val="00F47B39"/>
    <w:rsid w:val="00F47B96"/>
    <w:rsid w:val="00F47B97"/>
    <w:rsid w:val="00F47D06"/>
    <w:rsid w:val="00F47D8D"/>
    <w:rsid w:val="00F47DE4"/>
    <w:rsid w:val="00F47EB4"/>
    <w:rsid w:val="00F47F25"/>
    <w:rsid w:val="00F47F75"/>
    <w:rsid w:val="00F50123"/>
    <w:rsid w:val="00F50217"/>
    <w:rsid w:val="00F50500"/>
    <w:rsid w:val="00F5072B"/>
    <w:rsid w:val="00F508DC"/>
    <w:rsid w:val="00F50A3F"/>
    <w:rsid w:val="00F50B0A"/>
    <w:rsid w:val="00F50B9B"/>
    <w:rsid w:val="00F50C63"/>
    <w:rsid w:val="00F511D2"/>
    <w:rsid w:val="00F511D4"/>
    <w:rsid w:val="00F513C3"/>
    <w:rsid w:val="00F5147E"/>
    <w:rsid w:val="00F51489"/>
    <w:rsid w:val="00F514B5"/>
    <w:rsid w:val="00F51508"/>
    <w:rsid w:val="00F516E7"/>
    <w:rsid w:val="00F5191A"/>
    <w:rsid w:val="00F51A61"/>
    <w:rsid w:val="00F51ACE"/>
    <w:rsid w:val="00F51C0C"/>
    <w:rsid w:val="00F51DA9"/>
    <w:rsid w:val="00F524DD"/>
    <w:rsid w:val="00F525EB"/>
    <w:rsid w:val="00F52656"/>
    <w:rsid w:val="00F52825"/>
    <w:rsid w:val="00F52936"/>
    <w:rsid w:val="00F529BA"/>
    <w:rsid w:val="00F52C03"/>
    <w:rsid w:val="00F52C1F"/>
    <w:rsid w:val="00F52EAE"/>
    <w:rsid w:val="00F53215"/>
    <w:rsid w:val="00F53390"/>
    <w:rsid w:val="00F5350B"/>
    <w:rsid w:val="00F53780"/>
    <w:rsid w:val="00F53791"/>
    <w:rsid w:val="00F537C4"/>
    <w:rsid w:val="00F539EE"/>
    <w:rsid w:val="00F53A99"/>
    <w:rsid w:val="00F53B86"/>
    <w:rsid w:val="00F53DFB"/>
    <w:rsid w:val="00F53FC8"/>
    <w:rsid w:val="00F5411C"/>
    <w:rsid w:val="00F542A3"/>
    <w:rsid w:val="00F54339"/>
    <w:rsid w:val="00F5435F"/>
    <w:rsid w:val="00F546FB"/>
    <w:rsid w:val="00F548CC"/>
    <w:rsid w:val="00F54974"/>
    <w:rsid w:val="00F549A0"/>
    <w:rsid w:val="00F54AFC"/>
    <w:rsid w:val="00F54D7D"/>
    <w:rsid w:val="00F54DD1"/>
    <w:rsid w:val="00F54F15"/>
    <w:rsid w:val="00F54FD5"/>
    <w:rsid w:val="00F54FF8"/>
    <w:rsid w:val="00F55522"/>
    <w:rsid w:val="00F555A1"/>
    <w:rsid w:val="00F5568E"/>
    <w:rsid w:val="00F557D8"/>
    <w:rsid w:val="00F55B29"/>
    <w:rsid w:val="00F55E5E"/>
    <w:rsid w:val="00F55F26"/>
    <w:rsid w:val="00F56084"/>
    <w:rsid w:val="00F56243"/>
    <w:rsid w:val="00F563FE"/>
    <w:rsid w:val="00F56539"/>
    <w:rsid w:val="00F56684"/>
    <w:rsid w:val="00F56834"/>
    <w:rsid w:val="00F56889"/>
    <w:rsid w:val="00F5690C"/>
    <w:rsid w:val="00F569AC"/>
    <w:rsid w:val="00F56ACC"/>
    <w:rsid w:val="00F56B36"/>
    <w:rsid w:val="00F56C0B"/>
    <w:rsid w:val="00F56C6C"/>
    <w:rsid w:val="00F56EAA"/>
    <w:rsid w:val="00F56FD4"/>
    <w:rsid w:val="00F57033"/>
    <w:rsid w:val="00F5725F"/>
    <w:rsid w:val="00F5748B"/>
    <w:rsid w:val="00F57525"/>
    <w:rsid w:val="00F57594"/>
    <w:rsid w:val="00F57701"/>
    <w:rsid w:val="00F57733"/>
    <w:rsid w:val="00F5793A"/>
    <w:rsid w:val="00F57AE5"/>
    <w:rsid w:val="00F57B4C"/>
    <w:rsid w:val="00F57C1F"/>
    <w:rsid w:val="00F57C2C"/>
    <w:rsid w:val="00F6025C"/>
    <w:rsid w:val="00F602CC"/>
    <w:rsid w:val="00F603EF"/>
    <w:rsid w:val="00F6062E"/>
    <w:rsid w:val="00F606A9"/>
    <w:rsid w:val="00F6092E"/>
    <w:rsid w:val="00F60981"/>
    <w:rsid w:val="00F60A1F"/>
    <w:rsid w:val="00F60F7B"/>
    <w:rsid w:val="00F610CB"/>
    <w:rsid w:val="00F6122F"/>
    <w:rsid w:val="00F61297"/>
    <w:rsid w:val="00F61634"/>
    <w:rsid w:val="00F6186D"/>
    <w:rsid w:val="00F61890"/>
    <w:rsid w:val="00F619B5"/>
    <w:rsid w:val="00F61A70"/>
    <w:rsid w:val="00F61B26"/>
    <w:rsid w:val="00F61BFB"/>
    <w:rsid w:val="00F61D5A"/>
    <w:rsid w:val="00F61E41"/>
    <w:rsid w:val="00F6201D"/>
    <w:rsid w:val="00F620C1"/>
    <w:rsid w:val="00F62179"/>
    <w:rsid w:val="00F6247F"/>
    <w:rsid w:val="00F624F7"/>
    <w:rsid w:val="00F6263D"/>
    <w:rsid w:val="00F6266A"/>
    <w:rsid w:val="00F6289E"/>
    <w:rsid w:val="00F62ABC"/>
    <w:rsid w:val="00F62C76"/>
    <w:rsid w:val="00F62CA5"/>
    <w:rsid w:val="00F62EE0"/>
    <w:rsid w:val="00F632BF"/>
    <w:rsid w:val="00F63480"/>
    <w:rsid w:val="00F6350F"/>
    <w:rsid w:val="00F63971"/>
    <w:rsid w:val="00F63D10"/>
    <w:rsid w:val="00F63D21"/>
    <w:rsid w:val="00F63DC9"/>
    <w:rsid w:val="00F63E62"/>
    <w:rsid w:val="00F63E67"/>
    <w:rsid w:val="00F63F30"/>
    <w:rsid w:val="00F64093"/>
    <w:rsid w:val="00F640FF"/>
    <w:rsid w:val="00F64533"/>
    <w:rsid w:val="00F64590"/>
    <w:rsid w:val="00F64617"/>
    <w:rsid w:val="00F64727"/>
    <w:rsid w:val="00F64BFE"/>
    <w:rsid w:val="00F64D1B"/>
    <w:rsid w:val="00F6502B"/>
    <w:rsid w:val="00F65465"/>
    <w:rsid w:val="00F65648"/>
    <w:rsid w:val="00F65745"/>
    <w:rsid w:val="00F657F6"/>
    <w:rsid w:val="00F6582C"/>
    <w:rsid w:val="00F659E9"/>
    <w:rsid w:val="00F65BBA"/>
    <w:rsid w:val="00F65BF9"/>
    <w:rsid w:val="00F65D75"/>
    <w:rsid w:val="00F65E2B"/>
    <w:rsid w:val="00F65F02"/>
    <w:rsid w:val="00F660EA"/>
    <w:rsid w:val="00F662DB"/>
    <w:rsid w:val="00F66322"/>
    <w:rsid w:val="00F66479"/>
    <w:rsid w:val="00F664D1"/>
    <w:rsid w:val="00F66653"/>
    <w:rsid w:val="00F666C4"/>
    <w:rsid w:val="00F666EB"/>
    <w:rsid w:val="00F66711"/>
    <w:rsid w:val="00F667F0"/>
    <w:rsid w:val="00F66A49"/>
    <w:rsid w:val="00F66FC8"/>
    <w:rsid w:val="00F6745F"/>
    <w:rsid w:val="00F675F8"/>
    <w:rsid w:val="00F6767C"/>
    <w:rsid w:val="00F67879"/>
    <w:rsid w:val="00F67933"/>
    <w:rsid w:val="00F67C13"/>
    <w:rsid w:val="00F67F6A"/>
    <w:rsid w:val="00F70206"/>
    <w:rsid w:val="00F70434"/>
    <w:rsid w:val="00F704F4"/>
    <w:rsid w:val="00F7058D"/>
    <w:rsid w:val="00F7066A"/>
    <w:rsid w:val="00F707D0"/>
    <w:rsid w:val="00F7081C"/>
    <w:rsid w:val="00F70A45"/>
    <w:rsid w:val="00F70ACD"/>
    <w:rsid w:val="00F70B08"/>
    <w:rsid w:val="00F70B7E"/>
    <w:rsid w:val="00F71064"/>
    <w:rsid w:val="00F7117E"/>
    <w:rsid w:val="00F71322"/>
    <w:rsid w:val="00F71673"/>
    <w:rsid w:val="00F71922"/>
    <w:rsid w:val="00F719BD"/>
    <w:rsid w:val="00F71CA7"/>
    <w:rsid w:val="00F71DB1"/>
    <w:rsid w:val="00F71DB9"/>
    <w:rsid w:val="00F71F53"/>
    <w:rsid w:val="00F71F63"/>
    <w:rsid w:val="00F723F4"/>
    <w:rsid w:val="00F72454"/>
    <w:rsid w:val="00F72569"/>
    <w:rsid w:val="00F72636"/>
    <w:rsid w:val="00F727A8"/>
    <w:rsid w:val="00F729BA"/>
    <w:rsid w:val="00F72C32"/>
    <w:rsid w:val="00F72CF9"/>
    <w:rsid w:val="00F72D27"/>
    <w:rsid w:val="00F72E54"/>
    <w:rsid w:val="00F72E87"/>
    <w:rsid w:val="00F73173"/>
    <w:rsid w:val="00F73264"/>
    <w:rsid w:val="00F73270"/>
    <w:rsid w:val="00F735F6"/>
    <w:rsid w:val="00F73908"/>
    <w:rsid w:val="00F73958"/>
    <w:rsid w:val="00F7397A"/>
    <w:rsid w:val="00F739D0"/>
    <w:rsid w:val="00F73ADE"/>
    <w:rsid w:val="00F73B53"/>
    <w:rsid w:val="00F73BFB"/>
    <w:rsid w:val="00F73C3D"/>
    <w:rsid w:val="00F73D37"/>
    <w:rsid w:val="00F743B4"/>
    <w:rsid w:val="00F74455"/>
    <w:rsid w:val="00F74528"/>
    <w:rsid w:val="00F74585"/>
    <w:rsid w:val="00F74620"/>
    <w:rsid w:val="00F747A5"/>
    <w:rsid w:val="00F747C7"/>
    <w:rsid w:val="00F7485D"/>
    <w:rsid w:val="00F749C3"/>
    <w:rsid w:val="00F74B3A"/>
    <w:rsid w:val="00F74C84"/>
    <w:rsid w:val="00F74D8D"/>
    <w:rsid w:val="00F751C3"/>
    <w:rsid w:val="00F7521D"/>
    <w:rsid w:val="00F7568D"/>
    <w:rsid w:val="00F75713"/>
    <w:rsid w:val="00F758C5"/>
    <w:rsid w:val="00F75B13"/>
    <w:rsid w:val="00F75BB7"/>
    <w:rsid w:val="00F75D18"/>
    <w:rsid w:val="00F75D51"/>
    <w:rsid w:val="00F75FEA"/>
    <w:rsid w:val="00F762BB"/>
    <w:rsid w:val="00F76302"/>
    <w:rsid w:val="00F76308"/>
    <w:rsid w:val="00F763D3"/>
    <w:rsid w:val="00F7654D"/>
    <w:rsid w:val="00F765CE"/>
    <w:rsid w:val="00F76A76"/>
    <w:rsid w:val="00F76B7B"/>
    <w:rsid w:val="00F77001"/>
    <w:rsid w:val="00F7730D"/>
    <w:rsid w:val="00F7744A"/>
    <w:rsid w:val="00F776EF"/>
    <w:rsid w:val="00F77721"/>
    <w:rsid w:val="00F7783A"/>
    <w:rsid w:val="00F779C4"/>
    <w:rsid w:val="00F80362"/>
    <w:rsid w:val="00F803DA"/>
    <w:rsid w:val="00F80584"/>
    <w:rsid w:val="00F80773"/>
    <w:rsid w:val="00F807C3"/>
    <w:rsid w:val="00F807CE"/>
    <w:rsid w:val="00F8080E"/>
    <w:rsid w:val="00F80B50"/>
    <w:rsid w:val="00F80BCB"/>
    <w:rsid w:val="00F80BE3"/>
    <w:rsid w:val="00F814AA"/>
    <w:rsid w:val="00F814D2"/>
    <w:rsid w:val="00F8195C"/>
    <w:rsid w:val="00F81BF3"/>
    <w:rsid w:val="00F81CB0"/>
    <w:rsid w:val="00F81E70"/>
    <w:rsid w:val="00F820F5"/>
    <w:rsid w:val="00F82254"/>
    <w:rsid w:val="00F8250C"/>
    <w:rsid w:val="00F826FA"/>
    <w:rsid w:val="00F82759"/>
    <w:rsid w:val="00F8276E"/>
    <w:rsid w:val="00F82A92"/>
    <w:rsid w:val="00F82C86"/>
    <w:rsid w:val="00F82F9C"/>
    <w:rsid w:val="00F833B7"/>
    <w:rsid w:val="00F83424"/>
    <w:rsid w:val="00F83492"/>
    <w:rsid w:val="00F83511"/>
    <w:rsid w:val="00F835E2"/>
    <w:rsid w:val="00F836D8"/>
    <w:rsid w:val="00F83EDF"/>
    <w:rsid w:val="00F8427F"/>
    <w:rsid w:val="00F842CD"/>
    <w:rsid w:val="00F843FE"/>
    <w:rsid w:val="00F84485"/>
    <w:rsid w:val="00F845BB"/>
    <w:rsid w:val="00F8483F"/>
    <w:rsid w:val="00F84AAF"/>
    <w:rsid w:val="00F84B7F"/>
    <w:rsid w:val="00F84BB4"/>
    <w:rsid w:val="00F85104"/>
    <w:rsid w:val="00F85180"/>
    <w:rsid w:val="00F851D2"/>
    <w:rsid w:val="00F852AA"/>
    <w:rsid w:val="00F8570D"/>
    <w:rsid w:val="00F85B4A"/>
    <w:rsid w:val="00F85C20"/>
    <w:rsid w:val="00F85CAD"/>
    <w:rsid w:val="00F85D5A"/>
    <w:rsid w:val="00F85EDC"/>
    <w:rsid w:val="00F85F1C"/>
    <w:rsid w:val="00F86078"/>
    <w:rsid w:val="00F860ED"/>
    <w:rsid w:val="00F86106"/>
    <w:rsid w:val="00F86172"/>
    <w:rsid w:val="00F8639E"/>
    <w:rsid w:val="00F864BE"/>
    <w:rsid w:val="00F865F5"/>
    <w:rsid w:val="00F86607"/>
    <w:rsid w:val="00F867EE"/>
    <w:rsid w:val="00F86BA7"/>
    <w:rsid w:val="00F86CF5"/>
    <w:rsid w:val="00F86D55"/>
    <w:rsid w:val="00F86EDC"/>
    <w:rsid w:val="00F86F95"/>
    <w:rsid w:val="00F87363"/>
    <w:rsid w:val="00F87470"/>
    <w:rsid w:val="00F8761D"/>
    <w:rsid w:val="00F878C8"/>
    <w:rsid w:val="00F879D0"/>
    <w:rsid w:val="00F87C05"/>
    <w:rsid w:val="00F87F7F"/>
    <w:rsid w:val="00F90308"/>
    <w:rsid w:val="00F90313"/>
    <w:rsid w:val="00F903A8"/>
    <w:rsid w:val="00F90485"/>
    <w:rsid w:val="00F9051B"/>
    <w:rsid w:val="00F908CE"/>
    <w:rsid w:val="00F908EF"/>
    <w:rsid w:val="00F908F1"/>
    <w:rsid w:val="00F9095A"/>
    <w:rsid w:val="00F90B49"/>
    <w:rsid w:val="00F90C68"/>
    <w:rsid w:val="00F90D16"/>
    <w:rsid w:val="00F90D89"/>
    <w:rsid w:val="00F911D5"/>
    <w:rsid w:val="00F91222"/>
    <w:rsid w:val="00F91397"/>
    <w:rsid w:val="00F9147A"/>
    <w:rsid w:val="00F91515"/>
    <w:rsid w:val="00F9159F"/>
    <w:rsid w:val="00F91708"/>
    <w:rsid w:val="00F917A1"/>
    <w:rsid w:val="00F91917"/>
    <w:rsid w:val="00F91AB2"/>
    <w:rsid w:val="00F91B86"/>
    <w:rsid w:val="00F91BAF"/>
    <w:rsid w:val="00F91D0B"/>
    <w:rsid w:val="00F9204D"/>
    <w:rsid w:val="00F92419"/>
    <w:rsid w:val="00F92571"/>
    <w:rsid w:val="00F925FB"/>
    <w:rsid w:val="00F9260E"/>
    <w:rsid w:val="00F928B9"/>
    <w:rsid w:val="00F92959"/>
    <w:rsid w:val="00F92D27"/>
    <w:rsid w:val="00F92F24"/>
    <w:rsid w:val="00F9309B"/>
    <w:rsid w:val="00F9317B"/>
    <w:rsid w:val="00F932D2"/>
    <w:rsid w:val="00F9339F"/>
    <w:rsid w:val="00F934FB"/>
    <w:rsid w:val="00F935A5"/>
    <w:rsid w:val="00F935CF"/>
    <w:rsid w:val="00F937F6"/>
    <w:rsid w:val="00F938E2"/>
    <w:rsid w:val="00F9397B"/>
    <w:rsid w:val="00F939D7"/>
    <w:rsid w:val="00F93A42"/>
    <w:rsid w:val="00F93DEC"/>
    <w:rsid w:val="00F93F7F"/>
    <w:rsid w:val="00F94243"/>
    <w:rsid w:val="00F942CB"/>
    <w:rsid w:val="00F94352"/>
    <w:rsid w:val="00F943D8"/>
    <w:rsid w:val="00F94419"/>
    <w:rsid w:val="00F9442F"/>
    <w:rsid w:val="00F9444F"/>
    <w:rsid w:val="00F94686"/>
    <w:rsid w:val="00F94875"/>
    <w:rsid w:val="00F94944"/>
    <w:rsid w:val="00F94AFF"/>
    <w:rsid w:val="00F9510F"/>
    <w:rsid w:val="00F952EB"/>
    <w:rsid w:val="00F95524"/>
    <w:rsid w:val="00F955A0"/>
    <w:rsid w:val="00F9567A"/>
    <w:rsid w:val="00F956D5"/>
    <w:rsid w:val="00F95714"/>
    <w:rsid w:val="00F95862"/>
    <w:rsid w:val="00F95A2A"/>
    <w:rsid w:val="00F95AB2"/>
    <w:rsid w:val="00F95AD3"/>
    <w:rsid w:val="00F95B78"/>
    <w:rsid w:val="00F95D53"/>
    <w:rsid w:val="00F95EE8"/>
    <w:rsid w:val="00F95FB6"/>
    <w:rsid w:val="00F95FFB"/>
    <w:rsid w:val="00F9606C"/>
    <w:rsid w:val="00F9620B"/>
    <w:rsid w:val="00F964AF"/>
    <w:rsid w:val="00F96558"/>
    <w:rsid w:val="00F9665E"/>
    <w:rsid w:val="00F96A98"/>
    <w:rsid w:val="00F96BCB"/>
    <w:rsid w:val="00F96D76"/>
    <w:rsid w:val="00F96DDF"/>
    <w:rsid w:val="00F96DF9"/>
    <w:rsid w:val="00F97100"/>
    <w:rsid w:val="00F97533"/>
    <w:rsid w:val="00F9771F"/>
    <w:rsid w:val="00F9781B"/>
    <w:rsid w:val="00F9787E"/>
    <w:rsid w:val="00F97AC9"/>
    <w:rsid w:val="00F97CB1"/>
    <w:rsid w:val="00F97CFF"/>
    <w:rsid w:val="00FA0033"/>
    <w:rsid w:val="00FA0199"/>
    <w:rsid w:val="00FA01EE"/>
    <w:rsid w:val="00FA0226"/>
    <w:rsid w:val="00FA0751"/>
    <w:rsid w:val="00FA09A2"/>
    <w:rsid w:val="00FA0A86"/>
    <w:rsid w:val="00FA0C81"/>
    <w:rsid w:val="00FA0CED"/>
    <w:rsid w:val="00FA0FDF"/>
    <w:rsid w:val="00FA1058"/>
    <w:rsid w:val="00FA1215"/>
    <w:rsid w:val="00FA1507"/>
    <w:rsid w:val="00FA163F"/>
    <w:rsid w:val="00FA168C"/>
    <w:rsid w:val="00FA1AE8"/>
    <w:rsid w:val="00FA1C82"/>
    <w:rsid w:val="00FA1CB6"/>
    <w:rsid w:val="00FA1F30"/>
    <w:rsid w:val="00FA21D3"/>
    <w:rsid w:val="00FA22A4"/>
    <w:rsid w:val="00FA2377"/>
    <w:rsid w:val="00FA2460"/>
    <w:rsid w:val="00FA248E"/>
    <w:rsid w:val="00FA2575"/>
    <w:rsid w:val="00FA2643"/>
    <w:rsid w:val="00FA2715"/>
    <w:rsid w:val="00FA2802"/>
    <w:rsid w:val="00FA2AAB"/>
    <w:rsid w:val="00FA2C02"/>
    <w:rsid w:val="00FA2D3B"/>
    <w:rsid w:val="00FA2DBE"/>
    <w:rsid w:val="00FA2E41"/>
    <w:rsid w:val="00FA2FF7"/>
    <w:rsid w:val="00FA302E"/>
    <w:rsid w:val="00FA303B"/>
    <w:rsid w:val="00FA30E8"/>
    <w:rsid w:val="00FA3453"/>
    <w:rsid w:val="00FA350B"/>
    <w:rsid w:val="00FA3539"/>
    <w:rsid w:val="00FA376B"/>
    <w:rsid w:val="00FA3797"/>
    <w:rsid w:val="00FA387C"/>
    <w:rsid w:val="00FA3988"/>
    <w:rsid w:val="00FA3BAB"/>
    <w:rsid w:val="00FA3DA0"/>
    <w:rsid w:val="00FA40B5"/>
    <w:rsid w:val="00FA41B7"/>
    <w:rsid w:val="00FA43A5"/>
    <w:rsid w:val="00FA43ED"/>
    <w:rsid w:val="00FA44B8"/>
    <w:rsid w:val="00FA46E1"/>
    <w:rsid w:val="00FA47EB"/>
    <w:rsid w:val="00FA496A"/>
    <w:rsid w:val="00FA4A03"/>
    <w:rsid w:val="00FA4E4F"/>
    <w:rsid w:val="00FA4F0D"/>
    <w:rsid w:val="00FA5068"/>
    <w:rsid w:val="00FA5239"/>
    <w:rsid w:val="00FA5282"/>
    <w:rsid w:val="00FA5337"/>
    <w:rsid w:val="00FA5360"/>
    <w:rsid w:val="00FA539D"/>
    <w:rsid w:val="00FA55B7"/>
    <w:rsid w:val="00FA564E"/>
    <w:rsid w:val="00FA577C"/>
    <w:rsid w:val="00FA58E9"/>
    <w:rsid w:val="00FA5A45"/>
    <w:rsid w:val="00FA5D3D"/>
    <w:rsid w:val="00FA6066"/>
    <w:rsid w:val="00FA609E"/>
    <w:rsid w:val="00FA6518"/>
    <w:rsid w:val="00FA665A"/>
    <w:rsid w:val="00FA6696"/>
    <w:rsid w:val="00FA6E22"/>
    <w:rsid w:val="00FA6F3A"/>
    <w:rsid w:val="00FA700E"/>
    <w:rsid w:val="00FA70FD"/>
    <w:rsid w:val="00FA7250"/>
    <w:rsid w:val="00FA7328"/>
    <w:rsid w:val="00FA741D"/>
    <w:rsid w:val="00FA7681"/>
    <w:rsid w:val="00FA7833"/>
    <w:rsid w:val="00FA7AA6"/>
    <w:rsid w:val="00FA7BA1"/>
    <w:rsid w:val="00FA7BD9"/>
    <w:rsid w:val="00FA7C66"/>
    <w:rsid w:val="00FA7E81"/>
    <w:rsid w:val="00FA7E85"/>
    <w:rsid w:val="00FB0691"/>
    <w:rsid w:val="00FB0794"/>
    <w:rsid w:val="00FB081F"/>
    <w:rsid w:val="00FB09FC"/>
    <w:rsid w:val="00FB0A4C"/>
    <w:rsid w:val="00FB0DD3"/>
    <w:rsid w:val="00FB1101"/>
    <w:rsid w:val="00FB1193"/>
    <w:rsid w:val="00FB138B"/>
    <w:rsid w:val="00FB1410"/>
    <w:rsid w:val="00FB155E"/>
    <w:rsid w:val="00FB1688"/>
    <w:rsid w:val="00FB18AF"/>
    <w:rsid w:val="00FB1A1B"/>
    <w:rsid w:val="00FB1A61"/>
    <w:rsid w:val="00FB1CED"/>
    <w:rsid w:val="00FB1ED5"/>
    <w:rsid w:val="00FB200B"/>
    <w:rsid w:val="00FB2231"/>
    <w:rsid w:val="00FB23D8"/>
    <w:rsid w:val="00FB2445"/>
    <w:rsid w:val="00FB24C1"/>
    <w:rsid w:val="00FB25F2"/>
    <w:rsid w:val="00FB274E"/>
    <w:rsid w:val="00FB28A8"/>
    <w:rsid w:val="00FB29CA"/>
    <w:rsid w:val="00FB2A1E"/>
    <w:rsid w:val="00FB2C46"/>
    <w:rsid w:val="00FB2E04"/>
    <w:rsid w:val="00FB30E2"/>
    <w:rsid w:val="00FB313D"/>
    <w:rsid w:val="00FB3143"/>
    <w:rsid w:val="00FB331A"/>
    <w:rsid w:val="00FB3385"/>
    <w:rsid w:val="00FB3565"/>
    <w:rsid w:val="00FB3598"/>
    <w:rsid w:val="00FB3739"/>
    <w:rsid w:val="00FB39DF"/>
    <w:rsid w:val="00FB3AF6"/>
    <w:rsid w:val="00FB3C1E"/>
    <w:rsid w:val="00FB3C9A"/>
    <w:rsid w:val="00FB3EC3"/>
    <w:rsid w:val="00FB40BF"/>
    <w:rsid w:val="00FB4177"/>
    <w:rsid w:val="00FB4270"/>
    <w:rsid w:val="00FB4532"/>
    <w:rsid w:val="00FB4820"/>
    <w:rsid w:val="00FB486D"/>
    <w:rsid w:val="00FB493C"/>
    <w:rsid w:val="00FB4980"/>
    <w:rsid w:val="00FB4B37"/>
    <w:rsid w:val="00FB4DAF"/>
    <w:rsid w:val="00FB4FED"/>
    <w:rsid w:val="00FB5094"/>
    <w:rsid w:val="00FB50C1"/>
    <w:rsid w:val="00FB51CA"/>
    <w:rsid w:val="00FB5233"/>
    <w:rsid w:val="00FB523D"/>
    <w:rsid w:val="00FB52E8"/>
    <w:rsid w:val="00FB5559"/>
    <w:rsid w:val="00FB5662"/>
    <w:rsid w:val="00FB5717"/>
    <w:rsid w:val="00FB589A"/>
    <w:rsid w:val="00FB58C8"/>
    <w:rsid w:val="00FB5C14"/>
    <w:rsid w:val="00FB5C15"/>
    <w:rsid w:val="00FB5C2E"/>
    <w:rsid w:val="00FB5D75"/>
    <w:rsid w:val="00FB5D77"/>
    <w:rsid w:val="00FB5E81"/>
    <w:rsid w:val="00FB5F60"/>
    <w:rsid w:val="00FB6043"/>
    <w:rsid w:val="00FB630D"/>
    <w:rsid w:val="00FB6328"/>
    <w:rsid w:val="00FB6370"/>
    <w:rsid w:val="00FB6385"/>
    <w:rsid w:val="00FB64F6"/>
    <w:rsid w:val="00FB6603"/>
    <w:rsid w:val="00FB6705"/>
    <w:rsid w:val="00FB6889"/>
    <w:rsid w:val="00FB6CBE"/>
    <w:rsid w:val="00FB6CD7"/>
    <w:rsid w:val="00FB722C"/>
    <w:rsid w:val="00FB722F"/>
    <w:rsid w:val="00FB7364"/>
    <w:rsid w:val="00FB747F"/>
    <w:rsid w:val="00FB753D"/>
    <w:rsid w:val="00FB77B2"/>
    <w:rsid w:val="00FB7829"/>
    <w:rsid w:val="00FB7ACB"/>
    <w:rsid w:val="00FB7B51"/>
    <w:rsid w:val="00FC0078"/>
    <w:rsid w:val="00FC007C"/>
    <w:rsid w:val="00FC00FE"/>
    <w:rsid w:val="00FC0182"/>
    <w:rsid w:val="00FC03EC"/>
    <w:rsid w:val="00FC05CB"/>
    <w:rsid w:val="00FC061C"/>
    <w:rsid w:val="00FC06AE"/>
    <w:rsid w:val="00FC0923"/>
    <w:rsid w:val="00FC0E38"/>
    <w:rsid w:val="00FC0EB4"/>
    <w:rsid w:val="00FC0FE0"/>
    <w:rsid w:val="00FC1311"/>
    <w:rsid w:val="00FC16A6"/>
    <w:rsid w:val="00FC19B1"/>
    <w:rsid w:val="00FC1A30"/>
    <w:rsid w:val="00FC1C57"/>
    <w:rsid w:val="00FC1CD5"/>
    <w:rsid w:val="00FC1CEE"/>
    <w:rsid w:val="00FC1E01"/>
    <w:rsid w:val="00FC1FEB"/>
    <w:rsid w:val="00FC2385"/>
    <w:rsid w:val="00FC2599"/>
    <w:rsid w:val="00FC265F"/>
    <w:rsid w:val="00FC27B0"/>
    <w:rsid w:val="00FC27DC"/>
    <w:rsid w:val="00FC288F"/>
    <w:rsid w:val="00FC296F"/>
    <w:rsid w:val="00FC2983"/>
    <w:rsid w:val="00FC2C1E"/>
    <w:rsid w:val="00FC2CEA"/>
    <w:rsid w:val="00FC2E4F"/>
    <w:rsid w:val="00FC2EC4"/>
    <w:rsid w:val="00FC342D"/>
    <w:rsid w:val="00FC3439"/>
    <w:rsid w:val="00FC3539"/>
    <w:rsid w:val="00FC3886"/>
    <w:rsid w:val="00FC39EB"/>
    <w:rsid w:val="00FC3AB0"/>
    <w:rsid w:val="00FC3B82"/>
    <w:rsid w:val="00FC3C03"/>
    <w:rsid w:val="00FC3D34"/>
    <w:rsid w:val="00FC3DA9"/>
    <w:rsid w:val="00FC4382"/>
    <w:rsid w:val="00FC44A3"/>
    <w:rsid w:val="00FC4597"/>
    <w:rsid w:val="00FC46B4"/>
    <w:rsid w:val="00FC477E"/>
    <w:rsid w:val="00FC4807"/>
    <w:rsid w:val="00FC4A41"/>
    <w:rsid w:val="00FC4B08"/>
    <w:rsid w:val="00FC4D89"/>
    <w:rsid w:val="00FC5002"/>
    <w:rsid w:val="00FC509E"/>
    <w:rsid w:val="00FC5389"/>
    <w:rsid w:val="00FC5800"/>
    <w:rsid w:val="00FC590E"/>
    <w:rsid w:val="00FC5940"/>
    <w:rsid w:val="00FC6429"/>
    <w:rsid w:val="00FC6503"/>
    <w:rsid w:val="00FC6554"/>
    <w:rsid w:val="00FC670C"/>
    <w:rsid w:val="00FC677E"/>
    <w:rsid w:val="00FC6BDB"/>
    <w:rsid w:val="00FC6C8E"/>
    <w:rsid w:val="00FC6D98"/>
    <w:rsid w:val="00FC6DCF"/>
    <w:rsid w:val="00FC6EA8"/>
    <w:rsid w:val="00FC708A"/>
    <w:rsid w:val="00FC7138"/>
    <w:rsid w:val="00FC733A"/>
    <w:rsid w:val="00FC73BD"/>
    <w:rsid w:val="00FC7860"/>
    <w:rsid w:val="00FC7917"/>
    <w:rsid w:val="00FC7B06"/>
    <w:rsid w:val="00FC7DA6"/>
    <w:rsid w:val="00FC7F70"/>
    <w:rsid w:val="00FD003C"/>
    <w:rsid w:val="00FD0056"/>
    <w:rsid w:val="00FD023B"/>
    <w:rsid w:val="00FD0260"/>
    <w:rsid w:val="00FD0321"/>
    <w:rsid w:val="00FD058D"/>
    <w:rsid w:val="00FD0665"/>
    <w:rsid w:val="00FD06E3"/>
    <w:rsid w:val="00FD0768"/>
    <w:rsid w:val="00FD0830"/>
    <w:rsid w:val="00FD0D68"/>
    <w:rsid w:val="00FD0F3C"/>
    <w:rsid w:val="00FD1057"/>
    <w:rsid w:val="00FD14A8"/>
    <w:rsid w:val="00FD1821"/>
    <w:rsid w:val="00FD1967"/>
    <w:rsid w:val="00FD1B50"/>
    <w:rsid w:val="00FD1C13"/>
    <w:rsid w:val="00FD1E2C"/>
    <w:rsid w:val="00FD204E"/>
    <w:rsid w:val="00FD2080"/>
    <w:rsid w:val="00FD21D3"/>
    <w:rsid w:val="00FD2212"/>
    <w:rsid w:val="00FD2A41"/>
    <w:rsid w:val="00FD2AA2"/>
    <w:rsid w:val="00FD2D29"/>
    <w:rsid w:val="00FD2F7E"/>
    <w:rsid w:val="00FD310A"/>
    <w:rsid w:val="00FD31FE"/>
    <w:rsid w:val="00FD3598"/>
    <w:rsid w:val="00FD3723"/>
    <w:rsid w:val="00FD3B0C"/>
    <w:rsid w:val="00FD3C0B"/>
    <w:rsid w:val="00FD3D28"/>
    <w:rsid w:val="00FD4122"/>
    <w:rsid w:val="00FD41A0"/>
    <w:rsid w:val="00FD4339"/>
    <w:rsid w:val="00FD439B"/>
    <w:rsid w:val="00FD4A28"/>
    <w:rsid w:val="00FD4B0C"/>
    <w:rsid w:val="00FD4F51"/>
    <w:rsid w:val="00FD533E"/>
    <w:rsid w:val="00FD53D1"/>
    <w:rsid w:val="00FD56E3"/>
    <w:rsid w:val="00FD57BD"/>
    <w:rsid w:val="00FD5849"/>
    <w:rsid w:val="00FD5E61"/>
    <w:rsid w:val="00FD5EB4"/>
    <w:rsid w:val="00FD5FD9"/>
    <w:rsid w:val="00FD638F"/>
    <w:rsid w:val="00FD6399"/>
    <w:rsid w:val="00FD6433"/>
    <w:rsid w:val="00FD65D8"/>
    <w:rsid w:val="00FD68A4"/>
    <w:rsid w:val="00FD6BB7"/>
    <w:rsid w:val="00FD7590"/>
    <w:rsid w:val="00FD7778"/>
    <w:rsid w:val="00FD77E7"/>
    <w:rsid w:val="00FD7992"/>
    <w:rsid w:val="00FD7A99"/>
    <w:rsid w:val="00FD7B30"/>
    <w:rsid w:val="00FD7DBF"/>
    <w:rsid w:val="00FD7E35"/>
    <w:rsid w:val="00FD7F42"/>
    <w:rsid w:val="00FE01BE"/>
    <w:rsid w:val="00FE0604"/>
    <w:rsid w:val="00FE092F"/>
    <w:rsid w:val="00FE0B59"/>
    <w:rsid w:val="00FE0C7C"/>
    <w:rsid w:val="00FE0D22"/>
    <w:rsid w:val="00FE0F24"/>
    <w:rsid w:val="00FE1316"/>
    <w:rsid w:val="00FE1430"/>
    <w:rsid w:val="00FE14CD"/>
    <w:rsid w:val="00FE14FC"/>
    <w:rsid w:val="00FE19FD"/>
    <w:rsid w:val="00FE1F5F"/>
    <w:rsid w:val="00FE1FE3"/>
    <w:rsid w:val="00FE2105"/>
    <w:rsid w:val="00FE213C"/>
    <w:rsid w:val="00FE23EF"/>
    <w:rsid w:val="00FE24A0"/>
    <w:rsid w:val="00FE2577"/>
    <w:rsid w:val="00FE28B5"/>
    <w:rsid w:val="00FE28BF"/>
    <w:rsid w:val="00FE2A54"/>
    <w:rsid w:val="00FE2B39"/>
    <w:rsid w:val="00FE2CCA"/>
    <w:rsid w:val="00FE2D4D"/>
    <w:rsid w:val="00FE2FA3"/>
    <w:rsid w:val="00FE2FBE"/>
    <w:rsid w:val="00FE3355"/>
    <w:rsid w:val="00FE33C3"/>
    <w:rsid w:val="00FE3645"/>
    <w:rsid w:val="00FE38C2"/>
    <w:rsid w:val="00FE3C26"/>
    <w:rsid w:val="00FE3D42"/>
    <w:rsid w:val="00FE3D55"/>
    <w:rsid w:val="00FE4300"/>
    <w:rsid w:val="00FE43B7"/>
    <w:rsid w:val="00FE444C"/>
    <w:rsid w:val="00FE4481"/>
    <w:rsid w:val="00FE4578"/>
    <w:rsid w:val="00FE46AF"/>
    <w:rsid w:val="00FE48D4"/>
    <w:rsid w:val="00FE4CB0"/>
    <w:rsid w:val="00FE5115"/>
    <w:rsid w:val="00FE51F7"/>
    <w:rsid w:val="00FE5579"/>
    <w:rsid w:val="00FE57DD"/>
    <w:rsid w:val="00FE593E"/>
    <w:rsid w:val="00FE5957"/>
    <w:rsid w:val="00FE59F9"/>
    <w:rsid w:val="00FE5B30"/>
    <w:rsid w:val="00FE5CD5"/>
    <w:rsid w:val="00FE5E41"/>
    <w:rsid w:val="00FE5EC9"/>
    <w:rsid w:val="00FE614E"/>
    <w:rsid w:val="00FE61A2"/>
    <w:rsid w:val="00FE62FD"/>
    <w:rsid w:val="00FE67BE"/>
    <w:rsid w:val="00FE6805"/>
    <w:rsid w:val="00FE68BD"/>
    <w:rsid w:val="00FE6995"/>
    <w:rsid w:val="00FE6DF5"/>
    <w:rsid w:val="00FE6F37"/>
    <w:rsid w:val="00FE7006"/>
    <w:rsid w:val="00FE7047"/>
    <w:rsid w:val="00FE70C5"/>
    <w:rsid w:val="00FE7138"/>
    <w:rsid w:val="00FE7154"/>
    <w:rsid w:val="00FE72CD"/>
    <w:rsid w:val="00FE7309"/>
    <w:rsid w:val="00FE74EE"/>
    <w:rsid w:val="00FE75E2"/>
    <w:rsid w:val="00FE78D3"/>
    <w:rsid w:val="00FE7964"/>
    <w:rsid w:val="00FE7B01"/>
    <w:rsid w:val="00FE7CC1"/>
    <w:rsid w:val="00FE7F82"/>
    <w:rsid w:val="00FE7FCD"/>
    <w:rsid w:val="00FF010A"/>
    <w:rsid w:val="00FF02A0"/>
    <w:rsid w:val="00FF0303"/>
    <w:rsid w:val="00FF0466"/>
    <w:rsid w:val="00FF0490"/>
    <w:rsid w:val="00FF056B"/>
    <w:rsid w:val="00FF061E"/>
    <w:rsid w:val="00FF07C5"/>
    <w:rsid w:val="00FF0821"/>
    <w:rsid w:val="00FF08F6"/>
    <w:rsid w:val="00FF0CDD"/>
    <w:rsid w:val="00FF0CDF"/>
    <w:rsid w:val="00FF0D8D"/>
    <w:rsid w:val="00FF10B3"/>
    <w:rsid w:val="00FF1245"/>
    <w:rsid w:val="00FF12E1"/>
    <w:rsid w:val="00FF1391"/>
    <w:rsid w:val="00FF13D9"/>
    <w:rsid w:val="00FF174E"/>
    <w:rsid w:val="00FF18F0"/>
    <w:rsid w:val="00FF191D"/>
    <w:rsid w:val="00FF192A"/>
    <w:rsid w:val="00FF1BEC"/>
    <w:rsid w:val="00FF1E96"/>
    <w:rsid w:val="00FF1FDC"/>
    <w:rsid w:val="00FF2022"/>
    <w:rsid w:val="00FF20CB"/>
    <w:rsid w:val="00FF244E"/>
    <w:rsid w:val="00FF266D"/>
    <w:rsid w:val="00FF2676"/>
    <w:rsid w:val="00FF2815"/>
    <w:rsid w:val="00FF28C2"/>
    <w:rsid w:val="00FF29C2"/>
    <w:rsid w:val="00FF2A48"/>
    <w:rsid w:val="00FF2C5D"/>
    <w:rsid w:val="00FF2CC3"/>
    <w:rsid w:val="00FF2D00"/>
    <w:rsid w:val="00FF2D56"/>
    <w:rsid w:val="00FF2D61"/>
    <w:rsid w:val="00FF2F13"/>
    <w:rsid w:val="00FF2F20"/>
    <w:rsid w:val="00FF2FF3"/>
    <w:rsid w:val="00FF31BF"/>
    <w:rsid w:val="00FF31D5"/>
    <w:rsid w:val="00FF3264"/>
    <w:rsid w:val="00FF356A"/>
    <w:rsid w:val="00FF3702"/>
    <w:rsid w:val="00FF39B0"/>
    <w:rsid w:val="00FF3BD9"/>
    <w:rsid w:val="00FF4326"/>
    <w:rsid w:val="00FF4333"/>
    <w:rsid w:val="00FF441C"/>
    <w:rsid w:val="00FF472D"/>
    <w:rsid w:val="00FF473F"/>
    <w:rsid w:val="00FF4744"/>
    <w:rsid w:val="00FF4999"/>
    <w:rsid w:val="00FF4AB8"/>
    <w:rsid w:val="00FF4AE3"/>
    <w:rsid w:val="00FF4F37"/>
    <w:rsid w:val="00FF4FE9"/>
    <w:rsid w:val="00FF50A3"/>
    <w:rsid w:val="00FF5177"/>
    <w:rsid w:val="00FF517A"/>
    <w:rsid w:val="00FF5226"/>
    <w:rsid w:val="00FF54FA"/>
    <w:rsid w:val="00FF55D9"/>
    <w:rsid w:val="00FF56BE"/>
    <w:rsid w:val="00FF56CC"/>
    <w:rsid w:val="00FF576C"/>
    <w:rsid w:val="00FF582F"/>
    <w:rsid w:val="00FF585C"/>
    <w:rsid w:val="00FF588C"/>
    <w:rsid w:val="00FF59E6"/>
    <w:rsid w:val="00FF5BD5"/>
    <w:rsid w:val="00FF5CDB"/>
    <w:rsid w:val="00FF5EC7"/>
    <w:rsid w:val="00FF6066"/>
    <w:rsid w:val="00FF6069"/>
    <w:rsid w:val="00FF643C"/>
    <w:rsid w:val="00FF6751"/>
    <w:rsid w:val="00FF6849"/>
    <w:rsid w:val="00FF68C8"/>
    <w:rsid w:val="00FF68F0"/>
    <w:rsid w:val="00FF6DCC"/>
    <w:rsid w:val="00FF6F7A"/>
    <w:rsid w:val="00FF702C"/>
    <w:rsid w:val="00FF70A9"/>
    <w:rsid w:val="00FF71B6"/>
    <w:rsid w:val="00FF77D5"/>
    <w:rsid w:val="00FF7972"/>
    <w:rsid w:val="00FF7BEB"/>
    <w:rsid w:val="00FF7E7D"/>
    <w:rsid w:val="00FF7ED0"/>
    <w:rsid w:val="01026F7F"/>
    <w:rsid w:val="0102DD1C"/>
    <w:rsid w:val="01076B69"/>
    <w:rsid w:val="0107C09C"/>
    <w:rsid w:val="01118B9C"/>
    <w:rsid w:val="0117C272"/>
    <w:rsid w:val="0119C636"/>
    <w:rsid w:val="011B5605"/>
    <w:rsid w:val="011EDBFE"/>
    <w:rsid w:val="01237D98"/>
    <w:rsid w:val="0126C557"/>
    <w:rsid w:val="012D1C28"/>
    <w:rsid w:val="013BADE5"/>
    <w:rsid w:val="013D00DE"/>
    <w:rsid w:val="013FDF0E"/>
    <w:rsid w:val="0143BDE0"/>
    <w:rsid w:val="014BDDEA"/>
    <w:rsid w:val="015374E3"/>
    <w:rsid w:val="015D8407"/>
    <w:rsid w:val="016B00D9"/>
    <w:rsid w:val="016E7A31"/>
    <w:rsid w:val="017C7EC6"/>
    <w:rsid w:val="017D43B3"/>
    <w:rsid w:val="017E5031"/>
    <w:rsid w:val="01817A75"/>
    <w:rsid w:val="0188D911"/>
    <w:rsid w:val="018B8910"/>
    <w:rsid w:val="01978E1D"/>
    <w:rsid w:val="019793EB"/>
    <w:rsid w:val="019875CB"/>
    <w:rsid w:val="019B08CC"/>
    <w:rsid w:val="019F480A"/>
    <w:rsid w:val="01A83721"/>
    <w:rsid w:val="01A9DB1E"/>
    <w:rsid w:val="01ABA75A"/>
    <w:rsid w:val="01AEB708"/>
    <w:rsid w:val="01B08052"/>
    <w:rsid w:val="01B7B549"/>
    <w:rsid w:val="01B8AC0B"/>
    <w:rsid w:val="01BFF684"/>
    <w:rsid w:val="01C69F6F"/>
    <w:rsid w:val="01C912E4"/>
    <w:rsid w:val="01E42A9A"/>
    <w:rsid w:val="01E88477"/>
    <w:rsid w:val="01EA1227"/>
    <w:rsid w:val="01EB27E8"/>
    <w:rsid w:val="01FA9425"/>
    <w:rsid w:val="01FAA27B"/>
    <w:rsid w:val="02104FA4"/>
    <w:rsid w:val="02198407"/>
    <w:rsid w:val="021BCF02"/>
    <w:rsid w:val="0221FE21"/>
    <w:rsid w:val="022428C2"/>
    <w:rsid w:val="0227B223"/>
    <w:rsid w:val="0229DF3E"/>
    <w:rsid w:val="022C38F1"/>
    <w:rsid w:val="0232F819"/>
    <w:rsid w:val="023C3AAC"/>
    <w:rsid w:val="023F332A"/>
    <w:rsid w:val="02431AAB"/>
    <w:rsid w:val="024B3BF9"/>
    <w:rsid w:val="024BCB21"/>
    <w:rsid w:val="024C8206"/>
    <w:rsid w:val="0253531A"/>
    <w:rsid w:val="0265A80C"/>
    <w:rsid w:val="026B4BF2"/>
    <w:rsid w:val="026C8249"/>
    <w:rsid w:val="02723586"/>
    <w:rsid w:val="0272B88A"/>
    <w:rsid w:val="0272C27A"/>
    <w:rsid w:val="028C47A2"/>
    <w:rsid w:val="028D30A4"/>
    <w:rsid w:val="028E3A6E"/>
    <w:rsid w:val="02991822"/>
    <w:rsid w:val="0299DD22"/>
    <w:rsid w:val="02A6E1B3"/>
    <w:rsid w:val="02AA7839"/>
    <w:rsid w:val="02AA9F0F"/>
    <w:rsid w:val="02B07625"/>
    <w:rsid w:val="02B5C0C3"/>
    <w:rsid w:val="02BC6496"/>
    <w:rsid w:val="02BFCD6C"/>
    <w:rsid w:val="02C386D7"/>
    <w:rsid w:val="02DD6A01"/>
    <w:rsid w:val="02E286B8"/>
    <w:rsid w:val="0312BD9A"/>
    <w:rsid w:val="03133A8C"/>
    <w:rsid w:val="03258B38"/>
    <w:rsid w:val="03291B24"/>
    <w:rsid w:val="0329B992"/>
    <w:rsid w:val="03412F22"/>
    <w:rsid w:val="03426B35"/>
    <w:rsid w:val="034486F7"/>
    <w:rsid w:val="0344CCA7"/>
    <w:rsid w:val="0348BD4A"/>
    <w:rsid w:val="0351394C"/>
    <w:rsid w:val="03523982"/>
    <w:rsid w:val="035D8EE6"/>
    <w:rsid w:val="035F3845"/>
    <w:rsid w:val="0362E47D"/>
    <w:rsid w:val="036C8607"/>
    <w:rsid w:val="037C277F"/>
    <w:rsid w:val="037D4454"/>
    <w:rsid w:val="0387C9E9"/>
    <w:rsid w:val="038837B2"/>
    <w:rsid w:val="03907C62"/>
    <w:rsid w:val="03915BF7"/>
    <w:rsid w:val="0393B3A7"/>
    <w:rsid w:val="03994086"/>
    <w:rsid w:val="03A1E18B"/>
    <w:rsid w:val="03B1A6E0"/>
    <w:rsid w:val="03BB51FD"/>
    <w:rsid w:val="03C234D6"/>
    <w:rsid w:val="03C3B455"/>
    <w:rsid w:val="03C88DD7"/>
    <w:rsid w:val="03C98267"/>
    <w:rsid w:val="03D3B0D1"/>
    <w:rsid w:val="03D9F445"/>
    <w:rsid w:val="03E0C237"/>
    <w:rsid w:val="03E291BB"/>
    <w:rsid w:val="03E549A7"/>
    <w:rsid w:val="03F0C1B2"/>
    <w:rsid w:val="03F223DE"/>
    <w:rsid w:val="03F4A39C"/>
    <w:rsid w:val="03FAF3D9"/>
    <w:rsid w:val="0402B672"/>
    <w:rsid w:val="040E6BAE"/>
    <w:rsid w:val="04157040"/>
    <w:rsid w:val="041D60EA"/>
    <w:rsid w:val="0422EAE9"/>
    <w:rsid w:val="0427EB91"/>
    <w:rsid w:val="042E86F6"/>
    <w:rsid w:val="04344E5A"/>
    <w:rsid w:val="04404843"/>
    <w:rsid w:val="04478B28"/>
    <w:rsid w:val="044A4DCE"/>
    <w:rsid w:val="044DF55E"/>
    <w:rsid w:val="044FA32B"/>
    <w:rsid w:val="0451F6B2"/>
    <w:rsid w:val="04528719"/>
    <w:rsid w:val="045430D6"/>
    <w:rsid w:val="0455D3D9"/>
    <w:rsid w:val="0475BE8C"/>
    <w:rsid w:val="0477FD02"/>
    <w:rsid w:val="04783A49"/>
    <w:rsid w:val="047BEF35"/>
    <w:rsid w:val="047F1FE7"/>
    <w:rsid w:val="0482122E"/>
    <w:rsid w:val="04841BFC"/>
    <w:rsid w:val="048AC3DA"/>
    <w:rsid w:val="0497FE4A"/>
    <w:rsid w:val="049957F1"/>
    <w:rsid w:val="04A9A340"/>
    <w:rsid w:val="04AAD0D1"/>
    <w:rsid w:val="04ABFC0E"/>
    <w:rsid w:val="04ADC249"/>
    <w:rsid w:val="04B19D7E"/>
    <w:rsid w:val="04D618FA"/>
    <w:rsid w:val="04D930B5"/>
    <w:rsid w:val="04DD3746"/>
    <w:rsid w:val="04DD4857"/>
    <w:rsid w:val="04E30D2A"/>
    <w:rsid w:val="04E34926"/>
    <w:rsid w:val="04E57299"/>
    <w:rsid w:val="04E9A51D"/>
    <w:rsid w:val="04F240A1"/>
    <w:rsid w:val="04F2DB20"/>
    <w:rsid w:val="04F67150"/>
    <w:rsid w:val="04FDC66F"/>
    <w:rsid w:val="0500DE9B"/>
    <w:rsid w:val="050192F6"/>
    <w:rsid w:val="0506383B"/>
    <w:rsid w:val="050A2E85"/>
    <w:rsid w:val="050AA7E2"/>
    <w:rsid w:val="05125DF6"/>
    <w:rsid w:val="05165456"/>
    <w:rsid w:val="051F1C7B"/>
    <w:rsid w:val="0524F897"/>
    <w:rsid w:val="052B2CE3"/>
    <w:rsid w:val="053A0CBB"/>
    <w:rsid w:val="053C7A4C"/>
    <w:rsid w:val="0544FDD5"/>
    <w:rsid w:val="054742A0"/>
    <w:rsid w:val="054B3A93"/>
    <w:rsid w:val="054E5681"/>
    <w:rsid w:val="05518007"/>
    <w:rsid w:val="0554865F"/>
    <w:rsid w:val="055E0A8F"/>
    <w:rsid w:val="05603AD8"/>
    <w:rsid w:val="056534E8"/>
    <w:rsid w:val="056E542C"/>
    <w:rsid w:val="058125DC"/>
    <w:rsid w:val="059111B5"/>
    <w:rsid w:val="0598F5F5"/>
    <w:rsid w:val="05AB805C"/>
    <w:rsid w:val="05BAA5FC"/>
    <w:rsid w:val="05BBBF91"/>
    <w:rsid w:val="05BF8E6A"/>
    <w:rsid w:val="05C6C293"/>
    <w:rsid w:val="05CAE128"/>
    <w:rsid w:val="05CEA50A"/>
    <w:rsid w:val="05D6C798"/>
    <w:rsid w:val="05DC81E0"/>
    <w:rsid w:val="05E77A03"/>
    <w:rsid w:val="05F30145"/>
    <w:rsid w:val="0610A258"/>
    <w:rsid w:val="06140144"/>
    <w:rsid w:val="06185CAC"/>
    <w:rsid w:val="06213836"/>
    <w:rsid w:val="062713D0"/>
    <w:rsid w:val="062A70CC"/>
    <w:rsid w:val="06390069"/>
    <w:rsid w:val="063C0510"/>
    <w:rsid w:val="063EFE04"/>
    <w:rsid w:val="063F1B05"/>
    <w:rsid w:val="0645C5E4"/>
    <w:rsid w:val="0647ED57"/>
    <w:rsid w:val="06496F9C"/>
    <w:rsid w:val="064FFAAE"/>
    <w:rsid w:val="06579DA7"/>
    <w:rsid w:val="066D4CE4"/>
    <w:rsid w:val="0675D1F5"/>
    <w:rsid w:val="0677EED6"/>
    <w:rsid w:val="0677F8DC"/>
    <w:rsid w:val="067B0C49"/>
    <w:rsid w:val="067B7244"/>
    <w:rsid w:val="067ECAAA"/>
    <w:rsid w:val="067F116D"/>
    <w:rsid w:val="06835688"/>
    <w:rsid w:val="068759BF"/>
    <w:rsid w:val="068C82E5"/>
    <w:rsid w:val="068E9F29"/>
    <w:rsid w:val="069207ED"/>
    <w:rsid w:val="0692360B"/>
    <w:rsid w:val="069904BB"/>
    <w:rsid w:val="069E62A0"/>
    <w:rsid w:val="06A5DB28"/>
    <w:rsid w:val="06B5BF2C"/>
    <w:rsid w:val="06B7A6FB"/>
    <w:rsid w:val="06C29D24"/>
    <w:rsid w:val="06CB4C0F"/>
    <w:rsid w:val="06CCBB43"/>
    <w:rsid w:val="06CECF49"/>
    <w:rsid w:val="06E4F3BA"/>
    <w:rsid w:val="06E6144C"/>
    <w:rsid w:val="06EA61D2"/>
    <w:rsid w:val="06F2F059"/>
    <w:rsid w:val="07082721"/>
    <w:rsid w:val="0712AE45"/>
    <w:rsid w:val="07150252"/>
    <w:rsid w:val="071623CE"/>
    <w:rsid w:val="072054E9"/>
    <w:rsid w:val="0729F4DC"/>
    <w:rsid w:val="0738B2A5"/>
    <w:rsid w:val="073C0E3C"/>
    <w:rsid w:val="073C343C"/>
    <w:rsid w:val="074195DA"/>
    <w:rsid w:val="07439462"/>
    <w:rsid w:val="07593344"/>
    <w:rsid w:val="07595FA9"/>
    <w:rsid w:val="075B6500"/>
    <w:rsid w:val="0772FCF0"/>
    <w:rsid w:val="0786C684"/>
    <w:rsid w:val="07872530"/>
    <w:rsid w:val="0789DB71"/>
    <w:rsid w:val="078B925C"/>
    <w:rsid w:val="078F4F52"/>
    <w:rsid w:val="07A199E5"/>
    <w:rsid w:val="07ABE908"/>
    <w:rsid w:val="07ADEC70"/>
    <w:rsid w:val="07AFAE01"/>
    <w:rsid w:val="07B2A1D4"/>
    <w:rsid w:val="07C701DC"/>
    <w:rsid w:val="07D21EA4"/>
    <w:rsid w:val="07D59BF6"/>
    <w:rsid w:val="07DC01F2"/>
    <w:rsid w:val="07E49657"/>
    <w:rsid w:val="07FC96DB"/>
    <w:rsid w:val="080504C5"/>
    <w:rsid w:val="0808D0DA"/>
    <w:rsid w:val="080DF82A"/>
    <w:rsid w:val="080EE6EC"/>
    <w:rsid w:val="08133AE3"/>
    <w:rsid w:val="08142A6E"/>
    <w:rsid w:val="0814FB33"/>
    <w:rsid w:val="082306BE"/>
    <w:rsid w:val="082AB5BC"/>
    <w:rsid w:val="083B73DF"/>
    <w:rsid w:val="0846F2E3"/>
    <w:rsid w:val="084E68FC"/>
    <w:rsid w:val="084E9AC9"/>
    <w:rsid w:val="08502854"/>
    <w:rsid w:val="085CFB55"/>
    <w:rsid w:val="085F5A1A"/>
    <w:rsid w:val="086218B7"/>
    <w:rsid w:val="08623765"/>
    <w:rsid w:val="0867A36B"/>
    <w:rsid w:val="086EE172"/>
    <w:rsid w:val="08759D13"/>
    <w:rsid w:val="0877F4EC"/>
    <w:rsid w:val="087AE81D"/>
    <w:rsid w:val="087D5DD8"/>
    <w:rsid w:val="087DAE7C"/>
    <w:rsid w:val="08824501"/>
    <w:rsid w:val="0884A208"/>
    <w:rsid w:val="088B868B"/>
    <w:rsid w:val="088D35AB"/>
    <w:rsid w:val="089672FA"/>
    <w:rsid w:val="0896D830"/>
    <w:rsid w:val="08980B21"/>
    <w:rsid w:val="08A33213"/>
    <w:rsid w:val="08A8CD06"/>
    <w:rsid w:val="08AB246B"/>
    <w:rsid w:val="08B5FE7C"/>
    <w:rsid w:val="08B9CC7C"/>
    <w:rsid w:val="08C9396A"/>
    <w:rsid w:val="08C99C87"/>
    <w:rsid w:val="08D214FC"/>
    <w:rsid w:val="08D3D2D3"/>
    <w:rsid w:val="08D564AF"/>
    <w:rsid w:val="08D63A87"/>
    <w:rsid w:val="08D6F371"/>
    <w:rsid w:val="08D9B8EC"/>
    <w:rsid w:val="08F2BD83"/>
    <w:rsid w:val="08F370AA"/>
    <w:rsid w:val="090371DB"/>
    <w:rsid w:val="0909F89D"/>
    <w:rsid w:val="090FF154"/>
    <w:rsid w:val="0910048B"/>
    <w:rsid w:val="0911E7DA"/>
    <w:rsid w:val="091EBCA9"/>
    <w:rsid w:val="0922D83B"/>
    <w:rsid w:val="0925BA52"/>
    <w:rsid w:val="092C558C"/>
    <w:rsid w:val="092D2EF3"/>
    <w:rsid w:val="092EB49D"/>
    <w:rsid w:val="093262D2"/>
    <w:rsid w:val="09329358"/>
    <w:rsid w:val="0932DD9E"/>
    <w:rsid w:val="0936D8D3"/>
    <w:rsid w:val="09371F32"/>
    <w:rsid w:val="09441BBD"/>
    <w:rsid w:val="0948A3B7"/>
    <w:rsid w:val="0948F346"/>
    <w:rsid w:val="094D629B"/>
    <w:rsid w:val="094EC137"/>
    <w:rsid w:val="094FEE98"/>
    <w:rsid w:val="0954A28F"/>
    <w:rsid w:val="095815C2"/>
    <w:rsid w:val="09599FB9"/>
    <w:rsid w:val="095A8BB4"/>
    <w:rsid w:val="09635CFD"/>
    <w:rsid w:val="096620AE"/>
    <w:rsid w:val="09683E3E"/>
    <w:rsid w:val="096C5C67"/>
    <w:rsid w:val="096EF5EC"/>
    <w:rsid w:val="09739A7A"/>
    <w:rsid w:val="0973FACF"/>
    <w:rsid w:val="097641F0"/>
    <w:rsid w:val="098179A0"/>
    <w:rsid w:val="09823F49"/>
    <w:rsid w:val="0985A027"/>
    <w:rsid w:val="098C499D"/>
    <w:rsid w:val="0994235A"/>
    <w:rsid w:val="099BD3D9"/>
    <w:rsid w:val="099C7274"/>
    <w:rsid w:val="09A16CBF"/>
    <w:rsid w:val="09AC0293"/>
    <w:rsid w:val="09B328A0"/>
    <w:rsid w:val="09B34D2C"/>
    <w:rsid w:val="09B59181"/>
    <w:rsid w:val="09BF71FD"/>
    <w:rsid w:val="09C0492D"/>
    <w:rsid w:val="09DCF182"/>
    <w:rsid w:val="09EA801D"/>
    <w:rsid w:val="09F058FE"/>
    <w:rsid w:val="09F16843"/>
    <w:rsid w:val="09F906B7"/>
    <w:rsid w:val="09FAD417"/>
    <w:rsid w:val="09FC23F9"/>
    <w:rsid w:val="09FCED46"/>
    <w:rsid w:val="0A1417ED"/>
    <w:rsid w:val="0A145A20"/>
    <w:rsid w:val="0A2BE025"/>
    <w:rsid w:val="0A2D94A0"/>
    <w:rsid w:val="0A2EF962"/>
    <w:rsid w:val="0A332AEF"/>
    <w:rsid w:val="0A34B067"/>
    <w:rsid w:val="0A43CB22"/>
    <w:rsid w:val="0A4666C8"/>
    <w:rsid w:val="0A4DB708"/>
    <w:rsid w:val="0A67EFD1"/>
    <w:rsid w:val="0A6DB23E"/>
    <w:rsid w:val="0A7076E0"/>
    <w:rsid w:val="0A7A3B2C"/>
    <w:rsid w:val="0A7F6C6F"/>
    <w:rsid w:val="0A7FEC5B"/>
    <w:rsid w:val="0A824770"/>
    <w:rsid w:val="0A83AC8B"/>
    <w:rsid w:val="0A8CF5C1"/>
    <w:rsid w:val="0A8F5596"/>
    <w:rsid w:val="0A919538"/>
    <w:rsid w:val="0A955B6D"/>
    <w:rsid w:val="0A9C2016"/>
    <w:rsid w:val="0A9EE471"/>
    <w:rsid w:val="0AA6CA96"/>
    <w:rsid w:val="0AAC368D"/>
    <w:rsid w:val="0AAEA76A"/>
    <w:rsid w:val="0AB24A6E"/>
    <w:rsid w:val="0AC1BC3D"/>
    <w:rsid w:val="0AC5E347"/>
    <w:rsid w:val="0ACB81E1"/>
    <w:rsid w:val="0ACCC7AF"/>
    <w:rsid w:val="0ACE977E"/>
    <w:rsid w:val="0ACFC57A"/>
    <w:rsid w:val="0AD0637A"/>
    <w:rsid w:val="0AD3D67E"/>
    <w:rsid w:val="0AD499FC"/>
    <w:rsid w:val="0AD65298"/>
    <w:rsid w:val="0ADF3D4F"/>
    <w:rsid w:val="0ADF9ACE"/>
    <w:rsid w:val="0AE03816"/>
    <w:rsid w:val="0AE06861"/>
    <w:rsid w:val="0AE9B161"/>
    <w:rsid w:val="0AE9BD22"/>
    <w:rsid w:val="0AF9E30E"/>
    <w:rsid w:val="0B0204E6"/>
    <w:rsid w:val="0B072E14"/>
    <w:rsid w:val="0B07DA57"/>
    <w:rsid w:val="0B0C21A3"/>
    <w:rsid w:val="0B0E0708"/>
    <w:rsid w:val="0B0EF20C"/>
    <w:rsid w:val="0B169D30"/>
    <w:rsid w:val="0B251C25"/>
    <w:rsid w:val="0B299AB9"/>
    <w:rsid w:val="0B2C5680"/>
    <w:rsid w:val="0B2CE806"/>
    <w:rsid w:val="0B2ED9D3"/>
    <w:rsid w:val="0B3A2DEA"/>
    <w:rsid w:val="0B3B9D3C"/>
    <w:rsid w:val="0B48807F"/>
    <w:rsid w:val="0B497187"/>
    <w:rsid w:val="0B4DB20F"/>
    <w:rsid w:val="0B52AD7C"/>
    <w:rsid w:val="0B539945"/>
    <w:rsid w:val="0B5991CD"/>
    <w:rsid w:val="0B5A2D4B"/>
    <w:rsid w:val="0B649794"/>
    <w:rsid w:val="0B67DCB9"/>
    <w:rsid w:val="0B6FFE0E"/>
    <w:rsid w:val="0B7738EA"/>
    <w:rsid w:val="0B7E5FA4"/>
    <w:rsid w:val="0B828B8B"/>
    <w:rsid w:val="0B90E35A"/>
    <w:rsid w:val="0B957B21"/>
    <w:rsid w:val="0B990334"/>
    <w:rsid w:val="0BAF645A"/>
    <w:rsid w:val="0BAF7ED7"/>
    <w:rsid w:val="0BB33FBE"/>
    <w:rsid w:val="0BB835BE"/>
    <w:rsid w:val="0BBC1D64"/>
    <w:rsid w:val="0BC0A847"/>
    <w:rsid w:val="0BC5EC28"/>
    <w:rsid w:val="0BD2DAD0"/>
    <w:rsid w:val="0BD37B8F"/>
    <w:rsid w:val="0BE0185B"/>
    <w:rsid w:val="0BE063D1"/>
    <w:rsid w:val="0BE5EBF8"/>
    <w:rsid w:val="0BEE6650"/>
    <w:rsid w:val="0C085687"/>
    <w:rsid w:val="0C0C908C"/>
    <w:rsid w:val="0C0CEDB1"/>
    <w:rsid w:val="0C0D1055"/>
    <w:rsid w:val="0C155024"/>
    <w:rsid w:val="0C167A83"/>
    <w:rsid w:val="0C1B371B"/>
    <w:rsid w:val="0C1B8BAD"/>
    <w:rsid w:val="0C1FC537"/>
    <w:rsid w:val="0C2FD1C1"/>
    <w:rsid w:val="0C362582"/>
    <w:rsid w:val="0C3973B9"/>
    <w:rsid w:val="0C403A5C"/>
    <w:rsid w:val="0C412CF8"/>
    <w:rsid w:val="0C4286BA"/>
    <w:rsid w:val="0C435FD4"/>
    <w:rsid w:val="0C44504B"/>
    <w:rsid w:val="0C45F655"/>
    <w:rsid w:val="0C4BEBF8"/>
    <w:rsid w:val="0C4F2EE4"/>
    <w:rsid w:val="0C53FD5C"/>
    <w:rsid w:val="0C57F4F7"/>
    <w:rsid w:val="0C5FF720"/>
    <w:rsid w:val="0C63C4DB"/>
    <w:rsid w:val="0C6C0453"/>
    <w:rsid w:val="0C6D95ED"/>
    <w:rsid w:val="0C74ECEB"/>
    <w:rsid w:val="0C759A7E"/>
    <w:rsid w:val="0C769A06"/>
    <w:rsid w:val="0C8AA2F8"/>
    <w:rsid w:val="0C8C3C3C"/>
    <w:rsid w:val="0C95E6E7"/>
    <w:rsid w:val="0C9C9930"/>
    <w:rsid w:val="0CA74A0B"/>
    <w:rsid w:val="0CAB6D09"/>
    <w:rsid w:val="0CB0CFFF"/>
    <w:rsid w:val="0CC0ED85"/>
    <w:rsid w:val="0CC35ABA"/>
    <w:rsid w:val="0CC370C8"/>
    <w:rsid w:val="0CC62F61"/>
    <w:rsid w:val="0CD081C8"/>
    <w:rsid w:val="0CD77137"/>
    <w:rsid w:val="0CDA8B06"/>
    <w:rsid w:val="0CE4265A"/>
    <w:rsid w:val="0CEAF318"/>
    <w:rsid w:val="0CF076DD"/>
    <w:rsid w:val="0CF18E65"/>
    <w:rsid w:val="0CFD67A9"/>
    <w:rsid w:val="0D007C00"/>
    <w:rsid w:val="0D012095"/>
    <w:rsid w:val="0D06EE23"/>
    <w:rsid w:val="0D0A3EB8"/>
    <w:rsid w:val="0D118CA6"/>
    <w:rsid w:val="0D15D496"/>
    <w:rsid w:val="0D217420"/>
    <w:rsid w:val="0D249F8B"/>
    <w:rsid w:val="0D2C0C8F"/>
    <w:rsid w:val="0D2E5AC1"/>
    <w:rsid w:val="0D32D674"/>
    <w:rsid w:val="0D33960F"/>
    <w:rsid w:val="0D38F0C7"/>
    <w:rsid w:val="0D420BA3"/>
    <w:rsid w:val="0D431E1D"/>
    <w:rsid w:val="0D450D66"/>
    <w:rsid w:val="0D4BB2E1"/>
    <w:rsid w:val="0D4F7B74"/>
    <w:rsid w:val="0D53F395"/>
    <w:rsid w:val="0D5B2F7E"/>
    <w:rsid w:val="0D5FD855"/>
    <w:rsid w:val="0D62C799"/>
    <w:rsid w:val="0D6A15EC"/>
    <w:rsid w:val="0D751F8B"/>
    <w:rsid w:val="0D79B809"/>
    <w:rsid w:val="0D7CAFC5"/>
    <w:rsid w:val="0D7D40E7"/>
    <w:rsid w:val="0D7F5376"/>
    <w:rsid w:val="0D84B8E8"/>
    <w:rsid w:val="0D94C15E"/>
    <w:rsid w:val="0D968A82"/>
    <w:rsid w:val="0D98A0E5"/>
    <w:rsid w:val="0DA7EA62"/>
    <w:rsid w:val="0DAA76B8"/>
    <w:rsid w:val="0DABE985"/>
    <w:rsid w:val="0DB2CC51"/>
    <w:rsid w:val="0DB3D9BB"/>
    <w:rsid w:val="0DBF7831"/>
    <w:rsid w:val="0DC4B3B8"/>
    <w:rsid w:val="0DC96835"/>
    <w:rsid w:val="0DCB3AB2"/>
    <w:rsid w:val="0DCB57E3"/>
    <w:rsid w:val="0DCFC5B9"/>
    <w:rsid w:val="0DD49D0B"/>
    <w:rsid w:val="0DD64F05"/>
    <w:rsid w:val="0DD877D3"/>
    <w:rsid w:val="0DDCFA53"/>
    <w:rsid w:val="0DE3DFA2"/>
    <w:rsid w:val="0DEC45DA"/>
    <w:rsid w:val="0DEF6505"/>
    <w:rsid w:val="0DFF8643"/>
    <w:rsid w:val="0E076353"/>
    <w:rsid w:val="0E0AEB2D"/>
    <w:rsid w:val="0E129ACE"/>
    <w:rsid w:val="0E154439"/>
    <w:rsid w:val="0E1B336A"/>
    <w:rsid w:val="0E1F621C"/>
    <w:rsid w:val="0E2589BD"/>
    <w:rsid w:val="0E2BB50D"/>
    <w:rsid w:val="0E2BD2DB"/>
    <w:rsid w:val="0E2D76E3"/>
    <w:rsid w:val="0E322AE6"/>
    <w:rsid w:val="0E35CF7B"/>
    <w:rsid w:val="0E35DE2E"/>
    <w:rsid w:val="0E37D763"/>
    <w:rsid w:val="0E382D4D"/>
    <w:rsid w:val="0E419ED9"/>
    <w:rsid w:val="0E41CC5A"/>
    <w:rsid w:val="0E466256"/>
    <w:rsid w:val="0E5CEE3A"/>
    <w:rsid w:val="0E5DE695"/>
    <w:rsid w:val="0E6075D6"/>
    <w:rsid w:val="0E60E58D"/>
    <w:rsid w:val="0E6805A1"/>
    <w:rsid w:val="0E6E1243"/>
    <w:rsid w:val="0E7735F7"/>
    <w:rsid w:val="0E7841A5"/>
    <w:rsid w:val="0E80EE27"/>
    <w:rsid w:val="0E8376D4"/>
    <w:rsid w:val="0E87F5F3"/>
    <w:rsid w:val="0E94928A"/>
    <w:rsid w:val="0EA329DA"/>
    <w:rsid w:val="0EA457C5"/>
    <w:rsid w:val="0EA94EFD"/>
    <w:rsid w:val="0EB18611"/>
    <w:rsid w:val="0EB3ACED"/>
    <w:rsid w:val="0EB43998"/>
    <w:rsid w:val="0EB63397"/>
    <w:rsid w:val="0EB9C6AD"/>
    <w:rsid w:val="0EB9DA41"/>
    <w:rsid w:val="0EC06D04"/>
    <w:rsid w:val="0ECA1A9E"/>
    <w:rsid w:val="0ED4482C"/>
    <w:rsid w:val="0ED5F229"/>
    <w:rsid w:val="0EE70E04"/>
    <w:rsid w:val="0EEE5C32"/>
    <w:rsid w:val="0EF2EA2F"/>
    <w:rsid w:val="0EF37862"/>
    <w:rsid w:val="0EF868CA"/>
    <w:rsid w:val="0EFC65DF"/>
    <w:rsid w:val="0F030681"/>
    <w:rsid w:val="0F0DA955"/>
    <w:rsid w:val="0F14414B"/>
    <w:rsid w:val="0F16BBD8"/>
    <w:rsid w:val="0F19BFDC"/>
    <w:rsid w:val="0F1B95A9"/>
    <w:rsid w:val="0F1C768F"/>
    <w:rsid w:val="0F214025"/>
    <w:rsid w:val="0F238098"/>
    <w:rsid w:val="0F2A71B9"/>
    <w:rsid w:val="0F2D80DE"/>
    <w:rsid w:val="0F3437A0"/>
    <w:rsid w:val="0F38FAFE"/>
    <w:rsid w:val="0F39E375"/>
    <w:rsid w:val="0F3A987F"/>
    <w:rsid w:val="0F3D7A6F"/>
    <w:rsid w:val="0F3D9C9E"/>
    <w:rsid w:val="0F4A9A2E"/>
    <w:rsid w:val="0F4E6B2A"/>
    <w:rsid w:val="0F55E928"/>
    <w:rsid w:val="0F5C6CBB"/>
    <w:rsid w:val="0F606389"/>
    <w:rsid w:val="0F67303B"/>
    <w:rsid w:val="0F6A3C92"/>
    <w:rsid w:val="0F76E274"/>
    <w:rsid w:val="0F7E9235"/>
    <w:rsid w:val="0F94A279"/>
    <w:rsid w:val="0F952E4F"/>
    <w:rsid w:val="0F9C40EC"/>
    <w:rsid w:val="0FA24DE7"/>
    <w:rsid w:val="0FAB9829"/>
    <w:rsid w:val="0FAC3274"/>
    <w:rsid w:val="0FB533E9"/>
    <w:rsid w:val="0FB9F0C5"/>
    <w:rsid w:val="0FBCF932"/>
    <w:rsid w:val="0FD39BF1"/>
    <w:rsid w:val="0FD7BEC1"/>
    <w:rsid w:val="0FE2CE30"/>
    <w:rsid w:val="0FE67519"/>
    <w:rsid w:val="0FEDE313"/>
    <w:rsid w:val="0FEF5931"/>
    <w:rsid w:val="0FF6C4B3"/>
    <w:rsid w:val="10002E84"/>
    <w:rsid w:val="10102123"/>
    <w:rsid w:val="10142F23"/>
    <w:rsid w:val="1017CF63"/>
    <w:rsid w:val="1023506D"/>
    <w:rsid w:val="102AA154"/>
    <w:rsid w:val="103726CE"/>
    <w:rsid w:val="10404E11"/>
    <w:rsid w:val="104E5547"/>
    <w:rsid w:val="104EC31A"/>
    <w:rsid w:val="105071AA"/>
    <w:rsid w:val="105330C9"/>
    <w:rsid w:val="10542DA2"/>
    <w:rsid w:val="10593368"/>
    <w:rsid w:val="10628B54"/>
    <w:rsid w:val="10632D9D"/>
    <w:rsid w:val="1067024D"/>
    <w:rsid w:val="1069B9FE"/>
    <w:rsid w:val="106AD972"/>
    <w:rsid w:val="10782F03"/>
    <w:rsid w:val="107BF531"/>
    <w:rsid w:val="107DAAA3"/>
    <w:rsid w:val="108DDFD9"/>
    <w:rsid w:val="10A2DEFD"/>
    <w:rsid w:val="10A4CCFF"/>
    <w:rsid w:val="10A8523B"/>
    <w:rsid w:val="10A85754"/>
    <w:rsid w:val="10AA4E54"/>
    <w:rsid w:val="10AD8543"/>
    <w:rsid w:val="10B9098F"/>
    <w:rsid w:val="10BE0CD5"/>
    <w:rsid w:val="10BE4A31"/>
    <w:rsid w:val="10C4B9D7"/>
    <w:rsid w:val="10D00142"/>
    <w:rsid w:val="10D5CF07"/>
    <w:rsid w:val="10DB0CC6"/>
    <w:rsid w:val="10DB19DE"/>
    <w:rsid w:val="10DDA36E"/>
    <w:rsid w:val="10EC6A6B"/>
    <w:rsid w:val="10EE77DA"/>
    <w:rsid w:val="10F1B295"/>
    <w:rsid w:val="10F2DD8E"/>
    <w:rsid w:val="10FCB7D5"/>
    <w:rsid w:val="1100C88A"/>
    <w:rsid w:val="1101C47A"/>
    <w:rsid w:val="11086BF2"/>
    <w:rsid w:val="110F20DF"/>
    <w:rsid w:val="110F3113"/>
    <w:rsid w:val="110F65A1"/>
    <w:rsid w:val="11102BB7"/>
    <w:rsid w:val="11130DD8"/>
    <w:rsid w:val="1117102B"/>
    <w:rsid w:val="111FFCE5"/>
    <w:rsid w:val="11210F53"/>
    <w:rsid w:val="112A8979"/>
    <w:rsid w:val="113BDCE7"/>
    <w:rsid w:val="113C756E"/>
    <w:rsid w:val="114F2731"/>
    <w:rsid w:val="11503857"/>
    <w:rsid w:val="1158E1B9"/>
    <w:rsid w:val="115DA455"/>
    <w:rsid w:val="1168389F"/>
    <w:rsid w:val="1171090C"/>
    <w:rsid w:val="11768984"/>
    <w:rsid w:val="11846A0D"/>
    <w:rsid w:val="118720D5"/>
    <w:rsid w:val="118E0863"/>
    <w:rsid w:val="11994980"/>
    <w:rsid w:val="119F6862"/>
    <w:rsid w:val="11A41D11"/>
    <w:rsid w:val="11A8C3BA"/>
    <w:rsid w:val="11AD37AA"/>
    <w:rsid w:val="11B4FAF7"/>
    <w:rsid w:val="11B806B4"/>
    <w:rsid w:val="11B8BE80"/>
    <w:rsid w:val="11B9082D"/>
    <w:rsid w:val="11B97F22"/>
    <w:rsid w:val="11C12872"/>
    <w:rsid w:val="11C47747"/>
    <w:rsid w:val="11C89C7F"/>
    <w:rsid w:val="11D1A46D"/>
    <w:rsid w:val="11D64F6B"/>
    <w:rsid w:val="11D8053A"/>
    <w:rsid w:val="11DAEBAF"/>
    <w:rsid w:val="11DD0299"/>
    <w:rsid w:val="11DD18B2"/>
    <w:rsid w:val="11E8D536"/>
    <w:rsid w:val="11EC57DB"/>
    <w:rsid w:val="11EF6971"/>
    <w:rsid w:val="11F41538"/>
    <w:rsid w:val="11F6913D"/>
    <w:rsid w:val="11F6E51A"/>
    <w:rsid w:val="1202115E"/>
    <w:rsid w:val="12023A37"/>
    <w:rsid w:val="12245735"/>
    <w:rsid w:val="122DCF2E"/>
    <w:rsid w:val="1248C486"/>
    <w:rsid w:val="12492ECD"/>
    <w:rsid w:val="125291D2"/>
    <w:rsid w:val="1259A1E5"/>
    <w:rsid w:val="125FE8AA"/>
    <w:rsid w:val="126B4863"/>
    <w:rsid w:val="126D9FFB"/>
    <w:rsid w:val="126F1DDD"/>
    <w:rsid w:val="1270F863"/>
    <w:rsid w:val="1271F687"/>
    <w:rsid w:val="1274CDB4"/>
    <w:rsid w:val="1276D7CB"/>
    <w:rsid w:val="1277F432"/>
    <w:rsid w:val="12789A02"/>
    <w:rsid w:val="127CC114"/>
    <w:rsid w:val="1281A0AE"/>
    <w:rsid w:val="128CE46E"/>
    <w:rsid w:val="12952B82"/>
    <w:rsid w:val="129880FE"/>
    <w:rsid w:val="129A341E"/>
    <w:rsid w:val="129D1A82"/>
    <w:rsid w:val="129E7DE4"/>
    <w:rsid w:val="12A4BD71"/>
    <w:rsid w:val="12A76C53"/>
    <w:rsid w:val="12A90D46"/>
    <w:rsid w:val="12ADDD18"/>
    <w:rsid w:val="12AF0414"/>
    <w:rsid w:val="12B09D47"/>
    <w:rsid w:val="12BF668C"/>
    <w:rsid w:val="12C0B894"/>
    <w:rsid w:val="12C4049C"/>
    <w:rsid w:val="12C42A15"/>
    <w:rsid w:val="12CE8090"/>
    <w:rsid w:val="12D101B0"/>
    <w:rsid w:val="12D33EA2"/>
    <w:rsid w:val="12D4E92B"/>
    <w:rsid w:val="12D50EF3"/>
    <w:rsid w:val="12D7E48C"/>
    <w:rsid w:val="12D9EF7F"/>
    <w:rsid w:val="12E31978"/>
    <w:rsid w:val="12F0E690"/>
    <w:rsid w:val="12F1430E"/>
    <w:rsid w:val="12F6C267"/>
    <w:rsid w:val="12FCC8C8"/>
    <w:rsid w:val="1301E88D"/>
    <w:rsid w:val="13177C64"/>
    <w:rsid w:val="132B2491"/>
    <w:rsid w:val="132EA2A6"/>
    <w:rsid w:val="1331C433"/>
    <w:rsid w:val="13371166"/>
    <w:rsid w:val="133AE727"/>
    <w:rsid w:val="134061F2"/>
    <w:rsid w:val="134063DC"/>
    <w:rsid w:val="1340E4A8"/>
    <w:rsid w:val="1342B5CF"/>
    <w:rsid w:val="1342BA41"/>
    <w:rsid w:val="1344062E"/>
    <w:rsid w:val="1346BEBC"/>
    <w:rsid w:val="13515837"/>
    <w:rsid w:val="13523BF8"/>
    <w:rsid w:val="1358B1A3"/>
    <w:rsid w:val="1359BA20"/>
    <w:rsid w:val="136488FB"/>
    <w:rsid w:val="1365890B"/>
    <w:rsid w:val="13673C61"/>
    <w:rsid w:val="1368291E"/>
    <w:rsid w:val="13682D46"/>
    <w:rsid w:val="1373056E"/>
    <w:rsid w:val="1373A08C"/>
    <w:rsid w:val="13770559"/>
    <w:rsid w:val="13826EA1"/>
    <w:rsid w:val="1386A6EF"/>
    <w:rsid w:val="138BAF55"/>
    <w:rsid w:val="13917E59"/>
    <w:rsid w:val="1399FF80"/>
    <w:rsid w:val="13A22033"/>
    <w:rsid w:val="13A246B0"/>
    <w:rsid w:val="13A75E2A"/>
    <w:rsid w:val="13B86991"/>
    <w:rsid w:val="13BC1859"/>
    <w:rsid w:val="13C9F7F3"/>
    <w:rsid w:val="13D243F4"/>
    <w:rsid w:val="13D32F29"/>
    <w:rsid w:val="13D9AE4F"/>
    <w:rsid w:val="13E4AFF3"/>
    <w:rsid w:val="13F49185"/>
    <w:rsid w:val="13F8F482"/>
    <w:rsid w:val="13FDAED0"/>
    <w:rsid w:val="13FDEF17"/>
    <w:rsid w:val="1403B319"/>
    <w:rsid w:val="1406903C"/>
    <w:rsid w:val="1409D429"/>
    <w:rsid w:val="1412743F"/>
    <w:rsid w:val="1415DE52"/>
    <w:rsid w:val="14166908"/>
    <w:rsid w:val="141FD468"/>
    <w:rsid w:val="1423834D"/>
    <w:rsid w:val="142CE0D2"/>
    <w:rsid w:val="14427E6E"/>
    <w:rsid w:val="144F79C7"/>
    <w:rsid w:val="1450B569"/>
    <w:rsid w:val="145A70B1"/>
    <w:rsid w:val="145AD035"/>
    <w:rsid w:val="145F28E9"/>
    <w:rsid w:val="146CFBAE"/>
    <w:rsid w:val="146F1E13"/>
    <w:rsid w:val="146F3715"/>
    <w:rsid w:val="1473C686"/>
    <w:rsid w:val="1475BFE0"/>
    <w:rsid w:val="14794C07"/>
    <w:rsid w:val="14811B3C"/>
    <w:rsid w:val="14829B56"/>
    <w:rsid w:val="1482ABA5"/>
    <w:rsid w:val="149698B2"/>
    <w:rsid w:val="14A419D3"/>
    <w:rsid w:val="14B48AF4"/>
    <w:rsid w:val="14B926C6"/>
    <w:rsid w:val="14BA8AA1"/>
    <w:rsid w:val="14C425AF"/>
    <w:rsid w:val="14C7908B"/>
    <w:rsid w:val="14CCDD65"/>
    <w:rsid w:val="14CFBB89"/>
    <w:rsid w:val="14D800A4"/>
    <w:rsid w:val="14E05FB4"/>
    <w:rsid w:val="14E9353D"/>
    <w:rsid w:val="14EFE7CB"/>
    <w:rsid w:val="14F2067F"/>
    <w:rsid w:val="14F4178D"/>
    <w:rsid w:val="14F5CBA1"/>
    <w:rsid w:val="14FE46DE"/>
    <w:rsid w:val="15058651"/>
    <w:rsid w:val="1507183A"/>
    <w:rsid w:val="15119AE5"/>
    <w:rsid w:val="151224F1"/>
    <w:rsid w:val="1513C2AA"/>
    <w:rsid w:val="15159F7A"/>
    <w:rsid w:val="1518531E"/>
    <w:rsid w:val="1519E01E"/>
    <w:rsid w:val="151AF5CC"/>
    <w:rsid w:val="1520F8CA"/>
    <w:rsid w:val="1521E13C"/>
    <w:rsid w:val="1533D941"/>
    <w:rsid w:val="15365BAF"/>
    <w:rsid w:val="153A0334"/>
    <w:rsid w:val="15407903"/>
    <w:rsid w:val="1545341A"/>
    <w:rsid w:val="1547F51D"/>
    <w:rsid w:val="1553C03E"/>
    <w:rsid w:val="15547F3E"/>
    <w:rsid w:val="155B926E"/>
    <w:rsid w:val="155B9E00"/>
    <w:rsid w:val="155DAE69"/>
    <w:rsid w:val="156CCED0"/>
    <w:rsid w:val="15869BBB"/>
    <w:rsid w:val="158B6E6B"/>
    <w:rsid w:val="1595C398"/>
    <w:rsid w:val="159C8A1D"/>
    <w:rsid w:val="159F08A2"/>
    <w:rsid w:val="15A58639"/>
    <w:rsid w:val="15AC2734"/>
    <w:rsid w:val="15B2B95F"/>
    <w:rsid w:val="15B4CE50"/>
    <w:rsid w:val="15C501EB"/>
    <w:rsid w:val="15C5878B"/>
    <w:rsid w:val="15C65DF7"/>
    <w:rsid w:val="15CAB674"/>
    <w:rsid w:val="15D7CBD5"/>
    <w:rsid w:val="15DA10CB"/>
    <w:rsid w:val="15DB5428"/>
    <w:rsid w:val="15DE92A8"/>
    <w:rsid w:val="15DF5014"/>
    <w:rsid w:val="15F532AA"/>
    <w:rsid w:val="15F7B355"/>
    <w:rsid w:val="15FEFD97"/>
    <w:rsid w:val="15FFAB56"/>
    <w:rsid w:val="1605FA18"/>
    <w:rsid w:val="1609A41B"/>
    <w:rsid w:val="160C31A9"/>
    <w:rsid w:val="1612E8A6"/>
    <w:rsid w:val="161378F1"/>
    <w:rsid w:val="161BEE72"/>
    <w:rsid w:val="1622215D"/>
    <w:rsid w:val="16239158"/>
    <w:rsid w:val="1624DCFD"/>
    <w:rsid w:val="163561F2"/>
    <w:rsid w:val="163FEB6F"/>
    <w:rsid w:val="1646EF9A"/>
    <w:rsid w:val="16487EB2"/>
    <w:rsid w:val="165033B2"/>
    <w:rsid w:val="16508207"/>
    <w:rsid w:val="16555188"/>
    <w:rsid w:val="165B50E4"/>
    <w:rsid w:val="165EF485"/>
    <w:rsid w:val="16641534"/>
    <w:rsid w:val="1665F243"/>
    <w:rsid w:val="166C8BBE"/>
    <w:rsid w:val="166F942D"/>
    <w:rsid w:val="16702B37"/>
    <w:rsid w:val="16771B4C"/>
    <w:rsid w:val="167E2EA9"/>
    <w:rsid w:val="16913BDD"/>
    <w:rsid w:val="16A2E42A"/>
    <w:rsid w:val="16A813AE"/>
    <w:rsid w:val="16AA0D29"/>
    <w:rsid w:val="16AFE97F"/>
    <w:rsid w:val="16BCC49A"/>
    <w:rsid w:val="16C6D362"/>
    <w:rsid w:val="16C91EAA"/>
    <w:rsid w:val="16CA2958"/>
    <w:rsid w:val="16D07C38"/>
    <w:rsid w:val="16D4656E"/>
    <w:rsid w:val="16D750C8"/>
    <w:rsid w:val="16DB9E8A"/>
    <w:rsid w:val="16DC70CC"/>
    <w:rsid w:val="16DD6E56"/>
    <w:rsid w:val="16E84CAC"/>
    <w:rsid w:val="16F642F9"/>
    <w:rsid w:val="16FF62AE"/>
    <w:rsid w:val="1706B4A6"/>
    <w:rsid w:val="1706DD0C"/>
    <w:rsid w:val="17082430"/>
    <w:rsid w:val="1725A611"/>
    <w:rsid w:val="173480D0"/>
    <w:rsid w:val="17430147"/>
    <w:rsid w:val="1748186D"/>
    <w:rsid w:val="174A2088"/>
    <w:rsid w:val="17509FE0"/>
    <w:rsid w:val="1752A6EC"/>
    <w:rsid w:val="1752DEA1"/>
    <w:rsid w:val="17571E6A"/>
    <w:rsid w:val="1758A91E"/>
    <w:rsid w:val="175D6E6D"/>
    <w:rsid w:val="175E5DD9"/>
    <w:rsid w:val="1760C55F"/>
    <w:rsid w:val="17620490"/>
    <w:rsid w:val="1765D3D0"/>
    <w:rsid w:val="176CF123"/>
    <w:rsid w:val="176DEDF5"/>
    <w:rsid w:val="17714749"/>
    <w:rsid w:val="1774835D"/>
    <w:rsid w:val="17825A41"/>
    <w:rsid w:val="178C79A2"/>
    <w:rsid w:val="17914F94"/>
    <w:rsid w:val="179D31DC"/>
    <w:rsid w:val="179F2CF6"/>
    <w:rsid w:val="17A06049"/>
    <w:rsid w:val="17A286E5"/>
    <w:rsid w:val="17A36C21"/>
    <w:rsid w:val="17A4DDF8"/>
    <w:rsid w:val="17AC5B67"/>
    <w:rsid w:val="17B62EDA"/>
    <w:rsid w:val="17B947CE"/>
    <w:rsid w:val="17C24C03"/>
    <w:rsid w:val="17C7E092"/>
    <w:rsid w:val="17C94509"/>
    <w:rsid w:val="17D01A18"/>
    <w:rsid w:val="17DAFA2D"/>
    <w:rsid w:val="17DCA69E"/>
    <w:rsid w:val="17DFE1CA"/>
    <w:rsid w:val="17F093ED"/>
    <w:rsid w:val="17F117B2"/>
    <w:rsid w:val="17F61080"/>
    <w:rsid w:val="17FB8EA8"/>
    <w:rsid w:val="17FFDE55"/>
    <w:rsid w:val="18016BD7"/>
    <w:rsid w:val="18035284"/>
    <w:rsid w:val="180F4CE1"/>
    <w:rsid w:val="1819C263"/>
    <w:rsid w:val="182F46D9"/>
    <w:rsid w:val="1838979D"/>
    <w:rsid w:val="183E545D"/>
    <w:rsid w:val="183EACBC"/>
    <w:rsid w:val="183EDA81"/>
    <w:rsid w:val="18534ED8"/>
    <w:rsid w:val="185708CB"/>
    <w:rsid w:val="185805BE"/>
    <w:rsid w:val="185BA454"/>
    <w:rsid w:val="185CD150"/>
    <w:rsid w:val="185FBE12"/>
    <w:rsid w:val="185FC067"/>
    <w:rsid w:val="18648DA1"/>
    <w:rsid w:val="18652023"/>
    <w:rsid w:val="186E6416"/>
    <w:rsid w:val="1874D0A6"/>
    <w:rsid w:val="18775ED2"/>
    <w:rsid w:val="187EB58C"/>
    <w:rsid w:val="188588FC"/>
    <w:rsid w:val="188E54B7"/>
    <w:rsid w:val="189CAD07"/>
    <w:rsid w:val="18A3A2A6"/>
    <w:rsid w:val="18B00946"/>
    <w:rsid w:val="18B15668"/>
    <w:rsid w:val="18B8C50D"/>
    <w:rsid w:val="18B9C609"/>
    <w:rsid w:val="18BCAFC6"/>
    <w:rsid w:val="18CAA40C"/>
    <w:rsid w:val="18CB9CBD"/>
    <w:rsid w:val="18D4DDA0"/>
    <w:rsid w:val="18D75B7A"/>
    <w:rsid w:val="18D9E172"/>
    <w:rsid w:val="18DCEF52"/>
    <w:rsid w:val="18DD0874"/>
    <w:rsid w:val="18EE9423"/>
    <w:rsid w:val="18F0AB4B"/>
    <w:rsid w:val="18F75210"/>
    <w:rsid w:val="18FAA8BD"/>
    <w:rsid w:val="18FC8058"/>
    <w:rsid w:val="18FEB7E2"/>
    <w:rsid w:val="1901A34D"/>
    <w:rsid w:val="1904B351"/>
    <w:rsid w:val="190C2FE9"/>
    <w:rsid w:val="190D1ED2"/>
    <w:rsid w:val="190D9B1E"/>
    <w:rsid w:val="191676D4"/>
    <w:rsid w:val="192BEC78"/>
    <w:rsid w:val="1940EF9C"/>
    <w:rsid w:val="19411C09"/>
    <w:rsid w:val="1943D34F"/>
    <w:rsid w:val="194B8F3B"/>
    <w:rsid w:val="19578BDA"/>
    <w:rsid w:val="195AAC8D"/>
    <w:rsid w:val="195BAC03"/>
    <w:rsid w:val="195E7C7A"/>
    <w:rsid w:val="19648804"/>
    <w:rsid w:val="1966BD80"/>
    <w:rsid w:val="196DC484"/>
    <w:rsid w:val="1972B5D9"/>
    <w:rsid w:val="1975B6BC"/>
    <w:rsid w:val="1978F163"/>
    <w:rsid w:val="198A884D"/>
    <w:rsid w:val="198BF7DC"/>
    <w:rsid w:val="1993B508"/>
    <w:rsid w:val="19983852"/>
    <w:rsid w:val="199D9E5A"/>
    <w:rsid w:val="199E1615"/>
    <w:rsid w:val="19A1ABB1"/>
    <w:rsid w:val="19A1D710"/>
    <w:rsid w:val="19A26121"/>
    <w:rsid w:val="19A4DF29"/>
    <w:rsid w:val="19A913D1"/>
    <w:rsid w:val="19AD3862"/>
    <w:rsid w:val="19BA2A67"/>
    <w:rsid w:val="19BAC66B"/>
    <w:rsid w:val="19C01DE3"/>
    <w:rsid w:val="19C03AF1"/>
    <w:rsid w:val="19C2DABB"/>
    <w:rsid w:val="19C6A863"/>
    <w:rsid w:val="19C9878B"/>
    <w:rsid w:val="19D77ACC"/>
    <w:rsid w:val="19D7E915"/>
    <w:rsid w:val="19DA4B55"/>
    <w:rsid w:val="19DBE35D"/>
    <w:rsid w:val="19DDB9CA"/>
    <w:rsid w:val="19E023A0"/>
    <w:rsid w:val="19E76C1A"/>
    <w:rsid w:val="19EAE34E"/>
    <w:rsid w:val="19ECA773"/>
    <w:rsid w:val="1A0ABC21"/>
    <w:rsid w:val="1A0FC0D1"/>
    <w:rsid w:val="1A1FF0E7"/>
    <w:rsid w:val="1A2B25A1"/>
    <w:rsid w:val="1A346A27"/>
    <w:rsid w:val="1A36D0D7"/>
    <w:rsid w:val="1A393670"/>
    <w:rsid w:val="1A4291BF"/>
    <w:rsid w:val="1A4B2D68"/>
    <w:rsid w:val="1A4EA9B8"/>
    <w:rsid w:val="1A50706A"/>
    <w:rsid w:val="1A57B711"/>
    <w:rsid w:val="1A5A72BB"/>
    <w:rsid w:val="1A5A82C5"/>
    <w:rsid w:val="1A5E0338"/>
    <w:rsid w:val="1A684524"/>
    <w:rsid w:val="1A6AFD57"/>
    <w:rsid w:val="1A6CD822"/>
    <w:rsid w:val="1A72DED0"/>
    <w:rsid w:val="1A72F83C"/>
    <w:rsid w:val="1A80206C"/>
    <w:rsid w:val="1A855EA9"/>
    <w:rsid w:val="1A8736D6"/>
    <w:rsid w:val="1A87C62D"/>
    <w:rsid w:val="1A93D08D"/>
    <w:rsid w:val="1A949401"/>
    <w:rsid w:val="1A9A9140"/>
    <w:rsid w:val="1AAE7830"/>
    <w:rsid w:val="1AB0D1EC"/>
    <w:rsid w:val="1AB37B55"/>
    <w:rsid w:val="1ABB6150"/>
    <w:rsid w:val="1ABC3A35"/>
    <w:rsid w:val="1AC8C7B4"/>
    <w:rsid w:val="1ACB69CC"/>
    <w:rsid w:val="1ACC86B5"/>
    <w:rsid w:val="1AD12E61"/>
    <w:rsid w:val="1AD14A06"/>
    <w:rsid w:val="1AD2215D"/>
    <w:rsid w:val="1AD4F294"/>
    <w:rsid w:val="1AD64632"/>
    <w:rsid w:val="1AD770BD"/>
    <w:rsid w:val="1AD98983"/>
    <w:rsid w:val="1ADF11BE"/>
    <w:rsid w:val="1AE9A570"/>
    <w:rsid w:val="1AEB5ED3"/>
    <w:rsid w:val="1AED1AA3"/>
    <w:rsid w:val="1AF1A989"/>
    <w:rsid w:val="1AF6566E"/>
    <w:rsid w:val="1AF913B2"/>
    <w:rsid w:val="1B068494"/>
    <w:rsid w:val="1B11C93D"/>
    <w:rsid w:val="1B188AC0"/>
    <w:rsid w:val="1B1D3FEF"/>
    <w:rsid w:val="1B1E8D9F"/>
    <w:rsid w:val="1B2091F8"/>
    <w:rsid w:val="1B29E951"/>
    <w:rsid w:val="1B2E957E"/>
    <w:rsid w:val="1B485798"/>
    <w:rsid w:val="1B493F62"/>
    <w:rsid w:val="1B4D4082"/>
    <w:rsid w:val="1B514307"/>
    <w:rsid w:val="1B52803D"/>
    <w:rsid w:val="1B561006"/>
    <w:rsid w:val="1B57FD0C"/>
    <w:rsid w:val="1B5A52BF"/>
    <w:rsid w:val="1B5DDD70"/>
    <w:rsid w:val="1B7EEC6B"/>
    <w:rsid w:val="1B87C66A"/>
    <w:rsid w:val="1B88A697"/>
    <w:rsid w:val="1B8C7EE2"/>
    <w:rsid w:val="1B92C661"/>
    <w:rsid w:val="1B998A98"/>
    <w:rsid w:val="1BB462EF"/>
    <w:rsid w:val="1BC352BE"/>
    <w:rsid w:val="1BC69E07"/>
    <w:rsid w:val="1BC7A343"/>
    <w:rsid w:val="1BC8D0C4"/>
    <w:rsid w:val="1BCED09B"/>
    <w:rsid w:val="1BD06B48"/>
    <w:rsid w:val="1BD9B440"/>
    <w:rsid w:val="1BED15A2"/>
    <w:rsid w:val="1BF3B62F"/>
    <w:rsid w:val="1BFC4DB1"/>
    <w:rsid w:val="1BFCB680"/>
    <w:rsid w:val="1C026077"/>
    <w:rsid w:val="1C0428A6"/>
    <w:rsid w:val="1C0562F0"/>
    <w:rsid w:val="1C0BBB4B"/>
    <w:rsid w:val="1C1699F3"/>
    <w:rsid w:val="1C17844F"/>
    <w:rsid w:val="1C218F1F"/>
    <w:rsid w:val="1C248E9A"/>
    <w:rsid w:val="1C257B82"/>
    <w:rsid w:val="1C2A4546"/>
    <w:rsid w:val="1C2E4B78"/>
    <w:rsid w:val="1C331A25"/>
    <w:rsid w:val="1C33DB3E"/>
    <w:rsid w:val="1C3C3D1F"/>
    <w:rsid w:val="1C445A59"/>
    <w:rsid w:val="1C4703A9"/>
    <w:rsid w:val="1C4829A8"/>
    <w:rsid w:val="1C4B50C5"/>
    <w:rsid w:val="1C59EC95"/>
    <w:rsid w:val="1C5B7208"/>
    <w:rsid w:val="1C5E8AAB"/>
    <w:rsid w:val="1C66F85E"/>
    <w:rsid w:val="1C698DB2"/>
    <w:rsid w:val="1C732F7B"/>
    <w:rsid w:val="1C752BBF"/>
    <w:rsid w:val="1C76D2F7"/>
    <w:rsid w:val="1C7DA4E0"/>
    <w:rsid w:val="1C85A07A"/>
    <w:rsid w:val="1C8A2BEC"/>
    <w:rsid w:val="1C9BA5DD"/>
    <w:rsid w:val="1CA5D845"/>
    <w:rsid w:val="1CA6F222"/>
    <w:rsid w:val="1CA8C4E1"/>
    <w:rsid w:val="1CA951DA"/>
    <w:rsid w:val="1CB813DD"/>
    <w:rsid w:val="1CCB8C35"/>
    <w:rsid w:val="1CD193CC"/>
    <w:rsid w:val="1CD77643"/>
    <w:rsid w:val="1CE7EE97"/>
    <w:rsid w:val="1CE8F944"/>
    <w:rsid w:val="1CF19E03"/>
    <w:rsid w:val="1CF4EBEC"/>
    <w:rsid w:val="1CF58581"/>
    <w:rsid w:val="1CF58DC0"/>
    <w:rsid w:val="1CF65268"/>
    <w:rsid w:val="1CF659B9"/>
    <w:rsid w:val="1CF70691"/>
    <w:rsid w:val="1D005BA4"/>
    <w:rsid w:val="1D03BB8C"/>
    <w:rsid w:val="1D07E6CE"/>
    <w:rsid w:val="1D092634"/>
    <w:rsid w:val="1D0AF585"/>
    <w:rsid w:val="1D0F8252"/>
    <w:rsid w:val="1D10C1DC"/>
    <w:rsid w:val="1D1459E9"/>
    <w:rsid w:val="1D163408"/>
    <w:rsid w:val="1D20F292"/>
    <w:rsid w:val="1D24C959"/>
    <w:rsid w:val="1D25B9F9"/>
    <w:rsid w:val="1D286751"/>
    <w:rsid w:val="1D2961FD"/>
    <w:rsid w:val="1D2DB9C4"/>
    <w:rsid w:val="1D32C3BA"/>
    <w:rsid w:val="1D35E326"/>
    <w:rsid w:val="1D47D1C2"/>
    <w:rsid w:val="1D538776"/>
    <w:rsid w:val="1D54F8AD"/>
    <w:rsid w:val="1D5A238D"/>
    <w:rsid w:val="1D64E7ED"/>
    <w:rsid w:val="1D682D7A"/>
    <w:rsid w:val="1D6D8EBD"/>
    <w:rsid w:val="1D70A5DA"/>
    <w:rsid w:val="1D79AC86"/>
    <w:rsid w:val="1D7D2FAF"/>
    <w:rsid w:val="1D87C90A"/>
    <w:rsid w:val="1D948CB7"/>
    <w:rsid w:val="1D9D55E4"/>
    <w:rsid w:val="1DA0AFB0"/>
    <w:rsid w:val="1DA101E5"/>
    <w:rsid w:val="1DA826A4"/>
    <w:rsid w:val="1DAE5914"/>
    <w:rsid w:val="1DAFD184"/>
    <w:rsid w:val="1DB8F8DB"/>
    <w:rsid w:val="1DBC6841"/>
    <w:rsid w:val="1DBFBA56"/>
    <w:rsid w:val="1DC2D26B"/>
    <w:rsid w:val="1DC47A71"/>
    <w:rsid w:val="1DC5D773"/>
    <w:rsid w:val="1DC95B7A"/>
    <w:rsid w:val="1DCE7357"/>
    <w:rsid w:val="1DD57F2D"/>
    <w:rsid w:val="1DE0480C"/>
    <w:rsid w:val="1DE2ADFB"/>
    <w:rsid w:val="1DF0FA04"/>
    <w:rsid w:val="1DFD64DD"/>
    <w:rsid w:val="1E0A4C20"/>
    <w:rsid w:val="1E0CEAD8"/>
    <w:rsid w:val="1E15FCFE"/>
    <w:rsid w:val="1E162D72"/>
    <w:rsid w:val="1E17B4B5"/>
    <w:rsid w:val="1E1D927F"/>
    <w:rsid w:val="1E285B31"/>
    <w:rsid w:val="1E29C092"/>
    <w:rsid w:val="1E2C86CF"/>
    <w:rsid w:val="1E35B36A"/>
    <w:rsid w:val="1E36C0A8"/>
    <w:rsid w:val="1E38D909"/>
    <w:rsid w:val="1E40F4F1"/>
    <w:rsid w:val="1E5B3247"/>
    <w:rsid w:val="1E65AA74"/>
    <w:rsid w:val="1E66FB8A"/>
    <w:rsid w:val="1E680708"/>
    <w:rsid w:val="1E70889E"/>
    <w:rsid w:val="1E737363"/>
    <w:rsid w:val="1E73A9EB"/>
    <w:rsid w:val="1E75AB97"/>
    <w:rsid w:val="1E766558"/>
    <w:rsid w:val="1E835E32"/>
    <w:rsid w:val="1E86887A"/>
    <w:rsid w:val="1E909C35"/>
    <w:rsid w:val="1E9E1043"/>
    <w:rsid w:val="1EA0200F"/>
    <w:rsid w:val="1EA32324"/>
    <w:rsid w:val="1EA7F735"/>
    <w:rsid w:val="1EB2A511"/>
    <w:rsid w:val="1EB35800"/>
    <w:rsid w:val="1EB66820"/>
    <w:rsid w:val="1EC00472"/>
    <w:rsid w:val="1ED9B3A9"/>
    <w:rsid w:val="1EDDDE38"/>
    <w:rsid w:val="1EE9C27A"/>
    <w:rsid w:val="1EEF3715"/>
    <w:rsid w:val="1EF2FB3F"/>
    <w:rsid w:val="1EF408F7"/>
    <w:rsid w:val="1EFD66D1"/>
    <w:rsid w:val="1EFD8D9F"/>
    <w:rsid w:val="1F03DE56"/>
    <w:rsid w:val="1F0D5E79"/>
    <w:rsid w:val="1F10793C"/>
    <w:rsid w:val="1F10FDE6"/>
    <w:rsid w:val="1F181ABD"/>
    <w:rsid w:val="1F1BB465"/>
    <w:rsid w:val="1F2067D7"/>
    <w:rsid w:val="1F259911"/>
    <w:rsid w:val="1F304C87"/>
    <w:rsid w:val="1F3567B7"/>
    <w:rsid w:val="1F3A3A02"/>
    <w:rsid w:val="1F3BC5BE"/>
    <w:rsid w:val="1F405DDE"/>
    <w:rsid w:val="1F49D0E2"/>
    <w:rsid w:val="1F4AF382"/>
    <w:rsid w:val="1F527A45"/>
    <w:rsid w:val="1F539FFD"/>
    <w:rsid w:val="1F5E18FA"/>
    <w:rsid w:val="1F63196D"/>
    <w:rsid w:val="1F67F371"/>
    <w:rsid w:val="1F6B1420"/>
    <w:rsid w:val="1F6DE10B"/>
    <w:rsid w:val="1F6EBE6E"/>
    <w:rsid w:val="1F700060"/>
    <w:rsid w:val="1F792217"/>
    <w:rsid w:val="1F91B2AD"/>
    <w:rsid w:val="1F939CF9"/>
    <w:rsid w:val="1F9A8F85"/>
    <w:rsid w:val="1F9D02D1"/>
    <w:rsid w:val="1FA0078B"/>
    <w:rsid w:val="1FA2B1B0"/>
    <w:rsid w:val="1FB3ABE3"/>
    <w:rsid w:val="1FB63933"/>
    <w:rsid w:val="1FB7F8BB"/>
    <w:rsid w:val="1FBA81F7"/>
    <w:rsid w:val="1FC13DC4"/>
    <w:rsid w:val="1FCD7CFC"/>
    <w:rsid w:val="1FD334E7"/>
    <w:rsid w:val="1FE0B3E5"/>
    <w:rsid w:val="1FE71B41"/>
    <w:rsid w:val="1FED5A21"/>
    <w:rsid w:val="1FEFFD87"/>
    <w:rsid w:val="1FF35E25"/>
    <w:rsid w:val="1FF7E57C"/>
    <w:rsid w:val="1FFB5C33"/>
    <w:rsid w:val="1FFC5AE9"/>
    <w:rsid w:val="20015A63"/>
    <w:rsid w:val="20032DCE"/>
    <w:rsid w:val="2005E511"/>
    <w:rsid w:val="20066B2C"/>
    <w:rsid w:val="200892B0"/>
    <w:rsid w:val="2014D603"/>
    <w:rsid w:val="202047F9"/>
    <w:rsid w:val="2022C30C"/>
    <w:rsid w:val="202C2D7A"/>
    <w:rsid w:val="202CC5DB"/>
    <w:rsid w:val="202E0E4C"/>
    <w:rsid w:val="202F18CE"/>
    <w:rsid w:val="2032D18B"/>
    <w:rsid w:val="2033CA28"/>
    <w:rsid w:val="20381A25"/>
    <w:rsid w:val="203BAD72"/>
    <w:rsid w:val="203BC4B5"/>
    <w:rsid w:val="203BDC15"/>
    <w:rsid w:val="203CBDDC"/>
    <w:rsid w:val="203DE22F"/>
    <w:rsid w:val="204465A2"/>
    <w:rsid w:val="2045F91F"/>
    <w:rsid w:val="204CD08F"/>
    <w:rsid w:val="204E1E21"/>
    <w:rsid w:val="2050C78D"/>
    <w:rsid w:val="20677D80"/>
    <w:rsid w:val="206C351B"/>
    <w:rsid w:val="206ED936"/>
    <w:rsid w:val="207E0AC0"/>
    <w:rsid w:val="207FB5BA"/>
    <w:rsid w:val="2093B0F7"/>
    <w:rsid w:val="209E3E1F"/>
    <w:rsid w:val="20A2B291"/>
    <w:rsid w:val="20AD7A19"/>
    <w:rsid w:val="20AFA031"/>
    <w:rsid w:val="20B89A6F"/>
    <w:rsid w:val="20C87BCC"/>
    <w:rsid w:val="20CC1A1C"/>
    <w:rsid w:val="20CD7387"/>
    <w:rsid w:val="20CF5599"/>
    <w:rsid w:val="20D19253"/>
    <w:rsid w:val="20D5161F"/>
    <w:rsid w:val="20D65754"/>
    <w:rsid w:val="20D8B4D7"/>
    <w:rsid w:val="20DBCBF9"/>
    <w:rsid w:val="20DCBC17"/>
    <w:rsid w:val="20E3FBCB"/>
    <w:rsid w:val="20EE803E"/>
    <w:rsid w:val="20EFE6FA"/>
    <w:rsid w:val="20F17AA7"/>
    <w:rsid w:val="20F7877F"/>
    <w:rsid w:val="20FEB904"/>
    <w:rsid w:val="2109C8FB"/>
    <w:rsid w:val="210C6C9E"/>
    <w:rsid w:val="2111CBBD"/>
    <w:rsid w:val="21223F73"/>
    <w:rsid w:val="2124063E"/>
    <w:rsid w:val="212660B7"/>
    <w:rsid w:val="212E0034"/>
    <w:rsid w:val="212F0959"/>
    <w:rsid w:val="212FEA4B"/>
    <w:rsid w:val="21325C70"/>
    <w:rsid w:val="2138D1C6"/>
    <w:rsid w:val="213AAA9B"/>
    <w:rsid w:val="2143E8C3"/>
    <w:rsid w:val="2149373C"/>
    <w:rsid w:val="2149B293"/>
    <w:rsid w:val="215631C5"/>
    <w:rsid w:val="21618A60"/>
    <w:rsid w:val="2167C2DE"/>
    <w:rsid w:val="2167ED19"/>
    <w:rsid w:val="2170183B"/>
    <w:rsid w:val="217A5560"/>
    <w:rsid w:val="217A92F5"/>
    <w:rsid w:val="217B33D7"/>
    <w:rsid w:val="218973B6"/>
    <w:rsid w:val="2194D58D"/>
    <w:rsid w:val="21A77B71"/>
    <w:rsid w:val="21AA2C65"/>
    <w:rsid w:val="21AD9C6E"/>
    <w:rsid w:val="21B7FC22"/>
    <w:rsid w:val="21C91124"/>
    <w:rsid w:val="21CA93AE"/>
    <w:rsid w:val="21CB1E12"/>
    <w:rsid w:val="21CE2AA3"/>
    <w:rsid w:val="21E05944"/>
    <w:rsid w:val="21E75158"/>
    <w:rsid w:val="21F84043"/>
    <w:rsid w:val="21FD42A2"/>
    <w:rsid w:val="220D8CA6"/>
    <w:rsid w:val="22110F9C"/>
    <w:rsid w:val="22132D08"/>
    <w:rsid w:val="221ED342"/>
    <w:rsid w:val="222038CE"/>
    <w:rsid w:val="2227149A"/>
    <w:rsid w:val="222BB49B"/>
    <w:rsid w:val="22333E95"/>
    <w:rsid w:val="22334370"/>
    <w:rsid w:val="223AB4B6"/>
    <w:rsid w:val="223E7238"/>
    <w:rsid w:val="2240F29E"/>
    <w:rsid w:val="224345F5"/>
    <w:rsid w:val="22451BD2"/>
    <w:rsid w:val="22521D69"/>
    <w:rsid w:val="22559625"/>
    <w:rsid w:val="225816E4"/>
    <w:rsid w:val="225E4D9B"/>
    <w:rsid w:val="2262F688"/>
    <w:rsid w:val="226ABE55"/>
    <w:rsid w:val="227299C0"/>
    <w:rsid w:val="22767F93"/>
    <w:rsid w:val="227C4559"/>
    <w:rsid w:val="227E0609"/>
    <w:rsid w:val="2280F6B8"/>
    <w:rsid w:val="22823F13"/>
    <w:rsid w:val="22896B6F"/>
    <w:rsid w:val="22919FB2"/>
    <w:rsid w:val="22921D7A"/>
    <w:rsid w:val="229FA616"/>
    <w:rsid w:val="22A168AB"/>
    <w:rsid w:val="22A6E5F0"/>
    <w:rsid w:val="22B372A7"/>
    <w:rsid w:val="22B58A5B"/>
    <w:rsid w:val="22B88D1E"/>
    <w:rsid w:val="22BD4569"/>
    <w:rsid w:val="22BD48DE"/>
    <w:rsid w:val="22BFEBB5"/>
    <w:rsid w:val="22D26673"/>
    <w:rsid w:val="22E1C7DA"/>
    <w:rsid w:val="22F21653"/>
    <w:rsid w:val="22F5F7BF"/>
    <w:rsid w:val="2304E254"/>
    <w:rsid w:val="230822C5"/>
    <w:rsid w:val="2309AB80"/>
    <w:rsid w:val="231107DD"/>
    <w:rsid w:val="23123398"/>
    <w:rsid w:val="2312931D"/>
    <w:rsid w:val="2315453F"/>
    <w:rsid w:val="2316A26F"/>
    <w:rsid w:val="23192E86"/>
    <w:rsid w:val="232BFAB9"/>
    <w:rsid w:val="23301D36"/>
    <w:rsid w:val="234B0AB6"/>
    <w:rsid w:val="235B135F"/>
    <w:rsid w:val="235B8832"/>
    <w:rsid w:val="235E580B"/>
    <w:rsid w:val="235FDBE1"/>
    <w:rsid w:val="2366B5EE"/>
    <w:rsid w:val="236C839C"/>
    <w:rsid w:val="236D3FF1"/>
    <w:rsid w:val="236D5AD9"/>
    <w:rsid w:val="238DA6DA"/>
    <w:rsid w:val="238F88E5"/>
    <w:rsid w:val="23A1AE7D"/>
    <w:rsid w:val="23BF3CB9"/>
    <w:rsid w:val="23C43A31"/>
    <w:rsid w:val="23C5E238"/>
    <w:rsid w:val="23CAE5D4"/>
    <w:rsid w:val="23D412AF"/>
    <w:rsid w:val="23D4FA36"/>
    <w:rsid w:val="23D60379"/>
    <w:rsid w:val="23D9624E"/>
    <w:rsid w:val="23DBF64B"/>
    <w:rsid w:val="23E6B1F6"/>
    <w:rsid w:val="23EB60E1"/>
    <w:rsid w:val="23FB9778"/>
    <w:rsid w:val="24023F4E"/>
    <w:rsid w:val="24034159"/>
    <w:rsid w:val="240D93E6"/>
    <w:rsid w:val="2411DAE5"/>
    <w:rsid w:val="24122ED9"/>
    <w:rsid w:val="2419F327"/>
    <w:rsid w:val="24240DF6"/>
    <w:rsid w:val="242C05E6"/>
    <w:rsid w:val="242D702D"/>
    <w:rsid w:val="2430DD93"/>
    <w:rsid w:val="24324064"/>
    <w:rsid w:val="243AE6B1"/>
    <w:rsid w:val="244023BE"/>
    <w:rsid w:val="2440A68D"/>
    <w:rsid w:val="244F036A"/>
    <w:rsid w:val="245551E2"/>
    <w:rsid w:val="2457B55A"/>
    <w:rsid w:val="245E5392"/>
    <w:rsid w:val="245F34C7"/>
    <w:rsid w:val="24660DA4"/>
    <w:rsid w:val="2467523A"/>
    <w:rsid w:val="246CA86B"/>
    <w:rsid w:val="246DB5ED"/>
    <w:rsid w:val="246E2F18"/>
    <w:rsid w:val="24722EB1"/>
    <w:rsid w:val="247D7FA9"/>
    <w:rsid w:val="24880048"/>
    <w:rsid w:val="248D9B52"/>
    <w:rsid w:val="249321AD"/>
    <w:rsid w:val="24933ECB"/>
    <w:rsid w:val="249486E4"/>
    <w:rsid w:val="249CB0F8"/>
    <w:rsid w:val="24A4D3A1"/>
    <w:rsid w:val="24A60411"/>
    <w:rsid w:val="24A63436"/>
    <w:rsid w:val="24A6D09A"/>
    <w:rsid w:val="24BEE312"/>
    <w:rsid w:val="24BEF91E"/>
    <w:rsid w:val="24C5F3C0"/>
    <w:rsid w:val="24CB0964"/>
    <w:rsid w:val="24CD2ABE"/>
    <w:rsid w:val="24D40A30"/>
    <w:rsid w:val="24DFF08A"/>
    <w:rsid w:val="24ED89DB"/>
    <w:rsid w:val="24F88D1B"/>
    <w:rsid w:val="24FF1324"/>
    <w:rsid w:val="24FF29B5"/>
    <w:rsid w:val="250B3B30"/>
    <w:rsid w:val="250DB210"/>
    <w:rsid w:val="2518E659"/>
    <w:rsid w:val="251B58A1"/>
    <w:rsid w:val="251E6165"/>
    <w:rsid w:val="251E727A"/>
    <w:rsid w:val="251EB168"/>
    <w:rsid w:val="25210F65"/>
    <w:rsid w:val="25233CE5"/>
    <w:rsid w:val="2525F8D8"/>
    <w:rsid w:val="25263BAF"/>
    <w:rsid w:val="252AE709"/>
    <w:rsid w:val="25324FD5"/>
    <w:rsid w:val="2537ED1F"/>
    <w:rsid w:val="254E1800"/>
    <w:rsid w:val="2553EC98"/>
    <w:rsid w:val="2567F003"/>
    <w:rsid w:val="2571F5BC"/>
    <w:rsid w:val="258D836F"/>
    <w:rsid w:val="2595AEEB"/>
    <w:rsid w:val="25A84F2E"/>
    <w:rsid w:val="25AB16E7"/>
    <w:rsid w:val="25ABC7F6"/>
    <w:rsid w:val="25B417D5"/>
    <w:rsid w:val="25B8C5A4"/>
    <w:rsid w:val="25C10B32"/>
    <w:rsid w:val="25C4272C"/>
    <w:rsid w:val="25C82D88"/>
    <w:rsid w:val="25CB69A5"/>
    <w:rsid w:val="25CD6ED4"/>
    <w:rsid w:val="25D03F02"/>
    <w:rsid w:val="25D28050"/>
    <w:rsid w:val="25D67DD4"/>
    <w:rsid w:val="25E46B85"/>
    <w:rsid w:val="25EF1D62"/>
    <w:rsid w:val="25F35EF2"/>
    <w:rsid w:val="25F7A490"/>
    <w:rsid w:val="26035E03"/>
    <w:rsid w:val="260B3355"/>
    <w:rsid w:val="260D8FEC"/>
    <w:rsid w:val="26169D95"/>
    <w:rsid w:val="261733A1"/>
    <w:rsid w:val="261893B5"/>
    <w:rsid w:val="261ADA96"/>
    <w:rsid w:val="261E68FE"/>
    <w:rsid w:val="26278F68"/>
    <w:rsid w:val="262C96F7"/>
    <w:rsid w:val="263B86F6"/>
    <w:rsid w:val="2640796A"/>
    <w:rsid w:val="26448107"/>
    <w:rsid w:val="2649789A"/>
    <w:rsid w:val="264FDB45"/>
    <w:rsid w:val="2652C890"/>
    <w:rsid w:val="26561CEB"/>
    <w:rsid w:val="2658CA4C"/>
    <w:rsid w:val="265BCA5D"/>
    <w:rsid w:val="265F9149"/>
    <w:rsid w:val="2664C7F2"/>
    <w:rsid w:val="266D5BB1"/>
    <w:rsid w:val="2678304A"/>
    <w:rsid w:val="26869708"/>
    <w:rsid w:val="268795F5"/>
    <w:rsid w:val="268942F0"/>
    <w:rsid w:val="2689613A"/>
    <w:rsid w:val="268E8228"/>
    <w:rsid w:val="269604F9"/>
    <w:rsid w:val="26965F8E"/>
    <w:rsid w:val="269D3BB3"/>
    <w:rsid w:val="26A1D210"/>
    <w:rsid w:val="26A32018"/>
    <w:rsid w:val="26A57292"/>
    <w:rsid w:val="26A80248"/>
    <w:rsid w:val="26AFBBF4"/>
    <w:rsid w:val="26B89D33"/>
    <w:rsid w:val="26C67400"/>
    <w:rsid w:val="26C7151D"/>
    <w:rsid w:val="26CBC234"/>
    <w:rsid w:val="26DFDDA9"/>
    <w:rsid w:val="26E28949"/>
    <w:rsid w:val="26E5E0C8"/>
    <w:rsid w:val="26EFBAFB"/>
    <w:rsid w:val="26F2B038"/>
    <w:rsid w:val="26F92D30"/>
    <w:rsid w:val="27033233"/>
    <w:rsid w:val="271206C8"/>
    <w:rsid w:val="27220E26"/>
    <w:rsid w:val="27222D9E"/>
    <w:rsid w:val="2724EDAF"/>
    <w:rsid w:val="2726E50A"/>
    <w:rsid w:val="27288D8D"/>
    <w:rsid w:val="2731CA06"/>
    <w:rsid w:val="2735023F"/>
    <w:rsid w:val="273E2CBD"/>
    <w:rsid w:val="2745A201"/>
    <w:rsid w:val="2747EB99"/>
    <w:rsid w:val="275559D9"/>
    <w:rsid w:val="275565F6"/>
    <w:rsid w:val="2757126F"/>
    <w:rsid w:val="275CECE7"/>
    <w:rsid w:val="275D6322"/>
    <w:rsid w:val="2761AC03"/>
    <w:rsid w:val="2762A76E"/>
    <w:rsid w:val="276FCBE8"/>
    <w:rsid w:val="27712568"/>
    <w:rsid w:val="27735BA2"/>
    <w:rsid w:val="2775C4E6"/>
    <w:rsid w:val="2778408A"/>
    <w:rsid w:val="277B6A9C"/>
    <w:rsid w:val="27879799"/>
    <w:rsid w:val="278DB674"/>
    <w:rsid w:val="279C062B"/>
    <w:rsid w:val="279CF949"/>
    <w:rsid w:val="27A848BF"/>
    <w:rsid w:val="27AF9DD8"/>
    <w:rsid w:val="27B293BC"/>
    <w:rsid w:val="27B3D772"/>
    <w:rsid w:val="27BA715F"/>
    <w:rsid w:val="27C201A9"/>
    <w:rsid w:val="27CC7C25"/>
    <w:rsid w:val="27D02D60"/>
    <w:rsid w:val="27D99C27"/>
    <w:rsid w:val="27DB5934"/>
    <w:rsid w:val="27E37463"/>
    <w:rsid w:val="27E38B64"/>
    <w:rsid w:val="27E9B92F"/>
    <w:rsid w:val="27F285B1"/>
    <w:rsid w:val="27F6D1FA"/>
    <w:rsid w:val="27F7724C"/>
    <w:rsid w:val="27FD8F9C"/>
    <w:rsid w:val="27FF7D32"/>
    <w:rsid w:val="28018611"/>
    <w:rsid w:val="28076CCD"/>
    <w:rsid w:val="2808BF2F"/>
    <w:rsid w:val="2808D93A"/>
    <w:rsid w:val="281F974A"/>
    <w:rsid w:val="2820FE22"/>
    <w:rsid w:val="282165A3"/>
    <w:rsid w:val="282C9F1F"/>
    <w:rsid w:val="2831AAF2"/>
    <w:rsid w:val="283C234B"/>
    <w:rsid w:val="283C7594"/>
    <w:rsid w:val="283CD671"/>
    <w:rsid w:val="2840A111"/>
    <w:rsid w:val="2840B353"/>
    <w:rsid w:val="28430F59"/>
    <w:rsid w:val="284A5C2D"/>
    <w:rsid w:val="284D804B"/>
    <w:rsid w:val="284EA920"/>
    <w:rsid w:val="28560E8D"/>
    <w:rsid w:val="285945A6"/>
    <w:rsid w:val="285DDB0F"/>
    <w:rsid w:val="28601DCE"/>
    <w:rsid w:val="286A1496"/>
    <w:rsid w:val="286A5970"/>
    <w:rsid w:val="286AD598"/>
    <w:rsid w:val="286F05CA"/>
    <w:rsid w:val="2882B6CC"/>
    <w:rsid w:val="2882B7C0"/>
    <w:rsid w:val="2884DC9B"/>
    <w:rsid w:val="2886FB45"/>
    <w:rsid w:val="28927B47"/>
    <w:rsid w:val="28954F66"/>
    <w:rsid w:val="2899324B"/>
    <w:rsid w:val="289AC1A8"/>
    <w:rsid w:val="289CDE32"/>
    <w:rsid w:val="289E1F02"/>
    <w:rsid w:val="289EBC05"/>
    <w:rsid w:val="28A2767C"/>
    <w:rsid w:val="28A6DF9F"/>
    <w:rsid w:val="28B38C7E"/>
    <w:rsid w:val="28B78DBE"/>
    <w:rsid w:val="28BE183F"/>
    <w:rsid w:val="28C1E99C"/>
    <w:rsid w:val="28C77EAF"/>
    <w:rsid w:val="28CC2E5B"/>
    <w:rsid w:val="28D32E69"/>
    <w:rsid w:val="28D80E51"/>
    <w:rsid w:val="28E12D7E"/>
    <w:rsid w:val="28E801F8"/>
    <w:rsid w:val="28E82406"/>
    <w:rsid w:val="28F4B66D"/>
    <w:rsid w:val="28F78FD4"/>
    <w:rsid w:val="29020804"/>
    <w:rsid w:val="290719FB"/>
    <w:rsid w:val="290AAD9F"/>
    <w:rsid w:val="291A57C1"/>
    <w:rsid w:val="291BAB16"/>
    <w:rsid w:val="291BFE3B"/>
    <w:rsid w:val="291FBCDD"/>
    <w:rsid w:val="292AC6D4"/>
    <w:rsid w:val="292B4E90"/>
    <w:rsid w:val="29314C72"/>
    <w:rsid w:val="29317851"/>
    <w:rsid w:val="2933F3CC"/>
    <w:rsid w:val="2934CCD8"/>
    <w:rsid w:val="2936897F"/>
    <w:rsid w:val="2938E0C3"/>
    <w:rsid w:val="2939EF71"/>
    <w:rsid w:val="29433C70"/>
    <w:rsid w:val="294BAD5D"/>
    <w:rsid w:val="2951BAB5"/>
    <w:rsid w:val="295B29BE"/>
    <w:rsid w:val="295DA67A"/>
    <w:rsid w:val="295F2E46"/>
    <w:rsid w:val="296EB07B"/>
    <w:rsid w:val="29709B6D"/>
    <w:rsid w:val="29724083"/>
    <w:rsid w:val="297AE329"/>
    <w:rsid w:val="29847098"/>
    <w:rsid w:val="29930900"/>
    <w:rsid w:val="2996B844"/>
    <w:rsid w:val="29A0703E"/>
    <w:rsid w:val="29A72508"/>
    <w:rsid w:val="29AB2856"/>
    <w:rsid w:val="29B292FB"/>
    <w:rsid w:val="29B2E213"/>
    <w:rsid w:val="29B39A1E"/>
    <w:rsid w:val="29B97387"/>
    <w:rsid w:val="29BD5B27"/>
    <w:rsid w:val="29BD89B7"/>
    <w:rsid w:val="29C03B7A"/>
    <w:rsid w:val="29CD11EA"/>
    <w:rsid w:val="29D035AF"/>
    <w:rsid w:val="29D13BF9"/>
    <w:rsid w:val="29D8E47D"/>
    <w:rsid w:val="29DAD7B9"/>
    <w:rsid w:val="29DDEC02"/>
    <w:rsid w:val="29DFB541"/>
    <w:rsid w:val="29E1BFD4"/>
    <w:rsid w:val="29E66771"/>
    <w:rsid w:val="29E6789B"/>
    <w:rsid w:val="29E7F03D"/>
    <w:rsid w:val="29ECD7B5"/>
    <w:rsid w:val="29F3E90A"/>
    <w:rsid w:val="29FA3E2F"/>
    <w:rsid w:val="2A01FAC1"/>
    <w:rsid w:val="2A060DD7"/>
    <w:rsid w:val="2A103E17"/>
    <w:rsid w:val="2A122A74"/>
    <w:rsid w:val="2A1FD8C4"/>
    <w:rsid w:val="2A2345CE"/>
    <w:rsid w:val="2A29849C"/>
    <w:rsid w:val="2A35761C"/>
    <w:rsid w:val="2A3F91C1"/>
    <w:rsid w:val="2A410121"/>
    <w:rsid w:val="2A481771"/>
    <w:rsid w:val="2A4D2E8E"/>
    <w:rsid w:val="2A54478C"/>
    <w:rsid w:val="2A61B6B7"/>
    <w:rsid w:val="2A6423D3"/>
    <w:rsid w:val="2A688F00"/>
    <w:rsid w:val="2A6BD654"/>
    <w:rsid w:val="2A7BF0F7"/>
    <w:rsid w:val="2A829F2C"/>
    <w:rsid w:val="2A854234"/>
    <w:rsid w:val="2A8550A0"/>
    <w:rsid w:val="2A87E39D"/>
    <w:rsid w:val="2A8E5E28"/>
    <w:rsid w:val="2A8EAE4A"/>
    <w:rsid w:val="2A92080F"/>
    <w:rsid w:val="2A9A8C49"/>
    <w:rsid w:val="2AA4980A"/>
    <w:rsid w:val="2AA77D82"/>
    <w:rsid w:val="2ABDD81C"/>
    <w:rsid w:val="2ABE9FF9"/>
    <w:rsid w:val="2AC83983"/>
    <w:rsid w:val="2ACE6843"/>
    <w:rsid w:val="2AD15C62"/>
    <w:rsid w:val="2AD5D857"/>
    <w:rsid w:val="2AD8E58D"/>
    <w:rsid w:val="2ADA613E"/>
    <w:rsid w:val="2ADC8AD7"/>
    <w:rsid w:val="2ADFC735"/>
    <w:rsid w:val="2AE2592B"/>
    <w:rsid w:val="2AEDEBE5"/>
    <w:rsid w:val="2AF30441"/>
    <w:rsid w:val="2AF450D0"/>
    <w:rsid w:val="2AF477D2"/>
    <w:rsid w:val="2AF5DB5D"/>
    <w:rsid w:val="2AFAC436"/>
    <w:rsid w:val="2AFC2A2E"/>
    <w:rsid w:val="2AFF07B2"/>
    <w:rsid w:val="2B0159C1"/>
    <w:rsid w:val="2B03E956"/>
    <w:rsid w:val="2B065A34"/>
    <w:rsid w:val="2B11BB34"/>
    <w:rsid w:val="2B147C40"/>
    <w:rsid w:val="2B157F57"/>
    <w:rsid w:val="2B2105C9"/>
    <w:rsid w:val="2B34CA92"/>
    <w:rsid w:val="2B36C84E"/>
    <w:rsid w:val="2B3AECD2"/>
    <w:rsid w:val="2B3C01A3"/>
    <w:rsid w:val="2B3CF16E"/>
    <w:rsid w:val="2B3EC1A5"/>
    <w:rsid w:val="2B41BB8C"/>
    <w:rsid w:val="2B4CA3F8"/>
    <w:rsid w:val="2B4D5465"/>
    <w:rsid w:val="2B50E65B"/>
    <w:rsid w:val="2B5B8014"/>
    <w:rsid w:val="2B68B884"/>
    <w:rsid w:val="2B6A7A79"/>
    <w:rsid w:val="2B6D128A"/>
    <w:rsid w:val="2B7700FB"/>
    <w:rsid w:val="2B7FC210"/>
    <w:rsid w:val="2B83E4BF"/>
    <w:rsid w:val="2B852776"/>
    <w:rsid w:val="2B8C0319"/>
    <w:rsid w:val="2B8D003C"/>
    <w:rsid w:val="2B8D250A"/>
    <w:rsid w:val="2B929367"/>
    <w:rsid w:val="2B92CE46"/>
    <w:rsid w:val="2B97B983"/>
    <w:rsid w:val="2B9C8D07"/>
    <w:rsid w:val="2BA0C6BF"/>
    <w:rsid w:val="2BA159CE"/>
    <w:rsid w:val="2BB18623"/>
    <w:rsid w:val="2BB1BBC5"/>
    <w:rsid w:val="2BB35126"/>
    <w:rsid w:val="2BB76810"/>
    <w:rsid w:val="2BBA1B22"/>
    <w:rsid w:val="2BBA3161"/>
    <w:rsid w:val="2BC3C88B"/>
    <w:rsid w:val="2BC7F597"/>
    <w:rsid w:val="2BCC0B83"/>
    <w:rsid w:val="2BCCB4C9"/>
    <w:rsid w:val="2BD13484"/>
    <w:rsid w:val="2BD2BB6F"/>
    <w:rsid w:val="2BD3C5AD"/>
    <w:rsid w:val="2BE018B7"/>
    <w:rsid w:val="2BF40562"/>
    <w:rsid w:val="2BFA1878"/>
    <w:rsid w:val="2C0695B1"/>
    <w:rsid w:val="2C071C8C"/>
    <w:rsid w:val="2C0858B0"/>
    <w:rsid w:val="2C0A56F2"/>
    <w:rsid w:val="2C123AC9"/>
    <w:rsid w:val="2C140C78"/>
    <w:rsid w:val="2C1659C5"/>
    <w:rsid w:val="2C173158"/>
    <w:rsid w:val="2C1B21F0"/>
    <w:rsid w:val="2C1F9B24"/>
    <w:rsid w:val="2C29CA6F"/>
    <w:rsid w:val="2C3A188F"/>
    <w:rsid w:val="2C3A64DD"/>
    <w:rsid w:val="2C3E955C"/>
    <w:rsid w:val="2C47B00F"/>
    <w:rsid w:val="2C4B6A8E"/>
    <w:rsid w:val="2C4E1EF2"/>
    <w:rsid w:val="2C540130"/>
    <w:rsid w:val="2C60DD93"/>
    <w:rsid w:val="2C65E662"/>
    <w:rsid w:val="2C66BB1C"/>
    <w:rsid w:val="2C68E849"/>
    <w:rsid w:val="2C6ECB43"/>
    <w:rsid w:val="2C70839E"/>
    <w:rsid w:val="2C731D9A"/>
    <w:rsid w:val="2C790983"/>
    <w:rsid w:val="2C7A9931"/>
    <w:rsid w:val="2C7B2EEF"/>
    <w:rsid w:val="2C81CD2C"/>
    <w:rsid w:val="2C826BE5"/>
    <w:rsid w:val="2C88C491"/>
    <w:rsid w:val="2C8C2EF4"/>
    <w:rsid w:val="2C8EA5B2"/>
    <w:rsid w:val="2C9AB81E"/>
    <w:rsid w:val="2C9BEA1B"/>
    <w:rsid w:val="2CA16D42"/>
    <w:rsid w:val="2CA84973"/>
    <w:rsid w:val="2CA9D0C6"/>
    <w:rsid w:val="2CBF1629"/>
    <w:rsid w:val="2CCAC07A"/>
    <w:rsid w:val="2CCB80D5"/>
    <w:rsid w:val="2CCE0B18"/>
    <w:rsid w:val="2CD73AD8"/>
    <w:rsid w:val="2CDC7693"/>
    <w:rsid w:val="2CDEB20E"/>
    <w:rsid w:val="2CDF70DA"/>
    <w:rsid w:val="2CF6F264"/>
    <w:rsid w:val="2CF7243C"/>
    <w:rsid w:val="2CFF9785"/>
    <w:rsid w:val="2D038D15"/>
    <w:rsid w:val="2D04B35C"/>
    <w:rsid w:val="2D08FD5D"/>
    <w:rsid w:val="2D094F0F"/>
    <w:rsid w:val="2D0DFB08"/>
    <w:rsid w:val="2D1375F5"/>
    <w:rsid w:val="2D188556"/>
    <w:rsid w:val="2D1CA7D3"/>
    <w:rsid w:val="2D28D3C0"/>
    <w:rsid w:val="2D2F81B6"/>
    <w:rsid w:val="2D33508A"/>
    <w:rsid w:val="2D383CD2"/>
    <w:rsid w:val="2D38F49C"/>
    <w:rsid w:val="2D39A5F0"/>
    <w:rsid w:val="2D4E6F23"/>
    <w:rsid w:val="2D4FF552"/>
    <w:rsid w:val="2D539582"/>
    <w:rsid w:val="2D5AB426"/>
    <w:rsid w:val="2D5D6A57"/>
    <w:rsid w:val="2D6A7CA1"/>
    <w:rsid w:val="2D6C0570"/>
    <w:rsid w:val="2D73A788"/>
    <w:rsid w:val="2D748DEF"/>
    <w:rsid w:val="2D7566DB"/>
    <w:rsid w:val="2D78E95F"/>
    <w:rsid w:val="2D7977D1"/>
    <w:rsid w:val="2D7A97AF"/>
    <w:rsid w:val="2D7C2A39"/>
    <w:rsid w:val="2D80FD7F"/>
    <w:rsid w:val="2D8EA80B"/>
    <w:rsid w:val="2D8FF532"/>
    <w:rsid w:val="2D914B3E"/>
    <w:rsid w:val="2D9737BB"/>
    <w:rsid w:val="2D9A4863"/>
    <w:rsid w:val="2D9D71FF"/>
    <w:rsid w:val="2DA1FA71"/>
    <w:rsid w:val="2DA6BE68"/>
    <w:rsid w:val="2DA6C067"/>
    <w:rsid w:val="2DAE0A06"/>
    <w:rsid w:val="2DAE9128"/>
    <w:rsid w:val="2DB131C8"/>
    <w:rsid w:val="2DB49030"/>
    <w:rsid w:val="2DB721F8"/>
    <w:rsid w:val="2DB83D78"/>
    <w:rsid w:val="2DC2E2BA"/>
    <w:rsid w:val="2DCEA72A"/>
    <w:rsid w:val="2DCF0012"/>
    <w:rsid w:val="2DCFD9DC"/>
    <w:rsid w:val="2DD4D2D2"/>
    <w:rsid w:val="2DD7A9BF"/>
    <w:rsid w:val="2DD7CEE6"/>
    <w:rsid w:val="2DE08585"/>
    <w:rsid w:val="2DE90B55"/>
    <w:rsid w:val="2DF71CD1"/>
    <w:rsid w:val="2E040AA9"/>
    <w:rsid w:val="2E04E9F7"/>
    <w:rsid w:val="2E161F8C"/>
    <w:rsid w:val="2E1AA090"/>
    <w:rsid w:val="2E2A853B"/>
    <w:rsid w:val="2E30745A"/>
    <w:rsid w:val="2E332F11"/>
    <w:rsid w:val="2E367D57"/>
    <w:rsid w:val="2E38F9BC"/>
    <w:rsid w:val="2E399EF3"/>
    <w:rsid w:val="2E3F449E"/>
    <w:rsid w:val="2E412797"/>
    <w:rsid w:val="2E4EAB3B"/>
    <w:rsid w:val="2E57E6CD"/>
    <w:rsid w:val="2E5B5D5E"/>
    <w:rsid w:val="2E5BCB7B"/>
    <w:rsid w:val="2E6BF296"/>
    <w:rsid w:val="2E7030D6"/>
    <w:rsid w:val="2E776EBD"/>
    <w:rsid w:val="2E795260"/>
    <w:rsid w:val="2E80C680"/>
    <w:rsid w:val="2E80D022"/>
    <w:rsid w:val="2E88C056"/>
    <w:rsid w:val="2E892462"/>
    <w:rsid w:val="2E89D68A"/>
    <w:rsid w:val="2E8B5445"/>
    <w:rsid w:val="2E8EF383"/>
    <w:rsid w:val="2E91BAAA"/>
    <w:rsid w:val="2E9D61C3"/>
    <w:rsid w:val="2E9E68FA"/>
    <w:rsid w:val="2EA21E96"/>
    <w:rsid w:val="2EA2EF88"/>
    <w:rsid w:val="2EA946FC"/>
    <w:rsid w:val="2EAA33EF"/>
    <w:rsid w:val="2EAE8A32"/>
    <w:rsid w:val="2EB4AB18"/>
    <w:rsid w:val="2EB7C0AF"/>
    <w:rsid w:val="2EB7C73C"/>
    <w:rsid w:val="2EBB07A9"/>
    <w:rsid w:val="2EBEC635"/>
    <w:rsid w:val="2EC0A5BA"/>
    <w:rsid w:val="2EC47428"/>
    <w:rsid w:val="2ED6A92C"/>
    <w:rsid w:val="2EDEC6F7"/>
    <w:rsid w:val="2EE40439"/>
    <w:rsid w:val="2EE51284"/>
    <w:rsid w:val="2EEB64D4"/>
    <w:rsid w:val="2EFBEB88"/>
    <w:rsid w:val="2F0271DF"/>
    <w:rsid w:val="2F14F466"/>
    <w:rsid w:val="2F199A45"/>
    <w:rsid w:val="2F1A450C"/>
    <w:rsid w:val="2F1D132E"/>
    <w:rsid w:val="2F37F392"/>
    <w:rsid w:val="2F389E0B"/>
    <w:rsid w:val="2F45C259"/>
    <w:rsid w:val="2F45E38F"/>
    <w:rsid w:val="2F499227"/>
    <w:rsid w:val="2F49DC1D"/>
    <w:rsid w:val="2F4A28DD"/>
    <w:rsid w:val="2F4C4D6C"/>
    <w:rsid w:val="2F4FA483"/>
    <w:rsid w:val="2F53BBCB"/>
    <w:rsid w:val="2F53BDB2"/>
    <w:rsid w:val="2F560FC1"/>
    <w:rsid w:val="2F5B8B28"/>
    <w:rsid w:val="2F5E72A5"/>
    <w:rsid w:val="2F628C7E"/>
    <w:rsid w:val="2F6390CA"/>
    <w:rsid w:val="2F6C17E3"/>
    <w:rsid w:val="2F6E9352"/>
    <w:rsid w:val="2F7E4D1A"/>
    <w:rsid w:val="2F8B3F90"/>
    <w:rsid w:val="2F977152"/>
    <w:rsid w:val="2F9B3143"/>
    <w:rsid w:val="2FA4B0CD"/>
    <w:rsid w:val="2FA58D9C"/>
    <w:rsid w:val="2FA8F50F"/>
    <w:rsid w:val="2FAA04ED"/>
    <w:rsid w:val="2FAF6069"/>
    <w:rsid w:val="2FB0E8D9"/>
    <w:rsid w:val="2FB39C4D"/>
    <w:rsid w:val="2FB5CCF3"/>
    <w:rsid w:val="2FBA168D"/>
    <w:rsid w:val="2FC03AAC"/>
    <w:rsid w:val="2FC5694B"/>
    <w:rsid w:val="2FC6F483"/>
    <w:rsid w:val="2FCA5B7B"/>
    <w:rsid w:val="2FCA7105"/>
    <w:rsid w:val="2FDA432B"/>
    <w:rsid w:val="2FE0EBC1"/>
    <w:rsid w:val="2FE1B644"/>
    <w:rsid w:val="2FF42F40"/>
    <w:rsid w:val="2FFDD69F"/>
    <w:rsid w:val="3000B8F0"/>
    <w:rsid w:val="301331E0"/>
    <w:rsid w:val="30193D0A"/>
    <w:rsid w:val="301AC541"/>
    <w:rsid w:val="30215A47"/>
    <w:rsid w:val="30286ADA"/>
    <w:rsid w:val="302DCCD8"/>
    <w:rsid w:val="3031275C"/>
    <w:rsid w:val="30350A44"/>
    <w:rsid w:val="303A6007"/>
    <w:rsid w:val="303D4F6F"/>
    <w:rsid w:val="30426FBC"/>
    <w:rsid w:val="3048F509"/>
    <w:rsid w:val="304B6CF5"/>
    <w:rsid w:val="304C7D46"/>
    <w:rsid w:val="305A3F23"/>
    <w:rsid w:val="30616B04"/>
    <w:rsid w:val="30658999"/>
    <w:rsid w:val="306BB231"/>
    <w:rsid w:val="306EF36A"/>
    <w:rsid w:val="307616D6"/>
    <w:rsid w:val="307AA4F2"/>
    <w:rsid w:val="30806D45"/>
    <w:rsid w:val="3080FF92"/>
    <w:rsid w:val="308545AB"/>
    <w:rsid w:val="308C0147"/>
    <w:rsid w:val="308D2B30"/>
    <w:rsid w:val="3091A179"/>
    <w:rsid w:val="309F389B"/>
    <w:rsid w:val="309FDC57"/>
    <w:rsid w:val="30A2F2EE"/>
    <w:rsid w:val="30A6F35A"/>
    <w:rsid w:val="30AB8043"/>
    <w:rsid w:val="30AC1337"/>
    <w:rsid w:val="30B8FA45"/>
    <w:rsid w:val="30CF8781"/>
    <w:rsid w:val="30D48684"/>
    <w:rsid w:val="30D678C5"/>
    <w:rsid w:val="30D952A0"/>
    <w:rsid w:val="30E7E18A"/>
    <w:rsid w:val="30ECC376"/>
    <w:rsid w:val="30F08CB2"/>
    <w:rsid w:val="30F186B8"/>
    <w:rsid w:val="30F1E057"/>
    <w:rsid w:val="30F9059F"/>
    <w:rsid w:val="3103E543"/>
    <w:rsid w:val="3105A33E"/>
    <w:rsid w:val="3106DC96"/>
    <w:rsid w:val="310BFA12"/>
    <w:rsid w:val="31116609"/>
    <w:rsid w:val="3112A05D"/>
    <w:rsid w:val="311838B6"/>
    <w:rsid w:val="3118FBDE"/>
    <w:rsid w:val="312E6F9A"/>
    <w:rsid w:val="3138A081"/>
    <w:rsid w:val="313ECF3C"/>
    <w:rsid w:val="3145AC5A"/>
    <w:rsid w:val="3149A204"/>
    <w:rsid w:val="314AC9EC"/>
    <w:rsid w:val="315EBEE4"/>
    <w:rsid w:val="315FCFB7"/>
    <w:rsid w:val="316575A3"/>
    <w:rsid w:val="31678808"/>
    <w:rsid w:val="3167D367"/>
    <w:rsid w:val="31733BFA"/>
    <w:rsid w:val="31776CF1"/>
    <w:rsid w:val="317F67C8"/>
    <w:rsid w:val="3180D072"/>
    <w:rsid w:val="318213AE"/>
    <w:rsid w:val="318D75C0"/>
    <w:rsid w:val="31953F4D"/>
    <w:rsid w:val="319C75D7"/>
    <w:rsid w:val="31A65CD0"/>
    <w:rsid w:val="31A6B2CC"/>
    <w:rsid w:val="31AB5B54"/>
    <w:rsid w:val="31AC93D7"/>
    <w:rsid w:val="31AD49F4"/>
    <w:rsid w:val="31AD79DF"/>
    <w:rsid w:val="31B33D99"/>
    <w:rsid w:val="31BCA3C4"/>
    <w:rsid w:val="31BE4B0F"/>
    <w:rsid w:val="31C01C1C"/>
    <w:rsid w:val="31C936C3"/>
    <w:rsid w:val="31D0DCD5"/>
    <w:rsid w:val="31D1CBCB"/>
    <w:rsid w:val="31D335F2"/>
    <w:rsid w:val="31DAADF4"/>
    <w:rsid w:val="31DC1131"/>
    <w:rsid w:val="31E4BCF8"/>
    <w:rsid w:val="31ED4836"/>
    <w:rsid w:val="31EE6A0A"/>
    <w:rsid w:val="31EF3EEC"/>
    <w:rsid w:val="31F0C007"/>
    <w:rsid w:val="31F53D09"/>
    <w:rsid w:val="31FE431B"/>
    <w:rsid w:val="320EFF41"/>
    <w:rsid w:val="321816AF"/>
    <w:rsid w:val="321D8C8F"/>
    <w:rsid w:val="322C1DF6"/>
    <w:rsid w:val="32337964"/>
    <w:rsid w:val="3233A37C"/>
    <w:rsid w:val="32450148"/>
    <w:rsid w:val="324933D3"/>
    <w:rsid w:val="324C6948"/>
    <w:rsid w:val="3251EAA0"/>
    <w:rsid w:val="3255BD7A"/>
    <w:rsid w:val="325A9766"/>
    <w:rsid w:val="325B8997"/>
    <w:rsid w:val="32647CEE"/>
    <w:rsid w:val="3265D2AB"/>
    <w:rsid w:val="326893EE"/>
    <w:rsid w:val="326D52FB"/>
    <w:rsid w:val="32732615"/>
    <w:rsid w:val="3274E6CE"/>
    <w:rsid w:val="32850DF9"/>
    <w:rsid w:val="3288DC66"/>
    <w:rsid w:val="328B268C"/>
    <w:rsid w:val="328D41AA"/>
    <w:rsid w:val="328E2195"/>
    <w:rsid w:val="328F05C6"/>
    <w:rsid w:val="329A82CF"/>
    <w:rsid w:val="32A03EDB"/>
    <w:rsid w:val="32A42050"/>
    <w:rsid w:val="32A92496"/>
    <w:rsid w:val="32AD4F6C"/>
    <w:rsid w:val="32AE2FE6"/>
    <w:rsid w:val="32B5BD6A"/>
    <w:rsid w:val="32B62D11"/>
    <w:rsid w:val="32BE3797"/>
    <w:rsid w:val="32C18623"/>
    <w:rsid w:val="32CDDF70"/>
    <w:rsid w:val="32D4B207"/>
    <w:rsid w:val="32D991E9"/>
    <w:rsid w:val="32DF0BFE"/>
    <w:rsid w:val="32DF9F40"/>
    <w:rsid w:val="32E0F5A7"/>
    <w:rsid w:val="32E2BC85"/>
    <w:rsid w:val="32E6D281"/>
    <w:rsid w:val="32ED9634"/>
    <w:rsid w:val="32F14683"/>
    <w:rsid w:val="32F2B7B9"/>
    <w:rsid w:val="32F37819"/>
    <w:rsid w:val="32F60560"/>
    <w:rsid w:val="32FAA232"/>
    <w:rsid w:val="32FB8A5B"/>
    <w:rsid w:val="33077B22"/>
    <w:rsid w:val="3307EBC9"/>
    <w:rsid w:val="33087D1C"/>
    <w:rsid w:val="330D1496"/>
    <w:rsid w:val="3317102A"/>
    <w:rsid w:val="331989BB"/>
    <w:rsid w:val="331C59A8"/>
    <w:rsid w:val="3320FC2F"/>
    <w:rsid w:val="3322D48C"/>
    <w:rsid w:val="332E8920"/>
    <w:rsid w:val="333970FA"/>
    <w:rsid w:val="33426691"/>
    <w:rsid w:val="334C1098"/>
    <w:rsid w:val="33585FBF"/>
    <w:rsid w:val="335A2A87"/>
    <w:rsid w:val="335A2E93"/>
    <w:rsid w:val="335EA2F0"/>
    <w:rsid w:val="335F4D06"/>
    <w:rsid w:val="336AC100"/>
    <w:rsid w:val="33701FAD"/>
    <w:rsid w:val="3384F7B3"/>
    <w:rsid w:val="338F6227"/>
    <w:rsid w:val="339080DE"/>
    <w:rsid w:val="339261E4"/>
    <w:rsid w:val="33968BB1"/>
    <w:rsid w:val="339E206C"/>
    <w:rsid w:val="339FD735"/>
    <w:rsid w:val="33A6708F"/>
    <w:rsid w:val="33AD2415"/>
    <w:rsid w:val="33C57E90"/>
    <w:rsid w:val="33CC0F15"/>
    <w:rsid w:val="33D2C7DC"/>
    <w:rsid w:val="33D6B96A"/>
    <w:rsid w:val="33D99314"/>
    <w:rsid w:val="33DB74FD"/>
    <w:rsid w:val="33E24B81"/>
    <w:rsid w:val="33E311A2"/>
    <w:rsid w:val="33E59093"/>
    <w:rsid w:val="33EE1F87"/>
    <w:rsid w:val="33F91741"/>
    <w:rsid w:val="33FA252C"/>
    <w:rsid w:val="34078AB3"/>
    <w:rsid w:val="340E174C"/>
    <w:rsid w:val="3415C27D"/>
    <w:rsid w:val="3417A69B"/>
    <w:rsid w:val="341A82FD"/>
    <w:rsid w:val="342E3C94"/>
    <w:rsid w:val="3436C90B"/>
    <w:rsid w:val="34391EF9"/>
    <w:rsid w:val="3441789A"/>
    <w:rsid w:val="34442E06"/>
    <w:rsid w:val="345B79C0"/>
    <w:rsid w:val="345D65A8"/>
    <w:rsid w:val="346B46BF"/>
    <w:rsid w:val="346DBF59"/>
    <w:rsid w:val="346E3760"/>
    <w:rsid w:val="3475908A"/>
    <w:rsid w:val="3478A081"/>
    <w:rsid w:val="347D7230"/>
    <w:rsid w:val="347E0F81"/>
    <w:rsid w:val="34857948"/>
    <w:rsid w:val="3486B596"/>
    <w:rsid w:val="348A4435"/>
    <w:rsid w:val="348AE027"/>
    <w:rsid w:val="348D56F4"/>
    <w:rsid w:val="349698A6"/>
    <w:rsid w:val="3498C686"/>
    <w:rsid w:val="349C633A"/>
    <w:rsid w:val="34A04B2B"/>
    <w:rsid w:val="34A35341"/>
    <w:rsid w:val="34A91541"/>
    <w:rsid w:val="34AB67D5"/>
    <w:rsid w:val="34B0C580"/>
    <w:rsid w:val="34B3E6A9"/>
    <w:rsid w:val="34B40D2F"/>
    <w:rsid w:val="34B73DB7"/>
    <w:rsid w:val="34C1A510"/>
    <w:rsid w:val="34C7EA51"/>
    <w:rsid w:val="34CE25BE"/>
    <w:rsid w:val="34CED31C"/>
    <w:rsid w:val="34E1E8FD"/>
    <w:rsid w:val="34E2304F"/>
    <w:rsid w:val="34F3F899"/>
    <w:rsid w:val="34F74D58"/>
    <w:rsid w:val="34F7DBA1"/>
    <w:rsid w:val="34FA9D0E"/>
    <w:rsid w:val="3502E387"/>
    <w:rsid w:val="350471ED"/>
    <w:rsid w:val="3504B7A8"/>
    <w:rsid w:val="3507F34A"/>
    <w:rsid w:val="3509B782"/>
    <w:rsid w:val="350B2460"/>
    <w:rsid w:val="351CCCD9"/>
    <w:rsid w:val="35225451"/>
    <w:rsid w:val="352BB53D"/>
    <w:rsid w:val="352FECA7"/>
    <w:rsid w:val="35392814"/>
    <w:rsid w:val="353A90E6"/>
    <w:rsid w:val="3547E21B"/>
    <w:rsid w:val="354C81A7"/>
    <w:rsid w:val="354CEECE"/>
    <w:rsid w:val="354F57A0"/>
    <w:rsid w:val="355A3D55"/>
    <w:rsid w:val="35758699"/>
    <w:rsid w:val="3577DD7A"/>
    <w:rsid w:val="3579BFE0"/>
    <w:rsid w:val="357B57F6"/>
    <w:rsid w:val="357CFFB9"/>
    <w:rsid w:val="357F1FCF"/>
    <w:rsid w:val="358AE2B2"/>
    <w:rsid w:val="358C1E28"/>
    <w:rsid w:val="358D99D2"/>
    <w:rsid w:val="359350E6"/>
    <w:rsid w:val="35AC34B2"/>
    <w:rsid w:val="35B0C59E"/>
    <w:rsid w:val="35B6D884"/>
    <w:rsid w:val="35C3E2EB"/>
    <w:rsid w:val="35D8353B"/>
    <w:rsid w:val="35DC11F4"/>
    <w:rsid w:val="35EAE9E9"/>
    <w:rsid w:val="35EB31AD"/>
    <w:rsid w:val="35EFB86E"/>
    <w:rsid w:val="35F1AE19"/>
    <w:rsid w:val="35F7034B"/>
    <w:rsid w:val="35F728FD"/>
    <w:rsid w:val="35F9A24A"/>
    <w:rsid w:val="35FC3BBA"/>
    <w:rsid w:val="36025F62"/>
    <w:rsid w:val="360D109D"/>
    <w:rsid w:val="3617DCC8"/>
    <w:rsid w:val="361E4214"/>
    <w:rsid w:val="36237CA1"/>
    <w:rsid w:val="362CF665"/>
    <w:rsid w:val="3630639D"/>
    <w:rsid w:val="3633126E"/>
    <w:rsid w:val="3636F777"/>
    <w:rsid w:val="363AA815"/>
    <w:rsid w:val="363D9EDE"/>
    <w:rsid w:val="3644A788"/>
    <w:rsid w:val="364F47B7"/>
    <w:rsid w:val="3650BCAD"/>
    <w:rsid w:val="36515BB1"/>
    <w:rsid w:val="3651991D"/>
    <w:rsid w:val="365983D3"/>
    <w:rsid w:val="365B00A5"/>
    <w:rsid w:val="365CA7FD"/>
    <w:rsid w:val="36642F98"/>
    <w:rsid w:val="366CAC7B"/>
    <w:rsid w:val="3679769D"/>
    <w:rsid w:val="367E5791"/>
    <w:rsid w:val="367EDFEA"/>
    <w:rsid w:val="367F97B8"/>
    <w:rsid w:val="3683F542"/>
    <w:rsid w:val="3684671F"/>
    <w:rsid w:val="3688EA0F"/>
    <w:rsid w:val="36928B64"/>
    <w:rsid w:val="369599D0"/>
    <w:rsid w:val="36B82F5F"/>
    <w:rsid w:val="36BD230B"/>
    <w:rsid w:val="36C503E9"/>
    <w:rsid w:val="36C84E8C"/>
    <w:rsid w:val="36CCEAAD"/>
    <w:rsid w:val="36D1C2F4"/>
    <w:rsid w:val="36D3A67C"/>
    <w:rsid w:val="36D44A82"/>
    <w:rsid w:val="36D82798"/>
    <w:rsid w:val="36DA0D8D"/>
    <w:rsid w:val="36DC1E68"/>
    <w:rsid w:val="36DEB69F"/>
    <w:rsid w:val="36E53DD8"/>
    <w:rsid w:val="36E7522A"/>
    <w:rsid w:val="36EAA3AE"/>
    <w:rsid w:val="36EEDD17"/>
    <w:rsid w:val="36F210AF"/>
    <w:rsid w:val="36F60681"/>
    <w:rsid w:val="36F61937"/>
    <w:rsid w:val="36F8D00E"/>
    <w:rsid w:val="3701E599"/>
    <w:rsid w:val="3704E16C"/>
    <w:rsid w:val="37115911"/>
    <w:rsid w:val="371928D1"/>
    <w:rsid w:val="371966D4"/>
    <w:rsid w:val="3726D2B6"/>
    <w:rsid w:val="3729DBBD"/>
    <w:rsid w:val="372A50BB"/>
    <w:rsid w:val="372DD026"/>
    <w:rsid w:val="372EBCD4"/>
    <w:rsid w:val="372FE612"/>
    <w:rsid w:val="37308774"/>
    <w:rsid w:val="3734E5A0"/>
    <w:rsid w:val="373E10A7"/>
    <w:rsid w:val="373E7EF3"/>
    <w:rsid w:val="3741BD79"/>
    <w:rsid w:val="37478D07"/>
    <w:rsid w:val="374B80F7"/>
    <w:rsid w:val="374C042B"/>
    <w:rsid w:val="3750D1F3"/>
    <w:rsid w:val="3752C53C"/>
    <w:rsid w:val="375875BA"/>
    <w:rsid w:val="375C8F8A"/>
    <w:rsid w:val="375DBDDA"/>
    <w:rsid w:val="375E2B8B"/>
    <w:rsid w:val="375E54B5"/>
    <w:rsid w:val="3761F176"/>
    <w:rsid w:val="3762334E"/>
    <w:rsid w:val="3764A6F6"/>
    <w:rsid w:val="377009B7"/>
    <w:rsid w:val="37702EBB"/>
    <w:rsid w:val="377810E5"/>
    <w:rsid w:val="37797068"/>
    <w:rsid w:val="37908DFA"/>
    <w:rsid w:val="3797F9CE"/>
    <w:rsid w:val="3799B278"/>
    <w:rsid w:val="379A4CC3"/>
    <w:rsid w:val="379C8594"/>
    <w:rsid w:val="379D9252"/>
    <w:rsid w:val="37A124CA"/>
    <w:rsid w:val="37A3B6A4"/>
    <w:rsid w:val="37A461A7"/>
    <w:rsid w:val="37AA94F9"/>
    <w:rsid w:val="37B387D8"/>
    <w:rsid w:val="37B507AE"/>
    <w:rsid w:val="37C3E3B4"/>
    <w:rsid w:val="37CD752B"/>
    <w:rsid w:val="37DC7989"/>
    <w:rsid w:val="37E2B2B5"/>
    <w:rsid w:val="37E47AA2"/>
    <w:rsid w:val="37E9F941"/>
    <w:rsid w:val="37EC859A"/>
    <w:rsid w:val="37EDDB62"/>
    <w:rsid w:val="37FA0A50"/>
    <w:rsid w:val="37FEF96C"/>
    <w:rsid w:val="381073A3"/>
    <w:rsid w:val="38172117"/>
    <w:rsid w:val="3818D390"/>
    <w:rsid w:val="381C3A3A"/>
    <w:rsid w:val="381E5F3A"/>
    <w:rsid w:val="383564CE"/>
    <w:rsid w:val="38360855"/>
    <w:rsid w:val="3839BFA0"/>
    <w:rsid w:val="383C8DD9"/>
    <w:rsid w:val="383E18DA"/>
    <w:rsid w:val="383EF129"/>
    <w:rsid w:val="383FBD26"/>
    <w:rsid w:val="38427932"/>
    <w:rsid w:val="38525443"/>
    <w:rsid w:val="3852F19C"/>
    <w:rsid w:val="3855E00E"/>
    <w:rsid w:val="3857DC7A"/>
    <w:rsid w:val="38583E16"/>
    <w:rsid w:val="385B13B6"/>
    <w:rsid w:val="385DDB17"/>
    <w:rsid w:val="38669600"/>
    <w:rsid w:val="386FE23E"/>
    <w:rsid w:val="387411CA"/>
    <w:rsid w:val="3876037D"/>
    <w:rsid w:val="38787A49"/>
    <w:rsid w:val="388522A3"/>
    <w:rsid w:val="388AA85D"/>
    <w:rsid w:val="388C0CC3"/>
    <w:rsid w:val="388CCE53"/>
    <w:rsid w:val="388D99DD"/>
    <w:rsid w:val="38989434"/>
    <w:rsid w:val="389BF09F"/>
    <w:rsid w:val="38A3E8A7"/>
    <w:rsid w:val="38B98C42"/>
    <w:rsid w:val="38C4303B"/>
    <w:rsid w:val="38C59A33"/>
    <w:rsid w:val="38C7D5BA"/>
    <w:rsid w:val="38C9AB30"/>
    <w:rsid w:val="38C9F7A0"/>
    <w:rsid w:val="38CEADC8"/>
    <w:rsid w:val="38DD0651"/>
    <w:rsid w:val="38DD85B4"/>
    <w:rsid w:val="38E70F13"/>
    <w:rsid w:val="38EBA73A"/>
    <w:rsid w:val="38EC2421"/>
    <w:rsid w:val="38F2B6E9"/>
    <w:rsid w:val="38F81516"/>
    <w:rsid w:val="38FB7523"/>
    <w:rsid w:val="38FC36F6"/>
    <w:rsid w:val="390224BA"/>
    <w:rsid w:val="39077ABB"/>
    <w:rsid w:val="390E255B"/>
    <w:rsid w:val="390E2E95"/>
    <w:rsid w:val="390EB1E5"/>
    <w:rsid w:val="3910BB68"/>
    <w:rsid w:val="3916D304"/>
    <w:rsid w:val="39194D40"/>
    <w:rsid w:val="3922B038"/>
    <w:rsid w:val="3930293C"/>
    <w:rsid w:val="393373D9"/>
    <w:rsid w:val="3935232B"/>
    <w:rsid w:val="394230EB"/>
    <w:rsid w:val="3949FB26"/>
    <w:rsid w:val="394E65B1"/>
    <w:rsid w:val="394FA114"/>
    <w:rsid w:val="395C57E2"/>
    <w:rsid w:val="3961F5DA"/>
    <w:rsid w:val="39653DF7"/>
    <w:rsid w:val="39680AF5"/>
    <w:rsid w:val="396C2578"/>
    <w:rsid w:val="398078E8"/>
    <w:rsid w:val="39851387"/>
    <w:rsid w:val="399B176F"/>
    <w:rsid w:val="399B7172"/>
    <w:rsid w:val="399D6D4E"/>
    <w:rsid w:val="39A65569"/>
    <w:rsid w:val="39A69FAD"/>
    <w:rsid w:val="39B742CB"/>
    <w:rsid w:val="39B9B9DA"/>
    <w:rsid w:val="39C3AB4F"/>
    <w:rsid w:val="39C6308A"/>
    <w:rsid w:val="39CF39FE"/>
    <w:rsid w:val="39D46692"/>
    <w:rsid w:val="39D91148"/>
    <w:rsid w:val="39DEC415"/>
    <w:rsid w:val="39E4CE0A"/>
    <w:rsid w:val="39E92E1E"/>
    <w:rsid w:val="39EBCF08"/>
    <w:rsid w:val="39EC613E"/>
    <w:rsid w:val="39EDDECA"/>
    <w:rsid w:val="39EF4F28"/>
    <w:rsid w:val="39F1D1F2"/>
    <w:rsid w:val="39F71B1C"/>
    <w:rsid w:val="3A02878C"/>
    <w:rsid w:val="3A03685A"/>
    <w:rsid w:val="3A05F738"/>
    <w:rsid w:val="3A0C8AAF"/>
    <w:rsid w:val="3A128544"/>
    <w:rsid w:val="3A192290"/>
    <w:rsid w:val="3A1ADB4A"/>
    <w:rsid w:val="3A1C127A"/>
    <w:rsid w:val="3A1DAA20"/>
    <w:rsid w:val="3A221014"/>
    <w:rsid w:val="3A2C5770"/>
    <w:rsid w:val="3A2DAB98"/>
    <w:rsid w:val="3A30CDCC"/>
    <w:rsid w:val="3A3135DA"/>
    <w:rsid w:val="3A33735E"/>
    <w:rsid w:val="3A418D78"/>
    <w:rsid w:val="3A5472E4"/>
    <w:rsid w:val="3A5859D3"/>
    <w:rsid w:val="3A60EB0D"/>
    <w:rsid w:val="3A6B3D23"/>
    <w:rsid w:val="3A7BD504"/>
    <w:rsid w:val="3A7CA533"/>
    <w:rsid w:val="3A81EFBA"/>
    <w:rsid w:val="3A85911B"/>
    <w:rsid w:val="3A8A0E08"/>
    <w:rsid w:val="3A8C925D"/>
    <w:rsid w:val="3A928E6B"/>
    <w:rsid w:val="3A946F90"/>
    <w:rsid w:val="3A9BB28E"/>
    <w:rsid w:val="3A9F3C2F"/>
    <w:rsid w:val="3AA61385"/>
    <w:rsid w:val="3AA945B8"/>
    <w:rsid w:val="3AABF144"/>
    <w:rsid w:val="3AAED78B"/>
    <w:rsid w:val="3AB21B29"/>
    <w:rsid w:val="3ABE15D3"/>
    <w:rsid w:val="3ACD018B"/>
    <w:rsid w:val="3AD83698"/>
    <w:rsid w:val="3AD85B95"/>
    <w:rsid w:val="3ADC849B"/>
    <w:rsid w:val="3AE507EF"/>
    <w:rsid w:val="3AE8AF03"/>
    <w:rsid w:val="3AE97446"/>
    <w:rsid w:val="3B06FAF0"/>
    <w:rsid w:val="3B166073"/>
    <w:rsid w:val="3B18E699"/>
    <w:rsid w:val="3B194262"/>
    <w:rsid w:val="3B235011"/>
    <w:rsid w:val="3B2444E8"/>
    <w:rsid w:val="3B2768F1"/>
    <w:rsid w:val="3B27AB10"/>
    <w:rsid w:val="3B28571F"/>
    <w:rsid w:val="3B299FBF"/>
    <w:rsid w:val="3B2CE5F2"/>
    <w:rsid w:val="3B2D1C20"/>
    <w:rsid w:val="3B2E95DA"/>
    <w:rsid w:val="3B34E549"/>
    <w:rsid w:val="3B39BCE1"/>
    <w:rsid w:val="3B3D4922"/>
    <w:rsid w:val="3B3F1F10"/>
    <w:rsid w:val="3B485C17"/>
    <w:rsid w:val="3B49B930"/>
    <w:rsid w:val="3B4BBA7F"/>
    <w:rsid w:val="3B4D135E"/>
    <w:rsid w:val="3B57E738"/>
    <w:rsid w:val="3B5A1484"/>
    <w:rsid w:val="3B693319"/>
    <w:rsid w:val="3B7A3254"/>
    <w:rsid w:val="3B7B8BD2"/>
    <w:rsid w:val="3B806C0F"/>
    <w:rsid w:val="3B877F9C"/>
    <w:rsid w:val="3B8E4C86"/>
    <w:rsid w:val="3B8F0F50"/>
    <w:rsid w:val="3B933D12"/>
    <w:rsid w:val="3B968645"/>
    <w:rsid w:val="3B96E46D"/>
    <w:rsid w:val="3B99770E"/>
    <w:rsid w:val="3B9D8928"/>
    <w:rsid w:val="3B9ECCC7"/>
    <w:rsid w:val="3BA167F9"/>
    <w:rsid w:val="3BB7A674"/>
    <w:rsid w:val="3BCB8CA3"/>
    <w:rsid w:val="3BCF6E00"/>
    <w:rsid w:val="3BD4C139"/>
    <w:rsid w:val="3BDA2DB6"/>
    <w:rsid w:val="3BDB5CE2"/>
    <w:rsid w:val="3BE34304"/>
    <w:rsid w:val="3BEC7EB1"/>
    <w:rsid w:val="3BF04169"/>
    <w:rsid w:val="3C0537BD"/>
    <w:rsid w:val="3C10AE7B"/>
    <w:rsid w:val="3C10D09C"/>
    <w:rsid w:val="3C13949B"/>
    <w:rsid w:val="3C14C8D3"/>
    <w:rsid w:val="3C1B3CBC"/>
    <w:rsid w:val="3C21FD04"/>
    <w:rsid w:val="3C27B573"/>
    <w:rsid w:val="3C27C7EB"/>
    <w:rsid w:val="3C28D7F3"/>
    <w:rsid w:val="3C30EF30"/>
    <w:rsid w:val="3C327337"/>
    <w:rsid w:val="3C32BB38"/>
    <w:rsid w:val="3C3E388E"/>
    <w:rsid w:val="3C46EF4E"/>
    <w:rsid w:val="3C472036"/>
    <w:rsid w:val="3C4EADCB"/>
    <w:rsid w:val="3C56BE08"/>
    <w:rsid w:val="3C59A51A"/>
    <w:rsid w:val="3C5B78CE"/>
    <w:rsid w:val="3C5E8909"/>
    <w:rsid w:val="3C6498D0"/>
    <w:rsid w:val="3C721267"/>
    <w:rsid w:val="3C910F90"/>
    <w:rsid w:val="3C92A11D"/>
    <w:rsid w:val="3C940666"/>
    <w:rsid w:val="3C95C7AD"/>
    <w:rsid w:val="3C9ABFA5"/>
    <w:rsid w:val="3C9B1F7A"/>
    <w:rsid w:val="3CA56D64"/>
    <w:rsid w:val="3CA629DC"/>
    <w:rsid w:val="3CB43F29"/>
    <w:rsid w:val="3CB84B4B"/>
    <w:rsid w:val="3CBAF5BF"/>
    <w:rsid w:val="3CC0B1AA"/>
    <w:rsid w:val="3CC1134D"/>
    <w:rsid w:val="3CC385FF"/>
    <w:rsid w:val="3CD05C7A"/>
    <w:rsid w:val="3CD561F9"/>
    <w:rsid w:val="3CD6EC56"/>
    <w:rsid w:val="3CD8813E"/>
    <w:rsid w:val="3CD89A56"/>
    <w:rsid w:val="3CDC390D"/>
    <w:rsid w:val="3CDE4486"/>
    <w:rsid w:val="3CE427C0"/>
    <w:rsid w:val="3CE49F2B"/>
    <w:rsid w:val="3CE4ECA4"/>
    <w:rsid w:val="3CE53DCC"/>
    <w:rsid w:val="3CE6AABF"/>
    <w:rsid w:val="3CEB94B2"/>
    <w:rsid w:val="3CED8418"/>
    <w:rsid w:val="3CEE47D6"/>
    <w:rsid w:val="3CFDEDB0"/>
    <w:rsid w:val="3D01A218"/>
    <w:rsid w:val="3D0B951C"/>
    <w:rsid w:val="3D11B13E"/>
    <w:rsid w:val="3D1DB723"/>
    <w:rsid w:val="3D202447"/>
    <w:rsid w:val="3D23B055"/>
    <w:rsid w:val="3D31D3C7"/>
    <w:rsid w:val="3D3A6A42"/>
    <w:rsid w:val="3D425A93"/>
    <w:rsid w:val="3D440CB9"/>
    <w:rsid w:val="3D440FC1"/>
    <w:rsid w:val="3D5303DC"/>
    <w:rsid w:val="3D5405BA"/>
    <w:rsid w:val="3D548AF2"/>
    <w:rsid w:val="3D5D3A5F"/>
    <w:rsid w:val="3D5FEE37"/>
    <w:rsid w:val="3D69EE6D"/>
    <w:rsid w:val="3D6E6B23"/>
    <w:rsid w:val="3D75CD62"/>
    <w:rsid w:val="3D7789CB"/>
    <w:rsid w:val="3D7AF5C2"/>
    <w:rsid w:val="3D7FC96C"/>
    <w:rsid w:val="3D856DE7"/>
    <w:rsid w:val="3D87CCDE"/>
    <w:rsid w:val="3D88A000"/>
    <w:rsid w:val="3D95F3E4"/>
    <w:rsid w:val="3D9B4514"/>
    <w:rsid w:val="3D9B6C4C"/>
    <w:rsid w:val="3D9DEAB4"/>
    <w:rsid w:val="3DAA9337"/>
    <w:rsid w:val="3DAAFBF3"/>
    <w:rsid w:val="3DAC4500"/>
    <w:rsid w:val="3DAC8FE6"/>
    <w:rsid w:val="3DAEF32D"/>
    <w:rsid w:val="3DB333D8"/>
    <w:rsid w:val="3DB4CD5E"/>
    <w:rsid w:val="3DBAF351"/>
    <w:rsid w:val="3DBC5734"/>
    <w:rsid w:val="3DCD9BFF"/>
    <w:rsid w:val="3DCFDBB7"/>
    <w:rsid w:val="3DD12D86"/>
    <w:rsid w:val="3DD3C3E9"/>
    <w:rsid w:val="3DD465AD"/>
    <w:rsid w:val="3DDACE28"/>
    <w:rsid w:val="3DDB1B16"/>
    <w:rsid w:val="3DE087E7"/>
    <w:rsid w:val="3DE0FE9C"/>
    <w:rsid w:val="3DE6E143"/>
    <w:rsid w:val="3DE78A0D"/>
    <w:rsid w:val="3DE942EE"/>
    <w:rsid w:val="3DF61D18"/>
    <w:rsid w:val="3DF7D09D"/>
    <w:rsid w:val="3DFB7F31"/>
    <w:rsid w:val="3DFE7686"/>
    <w:rsid w:val="3E13C051"/>
    <w:rsid w:val="3E160EEB"/>
    <w:rsid w:val="3E16EAFA"/>
    <w:rsid w:val="3E247467"/>
    <w:rsid w:val="3E27D0C2"/>
    <w:rsid w:val="3E2A0F96"/>
    <w:rsid w:val="3E32D5F4"/>
    <w:rsid w:val="3E345B7C"/>
    <w:rsid w:val="3E352D32"/>
    <w:rsid w:val="3E352EBF"/>
    <w:rsid w:val="3E39E28D"/>
    <w:rsid w:val="3E42F086"/>
    <w:rsid w:val="3E4613ED"/>
    <w:rsid w:val="3E480ED0"/>
    <w:rsid w:val="3E4BCAAD"/>
    <w:rsid w:val="3E536B74"/>
    <w:rsid w:val="3E5F401B"/>
    <w:rsid w:val="3E65F76E"/>
    <w:rsid w:val="3E66ED2B"/>
    <w:rsid w:val="3E6B4EF6"/>
    <w:rsid w:val="3E6F72B7"/>
    <w:rsid w:val="3E7CA64D"/>
    <w:rsid w:val="3E826E94"/>
    <w:rsid w:val="3E83E72F"/>
    <w:rsid w:val="3E8695FF"/>
    <w:rsid w:val="3E8D223F"/>
    <w:rsid w:val="3E8DAFD1"/>
    <w:rsid w:val="3E920FD1"/>
    <w:rsid w:val="3E982C4E"/>
    <w:rsid w:val="3E98D243"/>
    <w:rsid w:val="3E9F2034"/>
    <w:rsid w:val="3EAA7563"/>
    <w:rsid w:val="3EAB836B"/>
    <w:rsid w:val="3EAE2186"/>
    <w:rsid w:val="3EB08BE2"/>
    <w:rsid w:val="3EB1DAC7"/>
    <w:rsid w:val="3EBB9197"/>
    <w:rsid w:val="3EBD053C"/>
    <w:rsid w:val="3ED90E82"/>
    <w:rsid w:val="3EDAC8A9"/>
    <w:rsid w:val="3EDC1273"/>
    <w:rsid w:val="3EF5EEFD"/>
    <w:rsid w:val="3EFF4DAA"/>
    <w:rsid w:val="3F025913"/>
    <w:rsid w:val="3F0666FE"/>
    <w:rsid w:val="3F08A46C"/>
    <w:rsid w:val="3F1B502F"/>
    <w:rsid w:val="3F1BE84A"/>
    <w:rsid w:val="3F265E0B"/>
    <w:rsid w:val="3F28FC6E"/>
    <w:rsid w:val="3F29A004"/>
    <w:rsid w:val="3F2BF3E5"/>
    <w:rsid w:val="3F2DB517"/>
    <w:rsid w:val="3F30BA9E"/>
    <w:rsid w:val="3F393A06"/>
    <w:rsid w:val="3F51B0C2"/>
    <w:rsid w:val="3F51F5BC"/>
    <w:rsid w:val="3F58D9A1"/>
    <w:rsid w:val="3F59B4CF"/>
    <w:rsid w:val="3F68E14B"/>
    <w:rsid w:val="3F6F3DAC"/>
    <w:rsid w:val="3F7FA80F"/>
    <w:rsid w:val="3F826A32"/>
    <w:rsid w:val="3F87D259"/>
    <w:rsid w:val="3F8AEBA4"/>
    <w:rsid w:val="3FA1842F"/>
    <w:rsid w:val="3FA555D5"/>
    <w:rsid w:val="3FAAFE01"/>
    <w:rsid w:val="3FB4BA0D"/>
    <w:rsid w:val="3FB622E7"/>
    <w:rsid w:val="3FCC6801"/>
    <w:rsid w:val="3FD0EC91"/>
    <w:rsid w:val="3FD3C4A3"/>
    <w:rsid w:val="3FD3F734"/>
    <w:rsid w:val="3FD4C302"/>
    <w:rsid w:val="3FD606C4"/>
    <w:rsid w:val="3FDAF35C"/>
    <w:rsid w:val="3FE1DD21"/>
    <w:rsid w:val="3FE8156D"/>
    <w:rsid w:val="3FE9BA37"/>
    <w:rsid w:val="3FF83E1D"/>
    <w:rsid w:val="3FFBD514"/>
    <w:rsid w:val="40007F82"/>
    <w:rsid w:val="400082AC"/>
    <w:rsid w:val="4001EC70"/>
    <w:rsid w:val="4003C8C5"/>
    <w:rsid w:val="400A0018"/>
    <w:rsid w:val="400FBB00"/>
    <w:rsid w:val="401403FF"/>
    <w:rsid w:val="40174098"/>
    <w:rsid w:val="401811CA"/>
    <w:rsid w:val="401DFFA7"/>
    <w:rsid w:val="401FD6D9"/>
    <w:rsid w:val="40207583"/>
    <w:rsid w:val="4027A7F7"/>
    <w:rsid w:val="402C03D2"/>
    <w:rsid w:val="4033611D"/>
    <w:rsid w:val="4033B0A4"/>
    <w:rsid w:val="40371FD1"/>
    <w:rsid w:val="4046A99B"/>
    <w:rsid w:val="404F399A"/>
    <w:rsid w:val="40549A7E"/>
    <w:rsid w:val="40624F72"/>
    <w:rsid w:val="4064AB13"/>
    <w:rsid w:val="40704F05"/>
    <w:rsid w:val="4071442A"/>
    <w:rsid w:val="40725023"/>
    <w:rsid w:val="407E6D83"/>
    <w:rsid w:val="407F774E"/>
    <w:rsid w:val="4085B621"/>
    <w:rsid w:val="40865405"/>
    <w:rsid w:val="40878FA8"/>
    <w:rsid w:val="40879CFB"/>
    <w:rsid w:val="4089B872"/>
    <w:rsid w:val="408BEE48"/>
    <w:rsid w:val="408CAAB6"/>
    <w:rsid w:val="408D5358"/>
    <w:rsid w:val="40969BEA"/>
    <w:rsid w:val="40A1C926"/>
    <w:rsid w:val="40A28A64"/>
    <w:rsid w:val="40A472E9"/>
    <w:rsid w:val="40A771B2"/>
    <w:rsid w:val="40B9F00C"/>
    <w:rsid w:val="40C0B341"/>
    <w:rsid w:val="40C13748"/>
    <w:rsid w:val="40C782CC"/>
    <w:rsid w:val="40CDF543"/>
    <w:rsid w:val="40D54D03"/>
    <w:rsid w:val="40D81E68"/>
    <w:rsid w:val="40E1AC5E"/>
    <w:rsid w:val="40EDCB5B"/>
    <w:rsid w:val="40F57D7A"/>
    <w:rsid w:val="40F8B5C1"/>
    <w:rsid w:val="40FCA6D6"/>
    <w:rsid w:val="40FF67D8"/>
    <w:rsid w:val="410BB0A2"/>
    <w:rsid w:val="41185EEF"/>
    <w:rsid w:val="411EDB2C"/>
    <w:rsid w:val="4132A0A2"/>
    <w:rsid w:val="4138787B"/>
    <w:rsid w:val="41410946"/>
    <w:rsid w:val="414142E4"/>
    <w:rsid w:val="4151CA5F"/>
    <w:rsid w:val="415725FB"/>
    <w:rsid w:val="415D6C4E"/>
    <w:rsid w:val="41648081"/>
    <w:rsid w:val="416AB66D"/>
    <w:rsid w:val="416B3B11"/>
    <w:rsid w:val="416DEE58"/>
    <w:rsid w:val="416E75A3"/>
    <w:rsid w:val="41844279"/>
    <w:rsid w:val="4188F77D"/>
    <w:rsid w:val="41932E01"/>
    <w:rsid w:val="4194AC9C"/>
    <w:rsid w:val="419E3290"/>
    <w:rsid w:val="41A0926F"/>
    <w:rsid w:val="41A3C802"/>
    <w:rsid w:val="41AB076D"/>
    <w:rsid w:val="41AB997E"/>
    <w:rsid w:val="41B0E23B"/>
    <w:rsid w:val="41B96AA1"/>
    <w:rsid w:val="41BA35A9"/>
    <w:rsid w:val="41BAE7A9"/>
    <w:rsid w:val="41BD8E48"/>
    <w:rsid w:val="41C232AB"/>
    <w:rsid w:val="41C9CB0B"/>
    <w:rsid w:val="41CE58FA"/>
    <w:rsid w:val="41D1741E"/>
    <w:rsid w:val="41D2C5F2"/>
    <w:rsid w:val="41D7C3B3"/>
    <w:rsid w:val="41D7FD7F"/>
    <w:rsid w:val="41DDC4AB"/>
    <w:rsid w:val="41DEF869"/>
    <w:rsid w:val="41E29BC5"/>
    <w:rsid w:val="41E63275"/>
    <w:rsid w:val="41E69E52"/>
    <w:rsid w:val="41EB8E14"/>
    <w:rsid w:val="41EBEB46"/>
    <w:rsid w:val="41F51A2C"/>
    <w:rsid w:val="41FBCCE2"/>
    <w:rsid w:val="4210F225"/>
    <w:rsid w:val="42147D63"/>
    <w:rsid w:val="4218E6A5"/>
    <w:rsid w:val="421946E9"/>
    <w:rsid w:val="421CE142"/>
    <w:rsid w:val="422743D6"/>
    <w:rsid w:val="422A7A00"/>
    <w:rsid w:val="422C6A28"/>
    <w:rsid w:val="42334D71"/>
    <w:rsid w:val="42342627"/>
    <w:rsid w:val="42354AEA"/>
    <w:rsid w:val="423BDD98"/>
    <w:rsid w:val="4241FCB5"/>
    <w:rsid w:val="42513232"/>
    <w:rsid w:val="42573335"/>
    <w:rsid w:val="425E9D9C"/>
    <w:rsid w:val="42650BCA"/>
    <w:rsid w:val="4269E2B1"/>
    <w:rsid w:val="426A2FC4"/>
    <w:rsid w:val="42731BFB"/>
    <w:rsid w:val="42733E22"/>
    <w:rsid w:val="4274FA0F"/>
    <w:rsid w:val="427FAC84"/>
    <w:rsid w:val="42813D6A"/>
    <w:rsid w:val="4283F45D"/>
    <w:rsid w:val="428BE4A3"/>
    <w:rsid w:val="4295CA79"/>
    <w:rsid w:val="4296771C"/>
    <w:rsid w:val="42A371B6"/>
    <w:rsid w:val="42A4995F"/>
    <w:rsid w:val="42A718C7"/>
    <w:rsid w:val="42A9B894"/>
    <w:rsid w:val="42B268B1"/>
    <w:rsid w:val="42B7A7E4"/>
    <w:rsid w:val="42C625CD"/>
    <w:rsid w:val="42CF80C8"/>
    <w:rsid w:val="42D113FF"/>
    <w:rsid w:val="42D1CE28"/>
    <w:rsid w:val="42D20DD7"/>
    <w:rsid w:val="42D43005"/>
    <w:rsid w:val="42E9353A"/>
    <w:rsid w:val="42F2BF90"/>
    <w:rsid w:val="42FA12F2"/>
    <w:rsid w:val="42FBD883"/>
    <w:rsid w:val="42FCB32D"/>
    <w:rsid w:val="430A21AE"/>
    <w:rsid w:val="430C5058"/>
    <w:rsid w:val="4310DBC7"/>
    <w:rsid w:val="431D8554"/>
    <w:rsid w:val="431E8324"/>
    <w:rsid w:val="432116C9"/>
    <w:rsid w:val="4329C009"/>
    <w:rsid w:val="432C8F27"/>
    <w:rsid w:val="432CCBE4"/>
    <w:rsid w:val="4333AE89"/>
    <w:rsid w:val="433BDECB"/>
    <w:rsid w:val="4343B361"/>
    <w:rsid w:val="43471741"/>
    <w:rsid w:val="43479CED"/>
    <w:rsid w:val="43541FD8"/>
    <w:rsid w:val="435B4C29"/>
    <w:rsid w:val="436C1FAC"/>
    <w:rsid w:val="43712247"/>
    <w:rsid w:val="437824E6"/>
    <w:rsid w:val="4379748B"/>
    <w:rsid w:val="4380F062"/>
    <w:rsid w:val="43880BC8"/>
    <w:rsid w:val="4390CF3A"/>
    <w:rsid w:val="4396AF3B"/>
    <w:rsid w:val="4399C0CD"/>
    <w:rsid w:val="4399E688"/>
    <w:rsid w:val="439C02C4"/>
    <w:rsid w:val="439CF415"/>
    <w:rsid w:val="43A5CD42"/>
    <w:rsid w:val="43A6C7B2"/>
    <w:rsid w:val="43A93AA7"/>
    <w:rsid w:val="43A97A88"/>
    <w:rsid w:val="43B0262D"/>
    <w:rsid w:val="43BA96CD"/>
    <w:rsid w:val="43C1CC1C"/>
    <w:rsid w:val="43CD016C"/>
    <w:rsid w:val="43D438C6"/>
    <w:rsid w:val="43E11164"/>
    <w:rsid w:val="43EFD206"/>
    <w:rsid w:val="43FC255B"/>
    <w:rsid w:val="43FD0113"/>
    <w:rsid w:val="4400B2F2"/>
    <w:rsid w:val="4405ABCF"/>
    <w:rsid w:val="440BC4B1"/>
    <w:rsid w:val="440EAA64"/>
    <w:rsid w:val="44191F2D"/>
    <w:rsid w:val="4426EA99"/>
    <w:rsid w:val="442AE790"/>
    <w:rsid w:val="4430A6BC"/>
    <w:rsid w:val="4437D7D5"/>
    <w:rsid w:val="443E9163"/>
    <w:rsid w:val="443EE7C8"/>
    <w:rsid w:val="44412125"/>
    <w:rsid w:val="44486DC4"/>
    <w:rsid w:val="444D5CD4"/>
    <w:rsid w:val="44577F2C"/>
    <w:rsid w:val="445956F7"/>
    <w:rsid w:val="446192F8"/>
    <w:rsid w:val="4464FCE3"/>
    <w:rsid w:val="4465D841"/>
    <w:rsid w:val="44673163"/>
    <w:rsid w:val="4469ABF8"/>
    <w:rsid w:val="446A4805"/>
    <w:rsid w:val="446EDA9F"/>
    <w:rsid w:val="4470C932"/>
    <w:rsid w:val="4475A7C1"/>
    <w:rsid w:val="447D4F55"/>
    <w:rsid w:val="44884DDE"/>
    <w:rsid w:val="448DF2F2"/>
    <w:rsid w:val="44948276"/>
    <w:rsid w:val="449BACF3"/>
    <w:rsid w:val="449C1B79"/>
    <w:rsid w:val="44A12F6B"/>
    <w:rsid w:val="44A32922"/>
    <w:rsid w:val="44A7BBD7"/>
    <w:rsid w:val="44AD6589"/>
    <w:rsid w:val="44B33D27"/>
    <w:rsid w:val="44B6CFAF"/>
    <w:rsid w:val="44CA25C7"/>
    <w:rsid w:val="44CD2D93"/>
    <w:rsid w:val="44CE1FAB"/>
    <w:rsid w:val="44D4B71A"/>
    <w:rsid w:val="44DC4F5A"/>
    <w:rsid w:val="44DCF920"/>
    <w:rsid w:val="44E56A0C"/>
    <w:rsid w:val="44E59483"/>
    <w:rsid w:val="44EA3F93"/>
    <w:rsid w:val="44EF587E"/>
    <w:rsid w:val="44F21A5E"/>
    <w:rsid w:val="44F5E79A"/>
    <w:rsid w:val="44F8C41E"/>
    <w:rsid w:val="44F8CC81"/>
    <w:rsid w:val="45053189"/>
    <w:rsid w:val="4507946B"/>
    <w:rsid w:val="4507F107"/>
    <w:rsid w:val="45085ADC"/>
    <w:rsid w:val="4510A0BD"/>
    <w:rsid w:val="45166A93"/>
    <w:rsid w:val="451CAC08"/>
    <w:rsid w:val="4520B184"/>
    <w:rsid w:val="45274768"/>
    <w:rsid w:val="452F7AE4"/>
    <w:rsid w:val="4530C8F7"/>
    <w:rsid w:val="45386070"/>
    <w:rsid w:val="453EBEE6"/>
    <w:rsid w:val="454187E9"/>
    <w:rsid w:val="4552B850"/>
    <w:rsid w:val="4554441D"/>
    <w:rsid w:val="4554A94E"/>
    <w:rsid w:val="455E264E"/>
    <w:rsid w:val="45644D59"/>
    <w:rsid w:val="456664E6"/>
    <w:rsid w:val="45706203"/>
    <w:rsid w:val="457AB1DB"/>
    <w:rsid w:val="457B6C6C"/>
    <w:rsid w:val="457DA32B"/>
    <w:rsid w:val="457E16C2"/>
    <w:rsid w:val="45800928"/>
    <w:rsid w:val="45909A29"/>
    <w:rsid w:val="4593C3BA"/>
    <w:rsid w:val="4594D70B"/>
    <w:rsid w:val="459825F0"/>
    <w:rsid w:val="459E17B3"/>
    <w:rsid w:val="45A76055"/>
    <w:rsid w:val="45AC96D7"/>
    <w:rsid w:val="45B4980C"/>
    <w:rsid w:val="45B49C0A"/>
    <w:rsid w:val="45BA132F"/>
    <w:rsid w:val="45BB8361"/>
    <w:rsid w:val="45BFEB78"/>
    <w:rsid w:val="45C933F8"/>
    <w:rsid w:val="45CBB308"/>
    <w:rsid w:val="45CC8CB7"/>
    <w:rsid w:val="45CCE3C5"/>
    <w:rsid w:val="45CF514B"/>
    <w:rsid w:val="45D36A88"/>
    <w:rsid w:val="45D600F3"/>
    <w:rsid w:val="45D75EA2"/>
    <w:rsid w:val="45DB4A82"/>
    <w:rsid w:val="45E5A254"/>
    <w:rsid w:val="45EA4C71"/>
    <w:rsid w:val="45EE0C3B"/>
    <w:rsid w:val="45EFE4DE"/>
    <w:rsid w:val="45F32E12"/>
    <w:rsid w:val="45F3D031"/>
    <w:rsid w:val="45F420B0"/>
    <w:rsid w:val="45F9DD3A"/>
    <w:rsid w:val="45FBA7B6"/>
    <w:rsid w:val="45FD55D0"/>
    <w:rsid w:val="4600DD68"/>
    <w:rsid w:val="46089E52"/>
    <w:rsid w:val="460DBA3D"/>
    <w:rsid w:val="46103E8C"/>
    <w:rsid w:val="46116832"/>
    <w:rsid w:val="461F33E2"/>
    <w:rsid w:val="4620041A"/>
    <w:rsid w:val="4623B92B"/>
    <w:rsid w:val="46246260"/>
    <w:rsid w:val="4635224B"/>
    <w:rsid w:val="4636CAEB"/>
    <w:rsid w:val="463B8BF7"/>
    <w:rsid w:val="46495281"/>
    <w:rsid w:val="464AE5EA"/>
    <w:rsid w:val="464E160E"/>
    <w:rsid w:val="465E83CC"/>
    <w:rsid w:val="4660F238"/>
    <w:rsid w:val="4665CA72"/>
    <w:rsid w:val="46667EDB"/>
    <w:rsid w:val="4674576A"/>
    <w:rsid w:val="46785BD7"/>
    <w:rsid w:val="468023FB"/>
    <w:rsid w:val="46819FCE"/>
    <w:rsid w:val="468AE780"/>
    <w:rsid w:val="46990DF6"/>
    <w:rsid w:val="469E2C4D"/>
    <w:rsid w:val="46A11ABE"/>
    <w:rsid w:val="46A3DE4B"/>
    <w:rsid w:val="46A89DF1"/>
    <w:rsid w:val="46B3A536"/>
    <w:rsid w:val="46C08C95"/>
    <w:rsid w:val="46C0ED02"/>
    <w:rsid w:val="46CFA1B7"/>
    <w:rsid w:val="46DAD182"/>
    <w:rsid w:val="46E3456C"/>
    <w:rsid w:val="46F02318"/>
    <w:rsid w:val="46F21790"/>
    <w:rsid w:val="46F3B605"/>
    <w:rsid w:val="46F4E98A"/>
    <w:rsid w:val="470AC25A"/>
    <w:rsid w:val="470EA8E6"/>
    <w:rsid w:val="4716802F"/>
    <w:rsid w:val="4716B0D0"/>
    <w:rsid w:val="471F67A5"/>
    <w:rsid w:val="472060CC"/>
    <w:rsid w:val="4720D0A7"/>
    <w:rsid w:val="472363FD"/>
    <w:rsid w:val="47252880"/>
    <w:rsid w:val="472713E2"/>
    <w:rsid w:val="4727A107"/>
    <w:rsid w:val="4728985B"/>
    <w:rsid w:val="472F2D14"/>
    <w:rsid w:val="47303986"/>
    <w:rsid w:val="47375B03"/>
    <w:rsid w:val="47503265"/>
    <w:rsid w:val="475B6E0A"/>
    <w:rsid w:val="475D5ACF"/>
    <w:rsid w:val="4761229B"/>
    <w:rsid w:val="47634E2F"/>
    <w:rsid w:val="47645966"/>
    <w:rsid w:val="4776F3E8"/>
    <w:rsid w:val="47848179"/>
    <w:rsid w:val="47867F80"/>
    <w:rsid w:val="4788822F"/>
    <w:rsid w:val="47893BF0"/>
    <w:rsid w:val="4796D20E"/>
    <w:rsid w:val="4796E29F"/>
    <w:rsid w:val="47971752"/>
    <w:rsid w:val="479D7525"/>
    <w:rsid w:val="47AA7B42"/>
    <w:rsid w:val="47B36749"/>
    <w:rsid w:val="47B75F60"/>
    <w:rsid w:val="47B85D3E"/>
    <w:rsid w:val="47B9E089"/>
    <w:rsid w:val="47BB6AB1"/>
    <w:rsid w:val="47BFAA0F"/>
    <w:rsid w:val="47C45913"/>
    <w:rsid w:val="47D730E8"/>
    <w:rsid w:val="47D92A5A"/>
    <w:rsid w:val="47D9EABE"/>
    <w:rsid w:val="47DD2563"/>
    <w:rsid w:val="47E1FBEE"/>
    <w:rsid w:val="47E209FA"/>
    <w:rsid w:val="47E6852F"/>
    <w:rsid w:val="47EF02C1"/>
    <w:rsid w:val="47F33776"/>
    <w:rsid w:val="47F6FB02"/>
    <w:rsid w:val="47F80B7B"/>
    <w:rsid w:val="47FDE398"/>
    <w:rsid w:val="4802D54A"/>
    <w:rsid w:val="4813FA6A"/>
    <w:rsid w:val="4816A70C"/>
    <w:rsid w:val="481C48F1"/>
    <w:rsid w:val="4821EC72"/>
    <w:rsid w:val="4824D5AB"/>
    <w:rsid w:val="48279BBD"/>
    <w:rsid w:val="482B3C2A"/>
    <w:rsid w:val="4831699E"/>
    <w:rsid w:val="483C3E9F"/>
    <w:rsid w:val="4840B17A"/>
    <w:rsid w:val="48443F0F"/>
    <w:rsid w:val="484EBDE5"/>
    <w:rsid w:val="4852DC79"/>
    <w:rsid w:val="4854808E"/>
    <w:rsid w:val="48558FF2"/>
    <w:rsid w:val="4856404D"/>
    <w:rsid w:val="48564853"/>
    <w:rsid w:val="4865914D"/>
    <w:rsid w:val="48783573"/>
    <w:rsid w:val="48784E8A"/>
    <w:rsid w:val="4879B3B2"/>
    <w:rsid w:val="487A5AB3"/>
    <w:rsid w:val="487CA889"/>
    <w:rsid w:val="4880600D"/>
    <w:rsid w:val="4882F5E9"/>
    <w:rsid w:val="488797B8"/>
    <w:rsid w:val="4897FE65"/>
    <w:rsid w:val="489C438D"/>
    <w:rsid w:val="48A600AC"/>
    <w:rsid w:val="48A879FC"/>
    <w:rsid w:val="48AD0A42"/>
    <w:rsid w:val="48BF97DD"/>
    <w:rsid w:val="48C08F3B"/>
    <w:rsid w:val="48C68D76"/>
    <w:rsid w:val="48CD1502"/>
    <w:rsid w:val="48D4DDEA"/>
    <w:rsid w:val="48D6417A"/>
    <w:rsid w:val="48F3533C"/>
    <w:rsid w:val="48F6BB2F"/>
    <w:rsid w:val="48F78925"/>
    <w:rsid w:val="48FC9B0A"/>
    <w:rsid w:val="48FD7271"/>
    <w:rsid w:val="48FDBB8E"/>
    <w:rsid w:val="49081B32"/>
    <w:rsid w:val="4918A698"/>
    <w:rsid w:val="4919BC7D"/>
    <w:rsid w:val="491C8307"/>
    <w:rsid w:val="491F0073"/>
    <w:rsid w:val="4929F2CC"/>
    <w:rsid w:val="492EAC3D"/>
    <w:rsid w:val="492FE96D"/>
    <w:rsid w:val="493C9BFE"/>
    <w:rsid w:val="49495EA7"/>
    <w:rsid w:val="4953CD36"/>
    <w:rsid w:val="4954BBEF"/>
    <w:rsid w:val="4957453D"/>
    <w:rsid w:val="49574A2E"/>
    <w:rsid w:val="49577B9F"/>
    <w:rsid w:val="495C4C45"/>
    <w:rsid w:val="496D3720"/>
    <w:rsid w:val="497E7B10"/>
    <w:rsid w:val="497EBAAE"/>
    <w:rsid w:val="498293A8"/>
    <w:rsid w:val="49900BEF"/>
    <w:rsid w:val="499D4AA8"/>
    <w:rsid w:val="49B8EDF0"/>
    <w:rsid w:val="49BF83BB"/>
    <w:rsid w:val="49C9F223"/>
    <w:rsid w:val="49E02910"/>
    <w:rsid w:val="49E2CD0B"/>
    <w:rsid w:val="49E411AB"/>
    <w:rsid w:val="49EDB3BF"/>
    <w:rsid w:val="49F8B628"/>
    <w:rsid w:val="4A07FEDC"/>
    <w:rsid w:val="4A0B9824"/>
    <w:rsid w:val="4A0CB55F"/>
    <w:rsid w:val="4A0E5D78"/>
    <w:rsid w:val="4A125A23"/>
    <w:rsid w:val="4A18E451"/>
    <w:rsid w:val="4A260DE7"/>
    <w:rsid w:val="4A2A8677"/>
    <w:rsid w:val="4A325D53"/>
    <w:rsid w:val="4A35EE20"/>
    <w:rsid w:val="4A3A4D04"/>
    <w:rsid w:val="4A4CF40D"/>
    <w:rsid w:val="4A4D5B8B"/>
    <w:rsid w:val="4A4E4C31"/>
    <w:rsid w:val="4A5198B7"/>
    <w:rsid w:val="4A52768D"/>
    <w:rsid w:val="4A5299AF"/>
    <w:rsid w:val="4A5413A3"/>
    <w:rsid w:val="4A64E2E6"/>
    <w:rsid w:val="4A6C7B2B"/>
    <w:rsid w:val="4A70BA0C"/>
    <w:rsid w:val="4A7114D7"/>
    <w:rsid w:val="4A7343F1"/>
    <w:rsid w:val="4A7EFA3B"/>
    <w:rsid w:val="4A81D440"/>
    <w:rsid w:val="4A86C814"/>
    <w:rsid w:val="4A8A681C"/>
    <w:rsid w:val="4A8CD5E0"/>
    <w:rsid w:val="4A95D273"/>
    <w:rsid w:val="4A95E640"/>
    <w:rsid w:val="4A95F220"/>
    <w:rsid w:val="4A9B6465"/>
    <w:rsid w:val="4A9CD9E6"/>
    <w:rsid w:val="4AA5CEE4"/>
    <w:rsid w:val="4AA7B664"/>
    <w:rsid w:val="4AAA0ED3"/>
    <w:rsid w:val="4AC5128B"/>
    <w:rsid w:val="4AC8A933"/>
    <w:rsid w:val="4ADA9841"/>
    <w:rsid w:val="4AED6FAC"/>
    <w:rsid w:val="4B09D95A"/>
    <w:rsid w:val="4B0C7243"/>
    <w:rsid w:val="4B11C3E8"/>
    <w:rsid w:val="4B176C63"/>
    <w:rsid w:val="4B179235"/>
    <w:rsid w:val="4B20F8A3"/>
    <w:rsid w:val="4B264AE8"/>
    <w:rsid w:val="4B2C1819"/>
    <w:rsid w:val="4B39AF26"/>
    <w:rsid w:val="4B49ED75"/>
    <w:rsid w:val="4B4A0FBE"/>
    <w:rsid w:val="4B4CB9BC"/>
    <w:rsid w:val="4B689E0D"/>
    <w:rsid w:val="4B6EBDB0"/>
    <w:rsid w:val="4B7917CC"/>
    <w:rsid w:val="4B7D99AD"/>
    <w:rsid w:val="4B7E4349"/>
    <w:rsid w:val="4B8BCD96"/>
    <w:rsid w:val="4B8C98E5"/>
    <w:rsid w:val="4B8E923B"/>
    <w:rsid w:val="4B9BC83B"/>
    <w:rsid w:val="4BCEF0EF"/>
    <w:rsid w:val="4BD08197"/>
    <w:rsid w:val="4BD2B5F0"/>
    <w:rsid w:val="4BD5580A"/>
    <w:rsid w:val="4BDB281B"/>
    <w:rsid w:val="4BDB3260"/>
    <w:rsid w:val="4BE4B533"/>
    <w:rsid w:val="4BEDB6F7"/>
    <w:rsid w:val="4BF41633"/>
    <w:rsid w:val="4BF47CE5"/>
    <w:rsid w:val="4BF5F3B0"/>
    <w:rsid w:val="4C00105D"/>
    <w:rsid w:val="4C00610E"/>
    <w:rsid w:val="4C0148C7"/>
    <w:rsid w:val="4C04C715"/>
    <w:rsid w:val="4C06F2BD"/>
    <w:rsid w:val="4C1000D1"/>
    <w:rsid w:val="4C152315"/>
    <w:rsid w:val="4C162F20"/>
    <w:rsid w:val="4C1B3CCF"/>
    <w:rsid w:val="4C1CB1CD"/>
    <w:rsid w:val="4C1D234A"/>
    <w:rsid w:val="4C21A951"/>
    <w:rsid w:val="4C2C2A1A"/>
    <w:rsid w:val="4C45B456"/>
    <w:rsid w:val="4C4AAB58"/>
    <w:rsid w:val="4C4FC6DC"/>
    <w:rsid w:val="4C5711D1"/>
    <w:rsid w:val="4C6D7D70"/>
    <w:rsid w:val="4C77BFF0"/>
    <w:rsid w:val="4C9B2D49"/>
    <w:rsid w:val="4C9DBAC5"/>
    <w:rsid w:val="4CA4381C"/>
    <w:rsid w:val="4CA4E621"/>
    <w:rsid w:val="4CA7E135"/>
    <w:rsid w:val="4CB1C7F1"/>
    <w:rsid w:val="4CB5FCB8"/>
    <w:rsid w:val="4CB914DD"/>
    <w:rsid w:val="4CD804B3"/>
    <w:rsid w:val="4CDE5FF5"/>
    <w:rsid w:val="4CE50E85"/>
    <w:rsid w:val="4CE96510"/>
    <w:rsid w:val="4CED45E8"/>
    <w:rsid w:val="4CEEEC54"/>
    <w:rsid w:val="4CFF62DB"/>
    <w:rsid w:val="4D061E6D"/>
    <w:rsid w:val="4D0772D3"/>
    <w:rsid w:val="4D0CDDC1"/>
    <w:rsid w:val="4D10209C"/>
    <w:rsid w:val="4D1062EB"/>
    <w:rsid w:val="4D1F0072"/>
    <w:rsid w:val="4D272987"/>
    <w:rsid w:val="4D284EC0"/>
    <w:rsid w:val="4D2900ED"/>
    <w:rsid w:val="4D2D1C55"/>
    <w:rsid w:val="4D338443"/>
    <w:rsid w:val="4D36B037"/>
    <w:rsid w:val="4D393695"/>
    <w:rsid w:val="4D4082C9"/>
    <w:rsid w:val="4D510A9F"/>
    <w:rsid w:val="4D5F8A0C"/>
    <w:rsid w:val="4D643771"/>
    <w:rsid w:val="4D76A386"/>
    <w:rsid w:val="4D7A77C3"/>
    <w:rsid w:val="4D7B8CFA"/>
    <w:rsid w:val="4D7E203B"/>
    <w:rsid w:val="4D87C175"/>
    <w:rsid w:val="4D8C3024"/>
    <w:rsid w:val="4DA4C577"/>
    <w:rsid w:val="4DABAF93"/>
    <w:rsid w:val="4DAD04CB"/>
    <w:rsid w:val="4DAD26EE"/>
    <w:rsid w:val="4DB16A73"/>
    <w:rsid w:val="4DB5578A"/>
    <w:rsid w:val="4DB9DACB"/>
    <w:rsid w:val="4DBD228C"/>
    <w:rsid w:val="4DDC437A"/>
    <w:rsid w:val="4DE3E1DC"/>
    <w:rsid w:val="4DEB7BE1"/>
    <w:rsid w:val="4DF98B1B"/>
    <w:rsid w:val="4DFE7CFB"/>
    <w:rsid w:val="4E01563E"/>
    <w:rsid w:val="4E0301CA"/>
    <w:rsid w:val="4E074D8D"/>
    <w:rsid w:val="4E0774F4"/>
    <w:rsid w:val="4E0E7091"/>
    <w:rsid w:val="4E1683CA"/>
    <w:rsid w:val="4E19E536"/>
    <w:rsid w:val="4E2D9396"/>
    <w:rsid w:val="4E3BFFDA"/>
    <w:rsid w:val="4E4489F4"/>
    <w:rsid w:val="4E4A1D2B"/>
    <w:rsid w:val="4E57266C"/>
    <w:rsid w:val="4E57994F"/>
    <w:rsid w:val="4E5CD1D0"/>
    <w:rsid w:val="4E6A4ED9"/>
    <w:rsid w:val="4E6ACC39"/>
    <w:rsid w:val="4E708A79"/>
    <w:rsid w:val="4E79EC27"/>
    <w:rsid w:val="4E7F5132"/>
    <w:rsid w:val="4E824307"/>
    <w:rsid w:val="4E87CD09"/>
    <w:rsid w:val="4E9427B2"/>
    <w:rsid w:val="4E9884F5"/>
    <w:rsid w:val="4E99B34E"/>
    <w:rsid w:val="4E9D66B2"/>
    <w:rsid w:val="4E9D92C5"/>
    <w:rsid w:val="4E9FBBFE"/>
    <w:rsid w:val="4EA05CBE"/>
    <w:rsid w:val="4EA8A6D4"/>
    <w:rsid w:val="4EB4D60C"/>
    <w:rsid w:val="4EB89AEB"/>
    <w:rsid w:val="4EB91080"/>
    <w:rsid w:val="4EBB38EA"/>
    <w:rsid w:val="4ED120AC"/>
    <w:rsid w:val="4ED449AE"/>
    <w:rsid w:val="4ED4A0AB"/>
    <w:rsid w:val="4ED9FBB4"/>
    <w:rsid w:val="4EDA34F8"/>
    <w:rsid w:val="4EE3660F"/>
    <w:rsid w:val="4EE432A9"/>
    <w:rsid w:val="4EE95DD8"/>
    <w:rsid w:val="4F03838A"/>
    <w:rsid w:val="4F058BBE"/>
    <w:rsid w:val="4F09420E"/>
    <w:rsid w:val="4F0BBB8E"/>
    <w:rsid w:val="4F0E7937"/>
    <w:rsid w:val="4F13729C"/>
    <w:rsid w:val="4F2E7A10"/>
    <w:rsid w:val="4F36567D"/>
    <w:rsid w:val="4F38B9F0"/>
    <w:rsid w:val="4F394EC2"/>
    <w:rsid w:val="4F3DAE11"/>
    <w:rsid w:val="4F3DBD43"/>
    <w:rsid w:val="4F45CD69"/>
    <w:rsid w:val="4F47DD13"/>
    <w:rsid w:val="4F4F1546"/>
    <w:rsid w:val="4F4F2D94"/>
    <w:rsid w:val="4F503480"/>
    <w:rsid w:val="4F53B466"/>
    <w:rsid w:val="4F53D9FE"/>
    <w:rsid w:val="4F5BA3F4"/>
    <w:rsid w:val="4F656760"/>
    <w:rsid w:val="4F6E550D"/>
    <w:rsid w:val="4F6F0113"/>
    <w:rsid w:val="4F7090A6"/>
    <w:rsid w:val="4F78CDE4"/>
    <w:rsid w:val="4F837B4A"/>
    <w:rsid w:val="4F8E4665"/>
    <w:rsid w:val="4F8EA7F9"/>
    <w:rsid w:val="4F8EC044"/>
    <w:rsid w:val="4F959654"/>
    <w:rsid w:val="4F9685E8"/>
    <w:rsid w:val="4FAA051C"/>
    <w:rsid w:val="4FAA4504"/>
    <w:rsid w:val="4FAAC084"/>
    <w:rsid w:val="4FACB122"/>
    <w:rsid w:val="4FB5EF6C"/>
    <w:rsid w:val="4FB682CD"/>
    <w:rsid w:val="4FC1EC6C"/>
    <w:rsid w:val="4FC6C9EA"/>
    <w:rsid w:val="4FCBF5F8"/>
    <w:rsid w:val="4FCF9EB7"/>
    <w:rsid w:val="4FD00281"/>
    <w:rsid w:val="4FD0CDAF"/>
    <w:rsid w:val="4FD11309"/>
    <w:rsid w:val="4FD32C30"/>
    <w:rsid w:val="4FD473B0"/>
    <w:rsid w:val="4FD579CB"/>
    <w:rsid w:val="4FD811A4"/>
    <w:rsid w:val="4FDC4FAC"/>
    <w:rsid w:val="4FE1787D"/>
    <w:rsid w:val="4FE58B64"/>
    <w:rsid w:val="4FE5944F"/>
    <w:rsid w:val="4FE86C5B"/>
    <w:rsid w:val="4FEC75ED"/>
    <w:rsid w:val="4FECADA3"/>
    <w:rsid w:val="4FECB3AD"/>
    <w:rsid w:val="4FF7CC80"/>
    <w:rsid w:val="4FF7CECE"/>
    <w:rsid w:val="4FFDA2F8"/>
    <w:rsid w:val="4FFE1BC7"/>
    <w:rsid w:val="4FFE3450"/>
    <w:rsid w:val="50016854"/>
    <w:rsid w:val="50020662"/>
    <w:rsid w:val="500242A2"/>
    <w:rsid w:val="50040C2F"/>
    <w:rsid w:val="5006E0F9"/>
    <w:rsid w:val="5010A1FC"/>
    <w:rsid w:val="501619B8"/>
    <w:rsid w:val="50169284"/>
    <w:rsid w:val="50169E38"/>
    <w:rsid w:val="5019CF5B"/>
    <w:rsid w:val="50253A8F"/>
    <w:rsid w:val="5026DFD3"/>
    <w:rsid w:val="5035CF1A"/>
    <w:rsid w:val="503BEE81"/>
    <w:rsid w:val="503DF3E7"/>
    <w:rsid w:val="503F07C2"/>
    <w:rsid w:val="50432E6D"/>
    <w:rsid w:val="5044429A"/>
    <w:rsid w:val="50473C1E"/>
    <w:rsid w:val="504A7349"/>
    <w:rsid w:val="504DA583"/>
    <w:rsid w:val="504FA3C5"/>
    <w:rsid w:val="50519DE4"/>
    <w:rsid w:val="50525859"/>
    <w:rsid w:val="5055F279"/>
    <w:rsid w:val="505D7EE1"/>
    <w:rsid w:val="506F19DB"/>
    <w:rsid w:val="507056D7"/>
    <w:rsid w:val="5074BDD6"/>
    <w:rsid w:val="507590F2"/>
    <w:rsid w:val="5075C84C"/>
    <w:rsid w:val="507C4327"/>
    <w:rsid w:val="5083F57A"/>
    <w:rsid w:val="508B6AF6"/>
    <w:rsid w:val="508FEC79"/>
    <w:rsid w:val="509834E8"/>
    <w:rsid w:val="50B5E72E"/>
    <w:rsid w:val="50BCF858"/>
    <w:rsid w:val="50C43DA4"/>
    <w:rsid w:val="50C689F8"/>
    <w:rsid w:val="50C8F1A5"/>
    <w:rsid w:val="50C9B73D"/>
    <w:rsid w:val="50CA2D29"/>
    <w:rsid w:val="50D09992"/>
    <w:rsid w:val="50D9289E"/>
    <w:rsid w:val="50E55E50"/>
    <w:rsid w:val="50E6693C"/>
    <w:rsid w:val="50EDA86D"/>
    <w:rsid w:val="50EF419C"/>
    <w:rsid w:val="50F002BF"/>
    <w:rsid w:val="50F1A298"/>
    <w:rsid w:val="51095539"/>
    <w:rsid w:val="510E7DCB"/>
    <w:rsid w:val="51101280"/>
    <w:rsid w:val="511160DF"/>
    <w:rsid w:val="5111B638"/>
    <w:rsid w:val="51196B9B"/>
    <w:rsid w:val="511BE25D"/>
    <w:rsid w:val="5121196E"/>
    <w:rsid w:val="51238360"/>
    <w:rsid w:val="5123F3EC"/>
    <w:rsid w:val="51271EF5"/>
    <w:rsid w:val="512BEBE4"/>
    <w:rsid w:val="512F176A"/>
    <w:rsid w:val="51330241"/>
    <w:rsid w:val="51334F14"/>
    <w:rsid w:val="5134CA20"/>
    <w:rsid w:val="513714C9"/>
    <w:rsid w:val="51399B37"/>
    <w:rsid w:val="513C3038"/>
    <w:rsid w:val="51469ED5"/>
    <w:rsid w:val="514714D3"/>
    <w:rsid w:val="5149CECC"/>
    <w:rsid w:val="514FD122"/>
    <w:rsid w:val="51559849"/>
    <w:rsid w:val="515EE1CB"/>
    <w:rsid w:val="515F4E8D"/>
    <w:rsid w:val="5164CEF2"/>
    <w:rsid w:val="51687746"/>
    <w:rsid w:val="5179B64F"/>
    <w:rsid w:val="517AB398"/>
    <w:rsid w:val="517E970D"/>
    <w:rsid w:val="51813863"/>
    <w:rsid w:val="518FD007"/>
    <w:rsid w:val="5190C9A4"/>
    <w:rsid w:val="5192A056"/>
    <w:rsid w:val="519CFF8B"/>
    <w:rsid w:val="51A2400A"/>
    <w:rsid w:val="51A4D27B"/>
    <w:rsid w:val="51A59695"/>
    <w:rsid w:val="51A98BBE"/>
    <w:rsid w:val="51B6A57C"/>
    <w:rsid w:val="51BCF2FE"/>
    <w:rsid w:val="51BF3101"/>
    <w:rsid w:val="51D4C446"/>
    <w:rsid w:val="51D6A2A2"/>
    <w:rsid w:val="51DED39D"/>
    <w:rsid w:val="51EE0D64"/>
    <w:rsid w:val="51F5A75E"/>
    <w:rsid w:val="51FA85D4"/>
    <w:rsid w:val="5208169B"/>
    <w:rsid w:val="52221F81"/>
    <w:rsid w:val="522632D5"/>
    <w:rsid w:val="522F85A9"/>
    <w:rsid w:val="5232BF86"/>
    <w:rsid w:val="523AA8FE"/>
    <w:rsid w:val="523DA081"/>
    <w:rsid w:val="52442A9C"/>
    <w:rsid w:val="524DBF9C"/>
    <w:rsid w:val="5256EBB0"/>
    <w:rsid w:val="525B4153"/>
    <w:rsid w:val="526A2A0C"/>
    <w:rsid w:val="526A93CC"/>
    <w:rsid w:val="526CFABB"/>
    <w:rsid w:val="5271BADB"/>
    <w:rsid w:val="52745664"/>
    <w:rsid w:val="5274D6E4"/>
    <w:rsid w:val="5275B235"/>
    <w:rsid w:val="527A9432"/>
    <w:rsid w:val="527CFBEE"/>
    <w:rsid w:val="528090A4"/>
    <w:rsid w:val="5281A2B8"/>
    <w:rsid w:val="5284133B"/>
    <w:rsid w:val="5288FDA1"/>
    <w:rsid w:val="528A8726"/>
    <w:rsid w:val="528F308F"/>
    <w:rsid w:val="52914620"/>
    <w:rsid w:val="52927ED3"/>
    <w:rsid w:val="529600A9"/>
    <w:rsid w:val="529C1D74"/>
    <w:rsid w:val="529D71BD"/>
    <w:rsid w:val="52A4D8A6"/>
    <w:rsid w:val="52AB5206"/>
    <w:rsid w:val="52AC77BE"/>
    <w:rsid w:val="52ACA058"/>
    <w:rsid w:val="52B756B6"/>
    <w:rsid w:val="52B7A2A9"/>
    <w:rsid w:val="52BE60A2"/>
    <w:rsid w:val="52C07C86"/>
    <w:rsid w:val="52C17B18"/>
    <w:rsid w:val="52C87B86"/>
    <w:rsid w:val="52CA12FB"/>
    <w:rsid w:val="52D1E7CB"/>
    <w:rsid w:val="52D463E4"/>
    <w:rsid w:val="52D84CC8"/>
    <w:rsid w:val="52D8DF1D"/>
    <w:rsid w:val="52E1D17C"/>
    <w:rsid w:val="52E3F5F2"/>
    <w:rsid w:val="52E9E897"/>
    <w:rsid w:val="52F00661"/>
    <w:rsid w:val="52F15C04"/>
    <w:rsid w:val="52F73E0C"/>
    <w:rsid w:val="52FD5500"/>
    <w:rsid w:val="52FF521D"/>
    <w:rsid w:val="53053C8E"/>
    <w:rsid w:val="5306FB05"/>
    <w:rsid w:val="530ACF11"/>
    <w:rsid w:val="530E97A6"/>
    <w:rsid w:val="53160F1E"/>
    <w:rsid w:val="5317EB52"/>
    <w:rsid w:val="5325FB18"/>
    <w:rsid w:val="53345D50"/>
    <w:rsid w:val="53352B6C"/>
    <w:rsid w:val="5335816E"/>
    <w:rsid w:val="5336CB9F"/>
    <w:rsid w:val="533F946C"/>
    <w:rsid w:val="53419609"/>
    <w:rsid w:val="5344A046"/>
    <w:rsid w:val="5344F491"/>
    <w:rsid w:val="5346FE45"/>
    <w:rsid w:val="5353D372"/>
    <w:rsid w:val="536B57BD"/>
    <w:rsid w:val="5372568C"/>
    <w:rsid w:val="537FF932"/>
    <w:rsid w:val="53810F64"/>
    <w:rsid w:val="5381487E"/>
    <w:rsid w:val="5384C8E1"/>
    <w:rsid w:val="5385E5C3"/>
    <w:rsid w:val="53932A15"/>
    <w:rsid w:val="539578F6"/>
    <w:rsid w:val="539E33B7"/>
    <w:rsid w:val="539FD864"/>
    <w:rsid w:val="53A54E4C"/>
    <w:rsid w:val="53AF23BD"/>
    <w:rsid w:val="53BD5B88"/>
    <w:rsid w:val="53C612EF"/>
    <w:rsid w:val="53C746A9"/>
    <w:rsid w:val="53D5F04E"/>
    <w:rsid w:val="53D9DA0F"/>
    <w:rsid w:val="53E29093"/>
    <w:rsid w:val="53E3144A"/>
    <w:rsid w:val="53E3672F"/>
    <w:rsid w:val="53E5C537"/>
    <w:rsid w:val="53E8492E"/>
    <w:rsid w:val="53F334F1"/>
    <w:rsid w:val="53F36998"/>
    <w:rsid w:val="53F803E5"/>
    <w:rsid w:val="53FD5A8A"/>
    <w:rsid w:val="5401483E"/>
    <w:rsid w:val="5404AC9E"/>
    <w:rsid w:val="5406E285"/>
    <w:rsid w:val="5408161D"/>
    <w:rsid w:val="54082F35"/>
    <w:rsid w:val="5408EF21"/>
    <w:rsid w:val="540BD209"/>
    <w:rsid w:val="540E3187"/>
    <w:rsid w:val="5413B7F5"/>
    <w:rsid w:val="5424E67C"/>
    <w:rsid w:val="5427BA9E"/>
    <w:rsid w:val="5435EC7C"/>
    <w:rsid w:val="54386C28"/>
    <w:rsid w:val="5438B4B5"/>
    <w:rsid w:val="543C7DC8"/>
    <w:rsid w:val="543DF0D6"/>
    <w:rsid w:val="54420796"/>
    <w:rsid w:val="544BE097"/>
    <w:rsid w:val="54517E4A"/>
    <w:rsid w:val="545E65FB"/>
    <w:rsid w:val="54646ADB"/>
    <w:rsid w:val="5465B805"/>
    <w:rsid w:val="54691B5B"/>
    <w:rsid w:val="547755E8"/>
    <w:rsid w:val="5479C56F"/>
    <w:rsid w:val="547A4267"/>
    <w:rsid w:val="547CF4BC"/>
    <w:rsid w:val="548DEDE7"/>
    <w:rsid w:val="54908046"/>
    <w:rsid w:val="54930982"/>
    <w:rsid w:val="5499472C"/>
    <w:rsid w:val="549DA9D7"/>
    <w:rsid w:val="549FB9A2"/>
    <w:rsid w:val="54A434E3"/>
    <w:rsid w:val="54A5916A"/>
    <w:rsid w:val="54B38982"/>
    <w:rsid w:val="54B43549"/>
    <w:rsid w:val="54BA2C1B"/>
    <w:rsid w:val="54C4A4C7"/>
    <w:rsid w:val="54C68743"/>
    <w:rsid w:val="54C94B97"/>
    <w:rsid w:val="54CA3798"/>
    <w:rsid w:val="54CEE091"/>
    <w:rsid w:val="54D4391A"/>
    <w:rsid w:val="54D60B5A"/>
    <w:rsid w:val="54DF6C8B"/>
    <w:rsid w:val="54E58EED"/>
    <w:rsid w:val="54E771CF"/>
    <w:rsid w:val="54EA029D"/>
    <w:rsid w:val="54EBC47A"/>
    <w:rsid w:val="54EFD8E3"/>
    <w:rsid w:val="54F578DE"/>
    <w:rsid w:val="54F92F05"/>
    <w:rsid w:val="54FD1D91"/>
    <w:rsid w:val="550448F8"/>
    <w:rsid w:val="55053582"/>
    <w:rsid w:val="550766AD"/>
    <w:rsid w:val="550DADB2"/>
    <w:rsid w:val="55137A73"/>
    <w:rsid w:val="55144ADE"/>
    <w:rsid w:val="551D49CD"/>
    <w:rsid w:val="551FBD53"/>
    <w:rsid w:val="55272959"/>
    <w:rsid w:val="5527E5E5"/>
    <w:rsid w:val="55303033"/>
    <w:rsid w:val="5538972C"/>
    <w:rsid w:val="5539B5BD"/>
    <w:rsid w:val="553E7D80"/>
    <w:rsid w:val="553EA51C"/>
    <w:rsid w:val="553ED13F"/>
    <w:rsid w:val="5540C835"/>
    <w:rsid w:val="55497DB1"/>
    <w:rsid w:val="554BF85F"/>
    <w:rsid w:val="554F67FC"/>
    <w:rsid w:val="5550E175"/>
    <w:rsid w:val="55517709"/>
    <w:rsid w:val="5551FEB1"/>
    <w:rsid w:val="5555332C"/>
    <w:rsid w:val="55756A93"/>
    <w:rsid w:val="557E866A"/>
    <w:rsid w:val="5581DFBC"/>
    <w:rsid w:val="558CD64C"/>
    <w:rsid w:val="5591BC1C"/>
    <w:rsid w:val="55940171"/>
    <w:rsid w:val="559B361B"/>
    <w:rsid w:val="55A2DC57"/>
    <w:rsid w:val="55AAA705"/>
    <w:rsid w:val="55AF47D8"/>
    <w:rsid w:val="55AFEA0F"/>
    <w:rsid w:val="55B27585"/>
    <w:rsid w:val="55B7EE95"/>
    <w:rsid w:val="55BCF6CE"/>
    <w:rsid w:val="55C6CFEA"/>
    <w:rsid w:val="55CC94A8"/>
    <w:rsid w:val="55CEA024"/>
    <w:rsid w:val="55D67AD4"/>
    <w:rsid w:val="55D957CA"/>
    <w:rsid w:val="55E09E47"/>
    <w:rsid w:val="55EEE73A"/>
    <w:rsid w:val="55F172CF"/>
    <w:rsid w:val="55F25CF6"/>
    <w:rsid w:val="55F260AF"/>
    <w:rsid w:val="55F5BF65"/>
    <w:rsid w:val="55F7F4F1"/>
    <w:rsid w:val="55FEED7B"/>
    <w:rsid w:val="5603F6EB"/>
    <w:rsid w:val="56127D54"/>
    <w:rsid w:val="561F2B5D"/>
    <w:rsid w:val="56286D59"/>
    <w:rsid w:val="56301AD7"/>
    <w:rsid w:val="56377731"/>
    <w:rsid w:val="56385B75"/>
    <w:rsid w:val="563D2274"/>
    <w:rsid w:val="563DBBEA"/>
    <w:rsid w:val="563FC86F"/>
    <w:rsid w:val="5648FF67"/>
    <w:rsid w:val="564AB030"/>
    <w:rsid w:val="5650A2C5"/>
    <w:rsid w:val="5657E0F3"/>
    <w:rsid w:val="56631EAF"/>
    <w:rsid w:val="56691DCD"/>
    <w:rsid w:val="5669EB90"/>
    <w:rsid w:val="566E2852"/>
    <w:rsid w:val="566F9546"/>
    <w:rsid w:val="567257C3"/>
    <w:rsid w:val="56772443"/>
    <w:rsid w:val="56785E34"/>
    <w:rsid w:val="567BBF4F"/>
    <w:rsid w:val="567F1208"/>
    <w:rsid w:val="5684C0A5"/>
    <w:rsid w:val="56876228"/>
    <w:rsid w:val="568D9F7A"/>
    <w:rsid w:val="56969CFF"/>
    <w:rsid w:val="5696D5F8"/>
    <w:rsid w:val="56976F8A"/>
    <w:rsid w:val="5698692D"/>
    <w:rsid w:val="569CA976"/>
    <w:rsid w:val="56A5580C"/>
    <w:rsid w:val="56B9B497"/>
    <w:rsid w:val="56C8C60B"/>
    <w:rsid w:val="56D24407"/>
    <w:rsid w:val="56D6F4FC"/>
    <w:rsid w:val="56D99636"/>
    <w:rsid w:val="56E2FC44"/>
    <w:rsid w:val="56EA1E67"/>
    <w:rsid w:val="56EBA56D"/>
    <w:rsid w:val="56F1C75F"/>
    <w:rsid w:val="56F96E1A"/>
    <w:rsid w:val="56FDDBB7"/>
    <w:rsid w:val="56FE9C96"/>
    <w:rsid w:val="5706153E"/>
    <w:rsid w:val="5707CC24"/>
    <w:rsid w:val="570897EC"/>
    <w:rsid w:val="570D6B69"/>
    <w:rsid w:val="5713182C"/>
    <w:rsid w:val="5727FDB6"/>
    <w:rsid w:val="572C56CE"/>
    <w:rsid w:val="57307179"/>
    <w:rsid w:val="573458A2"/>
    <w:rsid w:val="57379FB3"/>
    <w:rsid w:val="573B37E4"/>
    <w:rsid w:val="573B6CBB"/>
    <w:rsid w:val="5744006E"/>
    <w:rsid w:val="574CE5F9"/>
    <w:rsid w:val="57505ADA"/>
    <w:rsid w:val="5756A95E"/>
    <w:rsid w:val="576343EB"/>
    <w:rsid w:val="57701EB4"/>
    <w:rsid w:val="57A28754"/>
    <w:rsid w:val="57A3071C"/>
    <w:rsid w:val="57B63870"/>
    <w:rsid w:val="57B6AE3D"/>
    <w:rsid w:val="57B7FFFF"/>
    <w:rsid w:val="57C6173B"/>
    <w:rsid w:val="57C72CA5"/>
    <w:rsid w:val="57D01D8C"/>
    <w:rsid w:val="57D0AC4B"/>
    <w:rsid w:val="57D37C2B"/>
    <w:rsid w:val="57ECF9BD"/>
    <w:rsid w:val="57EEBE8D"/>
    <w:rsid w:val="57F490F5"/>
    <w:rsid w:val="57F4E3C1"/>
    <w:rsid w:val="57FB7214"/>
    <w:rsid w:val="5803C875"/>
    <w:rsid w:val="58102004"/>
    <w:rsid w:val="5817FA07"/>
    <w:rsid w:val="581ADB37"/>
    <w:rsid w:val="581D71FF"/>
    <w:rsid w:val="58281249"/>
    <w:rsid w:val="5829499B"/>
    <w:rsid w:val="5829EDE4"/>
    <w:rsid w:val="582A95A2"/>
    <w:rsid w:val="5833230A"/>
    <w:rsid w:val="5835BB44"/>
    <w:rsid w:val="5848A849"/>
    <w:rsid w:val="584CCC0B"/>
    <w:rsid w:val="584E3C02"/>
    <w:rsid w:val="5853D4F7"/>
    <w:rsid w:val="5854F173"/>
    <w:rsid w:val="58558939"/>
    <w:rsid w:val="5858AC54"/>
    <w:rsid w:val="5860E614"/>
    <w:rsid w:val="5863BCB1"/>
    <w:rsid w:val="5866E4AF"/>
    <w:rsid w:val="586A02A1"/>
    <w:rsid w:val="586E5B16"/>
    <w:rsid w:val="58710EC6"/>
    <w:rsid w:val="587C5399"/>
    <w:rsid w:val="587CE5D1"/>
    <w:rsid w:val="5885551E"/>
    <w:rsid w:val="5885E460"/>
    <w:rsid w:val="588A2988"/>
    <w:rsid w:val="588A6541"/>
    <w:rsid w:val="58921185"/>
    <w:rsid w:val="589A3BA5"/>
    <w:rsid w:val="589DF4E1"/>
    <w:rsid w:val="58A8DF3B"/>
    <w:rsid w:val="58ABBDA7"/>
    <w:rsid w:val="58B4CFF1"/>
    <w:rsid w:val="58BA6B01"/>
    <w:rsid w:val="58BDE819"/>
    <w:rsid w:val="58C01B84"/>
    <w:rsid w:val="58C4FF60"/>
    <w:rsid w:val="58CC0341"/>
    <w:rsid w:val="58CDFEE4"/>
    <w:rsid w:val="58D15FE0"/>
    <w:rsid w:val="58E19157"/>
    <w:rsid w:val="58EB3678"/>
    <w:rsid w:val="58EFAD84"/>
    <w:rsid w:val="58F2EE80"/>
    <w:rsid w:val="58F37060"/>
    <w:rsid w:val="58FAC8FD"/>
    <w:rsid w:val="5900CAEA"/>
    <w:rsid w:val="590729DC"/>
    <w:rsid w:val="590E2C54"/>
    <w:rsid w:val="590E6413"/>
    <w:rsid w:val="591350CE"/>
    <w:rsid w:val="591725A3"/>
    <w:rsid w:val="591ACC3C"/>
    <w:rsid w:val="59265AA9"/>
    <w:rsid w:val="59279A7B"/>
    <w:rsid w:val="592BBB3C"/>
    <w:rsid w:val="592D42D3"/>
    <w:rsid w:val="5939CBC7"/>
    <w:rsid w:val="593B6BEC"/>
    <w:rsid w:val="593B8143"/>
    <w:rsid w:val="593F1D34"/>
    <w:rsid w:val="59412F1B"/>
    <w:rsid w:val="5948A77B"/>
    <w:rsid w:val="59553238"/>
    <w:rsid w:val="5959A149"/>
    <w:rsid w:val="596009A5"/>
    <w:rsid w:val="5962580D"/>
    <w:rsid w:val="59681DC2"/>
    <w:rsid w:val="596B3A00"/>
    <w:rsid w:val="596E3A80"/>
    <w:rsid w:val="596E7E48"/>
    <w:rsid w:val="5970EB95"/>
    <w:rsid w:val="59736221"/>
    <w:rsid w:val="598518D0"/>
    <w:rsid w:val="5985B0F5"/>
    <w:rsid w:val="599153A6"/>
    <w:rsid w:val="599333A3"/>
    <w:rsid w:val="5993B9E6"/>
    <w:rsid w:val="599E3711"/>
    <w:rsid w:val="59A19217"/>
    <w:rsid w:val="59A1D166"/>
    <w:rsid w:val="59A21D5D"/>
    <w:rsid w:val="59A2901A"/>
    <w:rsid w:val="59AD1BEB"/>
    <w:rsid w:val="59CBB0B6"/>
    <w:rsid w:val="59D89A47"/>
    <w:rsid w:val="59DBB35A"/>
    <w:rsid w:val="59E6EFD2"/>
    <w:rsid w:val="59E87B32"/>
    <w:rsid w:val="59F0BFB1"/>
    <w:rsid w:val="59F87760"/>
    <w:rsid w:val="59FC79EC"/>
    <w:rsid w:val="59FD72B1"/>
    <w:rsid w:val="5A065947"/>
    <w:rsid w:val="5A098D92"/>
    <w:rsid w:val="5A174082"/>
    <w:rsid w:val="5A179BF9"/>
    <w:rsid w:val="5A1DF748"/>
    <w:rsid w:val="5A2164C6"/>
    <w:rsid w:val="5A2198BD"/>
    <w:rsid w:val="5A297D0C"/>
    <w:rsid w:val="5A2E1443"/>
    <w:rsid w:val="5A2FE404"/>
    <w:rsid w:val="5A3A22CA"/>
    <w:rsid w:val="5A3A41E7"/>
    <w:rsid w:val="5A402167"/>
    <w:rsid w:val="5A48B50E"/>
    <w:rsid w:val="5A52FA94"/>
    <w:rsid w:val="5A64D9EC"/>
    <w:rsid w:val="5A707BB4"/>
    <w:rsid w:val="5A720054"/>
    <w:rsid w:val="5A7490D4"/>
    <w:rsid w:val="5A7CAD98"/>
    <w:rsid w:val="5A7FA1B8"/>
    <w:rsid w:val="5A858CFA"/>
    <w:rsid w:val="5A868E80"/>
    <w:rsid w:val="5A86C5FD"/>
    <w:rsid w:val="5A8FC571"/>
    <w:rsid w:val="5A98DF74"/>
    <w:rsid w:val="5A994C0F"/>
    <w:rsid w:val="5A99A1C4"/>
    <w:rsid w:val="5A9C2EAB"/>
    <w:rsid w:val="5AA2F84D"/>
    <w:rsid w:val="5AA7F347"/>
    <w:rsid w:val="5AAC9CCD"/>
    <w:rsid w:val="5ABA13C7"/>
    <w:rsid w:val="5ABFA873"/>
    <w:rsid w:val="5AD177F6"/>
    <w:rsid w:val="5ADA9BC7"/>
    <w:rsid w:val="5AE28F16"/>
    <w:rsid w:val="5AE3A677"/>
    <w:rsid w:val="5AEAB72D"/>
    <w:rsid w:val="5AEEBB81"/>
    <w:rsid w:val="5AF354E5"/>
    <w:rsid w:val="5AF816A8"/>
    <w:rsid w:val="5AFB511E"/>
    <w:rsid w:val="5AFBA83E"/>
    <w:rsid w:val="5AFBB0E3"/>
    <w:rsid w:val="5B0CCB5D"/>
    <w:rsid w:val="5B0E813B"/>
    <w:rsid w:val="5B1523D3"/>
    <w:rsid w:val="5B160C7F"/>
    <w:rsid w:val="5B185036"/>
    <w:rsid w:val="5B228FE9"/>
    <w:rsid w:val="5B23C8F5"/>
    <w:rsid w:val="5B271352"/>
    <w:rsid w:val="5B277294"/>
    <w:rsid w:val="5B2C6634"/>
    <w:rsid w:val="5B3530F6"/>
    <w:rsid w:val="5B41D793"/>
    <w:rsid w:val="5B43C41D"/>
    <w:rsid w:val="5B479AA0"/>
    <w:rsid w:val="5B4E2A21"/>
    <w:rsid w:val="5B504175"/>
    <w:rsid w:val="5B551674"/>
    <w:rsid w:val="5B5DE43C"/>
    <w:rsid w:val="5B5F9602"/>
    <w:rsid w:val="5B658AD0"/>
    <w:rsid w:val="5B665BB6"/>
    <w:rsid w:val="5B6BD94B"/>
    <w:rsid w:val="5B7360C8"/>
    <w:rsid w:val="5B7B5762"/>
    <w:rsid w:val="5B7E2950"/>
    <w:rsid w:val="5B8478EA"/>
    <w:rsid w:val="5B857523"/>
    <w:rsid w:val="5B8A8EB7"/>
    <w:rsid w:val="5B8CD46D"/>
    <w:rsid w:val="5B90ABAA"/>
    <w:rsid w:val="5B97716F"/>
    <w:rsid w:val="5B9ABEE3"/>
    <w:rsid w:val="5B9CA6CD"/>
    <w:rsid w:val="5B9CCE7B"/>
    <w:rsid w:val="5B9EB0EC"/>
    <w:rsid w:val="5BA0D52F"/>
    <w:rsid w:val="5BA291E1"/>
    <w:rsid w:val="5BA529FF"/>
    <w:rsid w:val="5BA68D17"/>
    <w:rsid w:val="5BAB7BFC"/>
    <w:rsid w:val="5BAFFCD3"/>
    <w:rsid w:val="5BC423C6"/>
    <w:rsid w:val="5BC64FA9"/>
    <w:rsid w:val="5BC7B047"/>
    <w:rsid w:val="5BC7D11D"/>
    <w:rsid w:val="5BDA0F7B"/>
    <w:rsid w:val="5BDBEF81"/>
    <w:rsid w:val="5BEE31FD"/>
    <w:rsid w:val="5BFDDC66"/>
    <w:rsid w:val="5C02CF42"/>
    <w:rsid w:val="5C03267A"/>
    <w:rsid w:val="5C06B102"/>
    <w:rsid w:val="5C15111D"/>
    <w:rsid w:val="5C16BB9C"/>
    <w:rsid w:val="5C18EEEC"/>
    <w:rsid w:val="5C1C42CB"/>
    <w:rsid w:val="5C1ED3C1"/>
    <w:rsid w:val="5C2ABBC3"/>
    <w:rsid w:val="5C2BF062"/>
    <w:rsid w:val="5C31E626"/>
    <w:rsid w:val="5C38BBA2"/>
    <w:rsid w:val="5C47AE37"/>
    <w:rsid w:val="5C5007DD"/>
    <w:rsid w:val="5C584F6D"/>
    <w:rsid w:val="5C591AA0"/>
    <w:rsid w:val="5C65A601"/>
    <w:rsid w:val="5C686E15"/>
    <w:rsid w:val="5C6FE2B4"/>
    <w:rsid w:val="5C70946A"/>
    <w:rsid w:val="5C77915E"/>
    <w:rsid w:val="5C7FA0AB"/>
    <w:rsid w:val="5C868F61"/>
    <w:rsid w:val="5C8E46EF"/>
    <w:rsid w:val="5C9218E4"/>
    <w:rsid w:val="5C9845E7"/>
    <w:rsid w:val="5CA45EDA"/>
    <w:rsid w:val="5CA98C1F"/>
    <w:rsid w:val="5CAC488F"/>
    <w:rsid w:val="5CBDF3FF"/>
    <w:rsid w:val="5CC094B1"/>
    <w:rsid w:val="5CC0B6CF"/>
    <w:rsid w:val="5CC434F6"/>
    <w:rsid w:val="5CCF525F"/>
    <w:rsid w:val="5CD423D0"/>
    <w:rsid w:val="5CD50FBF"/>
    <w:rsid w:val="5CD98ADF"/>
    <w:rsid w:val="5CDD5B02"/>
    <w:rsid w:val="5CEDDEAD"/>
    <w:rsid w:val="5CF1749C"/>
    <w:rsid w:val="5CF36EAA"/>
    <w:rsid w:val="5CF4DD27"/>
    <w:rsid w:val="5CFFB8B6"/>
    <w:rsid w:val="5D0D3AD6"/>
    <w:rsid w:val="5D14A0DD"/>
    <w:rsid w:val="5D16B389"/>
    <w:rsid w:val="5D2092C7"/>
    <w:rsid w:val="5D26A5CE"/>
    <w:rsid w:val="5D27203D"/>
    <w:rsid w:val="5D28BBE4"/>
    <w:rsid w:val="5D2904A1"/>
    <w:rsid w:val="5D2AE836"/>
    <w:rsid w:val="5D30D36E"/>
    <w:rsid w:val="5D42E4FF"/>
    <w:rsid w:val="5D495168"/>
    <w:rsid w:val="5D55A117"/>
    <w:rsid w:val="5D58A19E"/>
    <w:rsid w:val="5D618005"/>
    <w:rsid w:val="5D692926"/>
    <w:rsid w:val="5D723966"/>
    <w:rsid w:val="5D793C93"/>
    <w:rsid w:val="5D86B76C"/>
    <w:rsid w:val="5D89BEC1"/>
    <w:rsid w:val="5DA1EB50"/>
    <w:rsid w:val="5DA96E35"/>
    <w:rsid w:val="5DADC23A"/>
    <w:rsid w:val="5DB01CCD"/>
    <w:rsid w:val="5DB0E907"/>
    <w:rsid w:val="5DB22D13"/>
    <w:rsid w:val="5DB773C1"/>
    <w:rsid w:val="5DBA1C56"/>
    <w:rsid w:val="5DBDE8FB"/>
    <w:rsid w:val="5DC8CD82"/>
    <w:rsid w:val="5DD0B8B0"/>
    <w:rsid w:val="5DDB34B9"/>
    <w:rsid w:val="5DE2A5D5"/>
    <w:rsid w:val="5DE66822"/>
    <w:rsid w:val="5DF0B6F9"/>
    <w:rsid w:val="5DF4FA4B"/>
    <w:rsid w:val="5DFDFCE9"/>
    <w:rsid w:val="5E01A81E"/>
    <w:rsid w:val="5E0B9176"/>
    <w:rsid w:val="5E1C29D1"/>
    <w:rsid w:val="5E211B68"/>
    <w:rsid w:val="5E256A88"/>
    <w:rsid w:val="5E25FBB2"/>
    <w:rsid w:val="5E27FC7F"/>
    <w:rsid w:val="5E2C18E8"/>
    <w:rsid w:val="5E396ACB"/>
    <w:rsid w:val="5E3D3054"/>
    <w:rsid w:val="5E44EA14"/>
    <w:rsid w:val="5E49BF23"/>
    <w:rsid w:val="5E4AB388"/>
    <w:rsid w:val="5E55AEF4"/>
    <w:rsid w:val="5E63B57A"/>
    <w:rsid w:val="5E68BF26"/>
    <w:rsid w:val="5E725E5A"/>
    <w:rsid w:val="5E7267D9"/>
    <w:rsid w:val="5E7375EB"/>
    <w:rsid w:val="5E826F52"/>
    <w:rsid w:val="5E89BC65"/>
    <w:rsid w:val="5E939155"/>
    <w:rsid w:val="5E96846C"/>
    <w:rsid w:val="5E9DB479"/>
    <w:rsid w:val="5EA90FC1"/>
    <w:rsid w:val="5EAB4620"/>
    <w:rsid w:val="5EAFC609"/>
    <w:rsid w:val="5EAFF27D"/>
    <w:rsid w:val="5EB27101"/>
    <w:rsid w:val="5EB47B78"/>
    <w:rsid w:val="5EB8B169"/>
    <w:rsid w:val="5EBFF0C1"/>
    <w:rsid w:val="5EC67F6B"/>
    <w:rsid w:val="5EC6C69F"/>
    <w:rsid w:val="5ECE2BB8"/>
    <w:rsid w:val="5ED10327"/>
    <w:rsid w:val="5ED2B3AB"/>
    <w:rsid w:val="5EE3AC92"/>
    <w:rsid w:val="5EF7A678"/>
    <w:rsid w:val="5EF9E821"/>
    <w:rsid w:val="5EFACA05"/>
    <w:rsid w:val="5EFD38C6"/>
    <w:rsid w:val="5F035402"/>
    <w:rsid w:val="5F04029E"/>
    <w:rsid w:val="5F05B251"/>
    <w:rsid w:val="5F06EAB4"/>
    <w:rsid w:val="5F08BF77"/>
    <w:rsid w:val="5F11BDC1"/>
    <w:rsid w:val="5F172F6A"/>
    <w:rsid w:val="5F1BDD15"/>
    <w:rsid w:val="5F1C285D"/>
    <w:rsid w:val="5F25D90B"/>
    <w:rsid w:val="5F32DDA2"/>
    <w:rsid w:val="5F3354C2"/>
    <w:rsid w:val="5F3FB16A"/>
    <w:rsid w:val="5F400D49"/>
    <w:rsid w:val="5F422840"/>
    <w:rsid w:val="5F47223D"/>
    <w:rsid w:val="5F4883FC"/>
    <w:rsid w:val="5F49D4A4"/>
    <w:rsid w:val="5F580C7E"/>
    <w:rsid w:val="5F5ADAFA"/>
    <w:rsid w:val="5F66A7BB"/>
    <w:rsid w:val="5F67F9E6"/>
    <w:rsid w:val="5F684913"/>
    <w:rsid w:val="5F6E4F85"/>
    <w:rsid w:val="5F706901"/>
    <w:rsid w:val="5F7311BA"/>
    <w:rsid w:val="5F78AC38"/>
    <w:rsid w:val="5F7C1CD0"/>
    <w:rsid w:val="5F7DCDD2"/>
    <w:rsid w:val="5F8B7554"/>
    <w:rsid w:val="5F90BE7E"/>
    <w:rsid w:val="5F932D44"/>
    <w:rsid w:val="5F9A29AA"/>
    <w:rsid w:val="5FACDB30"/>
    <w:rsid w:val="5FB7B3E1"/>
    <w:rsid w:val="5FBC3023"/>
    <w:rsid w:val="5FD6B488"/>
    <w:rsid w:val="5FDA360D"/>
    <w:rsid w:val="5FDB1B16"/>
    <w:rsid w:val="5FDE5404"/>
    <w:rsid w:val="5FE0BC64"/>
    <w:rsid w:val="5FE8E9DB"/>
    <w:rsid w:val="5FEFDE7B"/>
    <w:rsid w:val="5FF88BCE"/>
    <w:rsid w:val="5FF91FB1"/>
    <w:rsid w:val="5FFEC2E6"/>
    <w:rsid w:val="6001ACCA"/>
    <w:rsid w:val="6008620C"/>
    <w:rsid w:val="600BCFF0"/>
    <w:rsid w:val="60139FBF"/>
    <w:rsid w:val="6019CCF5"/>
    <w:rsid w:val="60262499"/>
    <w:rsid w:val="602B9484"/>
    <w:rsid w:val="602C6794"/>
    <w:rsid w:val="602F8899"/>
    <w:rsid w:val="6035A9C3"/>
    <w:rsid w:val="603C44EC"/>
    <w:rsid w:val="604CD87C"/>
    <w:rsid w:val="604E21E6"/>
    <w:rsid w:val="60523023"/>
    <w:rsid w:val="6053A864"/>
    <w:rsid w:val="60558FA5"/>
    <w:rsid w:val="6055B6E5"/>
    <w:rsid w:val="605E1DD0"/>
    <w:rsid w:val="60630356"/>
    <w:rsid w:val="6065DE50"/>
    <w:rsid w:val="606A59A1"/>
    <w:rsid w:val="60708B3E"/>
    <w:rsid w:val="6079B4CF"/>
    <w:rsid w:val="607C949D"/>
    <w:rsid w:val="607FE647"/>
    <w:rsid w:val="6081C002"/>
    <w:rsid w:val="608C6F6A"/>
    <w:rsid w:val="6094DFFE"/>
    <w:rsid w:val="60962C07"/>
    <w:rsid w:val="6099C1A5"/>
    <w:rsid w:val="609FE02E"/>
    <w:rsid w:val="60A330BD"/>
    <w:rsid w:val="60A7E176"/>
    <w:rsid w:val="60A91E08"/>
    <w:rsid w:val="60B07B09"/>
    <w:rsid w:val="60B80B92"/>
    <w:rsid w:val="60CC0A4A"/>
    <w:rsid w:val="60CD21AB"/>
    <w:rsid w:val="60D08846"/>
    <w:rsid w:val="60D1CA36"/>
    <w:rsid w:val="60D4894A"/>
    <w:rsid w:val="60D7394D"/>
    <w:rsid w:val="60DA2553"/>
    <w:rsid w:val="60DA985F"/>
    <w:rsid w:val="60DB514C"/>
    <w:rsid w:val="60E19F07"/>
    <w:rsid w:val="60E2C9CF"/>
    <w:rsid w:val="60E9A07B"/>
    <w:rsid w:val="60EEDC69"/>
    <w:rsid w:val="60F42665"/>
    <w:rsid w:val="60F9E112"/>
    <w:rsid w:val="60FFEA9C"/>
    <w:rsid w:val="61207559"/>
    <w:rsid w:val="6124FF9F"/>
    <w:rsid w:val="612DADF3"/>
    <w:rsid w:val="613244BD"/>
    <w:rsid w:val="613654AD"/>
    <w:rsid w:val="613B93BA"/>
    <w:rsid w:val="613D6E95"/>
    <w:rsid w:val="61553C67"/>
    <w:rsid w:val="615BDC0B"/>
    <w:rsid w:val="616088D8"/>
    <w:rsid w:val="6169FF2B"/>
    <w:rsid w:val="616A10EF"/>
    <w:rsid w:val="61725B27"/>
    <w:rsid w:val="61775AE6"/>
    <w:rsid w:val="617847AC"/>
    <w:rsid w:val="617D4301"/>
    <w:rsid w:val="617F773B"/>
    <w:rsid w:val="61823272"/>
    <w:rsid w:val="61888D99"/>
    <w:rsid w:val="61907D07"/>
    <w:rsid w:val="6190EB6A"/>
    <w:rsid w:val="6192A77D"/>
    <w:rsid w:val="619FAECA"/>
    <w:rsid w:val="61A34F92"/>
    <w:rsid w:val="61AE22BD"/>
    <w:rsid w:val="61AE3A1B"/>
    <w:rsid w:val="61B18589"/>
    <w:rsid w:val="61B4ACC4"/>
    <w:rsid w:val="61B8FB68"/>
    <w:rsid w:val="61C29D8B"/>
    <w:rsid w:val="61CF94C1"/>
    <w:rsid w:val="61D2382A"/>
    <w:rsid w:val="61D5B044"/>
    <w:rsid w:val="61D6EFD3"/>
    <w:rsid w:val="61ECD9B0"/>
    <w:rsid w:val="61F50EF6"/>
    <w:rsid w:val="61F649C2"/>
    <w:rsid w:val="61FFA792"/>
    <w:rsid w:val="6200ADB5"/>
    <w:rsid w:val="6202751C"/>
    <w:rsid w:val="6202B53C"/>
    <w:rsid w:val="620B857D"/>
    <w:rsid w:val="620E0F49"/>
    <w:rsid w:val="620FE4DC"/>
    <w:rsid w:val="6212A883"/>
    <w:rsid w:val="6218ADA3"/>
    <w:rsid w:val="621C36E6"/>
    <w:rsid w:val="621C96A7"/>
    <w:rsid w:val="622196B2"/>
    <w:rsid w:val="6229F011"/>
    <w:rsid w:val="623BB5F2"/>
    <w:rsid w:val="623EF8EF"/>
    <w:rsid w:val="6241F327"/>
    <w:rsid w:val="6249A538"/>
    <w:rsid w:val="62562CA5"/>
    <w:rsid w:val="62599904"/>
    <w:rsid w:val="625F1D84"/>
    <w:rsid w:val="62742ECA"/>
    <w:rsid w:val="62748840"/>
    <w:rsid w:val="6275E203"/>
    <w:rsid w:val="627CBFF5"/>
    <w:rsid w:val="6287BE63"/>
    <w:rsid w:val="62888C1D"/>
    <w:rsid w:val="628A81B4"/>
    <w:rsid w:val="628AE703"/>
    <w:rsid w:val="62931934"/>
    <w:rsid w:val="62933DF0"/>
    <w:rsid w:val="6298FB97"/>
    <w:rsid w:val="629F24DE"/>
    <w:rsid w:val="62A0C26C"/>
    <w:rsid w:val="62A7C11F"/>
    <w:rsid w:val="62A9BA5D"/>
    <w:rsid w:val="62B78AE0"/>
    <w:rsid w:val="62BA6509"/>
    <w:rsid w:val="62BC078A"/>
    <w:rsid w:val="62C17B4D"/>
    <w:rsid w:val="62C1DD69"/>
    <w:rsid w:val="62CA2825"/>
    <w:rsid w:val="62DA0124"/>
    <w:rsid w:val="62E1B6D1"/>
    <w:rsid w:val="62E41501"/>
    <w:rsid w:val="62E6EA00"/>
    <w:rsid w:val="62EFC73D"/>
    <w:rsid w:val="62F0B9BD"/>
    <w:rsid w:val="62F7F34F"/>
    <w:rsid w:val="6304AC23"/>
    <w:rsid w:val="6305B24A"/>
    <w:rsid w:val="6309A700"/>
    <w:rsid w:val="630E9F66"/>
    <w:rsid w:val="63151C95"/>
    <w:rsid w:val="6317C17D"/>
    <w:rsid w:val="631D2ACB"/>
    <w:rsid w:val="631DF98D"/>
    <w:rsid w:val="631F4258"/>
    <w:rsid w:val="632297FD"/>
    <w:rsid w:val="6324CA0E"/>
    <w:rsid w:val="63290348"/>
    <w:rsid w:val="632E650B"/>
    <w:rsid w:val="63303E54"/>
    <w:rsid w:val="6331405A"/>
    <w:rsid w:val="633DAFDE"/>
    <w:rsid w:val="633DC970"/>
    <w:rsid w:val="6349D3E1"/>
    <w:rsid w:val="634F59B6"/>
    <w:rsid w:val="6353A3AA"/>
    <w:rsid w:val="6359B01C"/>
    <w:rsid w:val="635C99BD"/>
    <w:rsid w:val="63692E97"/>
    <w:rsid w:val="6372F2C0"/>
    <w:rsid w:val="637A9800"/>
    <w:rsid w:val="637BA716"/>
    <w:rsid w:val="6386B80B"/>
    <w:rsid w:val="638C10D8"/>
    <w:rsid w:val="638F506B"/>
    <w:rsid w:val="638F55F5"/>
    <w:rsid w:val="6390764F"/>
    <w:rsid w:val="6397E7C7"/>
    <w:rsid w:val="6398E82B"/>
    <w:rsid w:val="639AF878"/>
    <w:rsid w:val="639B46F9"/>
    <w:rsid w:val="63A60BE7"/>
    <w:rsid w:val="63A8C01E"/>
    <w:rsid w:val="63AECBF3"/>
    <w:rsid w:val="63B556C5"/>
    <w:rsid w:val="63B9680B"/>
    <w:rsid w:val="63CDF02E"/>
    <w:rsid w:val="63D38544"/>
    <w:rsid w:val="63DBC1D8"/>
    <w:rsid w:val="63E62029"/>
    <w:rsid w:val="63EE1224"/>
    <w:rsid w:val="63EE2722"/>
    <w:rsid w:val="63F17E99"/>
    <w:rsid w:val="6401BFD2"/>
    <w:rsid w:val="64025764"/>
    <w:rsid w:val="6403CD53"/>
    <w:rsid w:val="6404F0C6"/>
    <w:rsid w:val="64062FD9"/>
    <w:rsid w:val="640A3FBB"/>
    <w:rsid w:val="640BCF52"/>
    <w:rsid w:val="640C4260"/>
    <w:rsid w:val="641108F0"/>
    <w:rsid w:val="6411798A"/>
    <w:rsid w:val="641AF542"/>
    <w:rsid w:val="641BAE06"/>
    <w:rsid w:val="641E271A"/>
    <w:rsid w:val="6429EF26"/>
    <w:rsid w:val="642CD1EA"/>
    <w:rsid w:val="642FE267"/>
    <w:rsid w:val="64328775"/>
    <w:rsid w:val="6439D761"/>
    <w:rsid w:val="644A2BB2"/>
    <w:rsid w:val="644E499C"/>
    <w:rsid w:val="645065FB"/>
    <w:rsid w:val="645352D2"/>
    <w:rsid w:val="6454BB19"/>
    <w:rsid w:val="6456F577"/>
    <w:rsid w:val="645BD3E7"/>
    <w:rsid w:val="64625F2F"/>
    <w:rsid w:val="6462D917"/>
    <w:rsid w:val="6463D7C5"/>
    <w:rsid w:val="64682080"/>
    <w:rsid w:val="646D2433"/>
    <w:rsid w:val="646FD090"/>
    <w:rsid w:val="6470B128"/>
    <w:rsid w:val="64731A29"/>
    <w:rsid w:val="6475540A"/>
    <w:rsid w:val="647944A8"/>
    <w:rsid w:val="647A3DC1"/>
    <w:rsid w:val="6485EA95"/>
    <w:rsid w:val="648B30B3"/>
    <w:rsid w:val="648E3252"/>
    <w:rsid w:val="649370CC"/>
    <w:rsid w:val="6493F058"/>
    <w:rsid w:val="6493FDE4"/>
    <w:rsid w:val="649841D7"/>
    <w:rsid w:val="64A9DE33"/>
    <w:rsid w:val="64AAC7B6"/>
    <w:rsid w:val="64AB68FD"/>
    <w:rsid w:val="64AF341C"/>
    <w:rsid w:val="64B527AB"/>
    <w:rsid w:val="64BACA6B"/>
    <w:rsid w:val="64BDE4E7"/>
    <w:rsid w:val="64C562E5"/>
    <w:rsid w:val="64C72D39"/>
    <w:rsid w:val="64D0373F"/>
    <w:rsid w:val="64E23DAC"/>
    <w:rsid w:val="64EC793D"/>
    <w:rsid w:val="64EE739F"/>
    <w:rsid w:val="64F509EA"/>
    <w:rsid w:val="64F88896"/>
    <w:rsid w:val="64FC1BCE"/>
    <w:rsid w:val="65002115"/>
    <w:rsid w:val="650CEC2C"/>
    <w:rsid w:val="650DBBC7"/>
    <w:rsid w:val="65123A4E"/>
    <w:rsid w:val="6516B64C"/>
    <w:rsid w:val="6517DBD5"/>
    <w:rsid w:val="651C91F2"/>
    <w:rsid w:val="651D8AE4"/>
    <w:rsid w:val="65269286"/>
    <w:rsid w:val="652BB481"/>
    <w:rsid w:val="653226B5"/>
    <w:rsid w:val="65365665"/>
    <w:rsid w:val="6537F02B"/>
    <w:rsid w:val="653D70B4"/>
    <w:rsid w:val="653DE58E"/>
    <w:rsid w:val="654094DE"/>
    <w:rsid w:val="6540D1F3"/>
    <w:rsid w:val="654C2F7D"/>
    <w:rsid w:val="655000F3"/>
    <w:rsid w:val="6557C646"/>
    <w:rsid w:val="655A456F"/>
    <w:rsid w:val="65602924"/>
    <w:rsid w:val="656FB7BB"/>
    <w:rsid w:val="65776CB7"/>
    <w:rsid w:val="657A6CCA"/>
    <w:rsid w:val="657D6FEC"/>
    <w:rsid w:val="657EFF72"/>
    <w:rsid w:val="6584CEED"/>
    <w:rsid w:val="6585AC69"/>
    <w:rsid w:val="658705E7"/>
    <w:rsid w:val="65988DCE"/>
    <w:rsid w:val="65A185E2"/>
    <w:rsid w:val="65A4308A"/>
    <w:rsid w:val="65A5530E"/>
    <w:rsid w:val="65B06751"/>
    <w:rsid w:val="65B4A327"/>
    <w:rsid w:val="65B60EFB"/>
    <w:rsid w:val="65D0CBF2"/>
    <w:rsid w:val="65D4FB25"/>
    <w:rsid w:val="65D56D9B"/>
    <w:rsid w:val="65D75867"/>
    <w:rsid w:val="65DD1EA3"/>
    <w:rsid w:val="65DE894A"/>
    <w:rsid w:val="65E18813"/>
    <w:rsid w:val="65E8317D"/>
    <w:rsid w:val="65EDD5EF"/>
    <w:rsid w:val="65FCB6A2"/>
    <w:rsid w:val="65FCF025"/>
    <w:rsid w:val="6601E81B"/>
    <w:rsid w:val="66105724"/>
    <w:rsid w:val="66156A2D"/>
    <w:rsid w:val="661CEEF3"/>
    <w:rsid w:val="661FE86F"/>
    <w:rsid w:val="66258306"/>
    <w:rsid w:val="66269622"/>
    <w:rsid w:val="663C7CA2"/>
    <w:rsid w:val="6642D102"/>
    <w:rsid w:val="664A614A"/>
    <w:rsid w:val="664DC65B"/>
    <w:rsid w:val="6658BB57"/>
    <w:rsid w:val="6659F6F6"/>
    <w:rsid w:val="665CABE3"/>
    <w:rsid w:val="665F3555"/>
    <w:rsid w:val="665F72AE"/>
    <w:rsid w:val="665FFA1C"/>
    <w:rsid w:val="66601BFD"/>
    <w:rsid w:val="666212CB"/>
    <w:rsid w:val="66622831"/>
    <w:rsid w:val="666333AA"/>
    <w:rsid w:val="66643A47"/>
    <w:rsid w:val="666789B1"/>
    <w:rsid w:val="666B40B1"/>
    <w:rsid w:val="667C0A1E"/>
    <w:rsid w:val="66807BE3"/>
    <w:rsid w:val="6681FCAC"/>
    <w:rsid w:val="668A59E8"/>
    <w:rsid w:val="668C17AB"/>
    <w:rsid w:val="668DB8DA"/>
    <w:rsid w:val="669328EC"/>
    <w:rsid w:val="6696994C"/>
    <w:rsid w:val="66A1D79A"/>
    <w:rsid w:val="66A23563"/>
    <w:rsid w:val="66AB601B"/>
    <w:rsid w:val="66B10666"/>
    <w:rsid w:val="66B5DF3E"/>
    <w:rsid w:val="66BA7F48"/>
    <w:rsid w:val="66BF8817"/>
    <w:rsid w:val="66C62A59"/>
    <w:rsid w:val="66D56DC4"/>
    <w:rsid w:val="66D65ABF"/>
    <w:rsid w:val="66DC8EF6"/>
    <w:rsid w:val="66DEA31C"/>
    <w:rsid w:val="66E33FA8"/>
    <w:rsid w:val="66E6858B"/>
    <w:rsid w:val="66E8E292"/>
    <w:rsid w:val="66ED181A"/>
    <w:rsid w:val="66FA11FD"/>
    <w:rsid w:val="67105937"/>
    <w:rsid w:val="67116A3E"/>
    <w:rsid w:val="6722AF8B"/>
    <w:rsid w:val="672A4DD4"/>
    <w:rsid w:val="672AA769"/>
    <w:rsid w:val="672F0B2F"/>
    <w:rsid w:val="67380F1C"/>
    <w:rsid w:val="673D36BB"/>
    <w:rsid w:val="6742D81B"/>
    <w:rsid w:val="6747CB1E"/>
    <w:rsid w:val="674C1025"/>
    <w:rsid w:val="674D3FD7"/>
    <w:rsid w:val="67501823"/>
    <w:rsid w:val="6752DD7B"/>
    <w:rsid w:val="67530168"/>
    <w:rsid w:val="67551EF9"/>
    <w:rsid w:val="676039B7"/>
    <w:rsid w:val="6761C194"/>
    <w:rsid w:val="67687784"/>
    <w:rsid w:val="67794485"/>
    <w:rsid w:val="6782F021"/>
    <w:rsid w:val="678A3ABF"/>
    <w:rsid w:val="678F0FC5"/>
    <w:rsid w:val="6791D97A"/>
    <w:rsid w:val="679A9783"/>
    <w:rsid w:val="67A42255"/>
    <w:rsid w:val="67A8E39F"/>
    <w:rsid w:val="67B1CC9A"/>
    <w:rsid w:val="67BC5073"/>
    <w:rsid w:val="67C58129"/>
    <w:rsid w:val="67C80FE3"/>
    <w:rsid w:val="67C88EED"/>
    <w:rsid w:val="67C8B19B"/>
    <w:rsid w:val="67E8C30C"/>
    <w:rsid w:val="680999EB"/>
    <w:rsid w:val="681175AE"/>
    <w:rsid w:val="68118A25"/>
    <w:rsid w:val="6818D217"/>
    <w:rsid w:val="6823170A"/>
    <w:rsid w:val="68243D88"/>
    <w:rsid w:val="68269950"/>
    <w:rsid w:val="682DD392"/>
    <w:rsid w:val="682E22C3"/>
    <w:rsid w:val="6837AFC4"/>
    <w:rsid w:val="683A4266"/>
    <w:rsid w:val="684384E3"/>
    <w:rsid w:val="6843F56B"/>
    <w:rsid w:val="684A93DA"/>
    <w:rsid w:val="68586642"/>
    <w:rsid w:val="685B0888"/>
    <w:rsid w:val="685BDC57"/>
    <w:rsid w:val="68613EAE"/>
    <w:rsid w:val="686668F0"/>
    <w:rsid w:val="686A0CD0"/>
    <w:rsid w:val="686B4F3E"/>
    <w:rsid w:val="687A172E"/>
    <w:rsid w:val="68801549"/>
    <w:rsid w:val="68807BD3"/>
    <w:rsid w:val="6881E507"/>
    <w:rsid w:val="68937680"/>
    <w:rsid w:val="68981F98"/>
    <w:rsid w:val="689DFDD0"/>
    <w:rsid w:val="68BB620B"/>
    <w:rsid w:val="68BBC250"/>
    <w:rsid w:val="68C69024"/>
    <w:rsid w:val="68C82D99"/>
    <w:rsid w:val="68CF5A54"/>
    <w:rsid w:val="68D6AC32"/>
    <w:rsid w:val="68ED55D5"/>
    <w:rsid w:val="68F437FB"/>
    <w:rsid w:val="68F81741"/>
    <w:rsid w:val="68FB429B"/>
    <w:rsid w:val="690EC930"/>
    <w:rsid w:val="69123914"/>
    <w:rsid w:val="6917D7C8"/>
    <w:rsid w:val="6923FAE3"/>
    <w:rsid w:val="692C0A2A"/>
    <w:rsid w:val="692FACD6"/>
    <w:rsid w:val="6932C1F6"/>
    <w:rsid w:val="69336D8F"/>
    <w:rsid w:val="6933FF76"/>
    <w:rsid w:val="69387E06"/>
    <w:rsid w:val="69643499"/>
    <w:rsid w:val="6964EB98"/>
    <w:rsid w:val="6965B2B3"/>
    <w:rsid w:val="6971903F"/>
    <w:rsid w:val="6977FE20"/>
    <w:rsid w:val="697C5679"/>
    <w:rsid w:val="697F320D"/>
    <w:rsid w:val="698804E0"/>
    <w:rsid w:val="69890CB8"/>
    <w:rsid w:val="6989F3C9"/>
    <w:rsid w:val="698B8F88"/>
    <w:rsid w:val="69935149"/>
    <w:rsid w:val="69958EAC"/>
    <w:rsid w:val="69980B63"/>
    <w:rsid w:val="69A5E6C0"/>
    <w:rsid w:val="69A6363D"/>
    <w:rsid w:val="69A6A224"/>
    <w:rsid w:val="69A974C7"/>
    <w:rsid w:val="69AAB55C"/>
    <w:rsid w:val="69AB1714"/>
    <w:rsid w:val="69ABCAA1"/>
    <w:rsid w:val="69AF87C9"/>
    <w:rsid w:val="69B289CC"/>
    <w:rsid w:val="69BC9593"/>
    <w:rsid w:val="69BE49D9"/>
    <w:rsid w:val="69C6EEE7"/>
    <w:rsid w:val="69CF0D1F"/>
    <w:rsid w:val="69DA229C"/>
    <w:rsid w:val="69DC0B89"/>
    <w:rsid w:val="69EA3F79"/>
    <w:rsid w:val="69EDEA58"/>
    <w:rsid w:val="69F5DCBE"/>
    <w:rsid w:val="69F876A9"/>
    <w:rsid w:val="6A0AD51A"/>
    <w:rsid w:val="6A118098"/>
    <w:rsid w:val="6A1D5722"/>
    <w:rsid w:val="6A28E3C9"/>
    <w:rsid w:val="6A49DF95"/>
    <w:rsid w:val="6A4BE11C"/>
    <w:rsid w:val="6A4DFA8A"/>
    <w:rsid w:val="6A5D851A"/>
    <w:rsid w:val="6A6F2F17"/>
    <w:rsid w:val="6A7319CA"/>
    <w:rsid w:val="6A7361AE"/>
    <w:rsid w:val="6A761F54"/>
    <w:rsid w:val="6A7B141D"/>
    <w:rsid w:val="6A8F543C"/>
    <w:rsid w:val="6A907353"/>
    <w:rsid w:val="6A908389"/>
    <w:rsid w:val="6AA03BC4"/>
    <w:rsid w:val="6AA81044"/>
    <w:rsid w:val="6AADE0B0"/>
    <w:rsid w:val="6AB803B8"/>
    <w:rsid w:val="6AC5CAC3"/>
    <w:rsid w:val="6AC87D29"/>
    <w:rsid w:val="6ACA1823"/>
    <w:rsid w:val="6AD0B495"/>
    <w:rsid w:val="6AD1B23E"/>
    <w:rsid w:val="6AD33138"/>
    <w:rsid w:val="6ADEBBFB"/>
    <w:rsid w:val="6AE29076"/>
    <w:rsid w:val="6AE5AEA3"/>
    <w:rsid w:val="6AE933C9"/>
    <w:rsid w:val="6AEBAC91"/>
    <w:rsid w:val="6B04663C"/>
    <w:rsid w:val="6B0A9373"/>
    <w:rsid w:val="6B1EF702"/>
    <w:rsid w:val="6B1EFD81"/>
    <w:rsid w:val="6B26C441"/>
    <w:rsid w:val="6B2E52D3"/>
    <w:rsid w:val="6B331215"/>
    <w:rsid w:val="6B3B1B20"/>
    <w:rsid w:val="6B3B52B2"/>
    <w:rsid w:val="6B44EEE3"/>
    <w:rsid w:val="6B49BC18"/>
    <w:rsid w:val="6B4D8971"/>
    <w:rsid w:val="6B51F64C"/>
    <w:rsid w:val="6B5D238E"/>
    <w:rsid w:val="6B5F894B"/>
    <w:rsid w:val="6B609429"/>
    <w:rsid w:val="6B6639BE"/>
    <w:rsid w:val="6B769FF3"/>
    <w:rsid w:val="6B7B0814"/>
    <w:rsid w:val="6B86D2C3"/>
    <w:rsid w:val="6B8BBC98"/>
    <w:rsid w:val="6B9905C3"/>
    <w:rsid w:val="6B9CCA65"/>
    <w:rsid w:val="6BA7D13B"/>
    <w:rsid w:val="6BB429B7"/>
    <w:rsid w:val="6BC11568"/>
    <w:rsid w:val="6BC1B41A"/>
    <w:rsid w:val="6BC2CCF8"/>
    <w:rsid w:val="6BC5D5E2"/>
    <w:rsid w:val="6BCD1BFA"/>
    <w:rsid w:val="6BD08F49"/>
    <w:rsid w:val="6BD4010E"/>
    <w:rsid w:val="6BD49E5A"/>
    <w:rsid w:val="6BE731A6"/>
    <w:rsid w:val="6BE79CF6"/>
    <w:rsid w:val="6BF52D49"/>
    <w:rsid w:val="6BF643E4"/>
    <w:rsid w:val="6C020C98"/>
    <w:rsid w:val="6C03EDDC"/>
    <w:rsid w:val="6C05900C"/>
    <w:rsid w:val="6C06373A"/>
    <w:rsid w:val="6C0AB6E7"/>
    <w:rsid w:val="6C0CAB1E"/>
    <w:rsid w:val="6C13E4CE"/>
    <w:rsid w:val="6C1592F8"/>
    <w:rsid w:val="6C18E3EA"/>
    <w:rsid w:val="6C2172C6"/>
    <w:rsid w:val="6C3060D0"/>
    <w:rsid w:val="6C33EF22"/>
    <w:rsid w:val="6C373568"/>
    <w:rsid w:val="6C37D916"/>
    <w:rsid w:val="6C3B141B"/>
    <w:rsid w:val="6C3B96F5"/>
    <w:rsid w:val="6C3F713E"/>
    <w:rsid w:val="6C45FD1D"/>
    <w:rsid w:val="6C48551C"/>
    <w:rsid w:val="6C4B4912"/>
    <w:rsid w:val="6C528CB2"/>
    <w:rsid w:val="6C5AEB1F"/>
    <w:rsid w:val="6C5AEBCE"/>
    <w:rsid w:val="6C6132AA"/>
    <w:rsid w:val="6C69CE7F"/>
    <w:rsid w:val="6C766560"/>
    <w:rsid w:val="6C8787ED"/>
    <w:rsid w:val="6C88FB7B"/>
    <w:rsid w:val="6C8A5281"/>
    <w:rsid w:val="6C8CFED5"/>
    <w:rsid w:val="6C96C664"/>
    <w:rsid w:val="6C9F5154"/>
    <w:rsid w:val="6CA2A111"/>
    <w:rsid w:val="6CAF61E6"/>
    <w:rsid w:val="6CB26A48"/>
    <w:rsid w:val="6CB9921D"/>
    <w:rsid w:val="6CC5FC8D"/>
    <w:rsid w:val="6CDB2DAC"/>
    <w:rsid w:val="6CDE59BE"/>
    <w:rsid w:val="6CE4B3ED"/>
    <w:rsid w:val="6CE56CE5"/>
    <w:rsid w:val="6CF7AEAB"/>
    <w:rsid w:val="6D005514"/>
    <w:rsid w:val="6D07BD96"/>
    <w:rsid w:val="6D0991DE"/>
    <w:rsid w:val="6D1143A1"/>
    <w:rsid w:val="6D144D7D"/>
    <w:rsid w:val="6D1677FF"/>
    <w:rsid w:val="6D2EE76D"/>
    <w:rsid w:val="6D303373"/>
    <w:rsid w:val="6D3B07A1"/>
    <w:rsid w:val="6D3C13C9"/>
    <w:rsid w:val="6D3CEEB2"/>
    <w:rsid w:val="6D443C1D"/>
    <w:rsid w:val="6D450507"/>
    <w:rsid w:val="6D464F41"/>
    <w:rsid w:val="6D4DF094"/>
    <w:rsid w:val="6D55BDC4"/>
    <w:rsid w:val="6D5801AC"/>
    <w:rsid w:val="6D5ED98E"/>
    <w:rsid w:val="6D5FA706"/>
    <w:rsid w:val="6D608C8E"/>
    <w:rsid w:val="6D6A83E2"/>
    <w:rsid w:val="6D6D8B34"/>
    <w:rsid w:val="6D70E5D6"/>
    <w:rsid w:val="6D75C385"/>
    <w:rsid w:val="6D849D11"/>
    <w:rsid w:val="6D85479B"/>
    <w:rsid w:val="6D8F0C0E"/>
    <w:rsid w:val="6D999B62"/>
    <w:rsid w:val="6D9D761F"/>
    <w:rsid w:val="6D9DE58A"/>
    <w:rsid w:val="6DA24DD9"/>
    <w:rsid w:val="6DA78553"/>
    <w:rsid w:val="6DB179AE"/>
    <w:rsid w:val="6DB58DDE"/>
    <w:rsid w:val="6DBD7A99"/>
    <w:rsid w:val="6DC4CB5D"/>
    <w:rsid w:val="6DC72659"/>
    <w:rsid w:val="6DC7C1D0"/>
    <w:rsid w:val="6DD7F055"/>
    <w:rsid w:val="6DE4E07A"/>
    <w:rsid w:val="6DE6B83A"/>
    <w:rsid w:val="6DE7077B"/>
    <w:rsid w:val="6DEA606E"/>
    <w:rsid w:val="6DEE49A0"/>
    <w:rsid w:val="6DEE4A6D"/>
    <w:rsid w:val="6DF33C28"/>
    <w:rsid w:val="6E067256"/>
    <w:rsid w:val="6E0EC99F"/>
    <w:rsid w:val="6E17FF30"/>
    <w:rsid w:val="6E19DBF1"/>
    <w:rsid w:val="6E1D1D52"/>
    <w:rsid w:val="6E1E8D36"/>
    <w:rsid w:val="6E23CAB2"/>
    <w:rsid w:val="6E265E53"/>
    <w:rsid w:val="6E283772"/>
    <w:rsid w:val="6E2AFD0F"/>
    <w:rsid w:val="6E2E74A7"/>
    <w:rsid w:val="6E32C048"/>
    <w:rsid w:val="6E36DBD9"/>
    <w:rsid w:val="6E37624C"/>
    <w:rsid w:val="6E3C5FDF"/>
    <w:rsid w:val="6E3DF804"/>
    <w:rsid w:val="6E4168DB"/>
    <w:rsid w:val="6E45A79B"/>
    <w:rsid w:val="6E491D36"/>
    <w:rsid w:val="6E498427"/>
    <w:rsid w:val="6E4EF2A9"/>
    <w:rsid w:val="6E501EE3"/>
    <w:rsid w:val="6E518372"/>
    <w:rsid w:val="6E55674E"/>
    <w:rsid w:val="6E5A5CBE"/>
    <w:rsid w:val="6E60FA4D"/>
    <w:rsid w:val="6E67A555"/>
    <w:rsid w:val="6E6E5BC1"/>
    <w:rsid w:val="6E722DBE"/>
    <w:rsid w:val="6E767659"/>
    <w:rsid w:val="6E7A190F"/>
    <w:rsid w:val="6E7A92D5"/>
    <w:rsid w:val="6E7B9BBB"/>
    <w:rsid w:val="6E7C0BF0"/>
    <w:rsid w:val="6E903EC6"/>
    <w:rsid w:val="6E9C425D"/>
    <w:rsid w:val="6E9D6155"/>
    <w:rsid w:val="6EA377A7"/>
    <w:rsid w:val="6EA41717"/>
    <w:rsid w:val="6EA573E7"/>
    <w:rsid w:val="6EB69B1F"/>
    <w:rsid w:val="6EB75062"/>
    <w:rsid w:val="6EB803AD"/>
    <w:rsid w:val="6EBB44AC"/>
    <w:rsid w:val="6EBE8450"/>
    <w:rsid w:val="6EBFFD9A"/>
    <w:rsid w:val="6EC6FA4A"/>
    <w:rsid w:val="6EC9EFD0"/>
    <w:rsid w:val="6ED3E012"/>
    <w:rsid w:val="6ED6BAB3"/>
    <w:rsid w:val="6ED8AA69"/>
    <w:rsid w:val="6EDBE103"/>
    <w:rsid w:val="6EE35BB9"/>
    <w:rsid w:val="6EE966BF"/>
    <w:rsid w:val="6EF9F831"/>
    <w:rsid w:val="6EFA0244"/>
    <w:rsid w:val="6EFA3E49"/>
    <w:rsid w:val="6F057264"/>
    <w:rsid w:val="6F0E0189"/>
    <w:rsid w:val="6F12DD32"/>
    <w:rsid w:val="6F149EF8"/>
    <w:rsid w:val="6F1B220F"/>
    <w:rsid w:val="6F262CB7"/>
    <w:rsid w:val="6F2F4DD4"/>
    <w:rsid w:val="6F31111A"/>
    <w:rsid w:val="6F3FF326"/>
    <w:rsid w:val="6F405A7D"/>
    <w:rsid w:val="6F49BF17"/>
    <w:rsid w:val="6F4DC368"/>
    <w:rsid w:val="6F53707C"/>
    <w:rsid w:val="6F564D79"/>
    <w:rsid w:val="6F5A4678"/>
    <w:rsid w:val="6F5CC579"/>
    <w:rsid w:val="6F5D6587"/>
    <w:rsid w:val="6F5DB9A1"/>
    <w:rsid w:val="6F7ADB57"/>
    <w:rsid w:val="6F7EF41E"/>
    <w:rsid w:val="6F83B1F2"/>
    <w:rsid w:val="6F850F62"/>
    <w:rsid w:val="6F887886"/>
    <w:rsid w:val="6F9463F2"/>
    <w:rsid w:val="6F97A5C7"/>
    <w:rsid w:val="6F9B1217"/>
    <w:rsid w:val="6F9FAC24"/>
    <w:rsid w:val="6FA0A6D8"/>
    <w:rsid w:val="6FA5927B"/>
    <w:rsid w:val="6FA73D85"/>
    <w:rsid w:val="6FA7A822"/>
    <w:rsid w:val="6FBAFD3F"/>
    <w:rsid w:val="6FC33CB4"/>
    <w:rsid w:val="6FC786C6"/>
    <w:rsid w:val="6FCC328A"/>
    <w:rsid w:val="6FCF998B"/>
    <w:rsid w:val="6FD03C81"/>
    <w:rsid w:val="6FD4B1EF"/>
    <w:rsid w:val="6FEB08FD"/>
    <w:rsid w:val="6FF1FFB5"/>
    <w:rsid w:val="70073210"/>
    <w:rsid w:val="700D30FA"/>
    <w:rsid w:val="700EE826"/>
    <w:rsid w:val="701B10CE"/>
    <w:rsid w:val="701DD011"/>
    <w:rsid w:val="70241C25"/>
    <w:rsid w:val="70418CCA"/>
    <w:rsid w:val="704705BC"/>
    <w:rsid w:val="7049E93A"/>
    <w:rsid w:val="704DEADF"/>
    <w:rsid w:val="704F7586"/>
    <w:rsid w:val="7052229C"/>
    <w:rsid w:val="705C4F6B"/>
    <w:rsid w:val="705C8612"/>
    <w:rsid w:val="705F3B76"/>
    <w:rsid w:val="706B51B0"/>
    <w:rsid w:val="706EAE9D"/>
    <w:rsid w:val="7070C4E8"/>
    <w:rsid w:val="707116B0"/>
    <w:rsid w:val="7071A860"/>
    <w:rsid w:val="7073F695"/>
    <w:rsid w:val="707C654C"/>
    <w:rsid w:val="7089B9C6"/>
    <w:rsid w:val="7089D92F"/>
    <w:rsid w:val="708BB2E9"/>
    <w:rsid w:val="70907F03"/>
    <w:rsid w:val="7092B91E"/>
    <w:rsid w:val="7093A50C"/>
    <w:rsid w:val="709C8E70"/>
    <w:rsid w:val="709CC794"/>
    <w:rsid w:val="709F855D"/>
    <w:rsid w:val="70A5374A"/>
    <w:rsid w:val="70A96D5F"/>
    <w:rsid w:val="70AB0F39"/>
    <w:rsid w:val="70B4EC83"/>
    <w:rsid w:val="70B952E9"/>
    <w:rsid w:val="70BA0BD5"/>
    <w:rsid w:val="70BE6B68"/>
    <w:rsid w:val="70C87F3B"/>
    <w:rsid w:val="70DA1E02"/>
    <w:rsid w:val="70E287E7"/>
    <w:rsid w:val="70E86DFE"/>
    <w:rsid w:val="70E8DAE0"/>
    <w:rsid w:val="70EB97B8"/>
    <w:rsid w:val="70ED3E50"/>
    <w:rsid w:val="70ED7C74"/>
    <w:rsid w:val="70EF26D0"/>
    <w:rsid w:val="70EFD2F4"/>
    <w:rsid w:val="70F6CA2D"/>
    <w:rsid w:val="70FB9A56"/>
    <w:rsid w:val="70FB9B83"/>
    <w:rsid w:val="70FC891F"/>
    <w:rsid w:val="70FD5C8C"/>
    <w:rsid w:val="70FE8149"/>
    <w:rsid w:val="70FEC19E"/>
    <w:rsid w:val="70FFDEA9"/>
    <w:rsid w:val="71018775"/>
    <w:rsid w:val="71075E80"/>
    <w:rsid w:val="7114B245"/>
    <w:rsid w:val="71163F84"/>
    <w:rsid w:val="71181898"/>
    <w:rsid w:val="7119F9B6"/>
    <w:rsid w:val="711E50DE"/>
    <w:rsid w:val="71207256"/>
    <w:rsid w:val="71285FDA"/>
    <w:rsid w:val="712DFA06"/>
    <w:rsid w:val="7133BD69"/>
    <w:rsid w:val="7136A029"/>
    <w:rsid w:val="713B3212"/>
    <w:rsid w:val="7140A83E"/>
    <w:rsid w:val="714516BC"/>
    <w:rsid w:val="71468E61"/>
    <w:rsid w:val="714AED8B"/>
    <w:rsid w:val="71536F19"/>
    <w:rsid w:val="715DF242"/>
    <w:rsid w:val="7167088E"/>
    <w:rsid w:val="7175E893"/>
    <w:rsid w:val="717663F2"/>
    <w:rsid w:val="717CD3D5"/>
    <w:rsid w:val="7185184D"/>
    <w:rsid w:val="7189F4A4"/>
    <w:rsid w:val="71941DF3"/>
    <w:rsid w:val="71950C75"/>
    <w:rsid w:val="71976FC7"/>
    <w:rsid w:val="719AE409"/>
    <w:rsid w:val="71A06CB2"/>
    <w:rsid w:val="71A405FB"/>
    <w:rsid w:val="71A6B937"/>
    <w:rsid w:val="71B0414B"/>
    <w:rsid w:val="71B74276"/>
    <w:rsid w:val="71BA3AC7"/>
    <w:rsid w:val="71BE0933"/>
    <w:rsid w:val="71BEBC3A"/>
    <w:rsid w:val="71BF1F89"/>
    <w:rsid w:val="71C67B9A"/>
    <w:rsid w:val="71D6EA9D"/>
    <w:rsid w:val="71D8DF7B"/>
    <w:rsid w:val="71DBE9C9"/>
    <w:rsid w:val="71E04682"/>
    <w:rsid w:val="71E71F2D"/>
    <w:rsid w:val="71EEA938"/>
    <w:rsid w:val="71EF0341"/>
    <w:rsid w:val="71F03E6D"/>
    <w:rsid w:val="71F3D549"/>
    <w:rsid w:val="71F476ED"/>
    <w:rsid w:val="71F52FD1"/>
    <w:rsid w:val="71F6F3AE"/>
    <w:rsid w:val="71F8F93A"/>
    <w:rsid w:val="71FDF1D3"/>
    <w:rsid w:val="71FF98BF"/>
    <w:rsid w:val="72040DDB"/>
    <w:rsid w:val="72065EE5"/>
    <w:rsid w:val="720D692C"/>
    <w:rsid w:val="72136894"/>
    <w:rsid w:val="7213F180"/>
    <w:rsid w:val="721B9A6D"/>
    <w:rsid w:val="721C77DE"/>
    <w:rsid w:val="72228FA9"/>
    <w:rsid w:val="7223E486"/>
    <w:rsid w:val="7228DF0C"/>
    <w:rsid w:val="722ADA79"/>
    <w:rsid w:val="722C6E5E"/>
    <w:rsid w:val="722D45EE"/>
    <w:rsid w:val="7231C048"/>
    <w:rsid w:val="72327920"/>
    <w:rsid w:val="7233462C"/>
    <w:rsid w:val="72382033"/>
    <w:rsid w:val="7239EC35"/>
    <w:rsid w:val="723B2959"/>
    <w:rsid w:val="72418267"/>
    <w:rsid w:val="72452FE6"/>
    <w:rsid w:val="72529778"/>
    <w:rsid w:val="7253CBA6"/>
    <w:rsid w:val="72605797"/>
    <w:rsid w:val="7262F7FA"/>
    <w:rsid w:val="7264A666"/>
    <w:rsid w:val="7265BED4"/>
    <w:rsid w:val="727EB82A"/>
    <w:rsid w:val="728D76DD"/>
    <w:rsid w:val="729319DE"/>
    <w:rsid w:val="729977E8"/>
    <w:rsid w:val="729BB360"/>
    <w:rsid w:val="729CCE88"/>
    <w:rsid w:val="72B0B7EF"/>
    <w:rsid w:val="72B5C25C"/>
    <w:rsid w:val="72BCB945"/>
    <w:rsid w:val="72C16A9F"/>
    <w:rsid w:val="72C1CB06"/>
    <w:rsid w:val="72C244BF"/>
    <w:rsid w:val="72C9CD56"/>
    <w:rsid w:val="72CC14F1"/>
    <w:rsid w:val="72CE85E8"/>
    <w:rsid w:val="72CFBCFC"/>
    <w:rsid w:val="72D02ECE"/>
    <w:rsid w:val="72D1907E"/>
    <w:rsid w:val="72D48B6D"/>
    <w:rsid w:val="72D61ECF"/>
    <w:rsid w:val="72DC8F93"/>
    <w:rsid w:val="72E1CF0E"/>
    <w:rsid w:val="72E24AFD"/>
    <w:rsid w:val="72EA1F2E"/>
    <w:rsid w:val="73036F5C"/>
    <w:rsid w:val="73039AF1"/>
    <w:rsid w:val="730A916B"/>
    <w:rsid w:val="730E171B"/>
    <w:rsid w:val="730E95A1"/>
    <w:rsid w:val="731CC616"/>
    <w:rsid w:val="731F4E22"/>
    <w:rsid w:val="7328EF88"/>
    <w:rsid w:val="73354FAB"/>
    <w:rsid w:val="733F3A30"/>
    <w:rsid w:val="7343F368"/>
    <w:rsid w:val="734802AA"/>
    <w:rsid w:val="73494011"/>
    <w:rsid w:val="734EDC8C"/>
    <w:rsid w:val="734F4460"/>
    <w:rsid w:val="7351B7AD"/>
    <w:rsid w:val="7357319F"/>
    <w:rsid w:val="735D1F6E"/>
    <w:rsid w:val="735DEC5C"/>
    <w:rsid w:val="73607473"/>
    <w:rsid w:val="7368C160"/>
    <w:rsid w:val="73761BE8"/>
    <w:rsid w:val="737A280F"/>
    <w:rsid w:val="737AA52F"/>
    <w:rsid w:val="737C77F0"/>
    <w:rsid w:val="738E04B3"/>
    <w:rsid w:val="7392F647"/>
    <w:rsid w:val="73962589"/>
    <w:rsid w:val="739A118F"/>
    <w:rsid w:val="739FB47C"/>
    <w:rsid w:val="73A72E05"/>
    <w:rsid w:val="73C837EE"/>
    <w:rsid w:val="73C8A8CC"/>
    <w:rsid w:val="73CF9F00"/>
    <w:rsid w:val="73D100A7"/>
    <w:rsid w:val="73D3C0D5"/>
    <w:rsid w:val="73DE5392"/>
    <w:rsid w:val="73E2083F"/>
    <w:rsid w:val="73E2E641"/>
    <w:rsid w:val="73E31A52"/>
    <w:rsid w:val="73EE2432"/>
    <w:rsid w:val="73F020A0"/>
    <w:rsid w:val="73F31AB3"/>
    <w:rsid w:val="73F74073"/>
    <w:rsid w:val="73F78450"/>
    <w:rsid w:val="73FECB11"/>
    <w:rsid w:val="73FF7B3C"/>
    <w:rsid w:val="74104B7B"/>
    <w:rsid w:val="7412A5F8"/>
    <w:rsid w:val="7418B4B9"/>
    <w:rsid w:val="7420C690"/>
    <w:rsid w:val="7422A682"/>
    <w:rsid w:val="74288E22"/>
    <w:rsid w:val="742A7F5F"/>
    <w:rsid w:val="74384FD1"/>
    <w:rsid w:val="743993A2"/>
    <w:rsid w:val="743A8CD6"/>
    <w:rsid w:val="743CD6CE"/>
    <w:rsid w:val="743FF466"/>
    <w:rsid w:val="7448E032"/>
    <w:rsid w:val="744DBA03"/>
    <w:rsid w:val="744F1AB5"/>
    <w:rsid w:val="7451C016"/>
    <w:rsid w:val="7452EB26"/>
    <w:rsid w:val="745A818F"/>
    <w:rsid w:val="74614CB6"/>
    <w:rsid w:val="74641168"/>
    <w:rsid w:val="746BD9B7"/>
    <w:rsid w:val="746C9B76"/>
    <w:rsid w:val="746EFECC"/>
    <w:rsid w:val="747438AD"/>
    <w:rsid w:val="74795427"/>
    <w:rsid w:val="747B429A"/>
    <w:rsid w:val="74837F86"/>
    <w:rsid w:val="7486D9C3"/>
    <w:rsid w:val="74878356"/>
    <w:rsid w:val="748E7D9B"/>
    <w:rsid w:val="74986967"/>
    <w:rsid w:val="749926F9"/>
    <w:rsid w:val="749D83CE"/>
    <w:rsid w:val="749E4FD6"/>
    <w:rsid w:val="74B6F1F2"/>
    <w:rsid w:val="74BCB176"/>
    <w:rsid w:val="74BE1918"/>
    <w:rsid w:val="74BF1F5F"/>
    <w:rsid w:val="74C468D7"/>
    <w:rsid w:val="74C7F70A"/>
    <w:rsid w:val="74CC9BE9"/>
    <w:rsid w:val="74D29EF2"/>
    <w:rsid w:val="74D47856"/>
    <w:rsid w:val="74DA6A33"/>
    <w:rsid w:val="74E67D11"/>
    <w:rsid w:val="74E7AD03"/>
    <w:rsid w:val="74E8A0DB"/>
    <w:rsid w:val="74F3B4F8"/>
    <w:rsid w:val="74FA313F"/>
    <w:rsid w:val="75018D74"/>
    <w:rsid w:val="7504DE67"/>
    <w:rsid w:val="7524344A"/>
    <w:rsid w:val="752B5126"/>
    <w:rsid w:val="7535A883"/>
    <w:rsid w:val="75370B4D"/>
    <w:rsid w:val="753EC770"/>
    <w:rsid w:val="7548387C"/>
    <w:rsid w:val="754A808D"/>
    <w:rsid w:val="754FC469"/>
    <w:rsid w:val="755081E9"/>
    <w:rsid w:val="7558BC9C"/>
    <w:rsid w:val="755A9AD3"/>
    <w:rsid w:val="755EF4F2"/>
    <w:rsid w:val="755F240C"/>
    <w:rsid w:val="75613E33"/>
    <w:rsid w:val="7562E6C9"/>
    <w:rsid w:val="7564FD55"/>
    <w:rsid w:val="756540CB"/>
    <w:rsid w:val="7566F5AF"/>
    <w:rsid w:val="756CDC6A"/>
    <w:rsid w:val="756EA7CB"/>
    <w:rsid w:val="75714D32"/>
    <w:rsid w:val="75763D10"/>
    <w:rsid w:val="75788891"/>
    <w:rsid w:val="7579C924"/>
    <w:rsid w:val="7587587C"/>
    <w:rsid w:val="758AF3AA"/>
    <w:rsid w:val="758FCE5D"/>
    <w:rsid w:val="75936669"/>
    <w:rsid w:val="75982393"/>
    <w:rsid w:val="759C0986"/>
    <w:rsid w:val="75A58B48"/>
    <w:rsid w:val="75A67F0C"/>
    <w:rsid w:val="75A79A41"/>
    <w:rsid w:val="75A886DA"/>
    <w:rsid w:val="75AB35AA"/>
    <w:rsid w:val="75AB862E"/>
    <w:rsid w:val="75ADA9EF"/>
    <w:rsid w:val="75B49AB5"/>
    <w:rsid w:val="75B5F455"/>
    <w:rsid w:val="75B89FF7"/>
    <w:rsid w:val="75B8FA59"/>
    <w:rsid w:val="75BE41B6"/>
    <w:rsid w:val="75C3FD06"/>
    <w:rsid w:val="75C6EBAD"/>
    <w:rsid w:val="75C8BEA9"/>
    <w:rsid w:val="75C8EB76"/>
    <w:rsid w:val="75CC14B3"/>
    <w:rsid w:val="75DA5F67"/>
    <w:rsid w:val="75E2C926"/>
    <w:rsid w:val="75FFF54C"/>
    <w:rsid w:val="7604B788"/>
    <w:rsid w:val="760663D9"/>
    <w:rsid w:val="76085242"/>
    <w:rsid w:val="760946D4"/>
    <w:rsid w:val="760FC74D"/>
    <w:rsid w:val="76107619"/>
    <w:rsid w:val="7610D113"/>
    <w:rsid w:val="761C3DD5"/>
    <w:rsid w:val="76231854"/>
    <w:rsid w:val="76254826"/>
    <w:rsid w:val="762A3ABB"/>
    <w:rsid w:val="762A8CF8"/>
    <w:rsid w:val="762F0935"/>
    <w:rsid w:val="763000AA"/>
    <w:rsid w:val="7632AF01"/>
    <w:rsid w:val="76390397"/>
    <w:rsid w:val="7639531F"/>
    <w:rsid w:val="763F1E13"/>
    <w:rsid w:val="764B8C0D"/>
    <w:rsid w:val="76530CF7"/>
    <w:rsid w:val="7658908E"/>
    <w:rsid w:val="7659DA51"/>
    <w:rsid w:val="765DCD5B"/>
    <w:rsid w:val="76655030"/>
    <w:rsid w:val="766BF7C7"/>
    <w:rsid w:val="76844B75"/>
    <w:rsid w:val="768E36CC"/>
    <w:rsid w:val="768E685D"/>
    <w:rsid w:val="768FF4A5"/>
    <w:rsid w:val="769A6945"/>
    <w:rsid w:val="76A10AD9"/>
    <w:rsid w:val="76A60D8F"/>
    <w:rsid w:val="76B465E3"/>
    <w:rsid w:val="76BE8684"/>
    <w:rsid w:val="76C34E6F"/>
    <w:rsid w:val="76CCBD63"/>
    <w:rsid w:val="76DAA1F4"/>
    <w:rsid w:val="76DD774D"/>
    <w:rsid w:val="76DF9A11"/>
    <w:rsid w:val="76EAD5A5"/>
    <w:rsid w:val="76ED2DD5"/>
    <w:rsid w:val="76F71BE0"/>
    <w:rsid w:val="76F9C384"/>
    <w:rsid w:val="770F5FF5"/>
    <w:rsid w:val="77149B95"/>
    <w:rsid w:val="7716D550"/>
    <w:rsid w:val="77172C0D"/>
    <w:rsid w:val="771D6058"/>
    <w:rsid w:val="771D8C5F"/>
    <w:rsid w:val="77200A4C"/>
    <w:rsid w:val="7720B598"/>
    <w:rsid w:val="7724A8C0"/>
    <w:rsid w:val="77344B1E"/>
    <w:rsid w:val="773480DB"/>
    <w:rsid w:val="77354694"/>
    <w:rsid w:val="7736CCA2"/>
    <w:rsid w:val="77405AF3"/>
    <w:rsid w:val="77407302"/>
    <w:rsid w:val="7743C118"/>
    <w:rsid w:val="774F0152"/>
    <w:rsid w:val="774F3A20"/>
    <w:rsid w:val="77515EC8"/>
    <w:rsid w:val="7756668B"/>
    <w:rsid w:val="77598BE7"/>
    <w:rsid w:val="775F1498"/>
    <w:rsid w:val="77636C8C"/>
    <w:rsid w:val="7763AE78"/>
    <w:rsid w:val="7767A86D"/>
    <w:rsid w:val="776ABE11"/>
    <w:rsid w:val="776E853C"/>
    <w:rsid w:val="777269DC"/>
    <w:rsid w:val="77776ED2"/>
    <w:rsid w:val="7778B03D"/>
    <w:rsid w:val="777D396C"/>
    <w:rsid w:val="777EB9CC"/>
    <w:rsid w:val="7782DC1C"/>
    <w:rsid w:val="778C263D"/>
    <w:rsid w:val="778F7DE3"/>
    <w:rsid w:val="778FF04F"/>
    <w:rsid w:val="778FF436"/>
    <w:rsid w:val="77998A04"/>
    <w:rsid w:val="779B2FF0"/>
    <w:rsid w:val="779BB3AA"/>
    <w:rsid w:val="77A44976"/>
    <w:rsid w:val="77A69053"/>
    <w:rsid w:val="77A69604"/>
    <w:rsid w:val="77A96741"/>
    <w:rsid w:val="77BC2873"/>
    <w:rsid w:val="77C391C5"/>
    <w:rsid w:val="77DD6F40"/>
    <w:rsid w:val="77EBC1B2"/>
    <w:rsid w:val="77EF2355"/>
    <w:rsid w:val="77F12F46"/>
    <w:rsid w:val="77F2B203"/>
    <w:rsid w:val="77FD4145"/>
    <w:rsid w:val="7800530A"/>
    <w:rsid w:val="7815FBFA"/>
    <w:rsid w:val="781EFC3C"/>
    <w:rsid w:val="78218DA9"/>
    <w:rsid w:val="78221C4D"/>
    <w:rsid w:val="782F8CF4"/>
    <w:rsid w:val="7836D5AF"/>
    <w:rsid w:val="783AB490"/>
    <w:rsid w:val="783DD976"/>
    <w:rsid w:val="783DEA49"/>
    <w:rsid w:val="784D0ED7"/>
    <w:rsid w:val="78532D5D"/>
    <w:rsid w:val="7857C0CC"/>
    <w:rsid w:val="7859E828"/>
    <w:rsid w:val="786658C0"/>
    <w:rsid w:val="786B36D5"/>
    <w:rsid w:val="78729F9A"/>
    <w:rsid w:val="7875419E"/>
    <w:rsid w:val="78785D8B"/>
    <w:rsid w:val="787C66C8"/>
    <w:rsid w:val="7883DFA4"/>
    <w:rsid w:val="788A4E45"/>
    <w:rsid w:val="78939787"/>
    <w:rsid w:val="78945A6F"/>
    <w:rsid w:val="789588C9"/>
    <w:rsid w:val="7896A4DC"/>
    <w:rsid w:val="78983D52"/>
    <w:rsid w:val="78A17E73"/>
    <w:rsid w:val="78B092A9"/>
    <w:rsid w:val="78B6F3D0"/>
    <w:rsid w:val="78B84B12"/>
    <w:rsid w:val="78B85F11"/>
    <w:rsid w:val="78C0474E"/>
    <w:rsid w:val="78CDE864"/>
    <w:rsid w:val="78D242A5"/>
    <w:rsid w:val="78E11055"/>
    <w:rsid w:val="78E9D10B"/>
    <w:rsid w:val="78EBEBDF"/>
    <w:rsid w:val="78EF6703"/>
    <w:rsid w:val="78F50B38"/>
    <w:rsid w:val="78F644E0"/>
    <w:rsid w:val="79124273"/>
    <w:rsid w:val="791A090C"/>
    <w:rsid w:val="791B8B51"/>
    <w:rsid w:val="792ED867"/>
    <w:rsid w:val="7934B670"/>
    <w:rsid w:val="7935AAD0"/>
    <w:rsid w:val="7937BB8E"/>
    <w:rsid w:val="793C7233"/>
    <w:rsid w:val="793E1D7B"/>
    <w:rsid w:val="7942BFA6"/>
    <w:rsid w:val="79452EB7"/>
    <w:rsid w:val="79472442"/>
    <w:rsid w:val="794BECC7"/>
    <w:rsid w:val="79530597"/>
    <w:rsid w:val="79535ACE"/>
    <w:rsid w:val="7956961F"/>
    <w:rsid w:val="7957ED00"/>
    <w:rsid w:val="796634CA"/>
    <w:rsid w:val="79667FD9"/>
    <w:rsid w:val="7974F690"/>
    <w:rsid w:val="7978902F"/>
    <w:rsid w:val="797D36B5"/>
    <w:rsid w:val="798778F0"/>
    <w:rsid w:val="798F3F50"/>
    <w:rsid w:val="79901F9B"/>
    <w:rsid w:val="799A5F9F"/>
    <w:rsid w:val="79A76270"/>
    <w:rsid w:val="79A7D4DE"/>
    <w:rsid w:val="79B5716D"/>
    <w:rsid w:val="79BCA176"/>
    <w:rsid w:val="79C57FA5"/>
    <w:rsid w:val="79D335B5"/>
    <w:rsid w:val="79D4B906"/>
    <w:rsid w:val="79D8A6AC"/>
    <w:rsid w:val="79DC2196"/>
    <w:rsid w:val="79DCB6A4"/>
    <w:rsid w:val="79DFF2FA"/>
    <w:rsid w:val="79E079A4"/>
    <w:rsid w:val="79E77700"/>
    <w:rsid w:val="79EE1B3E"/>
    <w:rsid w:val="79F2494D"/>
    <w:rsid w:val="79F958BA"/>
    <w:rsid w:val="79FDFE92"/>
    <w:rsid w:val="79FFF0AE"/>
    <w:rsid w:val="7A016923"/>
    <w:rsid w:val="7A04831E"/>
    <w:rsid w:val="7A04B37A"/>
    <w:rsid w:val="7A086D5F"/>
    <w:rsid w:val="7A0F36FB"/>
    <w:rsid w:val="7A149784"/>
    <w:rsid w:val="7A1AE9DA"/>
    <w:rsid w:val="7A1B707F"/>
    <w:rsid w:val="7A1DBB27"/>
    <w:rsid w:val="7A204122"/>
    <w:rsid w:val="7A260BA7"/>
    <w:rsid w:val="7A280810"/>
    <w:rsid w:val="7A2A032E"/>
    <w:rsid w:val="7A2DE06E"/>
    <w:rsid w:val="7A2EB247"/>
    <w:rsid w:val="7A303F83"/>
    <w:rsid w:val="7A354CFD"/>
    <w:rsid w:val="7A3CD1C5"/>
    <w:rsid w:val="7A3E292D"/>
    <w:rsid w:val="7A3F4EC1"/>
    <w:rsid w:val="7A4725F2"/>
    <w:rsid w:val="7A48EB50"/>
    <w:rsid w:val="7A4E9AA7"/>
    <w:rsid w:val="7A4F059A"/>
    <w:rsid w:val="7A569A95"/>
    <w:rsid w:val="7A63AA3A"/>
    <w:rsid w:val="7A6D6C2B"/>
    <w:rsid w:val="7A872D2E"/>
    <w:rsid w:val="7A8B8DAA"/>
    <w:rsid w:val="7A8CEFF9"/>
    <w:rsid w:val="7A8E0936"/>
    <w:rsid w:val="7A918BAC"/>
    <w:rsid w:val="7A9AF04D"/>
    <w:rsid w:val="7A9DB169"/>
    <w:rsid w:val="7AAB56C2"/>
    <w:rsid w:val="7AB372F2"/>
    <w:rsid w:val="7AB615E0"/>
    <w:rsid w:val="7AB6B403"/>
    <w:rsid w:val="7ABA3CA5"/>
    <w:rsid w:val="7ABFC169"/>
    <w:rsid w:val="7AC3CEE8"/>
    <w:rsid w:val="7AC7ABF1"/>
    <w:rsid w:val="7AD15EAF"/>
    <w:rsid w:val="7AD1E74D"/>
    <w:rsid w:val="7AD92228"/>
    <w:rsid w:val="7AE59E52"/>
    <w:rsid w:val="7AED2835"/>
    <w:rsid w:val="7AEF8677"/>
    <w:rsid w:val="7AF56878"/>
    <w:rsid w:val="7AF7742D"/>
    <w:rsid w:val="7AF790DE"/>
    <w:rsid w:val="7B01967F"/>
    <w:rsid w:val="7B02220D"/>
    <w:rsid w:val="7B06B4E0"/>
    <w:rsid w:val="7B1B9015"/>
    <w:rsid w:val="7B20AEEB"/>
    <w:rsid w:val="7B23DD3E"/>
    <w:rsid w:val="7B282455"/>
    <w:rsid w:val="7B2C88E5"/>
    <w:rsid w:val="7B339E62"/>
    <w:rsid w:val="7B42E35F"/>
    <w:rsid w:val="7B47E2AE"/>
    <w:rsid w:val="7B482F54"/>
    <w:rsid w:val="7B486D29"/>
    <w:rsid w:val="7B4B770A"/>
    <w:rsid w:val="7B5562B8"/>
    <w:rsid w:val="7B61B110"/>
    <w:rsid w:val="7B62690C"/>
    <w:rsid w:val="7B6D58BF"/>
    <w:rsid w:val="7B7122DD"/>
    <w:rsid w:val="7B7353CF"/>
    <w:rsid w:val="7B76D45C"/>
    <w:rsid w:val="7B804BFB"/>
    <w:rsid w:val="7B848C1E"/>
    <w:rsid w:val="7B88221C"/>
    <w:rsid w:val="7B8DEC98"/>
    <w:rsid w:val="7B9AEF17"/>
    <w:rsid w:val="7B9EDE22"/>
    <w:rsid w:val="7BB02664"/>
    <w:rsid w:val="7BB2AC43"/>
    <w:rsid w:val="7BB65198"/>
    <w:rsid w:val="7BBF2357"/>
    <w:rsid w:val="7BC0C334"/>
    <w:rsid w:val="7BC2D40F"/>
    <w:rsid w:val="7BC48796"/>
    <w:rsid w:val="7BC6B4CD"/>
    <w:rsid w:val="7BCDEF13"/>
    <w:rsid w:val="7BCFDE69"/>
    <w:rsid w:val="7BDB382D"/>
    <w:rsid w:val="7BEC3949"/>
    <w:rsid w:val="7BEE6EF0"/>
    <w:rsid w:val="7BFD939F"/>
    <w:rsid w:val="7C0398D4"/>
    <w:rsid w:val="7C054946"/>
    <w:rsid w:val="7C112E80"/>
    <w:rsid w:val="7C12A71E"/>
    <w:rsid w:val="7C1C7841"/>
    <w:rsid w:val="7C2C071F"/>
    <w:rsid w:val="7C2E716F"/>
    <w:rsid w:val="7C309466"/>
    <w:rsid w:val="7C321061"/>
    <w:rsid w:val="7C381C1E"/>
    <w:rsid w:val="7C461CD9"/>
    <w:rsid w:val="7C4F12BC"/>
    <w:rsid w:val="7C50CEF7"/>
    <w:rsid w:val="7C53148C"/>
    <w:rsid w:val="7C584853"/>
    <w:rsid w:val="7C67DB66"/>
    <w:rsid w:val="7C6EF6B8"/>
    <w:rsid w:val="7C74C9C4"/>
    <w:rsid w:val="7C80FA18"/>
    <w:rsid w:val="7C95E63D"/>
    <w:rsid w:val="7C97B9C6"/>
    <w:rsid w:val="7C9DC9C3"/>
    <w:rsid w:val="7C9F7409"/>
    <w:rsid w:val="7CA200E2"/>
    <w:rsid w:val="7CA73945"/>
    <w:rsid w:val="7CB079DA"/>
    <w:rsid w:val="7CB9A0F7"/>
    <w:rsid w:val="7CBC7B9E"/>
    <w:rsid w:val="7CC6DFDC"/>
    <w:rsid w:val="7CCDC26A"/>
    <w:rsid w:val="7CCE8C74"/>
    <w:rsid w:val="7CCFCC8B"/>
    <w:rsid w:val="7CCFDCCD"/>
    <w:rsid w:val="7CDA2B76"/>
    <w:rsid w:val="7CDFA88C"/>
    <w:rsid w:val="7CE478D9"/>
    <w:rsid w:val="7CE622B7"/>
    <w:rsid w:val="7CEBC3D6"/>
    <w:rsid w:val="7CEE363F"/>
    <w:rsid w:val="7CEECF6A"/>
    <w:rsid w:val="7CF082AA"/>
    <w:rsid w:val="7CF1B599"/>
    <w:rsid w:val="7CF69D08"/>
    <w:rsid w:val="7CF7F277"/>
    <w:rsid w:val="7CFAF5A8"/>
    <w:rsid w:val="7CFDA07E"/>
    <w:rsid w:val="7D028CBC"/>
    <w:rsid w:val="7D049461"/>
    <w:rsid w:val="7D0B0A9B"/>
    <w:rsid w:val="7D0E2D01"/>
    <w:rsid w:val="7D14EC8D"/>
    <w:rsid w:val="7D1E7ED5"/>
    <w:rsid w:val="7D206901"/>
    <w:rsid w:val="7D2167D0"/>
    <w:rsid w:val="7D21CAA2"/>
    <w:rsid w:val="7D292729"/>
    <w:rsid w:val="7D35132E"/>
    <w:rsid w:val="7D3518B6"/>
    <w:rsid w:val="7D37A64D"/>
    <w:rsid w:val="7D37A7EC"/>
    <w:rsid w:val="7D39EEBB"/>
    <w:rsid w:val="7D3A8B90"/>
    <w:rsid w:val="7D3AACFC"/>
    <w:rsid w:val="7D3CB0BB"/>
    <w:rsid w:val="7D3DF049"/>
    <w:rsid w:val="7D42CF58"/>
    <w:rsid w:val="7D454C79"/>
    <w:rsid w:val="7D57FFBE"/>
    <w:rsid w:val="7D58487F"/>
    <w:rsid w:val="7D5DB352"/>
    <w:rsid w:val="7D5FB7D1"/>
    <w:rsid w:val="7D65A158"/>
    <w:rsid w:val="7D67E66D"/>
    <w:rsid w:val="7D6E75BE"/>
    <w:rsid w:val="7D7D3D4F"/>
    <w:rsid w:val="7D8641DC"/>
    <w:rsid w:val="7D8F72D1"/>
    <w:rsid w:val="7D92EF3F"/>
    <w:rsid w:val="7DA00EE2"/>
    <w:rsid w:val="7DA06A55"/>
    <w:rsid w:val="7DBAFF68"/>
    <w:rsid w:val="7DBB19E7"/>
    <w:rsid w:val="7DCFD432"/>
    <w:rsid w:val="7DDD6421"/>
    <w:rsid w:val="7DDF93B0"/>
    <w:rsid w:val="7DE01200"/>
    <w:rsid w:val="7DE01CFE"/>
    <w:rsid w:val="7DE67DB3"/>
    <w:rsid w:val="7DE77AC5"/>
    <w:rsid w:val="7DE7AC52"/>
    <w:rsid w:val="7DEB32EA"/>
    <w:rsid w:val="7DEF3BDF"/>
    <w:rsid w:val="7DF3CC1B"/>
    <w:rsid w:val="7DF4F7A3"/>
    <w:rsid w:val="7E04AB06"/>
    <w:rsid w:val="7E0AE37E"/>
    <w:rsid w:val="7E0CB76D"/>
    <w:rsid w:val="7E167B3D"/>
    <w:rsid w:val="7E220B28"/>
    <w:rsid w:val="7E23799C"/>
    <w:rsid w:val="7E2A5BA2"/>
    <w:rsid w:val="7E2DD308"/>
    <w:rsid w:val="7E36ACAE"/>
    <w:rsid w:val="7E399600"/>
    <w:rsid w:val="7E3D8207"/>
    <w:rsid w:val="7E420F47"/>
    <w:rsid w:val="7E5533C7"/>
    <w:rsid w:val="7E5A6E4F"/>
    <w:rsid w:val="7E5C2B33"/>
    <w:rsid w:val="7E5E6BF8"/>
    <w:rsid w:val="7E645346"/>
    <w:rsid w:val="7E6578F2"/>
    <w:rsid w:val="7E65869E"/>
    <w:rsid w:val="7E6708D6"/>
    <w:rsid w:val="7E69C57D"/>
    <w:rsid w:val="7E844051"/>
    <w:rsid w:val="7E8DEEA4"/>
    <w:rsid w:val="7E8E5805"/>
    <w:rsid w:val="7E9021E4"/>
    <w:rsid w:val="7E9033EE"/>
    <w:rsid w:val="7E9BC8C6"/>
    <w:rsid w:val="7E9DE9CE"/>
    <w:rsid w:val="7EAD799E"/>
    <w:rsid w:val="7EAEE020"/>
    <w:rsid w:val="7EC40A79"/>
    <w:rsid w:val="7ED2AC4B"/>
    <w:rsid w:val="7ED50CF2"/>
    <w:rsid w:val="7EDD0515"/>
    <w:rsid w:val="7EDE4D89"/>
    <w:rsid w:val="7EE2C459"/>
    <w:rsid w:val="7EE36156"/>
    <w:rsid w:val="7EE39FF1"/>
    <w:rsid w:val="7EEB9657"/>
    <w:rsid w:val="7EEDE9FB"/>
    <w:rsid w:val="7EF08E62"/>
    <w:rsid w:val="7EF22B81"/>
    <w:rsid w:val="7EF4F4BC"/>
    <w:rsid w:val="7EF8046D"/>
    <w:rsid w:val="7F01653B"/>
    <w:rsid w:val="7F024D24"/>
    <w:rsid w:val="7F096635"/>
    <w:rsid w:val="7F0CA82F"/>
    <w:rsid w:val="7F0D5862"/>
    <w:rsid w:val="7F128191"/>
    <w:rsid w:val="7F12AE19"/>
    <w:rsid w:val="7F1F2818"/>
    <w:rsid w:val="7F264D7C"/>
    <w:rsid w:val="7F2E00DE"/>
    <w:rsid w:val="7F2EF6D7"/>
    <w:rsid w:val="7F2F8B2F"/>
    <w:rsid w:val="7F3E8E03"/>
    <w:rsid w:val="7F3FF89D"/>
    <w:rsid w:val="7F41F16B"/>
    <w:rsid w:val="7F4838EB"/>
    <w:rsid w:val="7F4B3C97"/>
    <w:rsid w:val="7F51D7EF"/>
    <w:rsid w:val="7F546CBF"/>
    <w:rsid w:val="7F69F6B6"/>
    <w:rsid w:val="7F70394B"/>
    <w:rsid w:val="7F719502"/>
    <w:rsid w:val="7F72AAD4"/>
    <w:rsid w:val="7F7B5F6B"/>
    <w:rsid w:val="7F7C5C79"/>
    <w:rsid w:val="7F7DFF73"/>
    <w:rsid w:val="7F823467"/>
    <w:rsid w:val="7F823AC3"/>
    <w:rsid w:val="7F8955D3"/>
    <w:rsid w:val="7F98D9E6"/>
    <w:rsid w:val="7F9C933F"/>
    <w:rsid w:val="7F9C9A22"/>
    <w:rsid w:val="7F9E65D0"/>
    <w:rsid w:val="7F9F246C"/>
    <w:rsid w:val="7FA6758C"/>
    <w:rsid w:val="7FA68633"/>
    <w:rsid w:val="7FB171F9"/>
    <w:rsid w:val="7FB2C951"/>
    <w:rsid w:val="7FBB23F7"/>
    <w:rsid w:val="7FBEE1E0"/>
    <w:rsid w:val="7FC04019"/>
    <w:rsid w:val="7FC1EB79"/>
    <w:rsid w:val="7FC5B8BC"/>
    <w:rsid w:val="7FC854C9"/>
    <w:rsid w:val="7FCC79FA"/>
    <w:rsid w:val="7FCD3876"/>
    <w:rsid w:val="7FD14149"/>
    <w:rsid w:val="7FD2CFFE"/>
    <w:rsid w:val="7FD3B094"/>
    <w:rsid w:val="7FD67C8C"/>
    <w:rsid w:val="7FE003E5"/>
    <w:rsid w:val="7FE23B71"/>
    <w:rsid w:val="7FE5FCB3"/>
    <w:rsid w:val="7FE87CE5"/>
    <w:rsid w:val="7FED1CF0"/>
    <w:rsid w:val="7FF2A715"/>
    <w:rsid w:val="7FFE31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48CA"/>
  <w15:chartTrackingRefBased/>
  <w15:docId w15:val="{8EE51A6E-EED0-4F87-AA45-B42ED219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2761AC03"/>
    <w:pPr>
      <w:spacing w:after="0"/>
    </w:pPr>
    <w:rPr>
      <w:rFonts w:ascii="Arial" w:eastAsia="Times New Roman" w:hAnsi="Arial" w:cs="Times New Roman"/>
      <w:sz w:val="24"/>
      <w:szCs w:val="24"/>
    </w:rPr>
  </w:style>
  <w:style w:type="paragraph" w:styleId="Heading1">
    <w:name w:val="heading 1"/>
    <w:basedOn w:val="Normal"/>
    <w:next w:val="Normal"/>
    <w:link w:val="Heading1Char"/>
    <w:uiPriority w:val="9"/>
    <w:qFormat/>
    <w:rsid w:val="2761AC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qFormat/>
    <w:rsid w:val="2761AC03"/>
    <w:pPr>
      <w:spacing w:before="240"/>
      <w:outlineLvl w:val="1"/>
    </w:pPr>
    <w:rPr>
      <w:b/>
      <w:bCs/>
      <w:i/>
      <w:iCs/>
      <w:sz w:val="28"/>
      <w:szCs w:val="28"/>
    </w:rPr>
  </w:style>
  <w:style w:type="paragraph" w:styleId="Heading3">
    <w:name w:val="heading 3"/>
    <w:basedOn w:val="Normal"/>
    <w:next w:val="Normal"/>
    <w:link w:val="Heading3Char"/>
    <w:uiPriority w:val="9"/>
    <w:unhideWhenUsed/>
    <w:qFormat/>
    <w:rsid w:val="2761AC03"/>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2761AC0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2761AC0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2761AC03"/>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2761AC03"/>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2761AC03"/>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2761AC03"/>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2761AC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22C"/>
    <w:rPr>
      <w:rFonts w:ascii="Segoe UI" w:hAnsi="Segoe UI" w:cs="Segoe UI"/>
      <w:sz w:val="18"/>
      <w:szCs w:val="18"/>
    </w:rPr>
  </w:style>
  <w:style w:type="character" w:customStyle="1" w:styleId="Heading2Char">
    <w:name w:val="Heading 2 Char"/>
    <w:basedOn w:val="DefaultParagraphFont"/>
    <w:link w:val="Heading2"/>
    <w:rsid w:val="003D222C"/>
    <w:rPr>
      <w:rFonts w:ascii="Arial" w:eastAsia="Times New Roman" w:hAnsi="Arial" w:cs="Times New Roman"/>
      <w:b/>
      <w:i/>
      <w:kern w:val="28"/>
      <w:sz w:val="28"/>
      <w:szCs w:val="28"/>
    </w:rPr>
  </w:style>
  <w:style w:type="paragraph" w:styleId="ListParagraph">
    <w:name w:val="List Paragraph"/>
    <w:basedOn w:val="Normal"/>
    <w:link w:val="ListParagraphChar"/>
    <w:uiPriority w:val="34"/>
    <w:qFormat/>
    <w:rsid w:val="2761AC03"/>
    <w:pPr>
      <w:spacing w:after="240"/>
      <w:ind w:left="720"/>
      <w:contextualSpacing/>
    </w:pPr>
    <w:rPr>
      <w:lang w:eastAsia="en-GB"/>
    </w:rPr>
  </w:style>
  <w:style w:type="character" w:customStyle="1" w:styleId="ListParagraphChar">
    <w:name w:val="List Paragraph Char"/>
    <w:basedOn w:val="DefaultParagraphFont"/>
    <w:link w:val="ListParagraph"/>
    <w:uiPriority w:val="34"/>
    <w:qFormat/>
    <w:locked/>
    <w:rsid w:val="003D222C"/>
    <w:rPr>
      <w:rFonts w:ascii="Arial" w:eastAsia="Times New Roman" w:hAnsi="Arial" w:cs="Times New Roman"/>
      <w:sz w:val="24"/>
      <w:szCs w:val="20"/>
      <w:lang w:eastAsia="en-GB"/>
    </w:rPr>
  </w:style>
  <w:style w:type="table" w:styleId="TableGrid">
    <w:name w:val="Table Grid"/>
    <w:basedOn w:val="TableNormal"/>
    <w:rsid w:val="003D22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22C"/>
    <w:rPr>
      <w:color w:val="0563C1" w:themeColor="hyperlink"/>
      <w:u w:val="single"/>
    </w:rPr>
  </w:style>
  <w:style w:type="paragraph" w:styleId="Header">
    <w:name w:val="header"/>
    <w:basedOn w:val="Normal"/>
    <w:link w:val="HeaderChar"/>
    <w:uiPriority w:val="99"/>
    <w:unhideWhenUsed/>
    <w:rsid w:val="2761AC03"/>
    <w:pPr>
      <w:tabs>
        <w:tab w:val="center" w:pos="4513"/>
        <w:tab w:val="right" w:pos="9026"/>
      </w:tabs>
    </w:pPr>
  </w:style>
  <w:style w:type="character" w:customStyle="1" w:styleId="HeaderChar">
    <w:name w:val="Header Char"/>
    <w:basedOn w:val="DefaultParagraphFont"/>
    <w:link w:val="Header"/>
    <w:uiPriority w:val="99"/>
    <w:rsid w:val="003D222C"/>
    <w:rPr>
      <w:rFonts w:ascii="Arial" w:eastAsia="Times New Roman" w:hAnsi="Arial" w:cs="Times New Roman"/>
      <w:sz w:val="24"/>
      <w:szCs w:val="24"/>
    </w:rPr>
  </w:style>
  <w:style w:type="paragraph" w:styleId="Footer">
    <w:name w:val="footer"/>
    <w:basedOn w:val="Normal"/>
    <w:link w:val="FooterChar"/>
    <w:uiPriority w:val="99"/>
    <w:unhideWhenUsed/>
    <w:rsid w:val="2761AC03"/>
    <w:pPr>
      <w:tabs>
        <w:tab w:val="center" w:pos="4513"/>
        <w:tab w:val="right" w:pos="9026"/>
      </w:tabs>
    </w:pPr>
  </w:style>
  <w:style w:type="character" w:customStyle="1" w:styleId="FooterChar">
    <w:name w:val="Footer Char"/>
    <w:basedOn w:val="DefaultParagraphFont"/>
    <w:link w:val="Footer"/>
    <w:uiPriority w:val="99"/>
    <w:rsid w:val="001A4AA4"/>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386DFC"/>
    <w:rPr>
      <w:color w:val="605E5C"/>
      <w:shd w:val="clear" w:color="auto" w:fill="E1DFDD"/>
    </w:rPr>
  </w:style>
  <w:style w:type="character" w:styleId="FollowedHyperlink">
    <w:name w:val="FollowedHyperlink"/>
    <w:basedOn w:val="DefaultParagraphFont"/>
    <w:uiPriority w:val="99"/>
    <w:semiHidden/>
    <w:unhideWhenUsed/>
    <w:rsid w:val="001356EA"/>
    <w:rPr>
      <w:color w:val="954F72" w:themeColor="followedHyperlink"/>
      <w:u w:val="single"/>
    </w:rPr>
  </w:style>
  <w:style w:type="paragraph" w:styleId="Revision">
    <w:name w:val="Revision"/>
    <w:hidden/>
    <w:uiPriority w:val="99"/>
    <w:semiHidden/>
    <w:rsid w:val="00FE0B59"/>
    <w:pPr>
      <w:spacing w:after="0" w:line="240" w:lineRule="auto"/>
    </w:pPr>
    <w:rPr>
      <w:rFonts w:ascii="Arial" w:eastAsia="Times New Roman" w:hAnsi="Arial" w:cs="Times New Roman"/>
      <w:sz w:val="24"/>
      <w:szCs w:val="24"/>
    </w:rPr>
  </w:style>
  <w:style w:type="paragraph" w:customStyle="1" w:styleId="BEISTitle">
    <w:name w:val="BEIS Title"/>
    <w:basedOn w:val="Normal"/>
    <w:next w:val="Normal"/>
    <w:uiPriority w:val="1"/>
    <w:rsid w:val="2761AC03"/>
    <w:pPr>
      <w:spacing w:after="240" w:line="320" w:lineRule="atLeast"/>
    </w:pPr>
    <w:rPr>
      <w:rFonts w:eastAsiaTheme="minorEastAsia" w:cstheme="minorBidi"/>
      <w:color w:val="041E42"/>
      <w:sz w:val="76"/>
      <w:szCs w:val="76"/>
    </w:rPr>
  </w:style>
  <w:style w:type="paragraph" w:customStyle="1" w:styleId="BEISDate">
    <w:name w:val="BEIS Date"/>
    <w:basedOn w:val="Normal"/>
    <w:uiPriority w:val="1"/>
    <w:rsid w:val="2761AC03"/>
    <w:pPr>
      <w:spacing w:line="320" w:lineRule="atLeast"/>
    </w:pPr>
    <w:rPr>
      <w:rFonts w:eastAsiaTheme="minorEastAsia" w:cstheme="minorBidi"/>
      <w:color w:val="868686"/>
      <w:sz w:val="28"/>
      <w:szCs w:val="28"/>
    </w:rPr>
  </w:style>
  <w:style w:type="character" w:customStyle="1" w:styleId="Heading1Char">
    <w:name w:val="Heading 1 Char"/>
    <w:basedOn w:val="DefaultParagraphFont"/>
    <w:link w:val="Heading1"/>
    <w:uiPriority w:val="9"/>
    <w:rsid w:val="001B14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14BA"/>
    <w:pPr>
      <w:outlineLvl w:val="9"/>
    </w:pPr>
    <w:rPr>
      <w:lang w:val="en-US"/>
    </w:rPr>
  </w:style>
  <w:style w:type="paragraph" w:styleId="TOC2">
    <w:name w:val="toc 2"/>
    <w:basedOn w:val="Normal"/>
    <w:next w:val="Normal"/>
    <w:uiPriority w:val="39"/>
    <w:unhideWhenUsed/>
    <w:rsid w:val="2761AC03"/>
    <w:pPr>
      <w:spacing w:after="100"/>
      <w:ind w:left="240"/>
    </w:pPr>
  </w:style>
  <w:style w:type="paragraph" w:styleId="TOC1">
    <w:name w:val="toc 1"/>
    <w:basedOn w:val="Normal"/>
    <w:next w:val="Normal"/>
    <w:uiPriority w:val="39"/>
    <w:unhideWhenUsed/>
    <w:rsid w:val="2761AC03"/>
    <w:pPr>
      <w:spacing w:after="100"/>
    </w:pPr>
  </w:style>
  <w:style w:type="character" w:customStyle="1" w:styleId="Heading3Char">
    <w:name w:val="Heading 3 Char"/>
    <w:basedOn w:val="DefaultParagraphFont"/>
    <w:link w:val="Heading3"/>
    <w:uiPriority w:val="9"/>
    <w:rsid w:val="0095384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uiPriority w:val="39"/>
    <w:unhideWhenUsed/>
    <w:rsid w:val="2761AC03"/>
    <w:pPr>
      <w:spacing w:after="100"/>
      <w:ind w:left="480"/>
    </w:pPr>
  </w:style>
  <w:style w:type="character" w:customStyle="1" w:styleId="normaltextrun">
    <w:name w:val="normaltextrun"/>
    <w:basedOn w:val="DefaultParagraphFont"/>
    <w:rsid w:val="01ABA75A"/>
  </w:style>
  <w:style w:type="character" w:customStyle="1" w:styleId="eop">
    <w:name w:val="eop"/>
    <w:basedOn w:val="DefaultParagraphFont"/>
    <w:rsid w:val="01ABA75A"/>
  </w:style>
  <w:style w:type="paragraph" w:customStyle="1" w:styleId="paragraph">
    <w:name w:val="paragraph"/>
    <w:basedOn w:val="Normal"/>
    <w:rsid w:val="2761AC03"/>
    <w:pPr>
      <w:spacing w:beforeAutospacing="1" w:afterAutospacing="1"/>
    </w:pPr>
    <w:rPr>
      <w:rFonts w:ascii="Times New Roman" w:hAnsi="Times New Roman"/>
      <w:lang w:eastAsia="en-GB"/>
    </w:rPr>
  </w:style>
  <w:style w:type="character" w:customStyle="1" w:styleId="superscript">
    <w:name w:val="superscript"/>
    <w:basedOn w:val="DefaultParagraphFont"/>
    <w:rsid w:val="00546B00"/>
  </w:style>
  <w:style w:type="character" w:styleId="CommentReference">
    <w:name w:val="annotation reference"/>
    <w:basedOn w:val="DefaultParagraphFont"/>
    <w:uiPriority w:val="99"/>
    <w:semiHidden/>
    <w:unhideWhenUsed/>
    <w:rsid w:val="00E27FDA"/>
    <w:rPr>
      <w:sz w:val="16"/>
      <w:szCs w:val="16"/>
    </w:rPr>
  </w:style>
  <w:style w:type="paragraph" w:styleId="CommentText">
    <w:name w:val="annotation text"/>
    <w:basedOn w:val="Normal"/>
    <w:link w:val="CommentTextChar"/>
    <w:uiPriority w:val="99"/>
    <w:unhideWhenUsed/>
    <w:rsid w:val="2761AC03"/>
    <w:rPr>
      <w:sz w:val="20"/>
      <w:szCs w:val="20"/>
    </w:rPr>
  </w:style>
  <w:style w:type="character" w:customStyle="1" w:styleId="CommentTextChar">
    <w:name w:val="Comment Text Char"/>
    <w:basedOn w:val="DefaultParagraphFont"/>
    <w:link w:val="CommentText"/>
    <w:uiPriority w:val="99"/>
    <w:rsid w:val="00E27FD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27FDA"/>
    <w:rPr>
      <w:b/>
      <w:bCs/>
    </w:rPr>
  </w:style>
  <w:style w:type="character" w:customStyle="1" w:styleId="CommentSubjectChar">
    <w:name w:val="Comment Subject Char"/>
    <w:basedOn w:val="CommentTextChar"/>
    <w:link w:val="CommentSubject"/>
    <w:uiPriority w:val="99"/>
    <w:semiHidden/>
    <w:rsid w:val="00E27FDA"/>
    <w:rPr>
      <w:rFonts w:ascii="Arial" w:eastAsia="Times New Roman" w:hAnsi="Arial" w:cs="Times New Roman"/>
      <w:b/>
      <w:bCs/>
      <w:sz w:val="20"/>
      <w:szCs w:val="20"/>
    </w:rPr>
  </w:style>
  <w:style w:type="character" w:styleId="Mention">
    <w:name w:val="Mention"/>
    <w:basedOn w:val="DefaultParagraphFont"/>
    <w:uiPriority w:val="99"/>
    <w:unhideWhenUsed/>
    <w:rsid w:val="00E27FDA"/>
    <w:rPr>
      <w:color w:val="2B579A"/>
      <w:shd w:val="clear" w:color="auto" w:fill="E1DFDD"/>
    </w:rPr>
  </w:style>
  <w:style w:type="paragraph" w:styleId="FootnoteText">
    <w:name w:val="footnote text"/>
    <w:basedOn w:val="Normal"/>
    <w:link w:val="FootnoteTextChar"/>
    <w:uiPriority w:val="99"/>
    <w:unhideWhenUsed/>
    <w:rsid w:val="2761AC03"/>
    <w:rPr>
      <w:sz w:val="20"/>
      <w:szCs w:val="20"/>
    </w:rPr>
  </w:style>
  <w:style w:type="character" w:customStyle="1" w:styleId="FootnoteTextChar">
    <w:name w:val="Footnote Text Char"/>
    <w:basedOn w:val="DefaultParagraphFont"/>
    <w:link w:val="FootnoteText"/>
    <w:uiPriority w:val="99"/>
    <w:rsid w:val="0003565D"/>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03565D"/>
    <w:rPr>
      <w:vertAlign w:val="superscript"/>
    </w:rPr>
  </w:style>
  <w:style w:type="paragraph" w:styleId="NoSpacing">
    <w:name w:val="No Spacing"/>
    <w:uiPriority w:val="1"/>
    <w:qFormat/>
    <w:rsid w:val="004B38F7"/>
    <w:pPr>
      <w:spacing w:after="0" w:line="240" w:lineRule="auto"/>
    </w:pPr>
  </w:style>
  <w:style w:type="paragraph" w:styleId="Title">
    <w:name w:val="Title"/>
    <w:basedOn w:val="Normal"/>
    <w:next w:val="Normal"/>
    <w:uiPriority w:val="10"/>
    <w:qFormat/>
    <w:rsid w:val="2761AC03"/>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2761AC03"/>
    <w:rPr>
      <w:rFonts w:eastAsiaTheme="minorEastAsia"/>
      <w:color w:val="5A5A5A"/>
    </w:rPr>
  </w:style>
  <w:style w:type="paragraph" w:styleId="Quote">
    <w:name w:val="Quote"/>
    <w:basedOn w:val="Normal"/>
    <w:next w:val="Normal"/>
    <w:uiPriority w:val="29"/>
    <w:qFormat/>
    <w:rsid w:val="2761AC03"/>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2761AC03"/>
    <w:pPr>
      <w:spacing w:before="360" w:after="360"/>
      <w:ind w:left="864" w:right="864"/>
      <w:jc w:val="center"/>
    </w:pPr>
    <w:rPr>
      <w:i/>
      <w:iCs/>
      <w:color w:val="4472C4" w:themeColor="accent1"/>
    </w:rPr>
  </w:style>
  <w:style w:type="paragraph" w:styleId="TOC4">
    <w:name w:val="toc 4"/>
    <w:basedOn w:val="Normal"/>
    <w:next w:val="Normal"/>
    <w:uiPriority w:val="39"/>
    <w:unhideWhenUsed/>
    <w:rsid w:val="2761AC03"/>
    <w:pPr>
      <w:spacing w:after="100"/>
      <w:ind w:left="660"/>
    </w:pPr>
  </w:style>
  <w:style w:type="paragraph" w:styleId="TOC5">
    <w:name w:val="toc 5"/>
    <w:basedOn w:val="Normal"/>
    <w:next w:val="Normal"/>
    <w:uiPriority w:val="39"/>
    <w:unhideWhenUsed/>
    <w:rsid w:val="2761AC03"/>
    <w:pPr>
      <w:spacing w:after="100"/>
      <w:ind w:left="880"/>
    </w:pPr>
  </w:style>
  <w:style w:type="paragraph" w:styleId="TOC6">
    <w:name w:val="toc 6"/>
    <w:basedOn w:val="Normal"/>
    <w:next w:val="Normal"/>
    <w:uiPriority w:val="39"/>
    <w:unhideWhenUsed/>
    <w:rsid w:val="2761AC03"/>
    <w:pPr>
      <w:spacing w:after="100"/>
      <w:ind w:left="1100"/>
    </w:pPr>
  </w:style>
  <w:style w:type="paragraph" w:styleId="TOC7">
    <w:name w:val="toc 7"/>
    <w:basedOn w:val="Normal"/>
    <w:next w:val="Normal"/>
    <w:uiPriority w:val="39"/>
    <w:unhideWhenUsed/>
    <w:rsid w:val="2761AC03"/>
    <w:pPr>
      <w:spacing w:after="100"/>
      <w:ind w:left="1320"/>
    </w:pPr>
  </w:style>
  <w:style w:type="paragraph" w:styleId="TOC8">
    <w:name w:val="toc 8"/>
    <w:basedOn w:val="Normal"/>
    <w:next w:val="Normal"/>
    <w:uiPriority w:val="39"/>
    <w:unhideWhenUsed/>
    <w:rsid w:val="2761AC03"/>
    <w:pPr>
      <w:spacing w:after="100"/>
      <w:ind w:left="1540"/>
    </w:pPr>
  </w:style>
  <w:style w:type="paragraph" w:styleId="TOC9">
    <w:name w:val="toc 9"/>
    <w:basedOn w:val="Normal"/>
    <w:next w:val="Normal"/>
    <w:uiPriority w:val="39"/>
    <w:unhideWhenUsed/>
    <w:rsid w:val="2761AC03"/>
    <w:pPr>
      <w:spacing w:after="100"/>
      <w:ind w:left="1760"/>
    </w:pPr>
  </w:style>
  <w:style w:type="paragraph" w:styleId="EndnoteText">
    <w:name w:val="endnote text"/>
    <w:basedOn w:val="Normal"/>
    <w:uiPriority w:val="99"/>
    <w:semiHidden/>
    <w:unhideWhenUsed/>
    <w:rsid w:val="2761AC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3438">
      <w:bodyDiv w:val="1"/>
      <w:marLeft w:val="0"/>
      <w:marRight w:val="0"/>
      <w:marTop w:val="0"/>
      <w:marBottom w:val="0"/>
      <w:divBdr>
        <w:top w:val="none" w:sz="0" w:space="0" w:color="auto"/>
        <w:left w:val="none" w:sz="0" w:space="0" w:color="auto"/>
        <w:bottom w:val="none" w:sz="0" w:space="0" w:color="auto"/>
        <w:right w:val="none" w:sz="0" w:space="0" w:color="auto"/>
      </w:divBdr>
      <w:divsChild>
        <w:div w:id="511770727">
          <w:marLeft w:val="0"/>
          <w:marRight w:val="0"/>
          <w:marTop w:val="0"/>
          <w:marBottom w:val="0"/>
          <w:divBdr>
            <w:top w:val="none" w:sz="0" w:space="0" w:color="auto"/>
            <w:left w:val="none" w:sz="0" w:space="0" w:color="auto"/>
            <w:bottom w:val="none" w:sz="0" w:space="0" w:color="auto"/>
            <w:right w:val="none" w:sz="0" w:space="0" w:color="auto"/>
          </w:divBdr>
        </w:div>
        <w:div w:id="1661883966">
          <w:marLeft w:val="0"/>
          <w:marRight w:val="0"/>
          <w:marTop w:val="0"/>
          <w:marBottom w:val="0"/>
          <w:divBdr>
            <w:top w:val="none" w:sz="0" w:space="0" w:color="auto"/>
            <w:left w:val="none" w:sz="0" w:space="0" w:color="auto"/>
            <w:bottom w:val="none" w:sz="0" w:space="0" w:color="auto"/>
            <w:right w:val="none" w:sz="0" w:space="0" w:color="auto"/>
          </w:divBdr>
        </w:div>
        <w:div w:id="2110002834">
          <w:marLeft w:val="0"/>
          <w:marRight w:val="0"/>
          <w:marTop w:val="0"/>
          <w:marBottom w:val="0"/>
          <w:divBdr>
            <w:top w:val="none" w:sz="0" w:space="0" w:color="auto"/>
            <w:left w:val="none" w:sz="0" w:space="0" w:color="auto"/>
            <w:bottom w:val="none" w:sz="0" w:space="0" w:color="auto"/>
            <w:right w:val="none" w:sz="0" w:space="0" w:color="auto"/>
          </w:divBdr>
        </w:div>
      </w:divsChild>
    </w:div>
    <w:div w:id="80639636">
      <w:bodyDiv w:val="1"/>
      <w:marLeft w:val="0"/>
      <w:marRight w:val="0"/>
      <w:marTop w:val="0"/>
      <w:marBottom w:val="0"/>
      <w:divBdr>
        <w:top w:val="none" w:sz="0" w:space="0" w:color="auto"/>
        <w:left w:val="none" w:sz="0" w:space="0" w:color="auto"/>
        <w:bottom w:val="none" w:sz="0" w:space="0" w:color="auto"/>
        <w:right w:val="none" w:sz="0" w:space="0" w:color="auto"/>
      </w:divBdr>
      <w:divsChild>
        <w:div w:id="1300651157">
          <w:marLeft w:val="0"/>
          <w:marRight w:val="0"/>
          <w:marTop w:val="0"/>
          <w:marBottom w:val="0"/>
          <w:divBdr>
            <w:top w:val="none" w:sz="0" w:space="0" w:color="auto"/>
            <w:left w:val="none" w:sz="0" w:space="0" w:color="auto"/>
            <w:bottom w:val="none" w:sz="0" w:space="0" w:color="auto"/>
            <w:right w:val="none" w:sz="0" w:space="0" w:color="auto"/>
          </w:divBdr>
          <w:divsChild>
            <w:div w:id="475996845">
              <w:marLeft w:val="0"/>
              <w:marRight w:val="0"/>
              <w:marTop w:val="0"/>
              <w:marBottom w:val="0"/>
              <w:divBdr>
                <w:top w:val="none" w:sz="0" w:space="0" w:color="auto"/>
                <w:left w:val="none" w:sz="0" w:space="0" w:color="auto"/>
                <w:bottom w:val="none" w:sz="0" w:space="0" w:color="auto"/>
                <w:right w:val="none" w:sz="0" w:space="0" w:color="auto"/>
              </w:divBdr>
            </w:div>
          </w:divsChild>
        </w:div>
        <w:div w:id="2080445336">
          <w:marLeft w:val="0"/>
          <w:marRight w:val="0"/>
          <w:marTop w:val="0"/>
          <w:marBottom w:val="0"/>
          <w:divBdr>
            <w:top w:val="none" w:sz="0" w:space="0" w:color="auto"/>
            <w:left w:val="none" w:sz="0" w:space="0" w:color="auto"/>
            <w:bottom w:val="none" w:sz="0" w:space="0" w:color="auto"/>
            <w:right w:val="none" w:sz="0" w:space="0" w:color="auto"/>
          </w:divBdr>
          <w:divsChild>
            <w:div w:id="700857121">
              <w:marLeft w:val="0"/>
              <w:marRight w:val="0"/>
              <w:marTop w:val="0"/>
              <w:marBottom w:val="0"/>
              <w:divBdr>
                <w:top w:val="none" w:sz="0" w:space="0" w:color="auto"/>
                <w:left w:val="none" w:sz="0" w:space="0" w:color="auto"/>
                <w:bottom w:val="none" w:sz="0" w:space="0" w:color="auto"/>
                <w:right w:val="none" w:sz="0" w:space="0" w:color="auto"/>
              </w:divBdr>
            </w:div>
            <w:div w:id="189754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8843">
      <w:bodyDiv w:val="1"/>
      <w:marLeft w:val="0"/>
      <w:marRight w:val="0"/>
      <w:marTop w:val="0"/>
      <w:marBottom w:val="0"/>
      <w:divBdr>
        <w:top w:val="none" w:sz="0" w:space="0" w:color="auto"/>
        <w:left w:val="none" w:sz="0" w:space="0" w:color="auto"/>
        <w:bottom w:val="none" w:sz="0" w:space="0" w:color="auto"/>
        <w:right w:val="none" w:sz="0" w:space="0" w:color="auto"/>
      </w:divBdr>
      <w:divsChild>
        <w:div w:id="39475970">
          <w:marLeft w:val="0"/>
          <w:marRight w:val="0"/>
          <w:marTop w:val="0"/>
          <w:marBottom w:val="0"/>
          <w:divBdr>
            <w:top w:val="none" w:sz="0" w:space="0" w:color="auto"/>
            <w:left w:val="none" w:sz="0" w:space="0" w:color="auto"/>
            <w:bottom w:val="none" w:sz="0" w:space="0" w:color="auto"/>
            <w:right w:val="none" w:sz="0" w:space="0" w:color="auto"/>
          </w:divBdr>
        </w:div>
        <w:div w:id="168567630">
          <w:marLeft w:val="0"/>
          <w:marRight w:val="0"/>
          <w:marTop w:val="0"/>
          <w:marBottom w:val="0"/>
          <w:divBdr>
            <w:top w:val="none" w:sz="0" w:space="0" w:color="auto"/>
            <w:left w:val="none" w:sz="0" w:space="0" w:color="auto"/>
            <w:bottom w:val="none" w:sz="0" w:space="0" w:color="auto"/>
            <w:right w:val="none" w:sz="0" w:space="0" w:color="auto"/>
          </w:divBdr>
        </w:div>
        <w:div w:id="234702573">
          <w:marLeft w:val="0"/>
          <w:marRight w:val="0"/>
          <w:marTop w:val="0"/>
          <w:marBottom w:val="0"/>
          <w:divBdr>
            <w:top w:val="none" w:sz="0" w:space="0" w:color="auto"/>
            <w:left w:val="none" w:sz="0" w:space="0" w:color="auto"/>
            <w:bottom w:val="none" w:sz="0" w:space="0" w:color="auto"/>
            <w:right w:val="none" w:sz="0" w:space="0" w:color="auto"/>
          </w:divBdr>
        </w:div>
      </w:divsChild>
    </w:div>
    <w:div w:id="333580852">
      <w:bodyDiv w:val="1"/>
      <w:marLeft w:val="0"/>
      <w:marRight w:val="0"/>
      <w:marTop w:val="0"/>
      <w:marBottom w:val="0"/>
      <w:divBdr>
        <w:top w:val="none" w:sz="0" w:space="0" w:color="auto"/>
        <w:left w:val="none" w:sz="0" w:space="0" w:color="auto"/>
        <w:bottom w:val="none" w:sz="0" w:space="0" w:color="auto"/>
        <w:right w:val="none" w:sz="0" w:space="0" w:color="auto"/>
      </w:divBdr>
      <w:divsChild>
        <w:div w:id="273439587">
          <w:marLeft w:val="0"/>
          <w:marRight w:val="0"/>
          <w:marTop w:val="0"/>
          <w:marBottom w:val="0"/>
          <w:divBdr>
            <w:top w:val="none" w:sz="0" w:space="0" w:color="auto"/>
            <w:left w:val="none" w:sz="0" w:space="0" w:color="auto"/>
            <w:bottom w:val="none" w:sz="0" w:space="0" w:color="auto"/>
            <w:right w:val="none" w:sz="0" w:space="0" w:color="auto"/>
          </w:divBdr>
        </w:div>
        <w:div w:id="1171943755">
          <w:marLeft w:val="0"/>
          <w:marRight w:val="0"/>
          <w:marTop w:val="0"/>
          <w:marBottom w:val="0"/>
          <w:divBdr>
            <w:top w:val="none" w:sz="0" w:space="0" w:color="auto"/>
            <w:left w:val="none" w:sz="0" w:space="0" w:color="auto"/>
            <w:bottom w:val="none" w:sz="0" w:space="0" w:color="auto"/>
            <w:right w:val="none" w:sz="0" w:space="0" w:color="auto"/>
          </w:divBdr>
          <w:divsChild>
            <w:div w:id="1152714461">
              <w:marLeft w:val="-75"/>
              <w:marRight w:val="0"/>
              <w:marTop w:val="30"/>
              <w:marBottom w:val="30"/>
              <w:divBdr>
                <w:top w:val="none" w:sz="0" w:space="0" w:color="auto"/>
                <w:left w:val="none" w:sz="0" w:space="0" w:color="auto"/>
                <w:bottom w:val="none" w:sz="0" w:space="0" w:color="auto"/>
                <w:right w:val="none" w:sz="0" w:space="0" w:color="auto"/>
              </w:divBdr>
              <w:divsChild>
                <w:div w:id="32728638">
                  <w:marLeft w:val="0"/>
                  <w:marRight w:val="0"/>
                  <w:marTop w:val="0"/>
                  <w:marBottom w:val="0"/>
                  <w:divBdr>
                    <w:top w:val="none" w:sz="0" w:space="0" w:color="auto"/>
                    <w:left w:val="none" w:sz="0" w:space="0" w:color="auto"/>
                    <w:bottom w:val="none" w:sz="0" w:space="0" w:color="auto"/>
                    <w:right w:val="none" w:sz="0" w:space="0" w:color="auto"/>
                  </w:divBdr>
                  <w:divsChild>
                    <w:div w:id="216161306">
                      <w:marLeft w:val="0"/>
                      <w:marRight w:val="0"/>
                      <w:marTop w:val="0"/>
                      <w:marBottom w:val="0"/>
                      <w:divBdr>
                        <w:top w:val="none" w:sz="0" w:space="0" w:color="auto"/>
                        <w:left w:val="none" w:sz="0" w:space="0" w:color="auto"/>
                        <w:bottom w:val="none" w:sz="0" w:space="0" w:color="auto"/>
                        <w:right w:val="none" w:sz="0" w:space="0" w:color="auto"/>
                      </w:divBdr>
                    </w:div>
                  </w:divsChild>
                </w:div>
                <w:div w:id="127670383">
                  <w:marLeft w:val="0"/>
                  <w:marRight w:val="0"/>
                  <w:marTop w:val="0"/>
                  <w:marBottom w:val="0"/>
                  <w:divBdr>
                    <w:top w:val="none" w:sz="0" w:space="0" w:color="auto"/>
                    <w:left w:val="none" w:sz="0" w:space="0" w:color="auto"/>
                    <w:bottom w:val="none" w:sz="0" w:space="0" w:color="auto"/>
                    <w:right w:val="none" w:sz="0" w:space="0" w:color="auto"/>
                  </w:divBdr>
                  <w:divsChild>
                    <w:div w:id="98646083">
                      <w:marLeft w:val="0"/>
                      <w:marRight w:val="0"/>
                      <w:marTop w:val="0"/>
                      <w:marBottom w:val="0"/>
                      <w:divBdr>
                        <w:top w:val="none" w:sz="0" w:space="0" w:color="auto"/>
                        <w:left w:val="none" w:sz="0" w:space="0" w:color="auto"/>
                        <w:bottom w:val="none" w:sz="0" w:space="0" w:color="auto"/>
                        <w:right w:val="none" w:sz="0" w:space="0" w:color="auto"/>
                      </w:divBdr>
                    </w:div>
                  </w:divsChild>
                </w:div>
                <w:div w:id="264844121">
                  <w:marLeft w:val="0"/>
                  <w:marRight w:val="0"/>
                  <w:marTop w:val="0"/>
                  <w:marBottom w:val="0"/>
                  <w:divBdr>
                    <w:top w:val="none" w:sz="0" w:space="0" w:color="auto"/>
                    <w:left w:val="none" w:sz="0" w:space="0" w:color="auto"/>
                    <w:bottom w:val="none" w:sz="0" w:space="0" w:color="auto"/>
                    <w:right w:val="none" w:sz="0" w:space="0" w:color="auto"/>
                  </w:divBdr>
                  <w:divsChild>
                    <w:div w:id="1308239094">
                      <w:marLeft w:val="0"/>
                      <w:marRight w:val="0"/>
                      <w:marTop w:val="0"/>
                      <w:marBottom w:val="0"/>
                      <w:divBdr>
                        <w:top w:val="none" w:sz="0" w:space="0" w:color="auto"/>
                        <w:left w:val="none" w:sz="0" w:space="0" w:color="auto"/>
                        <w:bottom w:val="none" w:sz="0" w:space="0" w:color="auto"/>
                        <w:right w:val="none" w:sz="0" w:space="0" w:color="auto"/>
                      </w:divBdr>
                    </w:div>
                  </w:divsChild>
                </w:div>
                <w:div w:id="497162193">
                  <w:marLeft w:val="0"/>
                  <w:marRight w:val="0"/>
                  <w:marTop w:val="0"/>
                  <w:marBottom w:val="0"/>
                  <w:divBdr>
                    <w:top w:val="none" w:sz="0" w:space="0" w:color="auto"/>
                    <w:left w:val="none" w:sz="0" w:space="0" w:color="auto"/>
                    <w:bottom w:val="none" w:sz="0" w:space="0" w:color="auto"/>
                    <w:right w:val="none" w:sz="0" w:space="0" w:color="auto"/>
                  </w:divBdr>
                  <w:divsChild>
                    <w:div w:id="492992755">
                      <w:marLeft w:val="0"/>
                      <w:marRight w:val="0"/>
                      <w:marTop w:val="0"/>
                      <w:marBottom w:val="0"/>
                      <w:divBdr>
                        <w:top w:val="none" w:sz="0" w:space="0" w:color="auto"/>
                        <w:left w:val="none" w:sz="0" w:space="0" w:color="auto"/>
                        <w:bottom w:val="none" w:sz="0" w:space="0" w:color="auto"/>
                        <w:right w:val="none" w:sz="0" w:space="0" w:color="auto"/>
                      </w:divBdr>
                    </w:div>
                  </w:divsChild>
                </w:div>
                <w:div w:id="612715609">
                  <w:marLeft w:val="0"/>
                  <w:marRight w:val="0"/>
                  <w:marTop w:val="0"/>
                  <w:marBottom w:val="0"/>
                  <w:divBdr>
                    <w:top w:val="none" w:sz="0" w:space="0" w:color="auto"/>
                    <w:left w:val="none" w:sz="0" w:space="0" w:color="auto"/>
                    <w:bottom w:val="none" w:sz="0" w:space="0" w:color="auto"/>
                    <w:right w:val="none" w:sz="0" w:space="0" w:color="auto"/>
                  </w:divBdr>
                  <w:divsChild>
                    <w:div w:id="1871719528">
                      <w:marLeft w:val="0"/>
                      <w:marRight w:val="0"/>
                      <w:marTop w:val="0"/>
                      <w:marBottom w:val="0"/>
                      <w:divBdr>
                        <w:top w:val="none" w:sz="0" w:space="0" w:color="auto"/>
                        <w:left w:val="none" w:sz="0" w:space="0" w:color="auto"/>
                        <w:bottom w:val="none" w:sz="0" w:space="0" w:color="auto"/>
                        <w:right w:val="none" w:sz="0" w:space="0" w:color="auto"/>
                      </w:divBdr>
                    </w:div>
                  </w:divsChild>
                </w:div>
                <w:div w:id="764615038">
                  <w:marLeft w:val="0"/>
                  <w:marRight w:val="0"/>
                  <w:marTop w:val="0"/>
                  <w:marBottom w:val="0"/>
                  <w:divBdr>
                    <w:top w:val="none" w:sz="0" w:space="0" w:color="auto"/>
                    <w:left w:val="none" w:sz="0" w:space="0" w:color="auto"/>
                    <w:bottom w:val="none" w:sz="0" w:space="0" w:color="auto"/>
                    <w:right w:val="none" w:sz="0" w:space="0" w:color="auto"/>
                  </w:divBdr>
                  <w:divsChild>
                    <w:div w:id="1475558952">
                      <w:marLeft w:val="0"/>
                      <w:marRight w:val="0"/>
                      <w:marTop w:val="0"/>
                      <w:marBottom w:val="0"/>
                      <w:divBdr>
                        <w:top w:val="none" w:sz="0" w:space="0" w:color="auto"/>
                        <w:left w:val="none" w:sz="0" w:space="0" w:color="auto"/>
                        <w:bottom w:val="none" w:sz="0" w:space="0" w:color="auto"/>
                        <w:right w:val="none" w:sz="0" w:space="0" w:color="auto"/>
                      </w:divBdr>
                    </w:div>
                  </w:divsChild>
                </w:div>
                <w:div w:id="953949093">
                  <w:marLeft w:val="0"/>
                  <w:marRight w:val="0"/>
                  <w:marTop w:val="0"/>
                  <w:marBottom w:val="0"/>
                  <w:divBdr>
                    <w:top w:val="none" w:sz="0" w:space="0" w:color="auto"/>
                    <w:left w:val="none" w:sz="0" w:space="0" w:color="auto"/>
                    <w:bottom w:val="none" w:sz="0" w:space="0" w:color="auto"/>
                    <w:right w:val="none" w:sz="0" w:space="0" w:color="auto"/>
                  </w:divBdr>
                  <w:divsChild>
                    <w:div w:id="268392712">
                      <w:marLeft w:val="0"/>
                      <w:marRight w:val="0"/>
                      <w:marTop w:val="0"/>
                      <w:marBottom w:val="0"/>
                      <w:divBdr>
                        <w:top w:val="none" w:sz="0" w:space="0" w:color="auto"/>
                        <w:left w:val="none" w:sz="0" w:space="0" w:color="auto"/>
                        <w:bottom w:val="none" w:sz="0" w:space="0" w:color="auto"/>
                        <w:right w:val="none" w:sz="0" w:space="0" w:color="auto"/>
                      </w:divBdr>
                    </w:div>
                  </w:divsChild>
                </w:div>
                <w:div w:id="976104466">
                  <w:marLeft w:val="0"/>
                  <w:marRight w:val="0"/>
                  <w:marTop w:val="0"/>
                  <w:marBottom w:val="0"/>
                  <w:divBdr>
                    <w:top w:val="none" w:sz="0" w:space="0" w:color="auto"/>
                    <w:left w:val="none" w:sz="0" w:space="0" w:color="auto"/>
                    <w:bottom w:val="none" w:sz="0" w:space="0" w:color="auto"/>
                    <w:right w:val="none" w:sz="0" w:space="0" w:color="auto"/>
                  </w:divBdr>
                  <w:divsChild>
                    <w:div w:id="1169831728">
                      <w:marLeft w:val="0"/>
                      <w:marRight w:val="0"/>
                      <w:marTop w:val="0"/>
                      <w:marBottom w:val="0"/>
                      <w:divBdr>
                        <w:top w:val="none" w:sz="0" w:space="0" w:color="auto"/>
                        <w:left w:val="none" w:sz="0" w:space="0" w:color="auto"/>
                        <w:bottom w:val="none" w:sz="0" w:space="0" w:color="auto"/>
                        <w:right w:val="none" w:sz="0" w:space="0" w:color="auto"/>
                      </w:divBdr>
                    </w:div>
                  </w:divsChild>
                </w:div>
                <w:div w:id="1017847756">
                  <w:marLeft w:val="0"/>
                  <w:marRight w:val="0"/>
                  <w:marTop w:val="0"/>
                  <w:marBottom w:val="0"/>
                  <w:divBdr>
                    <w:top w:val="none" w:sz="0" w:space="0" w:color="auto"/>
                    <w:left w:val="none" w:sz="0" w:space="0" w:color="auto"/>
                    <w:bottom w:val="none" w:sz="0" w:space="0" w:color="auto"/>
                    <w:right w:val="none" w:sz="0" w:space="0" w:color="auto"/>
                  </w:divBdr>
                  <w:divsChild>
                    <w:div w:id="1247616197">
                      <w:marLeft w:val="0"/>
                      <w:marRight w:val="0"/>
                      <w:marTop w:val="0"/>
                      <w:marBottom w:val="0"/>
                      <w:divBdr>
                        <w:top w:val="none" w:sz="0" w:space="0" w:color="auto"/>
                        <w:left w:val="none" w:sz="0" w:space="0" w:color="auto"/>
                        <w:bottom w:val="none" w:sz="0" w:space="0" w:color="auto"/>
                        <w:right w:val="none" w:sz="0" w:space="0" w:color="auto"/>
                      </w:divBdr>
                    </w:div>
                  </w:divsChild>
                </w:div>
                <w:div w:id="1053046521">
                  <w:marLeft w:val="0"/>
                  <w:marRight w:val="0"/>
                  <w:marTop w:val="0"/>
                  <w:marBottom w:val="0"/>
                  <w:divBdr>
                    <w:top w:val="none" w:sz="0" w:space="0" w:color="auto"/>
                    <w:left w:val="none" w:sz="0" w:space="0" w:color="auto"/>
                    <w:bottom w:val="none" w:sz="0" w:space="0" w:color="auto"/>
                    <w:right w:val="none" w:sz="0" w:space="0" w:color="auto"/>
                  </w:divBdr>
                  <w:divsChild>
                    <w:div w:id="47538374">
                      <w:marLeft w:val="0"/>
                      <w:marRight w:val="0"/>
                      <w:marTop w:val="0"/>
                      <w:marBottom w:val="0"/>
                      <w:divBdr>
                        <w:top w:val="none" w:sz="0" w:space="0" w:color="auto"/>
                        <w:left w:val="none" w:sz="0" w:space="0" w:color="auto"/>
                        <w:bottom w:val="none" w:sz="0" w:space="0" w:color="auto"/>
                        <w:right w:val="none" w:sz="0" w:space="0" w:color="auto"/>
                      </w:divBdr>
                    </w:div>
                  </w:divsChild>
                </w:div>
                <w:div w:id="1595287597">
                  <w:marLeft w:val="0"/>
                  <w:marRight w:val="0"/>
                  <w:marTop w:val="0"/>
                  <w:marBottom w:val="0"/>
                  <w:divBdr>
                    <w:top w:val="none" w:sz="0" w:space="0" w:color="auto"/>
                    <w:left w:val="none" w:sz="0" w:space="0" w:color="auto"/>
                    <w:bottom w:val="none" w:sz="0" w:space="0" w:color="auto"/>
                    <w:right w:val="none" w:sz="0" w:space="0" w:color="auto"/>
                  </w:divBdr>
                  <w:divsChild>
                    <w:div w:id="293221282">
                      <w:marLeft w:val="0"/>
                      <w:marRight w:val="0"/>
                      <w:marTop w:val="0"/>
                      <w:marBottom w:val="0"/>
                      <w:divBdr>
                        <w:top w:val="none" w:sz="0" w:space="0" w:color="auto"/>
                        <w:left w:val="none" w:sz="0" w:space="0" w:color="auto"/>
                        <w:bottom w:val="none" w:sz="0" w:space="0" w:color="auto"/>
                        <w:right w:val="none" w:sz="0" w:space="0" w:color="auto"/>
                      </w:divBdr>
                    </w:div>
                  </w:divsChild>
                </w:div>
                <w:div w:id="1680934030">
                  <w:marLeft w:val="0"/>
                  <w:marRight w:val="0"/>
                  <w:marTop w:val="0"/>
                  <w:marBottom w:val="0"/>
                  <w:divBdr>
                    <w:top w:val="none" w:sz="0" w:space="0" w:color="auto"/>
                    <w:left w:val="none" w:sz="0" w:space="0" w:color="auto"/>
                    <w:bottom w:val="none" w:sz="0" w:space="0" w:color="auto"/>
                    <w:right w:val="none" w:sz="0" w:space="0" w:color="auto"/>
                  </w:divBdr>
                  <w:divsChild>
                    <w:div w:id="863133555">
                      <w:marLeft w:val="0"/>
                      <w:marRight w:val="0"/>
                      <w:marTop w:val="0"/>
                      <w:marBottom w:val="0"/>
                      <w:divBdr>
                        <w:top w:val="none" w:sz="0" w:space="0" w:color="auto"/>
                        <w:left w:val="none" w:sz="0" w:space="0" w:color="auto"/>
                        <w:bottom w:val="none" w:sz="0" w:space="0" w:color="auto"/>
                        <w:right w:val="none" w:sz="0" w:space="0" w:color="auto"/>
                      </w:divBdr>
                    </w:div>
                  </w:divsChild>
                </w:div>
                <w:div w:id="1974745921">
                  <w:marLeft w:val="0"/>
                  <w:marRight w:val="0"/>
                  <w:marTop w:val="0"/>
                  <w:marBottom w:val="0"/>
                  <w:divBdr>
                    <w:top w:val="none" w:sz="0" w:space="0" w:color="auto"/>
                    <w:left w:val="none" w:sz="0" w:space="0" w:color="auto"/>
                    <w:bottom w:val="none" w:sz="0" w:space="0" w:color="auto"/>
                    <w:right w:val="none" w:sz="0" w:space="0" w:color="auto"/>
                  </w:divBdr>
                  <w:divsChild>
                    <w:div w:id="904101333">
                      <w:marLeft w:val="0"/>
                      <w:marRight w:val="0"/>
                      <w:marTop w:val="0"/>
                      <w:marBottom w:val="0"/>
                      <w:divBdr>
                        <w:top w:val="none" w:sz="0" w:space="0" w:color="auto"/>
                        <w:left w:val="none" w:sz="0" w:space="0" w:color="auto"/>
                        <w:bottom w:val="none" w:sz="0" w:space="0" w:color="auto"/>
                        <w:right w:val="none" w:sz="0" w:space="0" w:color="auto"/>
                      </w:divBdr>
                    </w:div>
                  </w:divsChild>
                </w:div>
                <w:div w:id="1990286703">
                  <w:marLeft w:val="0"/>
                  <w:marRight w:val="0"/>
                  <w:marTop w:val="0"/>
                  <w:marBottom w:val="0"/>
                  <w:divBdr>
                    <w:top w:val="none" w:sz="0" w:space="0" w:color="auto"/>
                    <w:left w:val="none" w:sz="0" w:space="0" w:color="auto"/>
                    <w:bottom w:val="none" w:sz="0" w:space="0" w:color="auto"/>
                    <w:right w:val="none" w:sz="0" w:space="0" w:color="auto"/>
                  </w:divBdr>
                  <w:divsChild>
                    <w:div w:id="1098140273">
                      <w:marLeft w:val="0"/>
                      <w:marRight w:val="0"/>
                      <w:marTop w:val="0"/>
                      <w:marBottom w:val="0"/>
                      <w:divBdr>
                        <w:top w:val="none" w:sz="0" w:space="0" w:color="auto"/>
                        <w:left w:val="none" w:sz="0" w:space="0" w:color="auto"/>
                        <w:bottom w:val="none" w:sz="0" w:space="0" w:color="auto"/>
                        <w:right w:val="none" w:sz="0" w:space="0" w:color="auto"/>
                      </w:divBdr>
                    </w:div>
                  </w:divsChild>
                </w:div>
                <w:div w:id="2018145113">
                  <w:marLeft w:val="0"/>
                  <w:marRight w:val="0"/>
                  <w:marTop w:val="0"/>
                  <w:marBottom w:val="0"/>
                  <w:divBdr>
                    <w:top w:val="none" w:sz="0" w:space="0" w:color="auto"/>
                    <w:left w:val="none" w:sz="0" w:space="0" w:color="auto"/>
                    <w:bottom w:val="none" w:sz="0" w:space="0" w:color="auto"/>
                    <w:right w:val="none" w:sz="0" w:space="0" w:color="auto"/>
                  </w:divBdr>
                  <w:divsChild>
                    <w:div w:id="8135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1121">
          <w:marLeft w:val="0"/>
          <w:marRight w:val="0"/>
          <w:marTop w:val="0"/>
          <w:marBottom w:val="0"/>
          <w:divBdr>
            <w:top w:val="none" w:sz="0" w:space="0" w:color="auto"/>
            <w:left w:val="none" w:sz="0" w:space="0" w:color="auto"/>
            <w:bottom w:val="none" w:sz="0" w:space="0" w:color="auto"/>
            <w:right w:val="none" w:sz="0" w:space="0" w:color="auto"/>
          </w:divBdr>
        </w:div>
        <w:div w:id="1891107043">
          <w:marLeft w:val="0"/>
          <w:marRight w:val="0"/>
          <w:marTop w:val="0"/>
          <w:marBottom w:val="0"/>
          <w:divBdr>
            <w:top w:val="none" w:sz="0" w:space="0" w:color="auto"/>
            <w:left w:val="none" w:sz="0" w:space="0" w:color="auto"/>
            <w:bottom w:val="none" w:sz="0" w:space="0" w:color="auto"/>
            <w:right w:val="none" w:sz="0" w:space="0" w:color="auto"/>
          </w:divBdr>
        </w:div>
        <w:div w:id="2029330419">
          <w:marLeft w:val="0"/>
          <w:marRight w:val="0"/>
          <w:marTop w:val="0"/>
          <w:marBottom w:val="0"/>
          <w:divBdr>
            <w:top w:val="none" w:sz="0" w:space="0" w:color="auto"/>
            <w:left w:val="none" w:sz="0" w:space="0" w:color="auto"/>
            <w:bottom w:val="none" w:sz="0" w:space="0" w:color="auto"/>
            <w:right w:val="none" w:sz="0" w:space="0" w:color="auto"/>
          </w:divBdr>
        </w:div>
      </w:divsChild>
    </w:div>
    <w:div w:id="419646022">
      <w:bodyDiv w:val="1"/>
      <w:marLeft w:val="0"/>
      <w:marRight w:val="0"/>
      <w:marTop w:val="0"/>
      <w:marBottom w:val="0"/>
      <w:divBdr>
        <w:top w:val="none" w:sz="0" w:space="0" w:color="auto"/>
        <w:left w:val="none" w:sz="0" w:space="0" w:color="auto"/>
        <w:bottom w:val="none" w:sz="0" w:space="0" w:color="auto"/>
        <w:right w:val="none" w:sz="0" w:space="0" w:color="auto"/>
      </w:divBdr>
      <w:divsChild>
        <w:div w:id="55202164">
          <w:marLeft w:val="0"/>
          <w:marRight w:val="0"/>
          <w:marTop w:val="0"/>
          <w:marBottom w:val="0"/>
          <w:divBdr>
            <w:top w:val="none" w:sz="0" w:space="0" w:color="auto"/>
            <w:left w:val="none" w:sz="0" w:space="0" w:color="auto"/>
            <w:bottom w:val="none" w:sz="0" w:space="0" w:color="auto"/>
            <w:right w:val="none" w:sz="0" w:space="0" w:color="auto"/>
          </w:divBdr>
        </w:div>
        <w:div w:id="58285216">
          <w:marLeft w:val="0"/>
          <w:marRight w:val="0"/>
          <w:marTop w:val="0"/>
          <w:marBottom w:val="0"/>
          <w:divBdr>
            <w:top w:val="none" w:sz="0" w:space="0" w:color="auto"/>
            <w:left w:val="none" w:sz="0" w:space="0" w:color="auto"/>
            <w:bottom w:val="none" w:sz="0" w:space="0" w:color="auto"/>
            <w:right w:val="none" w:sz="0" w:space="0" w:color="auto"/>
          </w:divBdr>
        </w:div>
        <w:div w:id="377240392">
          <w:marLeft w:val="0"/>
          <w:marRight w:val="0"/>
          <w:marTop w:val="0"/>
          <w:marBottom w:val="0"/>
          <w:divBdr>
            <w:top w:val="none" w:sz="0" w:space="0" w:color="auto"/>
            <w:left w:val="none" w:sz="0" w:space="0" w:color="auto"/>
            <w:bottom w:val="none" w:sz="0" w:space="0" w:color="auto"/>
            <w:right w:val="none" w:sz="0" w:space="0" w:color="auto"/>
          </w:divBdr>
        </w:div>
        <w:div w:id="1635863258">
          <w:marLeft w:val="0"/>
          <w:marRight w:val="0"/>
          <w:marTop w:val="0"/>
          <w:marBottom w:val="0"/>
          <w:divBdr>
            <w:top w:val="none" w:sz="0" w:space="0" w:color="auto"/>
            <w:left w:val="none" w:sz="0" w:space="0" w:color="auto"/>
            <w:bottom w:val="none" w:sz="0" w:space="0" w:color="auto"/>
            <w:right w:val="none" w:sz="0" w:space="0" w:color="auto"/>
          </w:divBdr>
        </w:div>
        <w:div w:id="2001038231">
          <w:marLeft w:val="0"/>
          <w:marRight w:val="0"/>
          <w:marTop w:val="0"/>
          <w:marBottom w:val="0"/>
          <w:divBdr>
            <w:top w:val="none" w:sz="0" w:space="0" w:color="auto"/>
            <w:left w:val="none" w:sz="0" w:space="0" w:color="auto"/>
            <w:bottom w:val="none" w:sz="0" w:space="0" w:color="auto"/>
            <w:right w:val="none" w:sz="0" w:space="0" w:color="auto"/>
          </w:divBdr>
        </w:div>
      </w:divsChild>
    </w:div>
    <w:div w:id="446824940">
      <w:bodyDiv w:val="1"/>
      <w:marLeft w:val="0"/>
      <w:marRight w:val="0"/>
      <w:marTop w:val="0"/>
      <w:marBottom w:val="0"/>
      <w:divBdr>
        <w:top w:val="none" w:sz="0" w:space="0" w:color="auto"/>
        <w:left w:val="none" w:sz="0" w:space="0" w:color="auto"/>
        <w:bottom w:val="none" w:sz="0" w:space="0" w:color="auto"/>
        <w:right w:val="none" w:sz="0" w:space="0" w:color="auto"/>
      </w:divBdr>
      <w:divsChild>
        <w:div w:id="241530377">
          <w:marLeft w:val="0"/>
          <w:marRight w:val="0"/>
          <w:marTop w:val="0"/>
          <w:marBottom w:val="0"/>
          <w:divBdr>
            <w:top w:val="none" w:sz="0" w:space="0" w:color="auto"/>
            <w:left w:val="none" w:sz="0" w:space="0" w:color="auto"/>
            <w:bottom w:val="none" w:sz="0" w:space="0" w:color="auto"/>
            <w:right w:val="none" w:sz="0" w:space="0" w:color="auto"/>
          </w:divBdr>
        </w:div>
        <w:div w:id="314843631">
          <w:marLeft w:val="0"/>
          <w:marRight w:val="0"/>
          <w:marTop w:val="0"/>
          <w:marBottom w:val="0"/>
          <w:divBdr>
            <w:top w:val="none" w:sz="0" w:space="0" w:color="auto"/>
            <w:left w:val="none" w:sz="0" w:space="0" w:color="auto"/>
            <w:bottom w:val="none" w:sz="0" w:space="0" w:color="auto"/>
            <w:right w:val="none" w:sz="0" w:space="0" w:color="auto"/>
          </w:divBdr>
        </w:div>
        <w:div w:id="332800393">
          <w:marLeft w:val="0"/>
          <w:marRight w:val="0"/>
          <w:marTop w:val="0"/>
          <w:marBottom w:val="0"/>
          <w:divBdr>
            <w:top w:val="none" w:sz="0" w:space="0" w:color="auto"/>
            <w:left w:val="none" w:sz="0" w:space="0" w:color="auto"/>
            <w:bottom w:val="none" w:sz="0" w:space="0" w:color="auto"/>
            <w:right w:val="none" w:sz="0" w:space="0" w:color="auto"/>
          </w:divBdr>
        </w:div>
        <w:div w:id="701906105">
          <w:marLeft w:val="0"/>
          <w:marRight w:val="0"/>
          <w:marTop w:val="0"/>
          <w:marBottom w:val="0"/>
          <w:divBdr>
            <w:top w:val="none" w:sz="0" w:space="0" w:color="auto"/>
            <w:left w:val="none" w:sz="0" w:space="0" w:color="auto"/>
            <w:bottom w:val="none" w:sz="0" w:space="0" w:color="auto"/>
            <w:right w:val="none" w:sz="0" w:space="0" w:color="auto"/>
          </w:divBdr>
        </w:div>
        <w:div w:id="1311519319">
          <w:marLeft w:val="0"/>
          <w:marRight w:val="0"/>
          <w:marTop w:val="0"/>
          <w:marBottom w:val="0"/>
          <w:divBdr>
            <w:top w:val="none" w:sz="0" w:space="0" w:color="auto"/>
            <w:left w:val="none" w:sz="0" w:space="0" w:color="auto"/>
            <w:bottom w:val="none" w:sz="0" w:space="0" w:color="auto"/>
            <w:right w:val="none" w:sz="0" w:space="0" w:color="auto"/>
          </w:divBdr>
        </w:div>
        <w:div w:id="1421633958">
          <w:marLeft w:val="0"/>
          <w:marRight w:val="0"/>
          <w:marTop w:val="0"/>
          <w:marBottom w:val="0"/>
          <w:divBdr>
            <w:top w:val="none" w:sz="0" w:space="0" w:color="auto"/>
            <w:left w:val="none" w:sz="0" w:space="0" w:color="auto"/>
            <w:bottom w:val="none" w:sz="0" w:space="0" w:color="auto"/>
            <w:right w:val="none" w:sz="0" w:space="0" w:color="auto"/>
          </w:divBdr>
        </w:div>
        <w:div w:id="1456145368">
          <w:marLeft w:val="0"/>
          <w:marRight w:val="0"/>
          <w:marTop w:val="0"/>
          <w:marBottom w:val="0"/>
          <w:divBdr>
            <w:top w:val="none" w:sz="0" w:space="0" w:color="auto"/>
            <w:left w:val="none" w:sz="0" w:space="0" w:color="auto"/>
            <w:bottom w:val="none" w:sz="0" w:space="0" w:color="auto"/>
            <w:right w:val="none" w:sz="0" w:space="0" w:color="auto"/>
          </w:divBdr>
        </w:div>
        <w:div w:id="1629774060">
          <w:marLeft w:val="0"/>
          <w:marRight w:val="0"/>
          <w:marTop w:val="0"/>
          <w:marBottom w:val="0"/>
          <w:divBdr>
            <w:top w:val="none" w:sz="0" w:space="0" w:color="auto"/>
            <w:left w:val="none" w:sz="0" w:space="0" w:color="auto"/>
            <w:bottom w:val="none" w:sz="0" w:space="0" w:color="auto"/>
            <w:right w:val="none" w:sz="0" w:space="0" w:color="auto"/>
          </w:divBdr>
        </w:div>
        <w:div w:id="1718897118">
          <w:marLeft w:val="0"/>
          <w:marRight w:val="0"/>
          <w:marTop w:val="0"/>
          <w:marBottom w:val="0"/>
          <w:divBdr>
            <w:top w:val="none" w:sz="0" w:space="0" w:color="auto"/>
            <w:left w:val="none" w:sz="0" w:space="0" w:color="auto"/>
            <w:bottom w:val="none" w:sz="0" w:space="0" w:color="auto"/>
            <w:right w:val="none" w:sz="0" w:space="0" w:color="auto"/>
          </w:divBdr>
        </w:div>
        <w:div w:id="1818523208">
          <w:marLeft w:val="0"/>
          <w:marRight w:val="0"/>
          <w:marTop w:val="0"/>
          <w:marBottom w:val="0"/>
          <w:divBdr>
            <w:top w:val="none" w:sz="0" w:space="0" w:color="auto"/>
            <w:left w:val="none" w:sz="0" w:space="0" w:color="auto"/>
            <w:bottom w:val="none" w:sz="0" w:space="0" w:color="auto"/>
            <w:right w:val="none" w:sz="0" w:space="0" w:color="auto"/>
          </w:divBdr>
        </w:div>
        <w:div w:id="1941177829">
          <w:marLeft w:val="0"/>
          <w:marRight w:val="0"/>
          <w:marTop w:val="0"/>
          <w:marBottom w:val="0"/>
          <w:divBdr>
            <w:top w:val="none" w:sz="0" w:space="0" w:color="auto"/>
            <w:left w:val="none" w:sz="0" w:space="0" w:color="auto"/>
            <w:bottom w:val="none" w:sz="0" w:space="0" w:color="auto"/>
            <w:right w:val="none" w:sz="0" w:space="0" w:color="auto"/>
          </w:divBdr>
        </w:div>
      </w:divsChild>
    </w:div>
    <w:div w:id="743525837">
      <w:bodyDiv w:val="1"/>
      <w:marLeft w:val="0"/>
      <w:marRight w:val="0"/>
      <w:marTop w:val="0"/>
      <w:marBottom w:val="0"/>
      <w:divBdr>
        <w:top w:val="none" w:sz="0" w:space="0" w:color="auto"/>
        <w:left w:val="none" w:sz="0" w:space="0" w:color="auto"/>
        <w:bottom w:val="none" w:sz="0" w:space="0" w:color="auto"/>
        <w:right w:val="none" w:sz="0" w:space="0" w:color="auto"/>
      </w:divBdr>
    </w:div>
    <w:div w:id="763720163">
      <w:bodyDiv w:val="1"/>
      <w:marLeft w:val="0"/>
      <w:marRight w:val="0"/>
      <w:marTop w:val="0"/>
      <w:marBottom w:val="0"/>
      <w:divBdr>
        <w:top w:val="none" w:sz="0" w:space="0" w:color="auto"/>
        <w:left w:val="none" w:sz="0" w:space="0" w:color="auto"/>
        <w:bottom w:val="none" w:sz="0" w:space="0" w:color="auto"/>
        <w:right w:val="none" w:sz="0" w:space="0" w:color="auto"/>
      </w:divBdr>
    </w:div>
    <w:div w:id="773399875">
      <w:bodyDiv w:val="1"/>
      <w:marLeft w:val="0"/>
      <w:marRight w:val="0"/>
      <w:marTop w:val="0"/>
      <w:marBottom w:val="0"/>
      <w:divBdr>
        <w:top w:val="none" w:sz="0" w:space="0" w:color="auto"/>
        <w:left w:val="none" w:sz="0" w:space="0" w:color="auto"/>
        <w:bottom w:val="none" w:sz="0" w:space="0" w:color="auto"/>
        <w:right w:val="none" w:sz="0" w:space="0" w:color="auto"/>
      </w:divBdr>
      <w:divsChild>
        <w:div w:id="474185181">
          <w:marLeft w:val="0"/>
          <w:marRight w:val="0"/>
          <w:marTop w:val="0"/>
          <w:marBottom w:val="0"/>
          <w:divBdr>
            <w:top w:val="none" w:sz="0" w:space="0" w:color="auto"/>
            <w:left w:val="none" w:sz="0" w:space="0" w:color="auto"/>
            <w:bottom w:val="none" w:sz="0" w:space="0" w:color="auto"/>
            <w:right w:val="none" w:sz="0" w:space="0" w:color="auto"/>
          </w:divBdr>
        </w:div>
        <w:div w:id="882671543">
          <w:marLeft w:val="0"/>
          <w:marRight w:val="0"/>
          <w:marTop w:val="0"/>
          <w:marBottom w:val="0"/>
          <w:divBdr>
            <w:top w:val="none" w:sz="0" w:space="0" w:color="auto"/>
            <w:left w:val="none" w:sz="0" w:space="0" w:color="auto"/>
            <w:bottom w:val="none" w:sz="0" w:space="0" w:color="auto"/>
            <w:right w:val="none" w:sz="0" w:space="0" w:color="auto"/>
          </w:divBdr>
        </w:div>
      </w:divsChild>
    </w:div>
    <w:div w:id="785318402">
      <w:bodyDiv w:val="1"/>
      <w:marLeft w:val="0"/>
      <w:marRight w:val="0"/>
      <w:marTop w:val="0"/>
      <w:marBottom w:val="0"/>
      <w:divBdr>
        <w:top w:val="none" w:sz="0" w:space="0" w:color="auto"/>
        <w:left w:val="none" w:sz="0" w:space="0" w:color="auto"/>
        <w:bottom w:val="none" w:sz="0" w:space="0" w:color="auto"/>
        <w:right w:val="none" w:sz="0" w:space="0" w:color="auto"/>
      </w:divBdr>
    </w:div>
    <w:div w:id="813958173">
      <w:bodyDiv w:val="1"/>
      <w:marLeft w:val="0"/>
      <w:marRight w:val="0"/>
      <w:marTop w:val="0"/>
      <w:marBottom w:val="0"/>
      <w:divBdr>
        <w:top w:val="none" w:sz="0" w:space="0" w:color="auto"/>
        <w:left w:val="none" w:sz="0" w:space="0" w:color="auto"/>
        <w:bottom w:val="none" w:sz="0" w:space="0" w:color="auto"/>
        <w:right w:val="none" w:sz="0" w:space="0" w:color="auto"/>
      </w:divBdr>
      <w:divsChild>
        <w:div w:id="970554241">
          <w:marLeft w:val="0"/>
          <w:marRight w:val="0"/>
          <w:marTop w:val="0"/>
          <w:marBottom w:val="0"/>
          <w:divBdr>
            <w:top w:val="none" w:sz="0" w:space="0" w:color="auto"/>
            <w:left w:val="none" w:sz="0" w:space="0" w:color="auto"/>
            <w:bottom w:val="none" w:sz="0" w:space="0" w:color="auto"/>
            <w:right w:val="none" w:sz="0" w:space="0" w:color="auto"/>
          </w:divBdr>
        </w:div>
        <w:div w:id="1278412044">
          <w:marLeft w:val="0"/>
          <w:marRight w:val="0"/>
          <w:marTop w:val="0"/>
          <w:marBottom w:val="0"/>
          <w:divBdr>
            <w:top w:val="none" w:sz="0" w:space="0" w:color="auto"/>
            <w:left w:val="none" w:sz="0" w:space="0" w:color="auto"/>
            <w:bottom w:val="none" w:sz="0" w:space="0" w:color="auto"/>
            <w:right w:val="none" w:sz="0" w:space="0" w:color="auto"/>
          </w:divBdr>
        </w:div>
      </w:divsChild>
    </w:div>
    <w:div w:id="878469280">
      <w:bodyDiv w:val="1"/>
      <w:marLeft w:val="0"/>
      <w:marRight w:val="0"/>
      <w:marTop w:val="0"/>
      <w:marBottom w:val="0"/>
      <w:divBdr>
        <w:top w:val="none" w:sz="0" w:space="0" w:color="auto"/>
        <w:left w:val="none" w:sz="0" w:space="0" w:color="auto"/>
        <w:bottom w:val="none" w:sz="0" w:space="0" w:color="auto"/>
        <w:right w:val="none" w:sz="0" w:space="0" w:color="auto"/>
      </w:divBdr>
    </w:div>
    <w:div w:id="909659757">
      <w:bodyDiv w:val="1"/>
      <w:marLeft w:val="0"/>
      <w:marRight w:val="0"/>
      <w:marTop w:val="0"/>
      <w:marBottom w:val="0"/>
      <w:divBdr>
        <w:top w:val="none" w:sz="0" w:space="0" w:color="auto"/>
        <w:left w:val="none" w:sz="0" w:space="0" w:color="auto"/>
        <w:bottom w:val="none" w:sz="0" w:space="0" w:color="auto"/>
        <w:right w:val="none" w:sz="0" w:space="0" w:color="auto"/>
      </w:divBdr>
    </w:div>
    <w:div w:id="960186440">
      <w:bodyDiv w:val="1"/>
      <w:marLeft w:val="0"/>
      <w:marRight w:val="0"/>
      <w:marTop w:val="0"/>
      <w:marBottom w:val="0"/>
      <w:divBdr>
        <w:top w:val="none" w:sz="0" w:space="0" w:color="auto"/>
        <w:left w:val="none" w:sz="0" w:space="0" w:color="auto"/>
        <w:bottom w:val="none" w:sz="0" w:space="0" w:color="auto"/>
        <w:right w:val="none" w:sz="0" w:space="0" w:color="auto"/>
      </w:divBdr>
      <w:divsChild>
        <w:div w:id="43067623">
          <w:marLeft w:val="0"/>
          <w:marRight w:val="0"/>
          <w:marTop w:val="0"/>
          <w:marBottom w:val="0"/>
          <w:divBdr>
            <w:top w:val="none" w:sz="0" w:space="0" w:color="auto"/>
            <w:left w:val="none" w:sz="0" w:space="0" w:color="auto"/>
            <w:bottom w:val="none" w:sz="0" w:space="0" w:color="auto"/>
            <w:right w:val="none" w:sz="0" w:space="0" w:color="auto"/>
          </w:divBdr>
          <w:divsChild>
            <w:div w:id="936406290">
              <w:marLeft w:val="0"/>
              <w:marRight w:val="0"/>
              <w:marTop w:val="0"/>
              <w:marBottom w:val="0"/>
              <w:divBdr>
                <w:top w:val="none" w:sz="0" w:space="0" w:color="auto"/>
                <w:left w:val="none" w:sz="0" w:space="0" w:color="auto"/>
                <w:bottom w:val="none" w:sz="0" w:space="0" w:color="auto"/>
                <w:right w:val="none" w:sz="0" w:space="0" w:color="auto"/>
              </w:divBdr>
            </w:div>
            <w:div w:id="1141926127">
              <w:marLeft w:val="0"/>
              <w:marRight w:val="0"/>
              <w:marTop w:val="0"/>
              <w:marBottom w:val="0"/>
              <w:divBdr>
                <w:top w:val="none" w:sz="0" w:space="0" w:color="auto"/>
                <w:left w:val="none" w:sz="0" w:space="0" w:color="auto"/>
                <w:bottom w:val="none" w:sz="0" w:space="0" w:color="auto"/>
                <w:right w:val="none" w:sz="0" w:space="0" w:color="auto"/>
              </w:divBdr>
            </w:div>
          </w:divsChild>
        </w:div>
        <w:div w:id="250506326">
          <w:marLeft w:val="0"/>
          <w:marRight w:val="0"/>
          <w:marTop w:val="0"/>
          <w:marBottom w:val="0"/>
          <w:divBdr>
            <w:top w:val="none" w:sz="0" w:space="0" w:color="auto"/>
            <w:left w:val="none" w:sz="0" w:space="0" w:color="auto"/>
            <w:bottom w:val="none" w:sz="0" w:space="0" w:color="auto"/>
            <w:right w:val="none" w:sz="0" w:space="0" w:color="auto"/>
          </w:divBdr>
          <w:divsChild>
            <w:div w:id="983778643">
              <w:marLeft w:val="0"/>
              <w:marRight w:val="0"/>
              <w:marTop w:val="0"/>
              <w:marBottom w:val="0"/>
              <w:divBdr>
                <w:top w:val="none" w:sz="0" w:space="0" w:color="auto"/>
                <w:left w:val="none" w:sz="0" w:space="0" w:color="auto"/>
                <w:bottom w:val="none" w:sz="0" w:space="0" w:color="auto"/>
                <w:right w:val="none" w:sz="0" w:space="0" w:color="auto"/>
              </w:divBdr>
            </w:div>
          </w:divsChild>
        </w:div>
        <w:div w:id="309292988">
          <w:marLeft w:val="0"/>
          <w:marRight w:val="0"/>
          <w:marTop w:val="0"/>
          <w:marBottom w:val="0"/>
          <w:divBdr>
            <w:top w:val="none" w:sz="0" w:space="0" w:color="auto"/>
            <w:left w:val="none" w:sz="0" w:space="0" w:color="auto"/>
            <w:bottom w:val="none" w:sz="0" w:space="0" w:color="auto"/>
            <w:right w:val="none" w:sz="0" w:space="0" w:color="auto"/>
          </w:divBdr>
          <w:divsChild>
            <w:div w:id="1360936785">
              <w:marLeft w:val="0"/>
              <w:marRight w:val="0"/>
              <w:marTop w:val="0"/>
              <w:marBottom w:val="0"/>
              <w:divBdr>
                <w:top w:val="none" w:sz="0" w:space="0" w:color="auto"/>
                <w:left w:val="none" w:sz="0" w:space="0" w:color="auto"/>
                <w:bottom w:val="none" w:sz="0" w:space="0" w:color="auto"/>
                <w:right w:val="none" w:sz="0" w:space="0" w:color="auto"/>
              </w:divBdr>
            </w:div>
          </w:divsChild>
        </w:div>
        <w:div w:id="340470042">
          <w:marLeft w:val="0"/>
          <w:marRight w:val="0"/>
          <w:marTop w:val="0"/>
          <w:marBottom w:val="0"/>
          <w:divBdr>
            <w:top w:val="none" w:sz="0" w:space="0" w:color="auto"/>
            <w:left w:val="none" w:sz="0" w:space="0" w:color="auto"/>
            <w:bottom w:val="none" w:sz="0" w:space="0" w:color="auto"/>
            <w:right w:val="none" w:sz="0" w:space="0" w:color="auto"/>
          </w:divBdr>
          <w:divsChild>
            <w:div w:id="1809736024">
              <w:marLeft w:val="0"/>
              <w:marRight w:val="0"/>
              <w:marTop w:val="0"/>
              <w:marBottom w:val="0"/>
              <w:divBdr>
                <w:top w:val="none" w:sz="0" w:space="0" w:color="auto"/>
                <w:left w:val="none" w:sz="0" w:space="0" w:color="auto"/>
                <w:bottom w:val="none" w:sz="0" w:space="0" w:color="auto"/>
                <w:right w:val="none" w:sz="0" w:space="0" w:color="auto"/>
              </w:divBdr>
            </w:div>
          </w:divsChild>
        </w:div>
        <w:div w:id="386687171">
          <w:marLeft w:val="0"/>
          <w:marRight w:val="0"/>
          <w:marTop w:val="0"/>
          <w:marBottom w:val="0"/>
          <w:divBdr>
            <w:top w:val="none" w:sz="0" w:space="0" w:color="auto"/>
            <w:left w:val="none" w:sz="0" w:space="0" w:color="auto"/>
            <w:bottom w:val="none" w:sz="0" w:space="0" w:color="auto"/>
            <w:right w:val="none" w:sz="0" w:space="0" w:color="auto"/>
          </w:divBdr>
          <w:divsChild>
            <w:div w:id="372312792">
              <w:marLeft w:val="0"/>
              <w:marRight w:val="0"/>
              <w:marTop w:val="0"/>
              <w:marBottom w:val="0"/>
              <w:divBdr>
                <w:top w:val="none" w:sz="0" w:space="0" w:color="auto"/>
                <w:left w:val="none" w:sz="0" w:space="0" w:color="auto"/>
                <w:bottom w:val="none" w:sz="0" w:space="0" w:color="auto"/>
                <w:right w:val="none" w:sz="0" w:space="0" w:color="auto"/>
              </w:divBdr>
            </w:div>
          </w:divsChild>
        </w:div>
        <w:div w:id="519591230">
          <w:marLeft w:val="0"/>
          <w:marRight w:val="0"/>
          <w:marTop w:val="0"/>
          <w:marBottom w:val="0"/>
          <w:divBdr>
            <w:top w:val="none" w:sz="0" w:space="0" w:color="auto"/>
            <w:left w:val="none" w:sz="0" w:space="0" w:color="auto"/>
            <w:bottom w:val="none" w:sz="0" w:space="0" w:color="auto"/>
            <w:right w:val="none" w:sz="0" w:space="0" w:color="auto"/>
          </w:divBdr>
          <w:divsChild>
            <w:div w:id="1013386782">
              <w:marLeft w:val="0"/>
              <w:marRight w:val="0"/>
              <w:marTop w:val="0"/>
              <w:marBottom w:val="0"/>
              <w:divBdr>
                <w:top w:val="none" w:sz="0" w:space="0" w:color="auto"/>
                <w:left w:val="none" w:sz="0" w:space="0" w:color="auto"/>
                <w:bottom w:val="none" w:sz="0" w:space="0" w:color="auto"/>
                <w:right w:val="none" w:sz="0" w:space="0" w:color="auto"/>
              </w:divBdr>
            </w:div>
          </w:divsChild>
        </w:div>
        <w:div w:id="561714438">
          <w:marLeft w:val="0"/>
          <w:marRight w:val="0"/>
          <w:marTop w:val="0"/>
          <w:marBottom w:val="0"/>
          <w:divBdr>
            <w:top w:val="none" w:sz="0" w:space="0" w:color="auto"/>
            <w:left w:val="none" w:sz="0" w:space="0" w:color="auto"/>
            <w:bottom w:val="none" w:sz="0" w:space="0" w:color="auto"/>
            <w:right w:val="none" w:sz="0" w:space="0" w:color="auto"/>
          </w:divBdr>
          <w:divsChild>
            <w:div w:id="785777892">
              <w:marLeft w:val="0"/>
              <w:marRight w:val="0"/>
              <w:marTop w:val="0"/>
              <w:marBottom w:val="0"/>
              <w:divBdr>
                <w:top w:val="none" w:sz="0" w:space="0" w:color="auto"/>
                <w:left w:val="none" w:sz="0" w:space="0" w:color="auto"/>
                <w:bottom w:val="none" w:sz="0" w:space="0" w:color="auto"/>
                <w:right w:val="none" w:sz="0" w:space="0" w:color="auto"/>
              </w:divBdr>
            </w:div>
          </w:divsChild>
        </w:div>
        <w:div w:id="647369210">
          <w:marLeft w:val="0"/>
          <w:marRight w:val="0"/>
          <w:marTop w:val="0"/>
          <w:marBottom w:val="0"/>
          <w:divBdr>
            <w:top w:val="none" w:sz="0" w:space="0" w:color="auto"/>
            <w:left w:val="none" w:sz="0" w:space="0" w:color="auto"/>
            <w:bottom w:val="none" w:sz="0" w:space="0" w:color="auto"/>
            <w:right w:val="none" w:sz="0" w:space="0" w:color="auto"/>
          </w:divBdr>
          <w:divsChild>
            <w:div w:id="1889416363">
              <w:marLeft w:val="0"/>
              <w:marRight w:val="0"/>
              <w:marTop w:val="0"/>
              <w:marBottom w:val="0"/>
              <w:divBdr>
                <w:top w:val="none" w:sz="0" w:space="0" w:color="auto"/>
                <w:left w:val="none" w:sz="0" w:space="0" w:color="auto"/>
                <w:bottom w:val="none" w:sz="0" w:space="0" w:color="auto"/>
                <w:right w:val="none" w:sz="0" w:space="0" w:color="auto"/>
              </w:divBdr>
            </w:div>
          </w:divsChild>
        </w:div>
        <w:div w:id="686372430">
          <w:marLeft w:val="0"/>
          <w:marRight w:val="0"/>
          <w:marTop w:val="0"/>
          <w:marBottom w:val="0"/>
          <w:divBdr>
            <w:top w:val="none" w:sz="0" w:space="0" w:color="auto"/>
            <w:left w:val="none" w:sz="0" w:space="0" w:color="auto"/>
            <w:bottom w:val="none" w:sz="0" w:space="0" w:color="auto"/>
            <w:right w:val="none" w:sz="0" w:space="0" w:color="auto"/>
          </w:divBdr>
          <w:divsChild>
            <w:div w:id="787509364">
              <w:marLeft w:val="0"/>
              <w:marRight w:val="0"/>
              <w:marTop w:val="0"/>
              <w:marBottom w:val="0"/>
              <w:divBdr>
                <w:top w:val="none" w:sz="0" w:space="0" w:color="auto"/>
                <w:left w:val="none" w:sz="0" w:space="0" w:color="auto"/>
                <w:bottom w:val="none" w:sz="0" w:space="0" w:color="auto"/>
                <w:right w:val="none" w:sz="0" w:space="0" w:color="auto"/>
              </w:divBdr>
            </w:div>
          </w:divsChild>
        </w:div>
        <w:div w:id="727191151">
          <w:marLeft w:val="0"/>
          <w:marRight w:val="0"/>
          <w:marTop w:val="0"/>
          <w:marBottom w:val="0"/>
          <w:divBdr>
            <w:top w:val="none" w:sz="0" w:space="0" w:color="auto"/>
            <w:left w:val="none" w:sz="0" w:space="0" w:color="auto"/>
            <w:bottom w:val="none" w:sz="0" w:space="0" w:color="auto"/>
            <w:right w:val="none" w:sz="0" w:space="0" w:color="auto"/>
          </w:divBdr>
          <w:divsChild>
            <w:div w:id="1558854289">
              <w:marLeft w:val="0"/>
              <w:marRight w:val="0"/>
              <w:marTop w:val="0"/>
              <w:marBottom w:val="0"/>
              <w:divBdr>
                <w:top w:val="none" w:sz="0" w:space="0" w:color="auto"/>
                <w:left w:val="none" w:sz="0" w:space="0" w:color="auto"/>
                <w:bottom w:val="none" w:sz="0" w:space="0" w:color="auto"/>
                <w:right w:val="none" w:sz="0" w:space="0" w:color="auto"/>
              </w:divBdr>
            </w:div>
            <w:div w:id="1647929282">
              <w:marLeft w:val="0"/>
              <w:marRight w:val="0"/>
              <w:marTop w:val="0"/>
              <w:marBottom w:val="0"/>
              <w:divBdr>
                <w:top w:val="none" w:sz="0" w:space="0" w:color="auto"/>
                <w:left w:val="none" w:sz="0" w:space="0" w:color="auto"/>
                <w:bottom w:val="none" w:sz="0" w:space="0" w:color="auto"/>
                <w:right w:val="none" w:sz="0" w:space="0" w:color="auto"/>
              </w:divBdr>
            </w:div>
          </w:divsChild>
        </w:div>
        <w:div w:id="841237881">
          <w:marLeft w:val="0"/>
          <w:marRight w:val="0"/>
          <w:marTop w:val="0"/>
          <w:marBottom w:val="0"/>
          <w:divBdr>
            <w:top w:val="none" w:sz="0" w:space="0" w:color="auto"/>
            <w:left w:val="none" w:sz="0" w:space="0" w:color="auto"/>
            <w:bottom w:val="none" w:sz="0" w:space="0" w:color="auto"/>
            <w:right w:val="none" w:sz="0" w:space="0" w:color="auto"/>
          </w:divBdr>
          <w:divsChild>
            <w:div w:id="1389380317">
              <w:marLeft w:val="0"/>
              <w:marRight w:val="0"/>
              <w:marTop w:val="0"/>
              <w:marBottom w:val="0"/>
              <w:divBdr>
                <w:top w:val="none" w:sz="0" w:space="0" w:color="auto"/>
                <w:left w:val="none" w:sz="0" w:space="0" w:color="auto"/>
                <w:bottom w:val="none" w:sz="0" w:space="0" w:color="auto"/>
                <w:right w:val="none" w:sz="0" w:space="0" w:color="auto"/>
              </w:divBdr>
            </w:div>
          </w:divsChild>
        </w:div>
        <w:div w:id="906188408">
          <w:marLeft w:val="0"/>
          <w:marRight w:val="0"/>
          <w:marTop w:val="0"/>
          <w:marBottom w:val="0"/>
          <w:divBdr>
            <w:top w:val="none" w:sz="0" w:space="0" w:color="auto"/>
            <w:left w:val="none" w:sz="0" w:space="0" w:color="auto"/>
            <w:bottom w:val="none" w:sz="0" w:space="0" w:color="auto"/>
            <w:right w:val="none" w:sz="0" w:space="0" w:color="auto"/>
          </w:divBdr>
          <w:divsChild>
            <w:div w:id="1220243442">
              <w:marLeft w:val="0"/>
              <w:marRight w:val="0"/>
              <w:marTop w:val="0"/>
              <w:marBottom w:val="0"/>
              <w:divBdr>
                <w:top w:val="none" w:sz="0" w:space="0" w:color="auto"/>
                <w:left w:val="none" w:sz="0" w:space="0" w:color="auto"/>
                <w:bottom w:val="none" w:sz="0" w:space="0" w:color="auto"/>
                <w:right w:val="none" w:sz="0" w:space="0" w:color="auto"/>
              </w:divBdr>
            </w:div>
          </w:divsChild>
        </w:div>
        <w:div w:id="990793389">
          <w:marLeft w:val="0"/>
          <w:marRight w:val="0"/>
          <w:marTop w:val="0"/>
          <w:marBottom w:val="0"/>
          <w:divBdr>
            <w:top w:val="none" w:sz="0" w:space="0" w:color="auto"/>
            <w:left w:val="none" w:sz="0" w:space="0" w:color="auto"/>
            <w:bottom w:val="none" w:sz="0" w:space="0" w:color="auto"/>
            <w:right w:val="none" w:sz="0" w:space="0" w:color="auto"/>
          </w:divBdr>
          <w:divsChild>
            <w:div w:id="76053590">
              <w:marLeft w:val="0"/>
              <w:marRight w:val="0"/>
              <w:marTop w:val="0"/>
              <w:marBottom w:val="0"/>
              <w:divBdr>
                <w:top w:val="none" w:sz="0" w:space="0" w:color="auto"/>
                <w:left w:val="none" w:sz="0" w:space="0" w:color="auto"/>
                <w:bottom w:val="none" w:sz="0" w:space="0" w:color="auto"/>
                <w:right w:val="none" w:sz="0" w:space="0" w:color="auto"/>
              </w:divBdr>
            </w:div>
            <w:div w:id="228731688">
              <w:marLeft w:val="0"/>
              <w:marRight w:val="0"/>
              <w:marTop w:val="0"/>
              <w:marBottom w:val="0"/>
              <w:divBdr>
                <w:top w:val="none" w:sz="0" w:space="0" w:color="auto"/>
                <w:left w:val="none" w:sz="0" w:space="0" w:color="auto"/>
                <w:bottom w:val="none" w:sz="0" w:space="0" w:color="auto"/>
                <w:right w:val="none" w:sz="0" w:space="0" w:color="auto"/>
              </w:divBdr>
            </w:div>
            <w:div w:id="344286806">
              <w:marLeft w:val="0"/>
              <w:marRight w:val="0"/>
              <w:marTop w:val="0"/>
              <w:marBottom w:val="0"/>
              <w:divBdr>
                <w:top w:val="none" w:sz="0" w:space="0" w:color="auto"/>
                <w:left w:val="none" w:sz="0" w:space="0" w:color="auto"/>
                <w:bottom w:val="none" w:sz="0" w:space="0" w:color="auto"/>
                <w:right w:val="none" w:sz="0" w:space="0" w:color="auto"/>
              </w:divBdr>
            </w:div>
            <w:div w:id="662318624">
              <w:marLeft w:val="0"/>
              <w:marRight w:val="0"/>
              <w:marTop w:val="0"/>
              <w:marBottom w:val="0"/>
              <w:divBdr>
                <w:top w:val="none" w:sz="0" w:space="0" w:color="auto"/>
                <w:left w:val="none" w:sz="0" w:space="0" w:color="auto"/>
                <w:bottom w:val="none" w:sz="0" w:space="0" w:color="auto"/>
                <w:right w:val="none" w:sz="0" w:space="0" w:color="auto"/>
              </w:divBdr>
            </w:div>
            <w:div w:id="742416770">
              <w:marLeft w:val="0"/>
              <w:marRight w:val="0"/>
              <w:marTop w:val="0"/>
              <w:marBottom w:val="0"/>
              <w:divBdr>
                <w:top w:val="none" w:sz="0" w:space="0" w:color="auto"/>
                <w:left w:val="none" w:sz="0" w:space="0" w:color="auto"/>
                <w:bottom w:val="none" w:sz="0" w:space="0" w:color="auto"/>
                <w:right w:val="none" w:sz="0" w:space="0" w:color="auto"/>
              </w:divBdr>
            </w:div>
            <w:div w:id="1405879490">
              <w:marLeft w:val="0"/>
              <w:marRight w:val="0"/>
              <w:marTop w:val="0"/>
              <w:marBottom w:val="0"/>
              <w:divBdr>
                <w:top w:val="none" w:sz="0" w:space="0" w:color="auto"/>
                <w:left w:val="none" w:sz="0" w:space="0" w:color="auto"/>
                <w:bottom w:val="none" w:sz="0" w:space="0" w:color="auto"/>
                <w:right w:val="none" w:sz="0" w:space="0" w:color="auto"/>
              </w:divBdr>
            </w:div>
          </w:divsChild>
        </w:div>
        <w:div w:id="1051884975">
          <w:marLeft w:val="0"/>
          <w:marRight w:val="0"/>
          <w:marTop w:val="0"/>
          <w:marBottom w:val="0"/>
          <w:divBdr>
            <w:top w:val="none" w:sz="0" w:space="0" w:color="auto"/>
            <w:left w:val="none" w:sz="0" w:space="0" w:color="auto"/>
            <w:bottom w:val="none" w:sz="0" w:space="0" w:color="auto"/>
            <w:right w:val="none" w:sz="0" w:space="0" w:color="auto"/>
          </w:divBdr>
          <w:divsChild>
            <w:div w:id="421728242">
              <w:marLeft w:val="0"/>
              <w:marRight w:val="0"/>
              <w:marTop w:val="0"/>
              <w:marBottom w:val="0"/>
              <w:divBdr>
                <w:top w:val="none" w:sz="0" w:space="0" w:color="auto"/>
                <w:left w:val="none" w:sz="0" w:space="0" w:color="auto"/>
                <w:bottom w:val="none" w:sz="0" w:space="0" w:color="auto"/>
                <w:right w:val="none" w:sz="0" w:space="0" w:color="auto"/>
              </w:divBdr>
            </w:div>
          </w:divsChild>
        </w:div>
        <w:div w:id="1104613355">
          <w:marLeft w:val="0"/>
          <w:marRight w:val="0"/>
          <w:marTop w:val="0"/>
          <w:marBottom w:val="0"/>
          <w:divBdr>
            <w:top w:val="none" w:sz="0" w:space="0" w:color="auto"/>
            <w:left w:val="none" w:sz="0" w:space="0" w:color="auto"/>
            <w:bottom w:val="none" w:sz="0" w:space="0" w:color="auto"/>
            <w:right w:val="none" w:sz="0" w:space="0" w:color="auto"/>
          </w:divBdr>
          <w:divsChild>
            <w:div w:id="1753235402">
              <w:marLeft w:val="0"/>
              <w:marRight w:val="0"/>
              <w:marTop w:val="0"/>
              <w:marBottom w:val="0"/>
              <w:divBdr>
                <w:top w:val="none" w:sz="0" w:space="0" w:color="auto"/>
                <w:left w:val="none" w:sz="0" w:space="0" w:color="auto"/>
                <w:bottom w:val="none" w:sz="0" w:space="0" w:color="auto"/>
                <w:right w:val="none" w:sz="0" w:space="0" w:color="auto"/>
              </w:divBdr>
            </w:div>
          </w:divsChild>
        </w:div>
        <w:div w:id="1132283038">
          <w:marLeft w:val="0"/>
          <w:marRight w:val="0"/>
          <w:marTop w:val="0"/>
          <w:marBottom w:val="0"/>
          <w:divBdr>
            <w:top w:val="none" w:sz="0" w:space="0" w:color="auto"/>
            <w:left w:val="none" w:sz="0" w:space="0" w:color="auto"/>
            <w:bottom w:val="none" w:sz="0" w:space="0" w:color="auto"/>
            <w:right w:val="none" w:sz="0" w:space="0" w:color="auto"/>
          </w:divBdr>
          <w:divsChild>
            <w:div w:id="276178742">
              <w:marLeft w:val="0"/>
              <w:marRight w:val="0"/>
              <w:marTop w:val="0"/>
              <w:marBottom w:val="0"/>
              <w:divBdr>
                <w:top w:val="none" w:sz="0" w:space="0" w:color="auto"/>
                <w:left w:val="none" w:sz="0" w:space="0" w:color="auto"/>
                <w:bottom w:val="none" w:sz="0" w:space="0" w:color="auto"/>
                <w:right w:val="none" w:sz="0" w:space="0" w:color="auto"/>
              </w:divBdr>
            </w:div>
          </w:divsChild>
        </w:div>
        <w:div w:id="1303535793">
          <w:marLeft w:val="0"/>
          <w:marRight w:val="0"/>
          <w:marTop w:val="0"/>
          <w:marBottom w:val="0"/>
          <w:divBdr>
            <w:top w:val="none" w:sz="0" w:space="0" w:color="auto"/>
            <w:left w:val="none" w:sz="0" w:space="0" w:color="auto"/>
            <w:bottom w:val="none" w:sz="0" w:space="0" w:color="auto"/>
            <w:right w:val="none" w:sz="0" w:space="0" w:color="auto"/>
          </w:divBdr>
          <w:divsChild>
            <w:div w:id="69427529">
              <w:marLeft w:val="0"/>
              <w:marRight w:val="0"/>
              <w:marTop w:val="0"/>
              <w:marBottom w:val="0"/>
              <w:divBdr>
                <w:top w:val="none" w:sz="0" w:space="0" w:color="auto"/>
                <w:left w:val="none" w:sz="0" w:space="0" w:color="auto"/>
                <w:bottom w:val="none" w:sz="0" w:space="0" w:color="auto"/>
                <w:right w:val="none" w:sz="0" w:space="0" w:color="auto"/>
              </w:divBdr>
            </w:div>
          </w:divsChild>
        </w:div>
        <w:div w:id="1375424842">
          <w:marLeft w:val="0"/>
          <w:marRight w:val="0"/>
          <w:marTop w:val="0"/>
          <w:marBottom w:val="0"/>
          <w:divBdr>
            <w:top w:val="none" w:sz="0" w:space="0" w:color="auto"/>
            <w:left w:val="none" w:sz="0" w:space="0" w:color="auto"/>
            <w:bottom w:val="none" w:sz="0" w:space="0" w:color="auto"/>
            <w:right w:val="none" w:sz="0" w:space="0" w:color="auto"/>
          </w:divBdr>
          <w:divsChild>
            <w:div w:id="1485046269">
              <w:marLeft w:val="0"/>
              <w:marRight w:val="0"/>
              <w:marTop w:val="0"/>
              <w:marBottom w:val="0"/>
              <w:divBdr>
                <w:top w:val="none" w:sz="0" w:space="0" w:color="auto"/>
                <w:left w:val="none" w:sz="0" w:space="0" w:color="auto"/>
                <w:bottom w:val="none" w:sz="0" w:space="0" w:color="auto"/>
                <w:right w:val="none" w:sz="0" w:space="0" w:color="auto"/>
              </w:divBdr>
            </w:div>
          </w:divsChild>
        </w:div>
        <w:div w:id="1435712875">
          <w:marLeft w:val="0"/>
          <w:marRight w:val="0"/>
          <w:marTop w:val="0"/>
          <w:marBottom w:val="0"/>
          <w:divBdr>
            <w:top w:val="none" w:sz="0" w:space="0" w:color="auto"/>
            <w:left w:val="none" w:sz="0" w:space="0" w:color="auto"/>
            <w:bottom w:val="none" w:sz="0" w:space="0" w:color="auto"/>
            <w:right w:val="none" w:sz="0" w:space="0" w:color="auto"/>
          </w:divBdr>
          <w:divsChild>
            <w:div w:id="797770261">
              <w:marLeft w:val="0"/>
              <w:marRight w:val="0"/>
              <w:marTop w:val="0"/>
              <w:marBottom w:val="0"/>
              <w:divBdr>
                <w:top w:val="none" w:sz="0" w:space="0" w:color="auto"/>
                <w:left w:val="none" w:sz="0" w:space="0" w:color="auto"/>
                <w:bottom w:val="none" w:sz="0" w:space="0" w:color="auto"/>
                <w:right w:val="none" w:sz="0" w:space="0" w:color="auto"/>
              </w:divBdr>
            </w:div>
          </w:divsChild>
        </w:div>
        <w:div w:id="1601793419">
          <w:marLeft w:val="0"/>
          <w:marRight w:val="0"/>
          <w:marTop w:val="0"/>
          <w:marBottom w:val="0"/>
          <w:divBdr>
            <w:top w:val="none" w:sz="0" w:space="0" w:color="auto"/>
            <w:left w:val="none" w:sz="0" w:space="0" w:color="auto"/>
            <w:bottom w:val="none" w:sz="0" w:space="0" w:color="auto"/>
            <w:right w:val="none" w:sz="0" w:space="0" w:color="auto"/>
          </w:divBdr>
          <w:divsChild>
            <w:div w:id="874583654">
              <w:marLeft w:val="0"/>
              <w:marRight w:val="0"/>
              <w:marTop w:val="0"/>
              <w:marBottom w:val="0"/>
              <w:divBdr>
                <w:top w:val="none" w:sz="0" w:space="0" w:color="auto"/>
                <w:left w:val="none" w:sz="0" w:space="0" w:color="auto"/>
                <w:bottom w:val="none" w:sz="0" w:space="0" w:color="auto"/>
                <w:right w:val="none" w:sz="0" w:space="0" w:color="auto"/>
              </w:divBdr>
            </w:div>
          </w:divsChild>
        </w:div>
        <w:div w:id="1642540697">
          <w:marLeft w:val="0"/>
          <w:marRight w:val="0"/>
          <w:marTop w:val="0"/>
          <w:marBottom w:val="0"/>
          <w:divBdr>
            <w:top w:val="none" w:sz="0" w:space="0" w:color="auto"/>
            <w:left w:val="none" w:sz="0" w:space="0" w:color="auto"/>
            <w:bottom w:val="none" w:sz="0" w:space="0" w:color="auto"/>
            <w:right w:val="none" w:sz="0" w:space="0" w:color="auto"/>
          </w:divBdr>
          <w:divsChild>
            <w:div w:id="1719433444">
              <w:marLeft w:val="0"/>
              <w:marRight w:val="0"/>
              <w:marTop w:val="0"/>
              <w:marBottom w:val="0"/>
              <w:divBdr>
                <w:top w:val="none" w:sz="0" w:space="0" w:color="auto"/>
                <w:left w:val="none" w:sz="0" w:space="0" w:color="auto"/>
                <w:bottom w:val="none" w:sz="0" w:space="0" w:color="auto"/>
                <w:right w:val="none" w:sz="0" w:space="0" w:color="auto"/>
              </w:divBdr>
            </w:div>
          </w:divsChild>
        </w:div>
        <w:div w:id="1674188439">
          <w:marLeft w:val="0"/>
          <w:marRight w:val="0"/>
          <w:marTop w:val="0"/>
          <w:marBottom w:val="0"/>
          <w:divBdr>
            <w:top w:val="none" w:sz="0" w:space="0" w:color="auto"/>
            <w:left w:val="none" w:sz="0" w:space="0" w:color="auto"/>
            <w:bottom w:val="none" w:sz="0" w:space="0" w:color="auto"/>
            <w:right w:val="none" w:sz="0" w:space="0" w:color="auto"/>
          </w:divBdr>
          <w:divsChild>
            <w:div w:id="831338419">
              <w:marLeft w:val="0"/>
              <w:marRight w:val="0"/>
              <w:marTop w:val="0"/>
              <w:marBottom w:val="0"/>
              <w:divBdr>
                <w:top w:val="none" w:sz="0" w:space="0" w:color="auto"/>
                <w:left w:val="none" w:sz="0" w:space="0" w:color="auto"/>
                <w:bottom w:val="none" w:sz="0" w:space="0" w:color="auto"/>
                <w:right w:val="none" w:sz="0" w:space="0" w:color="auto"/>
              </w:divBdr>
            </w:div>
          </w:divsChild>
        </w:div>
        <w:div w:id="1746492006">
          <w:marLeft w:val="0"/>
          <w:marRight w:val="0"/>
          <w:marTop w:val="0"/>
          <w:marBottom w:val="0"/>
          <w:divBdr>
            <w:top w:val="none" w:sz="0" w:space="0" w:color="auto"/>
            <w:left w:val="none" w:sz="0" w:space="0" w:color="auto"/>
            <w:bottom w:val="none" w:sz="0" w:space="0" w:color="auto"/>
            <w:right w:val="none" w:sz="0" w:space="0" w:color="auto"/>
          </w:divBdr>
          <w:divsChild>
            <w:div w:id="853227219">
              <w:marLeft w:val="0"/>
              <w:marRight w:val="0"/>
              <w:marTop w:val="0"/>
              <w:marBottom w:val="0"/>
              <w:divBdr>
                <w:top w:val="none" w:sz="0" w:space="0" w:color="auto"/>
                <w:left w:val="none" w:sz="0" w:space="0" w:color="auto"/>
                <w:bottom w:val="none" w:sz="0" w:space="0" w:color="auto"/>
                <w:right w:val="none" w:sz="0" w:space="0" w:color="auto"/>
              </w:divBdr>
            </w:div>
          </w:divsChild>
        </w:div>
        <w:div w:id="1793284318">
          <w:marLeft w:val="0"/>
          <w:marRight w:val="0"/>
          <w:marTop w:val="0"/>
          <w:marBottom w:val="0"/>
          <w:divBdr>
            <w:top w:val="none" w:sz="0" w:space="0" w:color="auto"/>
            <w:left w:val="none" w:sz="0" w:space="0" w:color="auto"/>
            <w:bottom w:val="none" w:sz="0" w:space="0" w:color="auto"/>
            <w:right w:val="none" w:sz="0" w:space="0" w:color="auto"/>
          </w:divBdr>
          <w:divsChild>
            <w:div w:id="196284363">
              <w:marLeft w:val="0"/>
              <w:marRight w:val="0"/>
              <w:marTop w:val="0"/>
              <w:marBottom w:val="0"/>
              <w:divBdr>
                <w:top w:val="none" w:sz="0" w:space="0" w:color="auto"/>
                <w:left w:val="none" w:sz="0" w:space="0" w:color="auto"/>
                <w:bottom w:val="none" w:sz="0" w:space="0" w:color="auto"/>
                <w:right w:val="none" w:sz="0" w:space="0" w:color="auto"/>
              </w:divBdr>
            </w:div>
            <w:div w:id="580604002">
              <w:marLeft w:val="0"/>
              <w:marRight w:val="0"/>
              <w:marTop w:val="0"/>
              <w:marBottom w:val="0"/>
              <w:divBdr>
                <w:top w:val="none" w:sz="0" w:space="0" w:color="auto"/>
                <w:left w:val="none" w:sz="0" w:space="0" w:color="auto"/>
                <w:bottom w:val="none" w:sz="0" w:space="0" w:color="auto"/>
                <w:right w:val="none" w:sz="0" w:space="0" w:color="auto"/>
              </w:divBdr>
            </w:div>
            <w:div w:id="1709987907">
              <w:marLeft w:val="0"/>
              <w:marRight w:val="0"/>
              <w:marTop w:val="0"/>
              <w:marBottom w:val="0"/>
              <w:divBdr>
                <w:top w:val="none" w:sz="0" w:space="0" w:color="auto"/>
                <w:left w:val="none" w:sz="0" w:space="0" w:color="auto"/>
                <w:bottom w:val="none" w:sz="0" w:space="0" w:color="auto"/>
                <w:right w:val="none" w:sz="0" w:space="0" w:color="auto"/>
              </w:divBdr>
            </w:div>
          </w:divsChild>
        </w:div>
        <w:div w:id="1834418785">
          <w:marLeft w:val="0"/>
          <w:marRight w:val="0"/>
          <w:marTop w:val="0"/>
          <w:marBottom w:val="0"/>
          <w:divBdr>
            <w:top w:val="none" w:sz="0" w:space="0" w:color="auto"/>
            <w:left w:val="none" w:sz="0" w:space="0" w:color="auto"/>
            <w:bottom w:val="none" w:sz="0" w:space="0" w:color="auto"/>
            <w:right w:val="none" w:sz="0" w:space="0" w:color="auto"/>
          </w:divBdr>
          <w:divsChild>
            <w:div w:id="996415933">
              <w:marLeft w:val="0"/>
              <w:marRight w:val="0"/>
              <w:marTop w:val="0"/>
              <w:marBottom w:val="0"/>
              <w:divBdr>
                <w:top w:val="none" w:sz="0" w:space="0" w:color="auto"/>
                <w:left w:val="none" w:sz="0" w:space="0" w:color="auto"/>
                <w:bottom w:val="none" w:sz="0" w:space="0" w:color="auto"/>
                <w:right w:val="none" w:sz="0" w:space="0" w:color="auto"/>
              </w:divBdr>
            </w:div>
          </w:divsChild>
        </w:div>
        <w:div w:id="1840463189">
          <w:marLeft w:val="0"/>
          <w:marRight w:val="0"/>
          <w:marTop w:val="0"/>
          <w:marBottom w:val="0"/>
          <w:divBdr>
            <w:top w:val="none" w:sz="0" w:space="0" w:color="auto"/>
            <w:left w:val="none" w:sz="0" w:space="0" w:color="auto"/>
            <w:bottom w:val="none" w:sz="0" w:space="0" w:color="auto"/>
            <w:right w:val="none" w:sz="0" w:space="0" w:color="auto"/>
          </w:divBdr>
          <w:divsChild>
            <w:div w:id="1676690072">
              <w:marLeft w:val="0"/>
              <w:marRight w:val="0"/>
              <w:marTop w:val="0"/>
              <w:marBottom w:val="0"/>
              <w:divBdr>
                <w:top w:val="none" w:sz="0" w:space="0" w:color="auto"/>
                <w:left w:val="none" w:sz="0" w:space="0" w:color="auto"/>
                <w:bottom w:val="none" w:sz="0" w:space="0" w:color="auto"/>
                <w:right w:val="none" w:sz="0" w:space="0" w:color="auto"/>
              </w:divBdr>
            </w:div>
          </w:divsChild>
        </w:div>
        <w:div w:id="1996176127">
          <w:marLeft w:val="0"/>
          <w:marRight w:val="0"/>
          <w:marTop w:val="0"/>
          <w:marBottom w:val="0"/>
          <w:divBdr>
            <w:top w:val="none" w:sz="0" w:space="0" w:color="auto"/>
            <w:left w:val="none" w:sz="0" w:space="0" w:color="auto"/>
            <w:bottom w:val="none" w:sz="0" w:space="0" w:color="auto"/>
            <w:right w:val="none" w:sz="0" w:space="0" w:color="auto"/>
          </w:divBdr>
          <w:divsChild>
            <w:div w:id="1442995602">
              <w:marLeft w:val="0"/>
              <w:marRight w:val="0"/>
              <w:marTop w:val="0"/>
              <w:marBottom w:val="0"/>
              <w:divBdr>
                <w:top w:val="none" w:sz="0" w:space="0" w:color="auto"/>
                <w:left w:val="none" w:sz="0" w:space="0" w:color="auto"/>
                <w:bottom w:val="none" w:sz="0" w:space="0" w:color="auto"/>
                <w:right w:val="none" w:sz="0" w:space="0" w:color="auto"/>
              </w:divBdr>
            </w:div>
            <w:div w:id="1528323799">
              <w:marLeft w:val="0"/>
              <w:marRight w:val="0"/>
              <w:marTop w:val="0"/>
              <w:marBottom w:val="0"/>
              <w:divBdr>
                <w:top w:val="none" w:sz="0" w:space="0" w:color="auto"/>
                <w:left w:val="none" w:sz="0" w:space="0" w:color="auto"/>
                <w:bottom w:val="none" w:sz="0" w:space="0" w:color="auto"/>
                <w:right w:val="none" w:sz="0" w:space="0" w:color="auto"/>
              </w:divBdr>
            </w:div>
            <w:div w:id="15740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03602">
      <w:bodyDiv w:val="1"/>
      <w:marLeft w:val="0"/>
      <w:marRight w:val="0"/>
      <w:marTop w:val="0"/>
      <w:marBottom w:val="0"/>
      <w:divBdr>
        <w:top w:val="none" w:sz="0" w:space="0" w:color="auto"/>
        <w:left w:val="none" w:sz="0" w:space="0" w:color="auto"/>
        <w:bottom w:val="none" w:sz="0" w:space="0" w:color="auto"/>
        <w:right w:val="none" w:sz="0" w:space="0" w:color="auto"/>
      </w:divBdr>
    </w:div>
    <w:div w:id="1054234175">
      <w:bodyDiv w:val="1"/>
      <w:marLeft w:val="0"/>
      <w:marRight w:val="0"/>
      <w:marTop w:val="0"/>
      <w:marBottom w:val="0"/>
      <w:divBdr>
        <w:top w:val="none" w:sz="0" w:space="0" w:color="auto"/>
        <w:left w:val="none" w:sz="0" w:space="0" w:color="auto"/>
        <w:bottom w:val="none" w:sz="0" w:space="0" w:color="auto"/>
        <w:right w:val="none" w:sz="0" w:space="0" w:color="auto"/>
      </w:divBdr>
      <w:divsChild>
        <w:div w:id="610432003">
          <w:marLeft w:val="0"/>
          <w:marRight w:val="0"/>
          <w:marTop w:val="0"/>
          <w:marBottom w:val="0"/>
          <w:divBdr>
            <w:top w:val="none" w:sz="0" w:space="0" w:color="auto"/>
            <w:left w:val="none" w:sz="0" w:space="0" w:color="auto"/>
            <w:bottom w:val="none" w:sz="0" w:space="0" w:color="auto"/>
            <w:right w:val="none" w:sz="0" w:space="0" w:color="auto"/>
          </w:divBdr>
        </w:div>
        <w:div w:id="933053670">
          <w:marLeft w:val="0"/>
          <w:marRight w:val="0"/>
          <w:marTop w:val="0"/>
          <w:marBottom w:val="0"/>
          <w:divBdr>
            <w:top w:val="none" w:sz="0" w:space="0" w:color="auto"/>
            <w:left w:val="none" w:sz="0" w:space="0" w:color="auto"/>
            <w:bottom w:val="none" w:sz="0" w:space="0" w:color="auto"/>
            <w:right w:val="none" w:sz="0" w:space="0" w:color="auto"/>
          </w:divBdr>
          <w:divsChild>
            <w:div w:id="1391152762">
              <w:marLeft w:val="0"/>
              <w:marRight w:val="0"/>
              <w:marTop w:val="0"/>
              <w:marBottom w:val="0"/>
              <w:divBdr>
                <w:top w:val="none" w:sz="0" w:space="0" w:color="auto"/>
                <w:left w:val="none" w:sz="0" w:space="0" w:color="auto"/>
                <w:bottom w:val="none" w:sz="0" w:space="0" w:color="auto"/>
                <w:right w:val="none" w:sz="0" w:space="0" w:color="auto"/>
              </w:divBdr>
            </w:div>
          </w:divsChild>
        </w:div>
        <w:div w:id="1148594166">
          <w:marLeft w:val="0"/>
          <w:marRight w:val="0"/>
          <w:marTop w:val="0"/>
          <w:marBottom w:val="0"/>
          <w:divBdr>
            <w:top w:val="none" w:sz="0" w:space="0" w:color="auto"/>
            <w:left w:val="none" w:sz="0" w:space="0" w:color="auto"/>
            <w:bottom w:val="none" w:sz="0" w:space="0" w:color="auto"/>
            <w:right w:val="none" w:sz="0" w:space="0" w:color="auto"/>
          </w:divBdr>
        </w:div>
        <w:div w:id="1869029022">
          <w:marLeft w:val="0"/>
          <w:marRight w:val="0"/>
          <w:marTop w:val="0"/>
          <w:marBottom w:val="0"/>
          <w:divBdr>
            <w:top w:val="none" w:sz="0" w:space="0" w:color="auto"/>
            <w:left w:val="none" w:sz="0" w:space="0" w:color="auto"/>
            <w:bottom w:val="none" w:sz="0" w:space="0" w:color="auto"/>
            <w:right w:val="none" w:sz="0" w:space="0" w:color="auto"/>
          </w:divBdr>
          <w:divsChild>
            <w:div w:id="111364733">
              <w:marLeft w:val="0"/>
              <w:marRight w:val="0"/>
              <w:marTop w:val="0"/>
              <w:marBottom w:val="0"/>
              <w:divBdr>
                <w:top w:val="none" w:sz="0" w:space="0" w:color="auto"/>
                <w:left w:val="none" w:sz="0" w:space="0" w:color="auto"/>
                <w:bottom w:val="none" w:sz="0" w:space="0" w:color="auto"/>
                <w:right w:val="none" w:sz="0" w:space="0" w:color="auto"/>
              </w:divBdr>
            </w:div>
            <w:div w:id="803545180">
              <w:marLeft w:val="0"/>
              <w:marRight w:val="0"/>
              <w:marTop w:val="0"/>
              <w:marBottom w:val="0"/>
              <w:divBdr>
                <w:top w:val="none" w:sz="0" w:space="0" w:color="auto"/>
                <w:left w:val="none" w:sz="0" w:space="0" w:color="auto"/>
                <w:bottom w:val="none" w:sz="0" w:space="0" w:color="auto"/>
                <w:right w:val="none" w:sz="0" w:space="0" w:color="auto"/>
              </w:divBdr>
            </w:div>
            <w:div w:id="2110999093">
              <w:marLeft w:val="0"/>
              <w:marRight w:val="0"/>
              <w:marTop w:val="0"/>
              <w:marBottom w:val="0"/>
              <w:divBdr>
                <w:top w:val="none" w:sz="0" w:space="0" w:color="auto"/>
                <w:left w:val="none" w:sz="0" w:space="0" w:color="auto"/>
                <w:bottom w:val="none" w:sz="0" w:space="0" w:color="auto"/>
                <w:right w:val="none" w:sz="0" w:space="0" w:color="auto"/>
              </w:divBdr>
            </w:div>
          </w:divsChild>
        </w:div>
        <w:div w:id="2014795003">
          <w:marLeft w:val="0"/>
          <w:marRight w:val="0"/>
          <w:marTop w:val="0"/>
          <w:marBottom w:val="0"/>
          <w:divBdr>
            <w:top w:val="none" w:sz="0" w:space="0" w:color="auto"/>
            <w:left w:val="none" w:sz="0" w:space="0" w:color="auto"/>
            <w:bottom w:val="none" w:sz="0" w:space="0" w:color="auto"/>
            <w:right w:val="none" w:sz="0" w:space="0" w:color="auto"/>
          </w:divBdr>
          <w:divsChild>
            <w:div w:id="124202323">
              <w:marLeft w:val="0"/>
              <w:marRight w:val="0"/>
              <w:marTop w:val="0"/>
              <w:marBottom w:val="0"/>
              <w:divBdr>
                <w:top w:val="none" w:sz="0" w:space="0" w:color="auto"/>
                <w:left w:val="none" w:sz="0" w:space="0" w:color="auto"/>
                <w:bottom w:val="none" w:sz="0" w:space="0" w:color="auto"/>
                <w:right w:val="none" w:sz="0" w:space="0" w:color="auto"/>
              </w:divBdr>
            </w:div>
            <w:div w:id="1236741837">
              <w:marLeft w:val="0"/>
              <w:marRight w:val="0"/>
              <w:marTop w:val="0"/>
              <w:marBottom w:val="0"/>
              <w:divBdr>
                <w:top w:val="none" w:sz="0" w:space="0" w:color="auto"/>
                <w:left w:val="none" w:sz="0" w:space="0" w:color="auto"/>
                <w:bottom w:val="none" w:sz="0" w:space="0" w:color="auto"/>
                <w:right w:val="none" w:sz="0" w:space="0" w:color="auto"/>
              </w:divBdr>
            </w:div>
            <w:div w:id="1323895334">
              <w:marLeft w:val="0"/>
              <w:marRight w:val="0"/>
              <w:marTop w:val="0"/>
              <w:marBottom w:val="0"/>
              <w:divBdr>
                <w:top w:val="none" w:sz="0" w:space="0" w:color="auto"/>
                <w:left w:val="none" w:sz="0" w:space="0" w:color="auto"/>
                <w:bottom w:val="none" w:sz="0" w:space="0" w:color="auto"/>
                <w:right w:val="none" w:sz="0" w:space="0" w:color="auto"/>
              </w:divBdr>
            </w:div>
            <w:div w:id="1432437677">
              <w:marLeft w:val="0"/>
              <w:marRight w:val="0"/>
              <w:marTop w:val="0"/>
              <w:marBottom w:val="0"/>
              <w:divBdr>
                <w:top w:val="none" w:sz="0" w:space="0" w:color="auto"/>
                <w:left w:val="none" w:sz="0" w:space="0" w:color="auto"/>
                <w:bottom w:val="none" w:sz="0" w:space="0" w:color="auto"/>
                <w:right w:val="none" w:sz="0" w:space="0" w:color="auto"/>
              </w:divBdr>
            </w:div>
            <w:div w:id="147156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3953">
      <w:bodyDiv w:val="1"/>
      <w:marLeft w:val="0"/>
      <w:marRight w:val="0"/>
      <w:marTop w:val="0"/>
      <w:marBottom w:val="0"/>
      <w:divBdr>
        <w:top w:val="none" w:sz="0" w:space="0" w:color="auto"/>
        <w:left w:val="none" w:sz="0" w:space="0" w:color="auto"/>
        <w:bottom w:val="none" w:sz="0" w:space="0" w:color="auto"/>
        <w:right w:val="none" w:sz="0" w:space="0" w:color="auto"/>
      </w:divBdr>
      <w:divsChild>
        <w:div w:id="488328030">
          <w:marLeft w:val="0"/>
          <w:marRight w:val="0"/>
          <w:marTop w:val="0"/>
          <w:marBottom w:val="0"/>
          <w:divBdr>
            <w:top w:val="none" w:sz="0" w:space="0" w:color="auto"/>
            <w:left w:val="none" w:sz="0" w:space="0" w:color="auto"/>
            <w:bottom w:val="none" w:sz="0" w:space="0" w:color="auto"/>
            <w:right w:val="none" w:sz="0" w:space="0" w:color="auto"/>
          </w:divBdr>
        </w:div>
        <w:div w:id="1782457065">
          <w:marLeft w:val="0"/>
          <w:marRight w:val="0"/>
          <w:marTop w:val="0"/>
          <w:marBottom w:val="0"/>
          <w:divBdr>
            <w:top w:val="none" w:sz="0" w:space="0" w:color="auto"/>
            <w:left w:val="none" w:sz="0" w:space="0" w:color="auto"/>
            <w:bottom w:val="none" w:sz="0" w:space="0" w:color="auto"/>
            <w:right w:val="none" w:sz="0" w:space="0" w:color="auto"/>
          </w:divBdr>
        </w:div>
      </w:divsChild>
    </w:div>
    <w:div w:id="1345935935">
      <w:bodyDiv w:val="1"/>
      <w:marLeft w:val="0"/>
      <w:marRight w:val="0"/>
      <w:marTop w:val="0"/>
      <w:marBottom w:val="0"/>
      <w:divBdr>
        <w:top w:val="none" w:sz="0" w:space="0" w:color="auto"/>
        <w:left w:val="none" w:sz="0" w:space="0" w:color="auto"/>
        <w:bottom w:val="none" w:sz="0" w:space="0" w:color="auto"/>
        <w:right w:val="none" w:sz="0" w:space="0" w:color="auto"/>
      </w:divBdr>
    </w:div>
    <w:div w:id="1371879464">
      <w:bodyDiv w:val="1"/>
      <w:marLeft w:val="0"/>
      <w:marRight w:val="0"/>
      <w:marTop w:val="0"/>
      <w:marBottom w:val="0"/>
      <w:divBdr>
        <w:top w:val="none" w:sz="0" w:space="0" w:color="auto"/>
        <w:left w:val="none" w:sz="0" w:space="0" w:color="auto"/>
        <w:bottom w:val="none" w:sz="0" w:space="0" w:color="auto"/>
        <w:right w:val="none" w:sz="0" w:space="0" w:color="auto"/>
      </w:divBdr>
      <w:divsChild>
        <w:div w:id="115031210">
          <w:marLeft w:val="0"/>
          <w:marRight w:val="0"/>
          <w:marTop w:val="0"/>
          <w:marBottom w:val="0"/>
          <w:divBdr>
            <w:top w:val="none" w:sz="0" w:space="0" w:color="auto"/>
            <w:left w:val="none" w:sz="0" w:space="0" w:color="auto"/>
            <w:bottom w:val="none" w:sz="0" w:space="0" w:color="auto"/>
            <w:right w:val="none" w:sz="0" w:space="0" w:color="auto"/>
          </w:divBdr>
        </w:div>
        <w:div w:id="220946754">
          <w:marLeft w:val="0"/>
          <w:marRight w:val="0"/>
          <w:marTop w:val="0"/>
          <w:marBottom w:val="0"/>
          <w:divBdr>
            <w:top w:val="none" w:sz="0" w:space="0" w:color="auto"/>
            <w:left w:val="none" w:sz="0" w:space="0" w:color="auto"/>
            <w:bottom w:val="none" w:sz="0" w:space="0" w:color="auto"/>
            <w:right w:val="none" w:sz="0" w:space="0" w:color="auto"/>
          </w:divBdr>
        </w:div>
        <w:div w:id="246620773">
          <w:marLeft w:val="0"/>
          <w:marRight w:val="0"/>
          <w:marTop w:val="0"/>
          <w:marBottom w:val="0"/>
          <w:divBdr>
            <w:top w:val="none" w:sz="0" w:space="0" w:color="auto"/>
            <w:left w:val="none" w:sz="0" w:space="0" w:color="auto"/>
            <w:bottom w:val="none" w:sz="0" w:space="0" w:color="auto"/>
            <w:right w:val="none" w:sz="0" w:space="0" w:color="auto"/>
          </w:divBdr>
        </w:div>
        <w:div w:id="287900494">
          <w:marLeft w:val="0"/>
          <w:marRight w:val="0"/>
          <w:marTop w:val="0"/>
          <w:marBottom w:val="0"/>
          <w:divBdr>
            <w:top w:val="none" w:sz="0" w:space="0" w:color="auto"/>
            <w:left w:val="none" w:sz="0" w:space="0" w:color="auto"/>
            <w:bottom w:val="none" w:sz="0" w:space="0" w:color="auto"/>
            <w:right w:val="none" w:sz="0" w:space="0" w:color="auto"/>
          </w:divBdr>
        </w:div>
        <w:div w:id="360665006">
          <w:marLeft w:val="0"/>
          <w:marRight w:val="0"/>
          <w:marTop w:val="0"/>
          <w:marBottom w:val="0"/>
          <w:divBdr>
            <w:top w:val="none" w:sz="0" w:space="0" w:color="auto"/>
            <w:left w:val="none" w:sz="0" w:space="0" w:color="auto"/>
            <w:bottom w:val="none" w:sz="0" w:space="0" w:color="auto"/>
            <w:right w:val="none" w:sz="0" w:space="0" w:color="auto"/>
          </w:divBdr>
        </w:div>
        <w:div w:id="667288273">
          <w:marLeft w:val="0"/>
          <w:marRight w:val="0"/>
          <w:marTop w:val="0"/>
          <w:marBottom w:val="0"/>
          <w:divBdr>
            <w:top w:val="none" w:sz="0" w:space="0" w:color="auto"/>
            <w:left w:val="none" w:sz="0" w:space="0" w:color="auto"/>
            <w:bottom w:val="none" w:sz="0" w:space="0" w:color="auto"/>
            <w:right w:val="none" w:sz="0" w:space="0" w:color="auto"/>
          </w:divBdr>
        </w:div>
        <w:div w:id="723334165">
          <w:marLeft w:val="0"/>
          <w:marRight w:val="0"/>
          <w:marTop w:val="0"/>
          <w:marBottom w:val="0"/>
          <w:divBdr>
            <w:top w:val="none" w:sz="0" w:space="0" w:color="auto"/>
            <w:left w:val="none" w:sz="0" w:space="0" w:color="auto"/>
            <w:bottom w:val="none" w:sz="0" w:space="0" w:color="auto"/>
            <w:right w:val="none" w:sz="0" w:space="0" w:color="auto"/>
          </w:divBdr>
        </w:div>
        <w:div w:id="876510646">
          <w:marLeft w:val="0"/>
          <w:marRight w:val="0"/>
          <w:marTop w:val="0"/>
          <w:marBottom w:val="0"/>
          <w:divBdr>
            <w:top w:val="none" w:sz="0" w:space="0" w:color="auto"/>
            <w:left w:val="none" w:sz="0" w:space="0" w:color="auto"/>
            <w:bottom w:val="none" w:sz="0" w:space="0" w:color="auto"/>
            <w:right w:val="none" w:sz="0" w:space="0" w:color="auto"/>
          </w:divBdr>
        </w:div>
        <w:div w:id="1230844596">
          <w:marLeft w:val="0"/>
          <w:marRight w:val="0"/>
          <w:marTop w:val="0"/>
          <w:marBottom w:val="0"/>
          <w:divBdr>
            <w:top w:val="none" w:sz="0" w:space="0" w:color="auto"/>
            <w:left w:val="none" w:sz="0" w:space="0" w:color="auto"/>
            <w:bottom w:val="none" w:sz="0" w:space="0" w:color="auto"/>
            <w:right w:val="none" w:sz="0" w:space="0" w:color="auto"/>
          </w:divBdr>
        </w:div>
        <w:div w:id="1306395237">
          <w:marLeft w:val="0"/>
          <w:marRight w:val="0"/>
          <w:marTop w:val="0"/>
          <w:marBottom w:val="0"/>
          <w:divBdr>
            <w:top w:val="none" w:sz="0" w:space="0" w:color="auto"/>
            <w:left w:val="none" w:sz="0" w:space="0" w:color="auto"/>
            <w:bottom w:val="none" w:sz="0" w:space="0" w:color="auto"/>
            <w:right w:val="none" w:sz="0" w:space="0" w:color="auto"/>
          </w:divBdr>
        </w:div>
        <w:div w:id="1578319556">
          <w:marLeft w:val="0"/>
          <w:marRight w:val="0"/>
          <w:marTop w:val="0"/>
          <w:marBottom w:val="0"/>
          <w:divBdr>
            <w:top w:val="none" w:sz="0" w:space="0" w:color="auto"/>
            <w:left w:val="none" w:sz="0" w:space="0" w:color="auto"/>
            <w:bottom w:val="none" w:sz="0" w:space="0" w:color="auto"/>
            <w:right w:val="none" w:sz="0" w:space="0" w:color="auto"/>
          </w:divBdr>
        </w:div>
        <w:div w:id="1587347572">
          <w:marLeft w:val="0"/>
          <w:marRight w:val="0"/>
          <w:marTop w:val="0"/>
          <w:marBottom w:val="0"/>
          <w:divBdr>
            <w:top w:val="none" w:sz="0" w:space="0" w:color="auto"/>
            <w:left w:val="none" w:sz="0" w:space="0" w:color="auto"/>
            <w:bottom w:val="none" w:sz="0" w:space="0" w:color="auto"/>
            <w:right w:val="none" w:sz="0" w:space="0" w:color="auto"/>
          </w:divBdr>
        </w:div>
        <w:div w:id="1625506404">
          <w:marLeft w:val="0"/>
          <w:marRight w:val="0"/>
          <w:marTop w:val="0"/>
          <w:marBottom w:val="0"/>
          <w:divBdr>
            <w:top w:val="none" w:sz="0" w:space="0" w:color="auto"/>
            <w:left w:val="none" w:sz="0" w:space="0" w:color="auto"/>
            <w:bottom w:val="none" w:sz="0" w:space="0" w:color="auto"/>
            <w:right w:val="none" w:sz="0" w:space="0" w:color="auto"/>
          </w:divBdr>
        </w:div>
        <w:div w:id="1742210034">
          <w:marLeft w:val="0"/>
          <w:marRight w:val="0"/>
          <w:marTop w:val="0"/>
          <w:marBottom w:val="0"/>
          <w:divBdr>
            <w:top w:val="none" w:sz="0" w:space="0" w:color="auto"/>
            <w:left w:val="none" w:sz="0" w:space="0" w:color="auto"/>
            <w:bottom w:val="none" w:sz="0" w:space="0" w:color="auto"/>
            <w:right w:val="none" w:sz="0" w:space="0" w:color="auto"/>
          </w:divBdr>
        </w:div>
        <w:div w:id="1759134639">
          <w:marLeft w:val="0"/>
          <w:marRight w:val="0"/>
          <w:marTop w:val="0"/>
          <w:marBottom w:val="0"/>
          <w:divBdr>
            <w:top w:val="none" w:sz="0" w:space="0" w:color="auto"/>
            <w:left w:val="none" w:sz="0" w:space="0" w:color="auto"/>
            <w:bottom w:val="none" w:sz="0" w:space="0" w:color="auto"/>
            <w:right w:val="none" w:sz="0" w:space="0" w:color="auto"/>
          </w:divBdr>
        </w:div>
        <w:div w:id="1944339204">
          <w:marLeft w:val="0"/>
          <w:marRight w:val="0"/>
          <w:marTop w:val="0"/>
          <w:marBottom w:val="0"/>
          <w:divBdr>
            <w:top w:val="none" w:sz="0" w:space="0" w:color="auto"/>
            <w:left w:val="none" w:sz="0" w:space="0" w:color="auto"/>
            <w:bottom w:val="none" w:sz="0" w:space="0" w:color="auto"/>
            <w:right w:val="none" w:sz="0" w:space="0" w:color="auto"/>
          </w:divBdr>
          <w:divsChild>
            <w:div w:id="1043363057">
              <w:marLeft w:val="-75"/>
              <w:marRight w:val="0"/>
              <w:marTop w:val="30"/>
              <w:marBottom w:val="30"/>
              <w:divBdr>
                <w:top w:val="none" w:sz="0" w:space="0" w:color="auto"/>
                <w:left w:val="none" w:sz="0" w:space="0" w:color="auto"/>
                <w:bottom w:val="none" w:sz="0" w:space="0" w:color="auto"/>
                <w:right w:val="none" w:sz="0" w:space="0" w:color="auto"/>
              </w:divBdr>
              <w:divsChild>
                <w:div w:id="468667812">
                  <w:marLeft w:val="0"/>
                  <w:marRight w:val="0"/>
                  <w:marTop w:val="0"/>
                  <w:marBottom w:val="0"/>
                  <w:divBdr>
                    <w:top w:val="none" w:sz="0" w:space="0" w:color="auto"/>
                    <w:left w:val="none" w:sz="0" w:space="0" w:color="auto"/>
                    <w:bottom w:val="none" w:sz="0" w:space="0" w:color="auto"/>
                    <w:right w:val="none" w:sz="0" w:space="0" w:color="auto"/>
                  </w:divBdr>
                  <w:divsChild>
                    <w:div w:id="1475947887">
                      <w:marLeft w:val="0"/>
                      <w:marRight w:val="0"/>
                      <w:marTop w:val="0"/>
                      <w:marBottom w:val="0"/>
                      <w:divBdr>
                        <w:top w:val="none" w:sz="0" w:space="0" w:color="auto"/>
                        <w:left w:val="none" w:sz="0" w:space="0" w:color="auto"/>
                        <w:bottom w:val="none" w:sz="0" w:space="0" w:color="auto"/>
                        <w:right w:val="none" w:sz="0" w:space="0" w:color="auto"/>
                      </w:divBdr>
                    </w:div>
                  </w:divsChild>
                </w:div>
                <w:div w:id="759446589">
                  <w:marLeft w:val="0"/>
                  <w:marRight w:val="0"/>
                  <w:marTop w:val="0"/>
                  <w:marBottom w:val="0"/>
                  <w:divBdr>
                    <w:top w:val="none" w:sz="0" w:space="0" w:color="auto"/>
                    <w:left w:val="none" w:sz="0" w:space="0" w:color="auto"/>
                    <w:bottom w:val="none" w:sz="0" w:space="0" w:color="auto"/>
                    <w:right w:val="none" w:sz="0" w:space="0" w:color="auto"/>
                  </w:divBdr>
                  <w:divsChild>
                    <w:div w:id="1133865432">
                      <w:marLeft w:val="0"/>
                      <w:marRight w:val="0"/>
                      <w:marTop w:val="0"/>
                      <w:marBottom w:val="0"/>
                      <w:divBdr>
                        <w:top w:val="none" w:sz="0" w:space="0" w:color="auto"/>
                        <w:left w:val="none" w:sz="0" w:space="0" w:color="auto"/>
                        <w:bottom w:val="none" w:sz="0" w:space="0" w:color="auto"/>
                        <w:right w:val="none" w:sz="0" w:space="0" w:color="auto"/>
                      </w:divBdr>
                    </w:div>
                  </w:divsChild>
                </w:div>
                <w:div w:id="863128993">
                  <w:marLeft w:val="0"/>
                  <w:marRight w:val="0"/>
                  <w:marTop w:val="0"/>
                  <w:marBottom w:val="0"/>
                  <w:divBdr>
                    <w:top w:val="none" w:sz="0" w:space="0" w:color="auto"/>
                    <w:left w:val="none" w:sz="0" w:space="0" w:color="auto"/>
                    <w:bottom w:val="none" w:sz="0" w:space="0" w:color="auto"/>
                    <w:right w:val="none" w:sz="0" w:space="0" w:color="auto"/>
                  </w:divBdr>
                  <w:divsChild>
                    <w:div w:id="2045250622">
                      <w:marLeft w:val="0"/>
                      <w:marRight w:val="0"/>
                      <w:marTop w:val="0"/>
                      <w:marBottom w:val="0"/>
                      <w:divBdr>
                        <w:top w:val="none" w:sz="0" w:space="0" w:color="auto"/>
                        <w:left w:val="none" w:sz="0" w:space="0" w:color="auto"/>
                        <w:bottom w:val="none" w:sz="0" w:space="0" w:color="auto"/>
                        <w:right w:val="none" w:sz="0" w:space="0" w:color="auto"/>
                      </w:divBdr>
                    </w:div>
                  </w:divsChild>
                </w:div>
                <w:div w:id="1206332958">
                  <w:marLeft w:val="0"/>
                  <w:marRight w:val="0"/>
                  <w:marTop w:val="0"/>
                  <w:marBottom w:val="0"/>
                  <w:divBdr>
                    <w:top w:val="none" w:sz="0" w:space="0" w:color="auto"/>
                    <w:left w:val="none" w:sz="0" w:space="0" w:color="auto"/>
                    <w:bottom w:val="none" w:sz="0" w:space="0" w:color="auto"/>
                    <w:right w:val="none" w:sz="0" w:space="0" w:color="auto"/>
                  </w:divBdr>
                  <w:divsChild>
                    <w:div w:id="8593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9503">
          <w:marLeft w:val="0"/>
          <w:marRight w:val="0"/>
          <w:marTop w:val="0"/>
          <w:marBottom w:val="0"/>
          <w:divBdr>
            <w:top w:val="none" w:sz="0" w:space="0" w:color="auto"/>
            <w:left w:val="none" w:sz="0" w:space="0" w:color="auto"/>
            <w:bottom w:val="none" w:sz="0" w:space="0" w:color="auto"/>
            <w:right w:val="none" w:sz="0" w:space="0" w:color="auto"/>
          </w:divBdr>
        </w:div>
      </w:divsChild>
    </w:div>
    <w:div w:id="1376277387">
      <w:bodyDiv w:val="1"/>
      <w:marLeft w:val="0"/>
      <w:marRight w:val="0"/>
      <w:marTop w:val="0"/>
      <w:marBottom w:val="0"/>
      <w:divBdr>
        <w:top w:val="none" w:sz="0" w:space="0" w:color="auto"/>
        <w:left w:val="none" w:sz="0" w:space="0" w:color="auto"/>
        <w:bottom w:val="none" w:sz="0" w:space="0" w:color="auto"/>
        <w:right w:val="none" w:sz="0" w:space="0" w:color="auto"/>
      </w:divBdr>
      <w:divsChild>
        <w:div w:id="967392075">
          <w:marLeft w:val="0"/>
          <w:marRight w:val="0"/>
          <w:marTop w:val="0"/>
          <w:marBottom w:val="0"/>
          <w:divBdr>
            <w:top w:val="none" w:sz="0" w:space="0" w:color="auto"/>
            <w:left w:val="none" w:sz="0" w:space="0" w:color="auto"/>
            <w:bottom w:val="none" w:sz="0" w:space="0" w:color="auto"/>
            <w:right w:val="none" w:sz="0" w:space="0" w:color="auto"/>
          </w:divBdr>
        </w:div>
        <w:div w:id="1237671020">
          <w:marLeft w:val="0"/>
          <w:marRight w:val="0"/>
          <w:marTop w:val="0"/>
          <w:marBottom w:val="0"/>
          <w:divBdr>
            <w:top w:val="none" w:sz="0" w:space="0" w:color="auto"/>
            <w:left w:val="none" w:sz="0" w:space="0" w:color="auto"/>
            <w:bottom w:val="none" w:sz="0" w:space="0" w:color="auto"/>
            <w:right w:val="none" w:sz="0" w:space="0" w:color="auto"/>
          </w:divBdr>
        </w:div>
      </w:divsChild>
    </w:div>
    <w:div w:id="1501580132">
      <w:bodyDiv w:val="1"/>
      <w:marLeft w:val="0"/>
      <w:marRight w:val="0"/>
      <w:marTop w:val="0"/>
      <w:marBottom w:val="0"/>
      <w:divBdr>
        <w:top w:val="none" w:sz="0" w:space="0" w:color="auto"/>
        <w:left w:val="none" w:sz="0" w:space="0" w:color="auto"/>
        <w:bottom w:val="none" w:sz="0" w:space="0" w:color="auto"/>
        <w:right w:val="none" w:sz="0" w:space="0" w:color="auto"/>
      </w:divBdr>
      <w:divsChild>
        <w:div w:id="1384598006">
          <w:marLeft w:val="0"/>
          <w:marRight w:val="0"/>
          <w:marTop w:val="0"/>
          <w:marBottom w:val="0"/>
          <w:divBdr>
            <w:top w:val="none" w:sz="0" w:space="0" w:color="auto"/>
            <w:left w:val="none" w:sz="0" w:space="0" w:color="auto"/>
            <w:bottom w:val="none" w:sz="0" w:space="0" w:color="auto"/>
            <w:right w:val="none" w:sz="0" w:space="0" w:color="auto"/>
          </w:divBdr>
        </w:div>
        <w:div w:id="1874269315">
          <w:marLeft w:val="0"/>
          <w:marRight w:val="0"/>
          <w:marTop w:val="0"/>
          <w:marBottom w:val="0"/>
          <w:divBdr>
            <w:top w:val="none" w:sz="0" w:space="0" w:color="auto"/>
            <w:left w:val="none" w:sz="0" w:space="0" w:color="auto"/>
            <w:bottom w:val="none" w:sz="0" w:space="0" w:color="auto"/>
            <w:right w:val="none" w:sz="0" w:space="0" w:color="auto"/>
          </w:divBdr>
        </w:div>
        <w:div w:id="2107261011">
          <w:marLeft w:val="0"/>
          <w:marRight w:val="0"/>
          <w:marTop w:val="0"/>
          <w:marBottom w:val="0"/>
          <w:divBdr>
            <w:top w:val="none" w:sz="0" w:space="0" w:color="auto"/>
            <w:left w:val="none" w:sz="0" w:space="0" w:color="auto"/>
            <w:bottom w:val="none" w:sz="0" w:space="0" w:color="auto"/>
            <w:right w:val="none" w:sz="0" w:space="0" w:color="auto"/>
          </w:divBdr>
        </w:div>
      </w:divsChild>
    </w:div>
    <w:div w:id="1511873044">
      <w:bodyDiv w:val="1"/>
      <w:marLeft w:val="0"/>
      <w:marRight w:val="0"/>
      <w:marTop w:val="0"/>
      <w:marBottom w:val="0"/>
      <w:divBdr>
        <w:top w:val="none" w:sz="0" w:space="0" w:color="auto"/>
        <w:left w:val="none" w:sz="0" w:space="0" w:color="auto"/>
        <w:bottom w:val="none" w:sz="0" w:space="0" w:color="auto"/>
        <w:right w:val="none" w:sz="0" w:space="0" w:color="auto"/>
      </w:divBdr>
      <w:divsChild>
        <w:div w:id="719867037">
          <w:marLeft w:val="0"/>
          <w:marRight w:val="0"/>
          <w:marTop w:val="0"/>
          <w:marBottom w:val="0"/>
          <w:divBdr>
            <w:top w:val="none" w:sz="0" w:space="0" w:color="auto"/>
            <w:left w:val="none" w:sz="0" w:space="0" w:color="auto"/>
            <w:bottom w:val="none" w:sz="0" w:space="0" w:color="auto"/>
            <w:right w:val="none" w:sz="0" w:space="0" w:color="auto"/>
          </w:divBdr>
        </w:div>
        <w:div w:id="1039551755">
          <w:marLeft w:val="0"/>
          <w:marRight w:val="0"/>
          <w:marTop w:val="0"/>
          <w:marBottom w:val="0"/>
          <w:divBdr>
            <w:top w:val="none" w:sz="0" w:space="0" w:color="auto"/>
            <w:left w:val="none" w:sz="0" w:space="0" w:color="auto"/>
            <w:bottom w:val="none" w:sz="0" w:space="0" w:color="auto"/>
            <w:right w:val="none" w:sz="0" w:space="0" w:color="auto"/>
          </w:divBdr>
        </w:div>
        <w:div w:id="1703743357">
          <w:marLeft w:val="0"/>
          <w:marRight w:val="0"/>
          <w:marTop w:val="0"/>
          <w:marBottom w:val="0"/>
          <w:divBdr>
            <w:top w:val="none" w:sz="0" w:space="0" w:color="auto"/>
            <w:left w:val="none" w:sz="0" w:space="0" w:color="auto"/>
            <w:bottom w:val="none" w:sz="0" w:space="0" w:color="auto"/>
            <w:right w:val="none" w:sz="0" w:space="0" w:color="auto"/>
          </w:divBdr>
        </w:div>
        <w:div w:id="1821843497">
          <w:marLeft w:val="0"/>
          <w:marRight w:val="0"/>
          <w:marTop w:val="0"/>
          <w:marBottom w:val="0"/>
          <w:divBdr>
            <w:top w:val="none" w:sz="0" w:space="0" w:color="auto"/>
            <w:left w:val="none" w:sz="0" w:space="0" w:color="auto"/>
            <w:bottom w:val="none" w:sz="0" w:space="0" w:color="auto"/>
            <w:right w:val="none" w:sz="0" w:space="0" w:color="auto"/>
          </w:divBdr>
          <w:divsChild>
            <w:div w:id="255674546">
              <w:marLeft w:val="0"/>
              <w:marRight w:val="0"/>
              <w:marTop w:val="0"/>
              <w:marBottom w:val="0"/>
              <w:divBdr>
                <w:top w:val="none" w:sz="0" w:space="0" w:color="auto"/>
                <w:left w:val="none" w:sz="0" w:space="0" w:color="auto"/>
                <w:bottom w:val="none" w:sz="0" w:space="0" w:color="auto"/>
                <w:right w:val="none" w:sz="0" w:space="0" w:color="auto"/>
              </w:divBdr>
            </w:div>
            <w:div w:id="1040593139">
              <w:marLeft w:val="0"/>
              <w:marRight w:val="0"/>
              <w:marTop w:val="0"/>
              <w:marBottom w:val="0"/>
              <w:divBdr>
                <w:top w:val="none" w:sz="0" w:space="0" w:color="auto"/>
                <w:left w:val="none" w:sz="0" w:space="0" w:color="auto"/>
                <w:bottom w:val="none" w:sz="0" w:space="0" w:color="auto"/>
                <w:right w:val="none" w:sz="0" w:space="0" w:color="auto"/>
              </w:divBdr>
            </w:div>
            <w:div w:id="1446653323">
              <w:marLeft w:val="0"/>
              <w:marRight w:val="0"/>
              <w:marTop w:val="0"/>
              <w:marBottom w:val="0"/>
              <w:divBdr>
                <w:top w:val="none" w:sz="0" w:space="0" w:color="auto"/>
                <w:left w:val="none" w:sz="0" w:space="0" w:color="auto"/>
                <w:bottom w:val="none" w:sz="0" w:space="0" w:color="auto"/>
                <w:right w:val="none" w:sz="0" w:space="0" w:color="auto"/>
              </w:divBdr>
            </w:div>
            <w:div w:id="1575505889">
              <w:marLeft w:val="0"/>
              <w:marRight w:val="0"/>
              <w:marTop w:val="0"/>
              <w:marBottom w:val="0"/>
              <w:divBdr>
                <w:top w:val="none" w:sz="0" w:space="0" w:color="auto"/>
                <w:left w:val="none" w:sz="0" w:space="0" w:color="auto"/>
                <w:bottom w:val="none" w:sz="0" w:space="0" w:color="auto"/>
                <w:right w:val="none" w:sz="0" w:space="0" w:color="auto"/>
              </w:divBdr>
            </w:div>
            <w:div w:id="19622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9498">
      <w:bodyDiv w:val="1"/>
      <w:marLeft w:val="0"/>
      <w:marRight w:val="0"/>
      <w:marTop w:val="0"/>
      <w:marBottom w:val="0"/>
      <w:divBdr>
        <w:top w:val="none" w:sz="0" w:space="0" w:color="auto"/>
        <w:left w:val="none" w:sz="0" w:space="0" w:color="auto"/>
        <w:bottom w:val="none" w:sz="0" w:space="0" w:color="auto"/>
        <w:right w:val="none" w:sz="0" w:space="0" w:color="auto"/>
      </w:divBdr>
      <w:divsChild>
        <w:div w:id="76681625">
          <w:marLeft w:val="0"/>
          <w:marRight w:val="0"/>
          <w:marTop w:val="0"/>
          <w:marBottom w:val="0"/>
          <w:divBdr>
            <w:top w:val="none" w:sz="0" w:space="0" w:color="auto"/>
            <w:left w:val="none" w:sz="0" w:space="0" w:color="auto"/>
            <w:bottom w:val="none" w:sz="0" w:space="0" w:color="auto"/>
            <w:right w:val="none" w:sz="0" w:space="0" w:color="auto"/>
          </w:divBdr>
          <w:divsChild>
            <w:div w:id="1342970248">
              <w:marLeft w:val="0"/>
              <w:marRight w:val="0"/>
              <w:marTop w:val="0"/>
              <w:marBottom w:val="0"/>
              <w:divBdr>
                <w:top w:val="none" w:sz="0" w:space="0" w:color="auto"/>
                <w:left w:val="none" w:sz="0" w:space="0" w:color="auto"/>
                <w:bottom w:val="none" w:sz="0" w:space="0" w:color="auto"/>
                <w:right w:val="none" w:sz="0" w:space="0" w:color="auto"/>
              </w:divBdr>
            </w:div>
          </w:divsChild>
        </w:div>
        <w:div w:id="114301465">
          <w:marLeft w:val="0"/>
          <w:marRight w:val="0"/>
          <w:marTop w:val="0"/>
          <w:marBottom w:val="0"/>
          <w:divBdr>
            <w:top w:val="none" w:sz="0" w:space="0" w:color="auto"/>
            <w:left w:val="none" w:sz="0" w:space="0" w:color="auto"/>
            <w:bottom w:val="none" w:sz="0" w:space="0" w:color="auto"/>
            <w:right w:val="none" w:sz="0" w:space="0" w:color="auto"/>
          </w:divBdr>
          <w:divsChild>
            <w:div w:id="1996102591">
              <w:marLeft w:val="0"/>
              <w:marRight w:val="0"/>
              <w:marTop w:val="0"/>
              <w:marBottom w:val="0"/>
              <w:divBdr>
                <w:top w:val="none" w:sz="0" w:space="0" w:color="auto"/>
                <w:left w:val="none" w:sz="0" w:space="0" w:color="auto"/>
                <w:bottom w:val="none" w:sz="0" w:space="0" w:color="auto"/>
                <w:right w:val="none" w:sz="0" w:space="0" w:color="auto"/>
              </w:divBdr>
            </w:div>
            <w:div w:id="2058968564">
              <w:marLeft w:val="0"/>
              <w:marRight w:val="0"/>
              <w:marTop w:val="0"/>
              <w:marBottom w:val="0"/>
              <w:divBdr>
                <w:top w:val="none" w:sz="0" w:space="0" w:color="auto"/>
                <w:left w:val="none" w:sz="0" w:space="0" w:color="auto"/>
                <w:bottom w:val="none" w:sz="0" w:space="0" w:color="auto"/>
                <w:right w:val="none" w:sz="0" w:space="0" w:color="auto"/>
              </w:divBdr>
            </w:div>
          </w:divsChild>
        </w:div>
        <w:div w:id="165095145">
          <w:marLeft w:val="0"/>
          <w:marRight w:val="0"/>
          <w:marTop w:val="0"/>
          <w:marBottom w:val="0"/>
          <w:divBdr>
            <w:top w:val="none" w:sz="0" w:space="0" w:color="auto"/>
            <w:left w:val="none" w:sz="0" w:space="0" w:color="auto"/>
            <w:bottom w:val="none" w:sz="0" w:space="0" w:color="auto"/>
            <w:right w:val="none" w:sz="0" w:space="0" w:color="auto"/>
          </w:divBdr>
          <w:divsChild>
            <w:div w:id="1755979244">
              <w:marLeft w:val="0"/>
              <w:marRight w:val="0"/>
              <w:marTop w:val="0"/>
              <w:marBottom w:val="0"/>
              <w:divBdr>
                <w:top w:val="none" w:sz="0" w:space="0" w:color="auto"/>
                <w:left w:val="none" w:sz="0" w:space="0" w:color="auto"/>
                <w:bottom w:val="none" w:sz="0" w:space="0" w:color="auto"/>
                <w:right w:val="none" w:sz="0" w:space="0" w:color="auto"/>
              </w:divBdr>
            </w:div>
          </w:divsChild>
        </w:div>
        <w:div w:id="264268461">
          <w:marLeft w:val="0"/>
          <w:marRight w:val="0"/>
          <w:marTop w:val="0"/>
          <w:marBottom w:val="0"/>
          <w:divBdr>
            <w:top w:val="none" w:sz="0" w:space="0" w:color="auto"/>
            <w:left w:val="none" w:sz="0" w:space="0" w:color="auto"/>
            <w:bottom w:val="none" w:sz="0" w:space="0" w:color="auto"/>
            <w:right w:val="none" w:sz="0" w:space="0" w:color="auto"/>
          </w:divBdr>
          <w:divsChild>
            <w:div w:id="140269191">
              <w:marLeft w:val="0"/>
              <w:marRight w:val="0"/>
              <w:marTop w:val="0"/>
              <w:marBottom w:val="0"/>
              <w:divBdr>
                <w:top w:val="none" w:sz="0" w:space="0" w:color="auto"/>
                <w:left w:val="none" w:sz="0" w:space="0" w:color="auto"/>
                <w:bottom w:val="none" w:sz="0" w:space="0" w:color="auto"/>
                <w:right w:val="none" w:sz="0" w:space="0" w:color="auto"/>
              </w:divBdr>
            </w:div>
          </w:divsChild>
        </w:div>
        <w:div w:id="403113635">
          <w:marLeft w:val="0"/>
          <w:marRight w:val="0"/>
          <w:marTop w:val="0"/>
          <w:marBottom w:val="0"/>
          <w:divBdr>
            <w:top w:val="none" w:sz="0" w:space="0" w:color="auto"/>
            <w:left w:val="none" w:sz="0" w:space="0" w:color="auto"/>
            <w:bottom w:val="none" w:sz="0" w:space="0" w:color="auto"/>
            <w:right w:val="none" w:sz="0" w:space="0" w:color="auto"/>
          </w:divBdr>
          <w:divsChild>
            <w:div w:id="988434461">
              <w:marLeft w:val="0"/>
              <w:marRight w:val="0"/>
              <w:marTop w:val="0"/>
              <w:marBottom w:val="0"/>
              <w:divBdr>
                <w:top w:val="none" w:sz="0" w:space="0" w:color="auto"/>
                <w:left w:val="none" w:sz="0" w:space="0" w:color="auto"/>
                <w:bottom w:val="none" w:sz="0" w:space="0" w:color="auto"/>
                <w:right w:val="none" w:sz="0" w:space="0" w:color="auto"/>
              </w:divBdr>
            </w:div>
          </w:divsChild>
        </w:div>
        <w:div w:id="500891946">
          <w:marLeft w:val="0"/>
          <w:marRight w:val="0"/>
          <w:marTop w:val="0"/>
          <w:marBottom w:val="0"/>
          <w:divBdr>
            <w:top w:val="none" w:sz="0" w:space="0" w:color="auto"/>
            <w:left w:val="none" w:sz="0" w:space="0" w:color="auto"/>
            <w:bottom w:val="none" w:sz="0" w:space="0" w:color="auto"/>
            <w:right w:val="none" w:sz="0" w:space="0" w:color="auto"/>
          </w:divBdr>
          <w:divsChild>
            <w:div w:id="1565143681">
              <w:marLeft w:val="0"/>
              <w:marRight w:val="0"/>
              <w:marTop w:val="0"/>
              <w:marBottom w:val="0"/>
              <w:divBdr>
                <w:top w:val="none" w:sz="0" w:space="0" w:color="auto"/>
                <w:left w:val="none" w:sz="0" w:space="0" w:color="auto"/>
                <w:bottom w:val="none" w:sz="0" w:space="0" w:color="auto"/>
                <w:right w:val="none" w:sz="0" w:space="0" w:color="auto"/>
              </w:divBdr>
            </w:div>
          </w:divsChild>
        </w:div>
        <w:div w:id="515387584">
          <w:marLeft w:val="0"/>
          <w:marRight w:val="0"/>
          <w:marTop w:val="0"/>
          <w:marBottom w:val="0"/>
          <w:divBdr>
            <w:top w:val="none" w:sz="0" w:space="0" w:color="auto"/>
            <w:left w:val="none" w:sz="0" w:space="0" w:color="auto"/>
            <w:bottom w:val="none" w:sz="0" w:space="0" w:color="auto"/>
            <w:right w:val="none" w:sz="0" w:space="0" w:color="auto"/>
          </w:divBdr>
          <w:divsChild>
            <w:div w:id="1262683430">
              <w:marLeft w:val="0"/>
              <w:marRight w:val="0"/>
              <w:marTop w:val="0"/>
              <w:marBottom w:val="0"/>
              <w:divBdr>
                <w:top w:val="none" w:sz="0" w:space="0" w:color="auto"/>
                <w:left w:val="none" w:sz="0" w:space="0" w:color="auto"/>
                <w:bottom w:val="none" w:sz="0" w:space="0" w:color="auto"/>
                <w:right w:val="none" w:sz="0" w:space="0" w:color="auto"/>
              </w:divBdr>
            </w:div>
          </w:divsChild>
        </w:div>
        <w:div w:id="624776022">
          <w:marLeft w:val="0"/>
          <w:marRight w:val="0"/>
          <w:marTop w:val="0"/>
          <w:marBottom w:val="0"/>
          <w:divBdr>
            <w:top w:val="none" w:sz="0" w:space="0" w:color="auto"/>
            <w:left w:val="none" w:sz="0" w:space="0" w:color="auto"/>
            <w:bottom w:val="none" w:sz="0" w:space="0" w:color="auto"/>
            <w:right w:val="none" w:sz="0" w:space="0" w:color="auto"/>
          </w:divBdr>
          <w:divsChild>
            <w:div w:id="732041211">
              <w:marLeft w:val="0"/>
              <w:marRight w:val="0"/>
              <w:marTop w:val="0"/>
              <w:marBottom w:val="0"/>
              <w:divBdr>
                <w:top w:val="none" w:sz="0" w:space="0" w:color="auto"/>
                <w:left w:val="none" w:sz="0" w:space="0" w:color="auto"/>
                <w:bottom w:val="none" w:sz="0" w:space="0" w:color="auto"/>
                <w:right w:val="none" w:sz="0" w:space="0" w:color="auto"/>
              </w:divBdr>
            </w:div>
          </w:divsChild>
        </w:div>
        <w:div w:id="722220594">
          <w:marLeft w:val="0"/>
          <w:marRight w:val="0"/>
          <w:marTop w:val="0"/>
          <w:marBottom w:val="0"/>
          <w:divBdr>
            <w:top w:val="none" w:sz="0" w:space="0" w:color="auto"/>
            <w:left w:val="none" w:sz="0" w:space="0" w:color="auto"/>
            <w:bottom w:val="none" w:sz="0" w:space="0" w:color="auto"/>
            <w:right w:val="none" w:sz="0" w:space="0" w:color="auto"/>
          </w:divBdr>
          <w:divsChild>
            <w:div w:id="1978678197">
              <w:marLeft w:val="0"/>
              <w:marRight w:val="0"/>
              <w:marTop w:val="0"/>
              <w:marBottom w:val="0"/>
              <w:divBdr>
                <w:top w:val="none" w:sz="0" w:space="0" w:color="auto"/>
                <w:left w:val="none" w:sz="0" w:space="0" w:color="auto"/>
                <w:bottom w:val="none" w:sz="0" w:space="0" w:color="auto"/>
                <w:right w:val="none" w:sz="0" w:space="0" w:color="auto"/>
              </w:divBdr>
            </w:div>
          </w:divsChild>
        </w:div>
        <w:div w:id="810445965">
          <w:marLeft w:val="0"/>
          <w:marRight w:val="0"/>
          <w:marTop w:val="0"/>
          <w:marBottom w:val="0"/>
          <w:divBdr>
            <w:top w:val="none" w:sz="0" w:space="0" w:color="auto"/>
            <w:left w:val="none" w:sz="0" w:space="0" w:color="auto"/>
            <w:bottom w:val="none" w:sz="0" w:space="0" w:color="auto"/>
            <w:right w:val="none" w:sz="0" w:space="0" w:color="auto"/>
          </w:divBdr>
          <w:divsChild>
            <w:div w:id="456030301">
              <w:marLeft w:val="0"/>
              <w:marRight w:val="0"/>
              <w:marTop w:val="0"/>
              <w:marBottom w:val="0"/>
              <w:divBdr>
                <w:top w:val="none" w:sz="0" w:space="0" w:color="auto"/>
                <w:left w:val="none" w:sz="0" w:space="0" w:color="auto"/>
                <w:bottom w:val="none" w:sz="0" w:space="0" w:color="auto"/>
                <w:right w:val="none" w:sz="0" w:space="0" w:color="auto"/>
              </w:divBdr>
            </w:div>
            <w:div w:id="1094666176">
              <w:marLeft w:val="0"/>
              <w:marRight w:val="0"/>
              <w:marTop w:val="0"/>
              <w:marBottom w:val="0"/>
              <w:divBdr>
                <w:top w:val="none" w:sz="0" w:space="0" w:color="auto"/>
                <w:left w:val="none" w:sz="0" w:space="0" w:color="auto"/>
                <w:bottom w:val="none" w:sz="0" w:space="0" w:color="auto"/>
                <w:right w:val="none" w:sz="0" w:space="0" w:color="auto"/>
              </w:divBdr>
            </w:div>
          </w:divsChild>
        </w:div>
        <w:div w:id="954360744">
          <w:marLeft w:val="0"/>
          <w:marRight w:val="0"/>
          <w:marTop w:val="0"/>
          <w:marBottom w:val="0"/>
          <w:divBdr>
            <w:top w:val="none" w:sz="0" w:space="0" w:color="auto"/>
            <w:left w:val="none" w:sz="0" w:space="0" w:color="auto"/>
            <w:bottom w:val="none" w:sz="0" w:space="0" w:color="auto"/>
            <w:right w:val="none" w:sz="0" w:space="0" w:color="auto"/>
          </w:divBdr>
          <w:divsChild>
            <w:div w:id="584072051">
              <w:marLeft w:val="0"/>
              <w:marRight w:val="0"/>
              <w:marTop w:val="0"/>
              <w:marBottom w:val="0"/>
              <w:divBdr>
                <w:top w:val="none" w:sz="0" w:space="0" w:color="auto"/>
                <w:left w:val="none" w:sz="0" w:space="0" w:color="auto"/>
                <w:bottom w:val="none" w:sz="0" w:space="0" w:color="auto"/>
                <w:right w:val="none" w:sz="0" w:space="0" w:color="auto"/>
              </w:divBdr>
            </w:div>
          </w:divsChild>
        </w:div>
        <w:div w:id="964576641">
          <w:marLeft w:val="0"/>
          <w:marRight w:val="0"/>
          <w:marTop w:val="0"/>
          <w:marBottom w:val="0"/>
          <w:divBdr>
            <w:top w:val="none" w:sz="0" w:space="0" w:color="auto"/>
            <w:left w:val="none" w:sz="0" w:space="0" w:color="auto"/>
            <w:bottom w:val="none" w:sz="0" w:space="0" w:color="auto"/>
            <w:right w:val="none" w:sz="0" w:space="0" w:color="auto"/>
          </w:divBdr>
          <w:divsChild>
            <w:div w:id="38821917">
              <w:marLeft w:val="0"/>
              <w:marRight w:val="0"/>
              <w:marTop w:val="0"/>
              <w:marBottom w:val="0"/>
              <w:divBdr>
                <w:top w:val="none" w:sz="0" w:space="0" w:color="auto"/>
                <w:left w:val="none" w:sz="0" w:space="0" w:color="auto"/>
                <w:bottom w:val="none" w:sz="0" w:space="0" w:color="auto"/>
                <w:right w:val="none" w:sz="0" w:space="0" w:color="auto"/>
              </w:divBdr>
            </w:div>
            <w:div w:id="967666405">
              <w:marLeft w:val="0"/>
              <w:marRight w:val="0"/>
              <w:marTop w:val="0"/>
              <w:marBottom w:val="0"/>
              <w:divBdr>
                <w:top w:val="none" w:sz="0" w:space="0" w:color="auto"/>
                <w:left w:val="none" w:sz="0" w:space="0" w:color="auto"/>
                <w:bottom w:val="none" w:sz="0" w:space="0" w:color="auto"/>
                <w:right w:val="none" w:sz="0" w:space="0" w:color="auto"/>
              </w:divBdr>
            </w:div>
            <w:div w:id="1848906621">
              <w:marLeft w:val="0"/>
              <w:marRight w:val="0"/>
              <w:marTop w:val="0"/>
              <w:marBottom w:val="0"/>
              <w:divBdr>
                <w:top w:val="none" w:sz="0" w:space="0" w:color="auto"/>
                <w:left w:val="none" w:sz="0" w:space="0" w:color="auto"/>
                <w:bottom w:val="none" w:sz="0" w:space="0" w:color="auto"/>
                <w:right w:val="none" w:sz="0" w:space="0" w:color="auto"/>
              </w:divBdr>
            </w:div>
          </w:divsChild>
        </w:div>
        <w:div w:id="972559723">
          <w:marLeft w:val="0"/>
          <w:marRight w:val="0"/>
          <w:marTop w:val="0"/>
          <w:marBottom w:val="0"/>
          <w:divBdr>
            <w:top w:val="none" w:sz="0" w:space="0" w:color="auto"/>
            <w:left w:val="none" w:sz="0" w:space="0" w:color="auto"/>
            <w:bottom w:val="none" w:sz="0" w:space="0" w:color="auto"/>
            <w:right w:val="none" w:sz="0" w:space="0" w:color="auto"/>
          </w:divBdr>
          <w:divsChild>
            <w:div w:id="400298291">
              <w:marLeft w:val="0"/>
              <w:marRight w:val="0"/>
              <w:marTop w:val="0"/>
              <w:marBottom w:val="0"/>
              <w:divBdr>
                <w:top w:val="none" w:sz="0" w:space="0" w:color="auto"/>
                <w:left w:val="none" w:sz="0" w:space="0" w:color="auto"/>
                <w:bottom w:val="none" w:sz="0" w:space="0" w:color="auto"/>
                <w:right w:val="none" w:sz="0" w:space="0" w:color="auto"/>
              </w:divBdr>
            </w:div>
            <w:div w:id="815494927">
              <w:marLeft w:val="0"/>
              <w:marRight w:val="0"/>
              <w:marTop w:val="0"/>
              <w:marBottom w:val="0"/>
              <w:divBdr>
                <w:top w:val="none" w:sz="0" w:space="0" w:color="auto"/>
                <w:left w:val="none" w:sz="0" w:space="0" w:color="auto"/>
                <w:bottom w:val="none" w:sz="0" w:space="0" w:color="auto"/>
                <w:right w:val="none" w:sz="0" w:space="0" w:color="auto"/>
              </w:divBdr>
            </w:div>
            <w:div w:id="1436637865">
              <w:marLeft w:val="0"/>
              <w:marRight w:val="0"/>
              <w:marTop w:val="0"/>
              <w:marBottom w:val="0"/>
              <w:divBdr>
                <w:top w:val="none" w:sz="0" w:space="0" w:color="auto"/>
                <w:left w:val="none" w:sz="0" w:space="0" w:color="auto"/>
                <w:bottom w:val="none" w:sz="0" w:space="0" w:color="auto"/>
                <w:right w:val="none" w:sz="0" w:space="0" w:color="auto"/>
              </w:divBdr>
            </w:div>
          </w:divsChild>
        </w:div>
        <w:div w:id="1044791054">
          <w:marLeft w:val="0"/>
          <w:marRight w:val="0"/>
          <w:marTop w:val="0"/>
          <w:marBottom w:val="0"/>
          <w:divBdr>
            <w:top w:val="none" w:sz="0" w:space="0" w:color="auto"/>
            <w:left w:val="none" w:sz="0" w:space="0" w:color="auto"/>
            <w:bottom w:val="none" w:sz="0" w:space="0" w:color="auto"/>
            <w:right w:val="none" w:sz="0" w:space="0" w:color="auto"/>
          </w:divBdr>
          <w:divsChild>
            <w:div w:id="1644773035">
              <w:marLeft w:val="0"/>
              <w:marRight w:val="0"/>
              <w:marTop w:val="0"/>
              <w:marBottom w:val="0"/>
              <w:divBdr>
                <w:top w:val="none" w:sz="0" w:space="0" w:color="auto"/>
                <w:left w:val="none" w:sz="0" w:space="0" w:color="auto"/>
                <w:bottom w:val="none" w:sz="0" w:space="0" w:color="auto"/>
                <w:right w:val="none" w:sz="0" w:space="0" w:color="auto"/>
              </w:divBdr>
            </w:div>
          </w:divsChild>
        </w:div>
        <w:div w:id="1089159513">
          <w:marLeft w:val="0"/>
          <w:marRight w:val="0"/>
          <w:marTop w:val="0"/>
          <w:marBottom w:val="0"/>
          <w:divBdr>
            <w:top w:val="none" w:sz="0" w:space="0" w:color="auto"/>
            <w:left w:val="none" w:sz="0" w:space="0" w:color="auto"/>
            <w:bottom w:val="none" w:sz="0" w:space="0" w:color="auto"/>
            <w:right w:val="none" w:sz="0" w:space="0" w:color="auto"/>
          </w:divBdr>
          <w:divsChild>
            <w:div w:id="1786925560">
              <w:marLeft w:val="0"/>
              <w:marRight w:val="0"/>
              <w:marTop w:val="0"/>
              <w:marBottom w:val="0"/>
              <w:divBdr>
                <w:top w:val="none" w:sz="0" w:space="0" w:color="auto"/>
                <w:left w:val="none" w:sz="0" w:space="0" w:color="auto"/>
                <w:bottom w:val="none" w:sz="0" w:space="0" w:color="auto"/>
                <w:right w:val="none" w:sz="0" w:space="0" w:color="auto"/>
              </w:divBdr>
            </w:div>
          </w:divsChild>
        </w:div>
        <w:div w:id="1299993521">
          <w:marLeft w:val="0"/>
          <w:marRight w:val="0"/>
          <w:marTop w:val="0"/>
          <w:marBottom w:val="0"/>
          <w:divBdr>
            <w:top w:val="none" w:sz="0" w:space="0" w:color="auto"/>
            <w:left w:val="none" w:sz="0" w:space="0" w:color="auto"/>
            <w:bottom w:val="none" w:sz="0" w:space="0" w:color="auto"/>
            <w:right w:val="none" w:sz="0" w:space="0" w:color="auto"/>
          </w:divBdr>
          <w:divsChild>
            <w:div w:id="1686125811">
              <w:marLeft w:val="0"/>
              <w:marRight w:val="0"/>
              <w:marTop w:val="0"/>
              <w:marBottom w:val="0"/>
              <w:divBdr>
                <w:top w:val="none" w:sz="0" w:space="0" w:color="auto"/>
                <w:left w:val="none" w:sz="0" w:space="0" w:color="auto"/>
                <w:bottom w:val="none" w:sz="0" w:space="0" w:color="auto"/>
                <w:right w:val="none" w:sz="0" w:space="0" w:color="auto"/>
              </w:divBdr>
            </w:div>
          </w:divsChild>
        </w:div>
        <w:div w:id="1325205457">
          <w:marLeft w:val="0"/>
          <w:marRight w:val="0"/>
          <w:marTop w:val="0"/>
          <w:marBottom w:val="0"/>
          <w:divBdr>
            <w:top w:val="none" w:sz="0" w:space="0" w:color="auto"/>
            <w:left w:val="none" w:sz="0" w:space="0" w:color="auto"/>
            <w:bottom w:val="none" w:sz="0" w:space="0" w:color="auto"/>
            <w:right w:val="none" w:sz="0" w:space="0" w:color="auto"/>
          </w:divBdr>
          <w:divsChild>
            <w:div w:id="1225410337">
              <w:marLeft w:val="0"/>
              <w:marRight w:val="0"/>
              <w:marTop w:val="0"/>
              <w:marBottom w:val="0"/>
              <w:divBdr>
                <w:top w:val="none" w:sz="0" w:space="0" w:color="auto"/>
                <w:left w:val="none" w:sz="0" w:space="0" w:color="auto"/>
                <w:bottom w:val="none" w:sz="0" w:space="0" w:color="auto"/>
                <w:right w:val="none" w:sz="0" w:space="0" w:color="auto"/>
              </w:divBdr>
            </w:div>
          </w:divsChild>
        </w:div>
        <w:div w:id="1378238891">
          <w:marLeft w:val="0"/>
          <w:marRight w:val="0"/>
          <w:marTop w:val="0"/>
          <w:marBottom w:val="0"/>
          <w:divBdr>
            <w:top w:val="none" w:sz="0" w:space="0" w:color="auto"/>
            <w:left w:val="none" w:sz="0" w:space="0" w:color="auto"/>
            <w:bottom w:val="none" w:sz="0" w:space="0" w:color="auto"/>
            <w:right w:val="none" w:sz="0" w:space="0" w:color="auto"/>
          </w:divBdr>
          <w:divsChild>
            <w:div w:id="494228518">
              <w:marLeft w:val="0"/>
              <w:marRight w:val="0"/>
              <w:marTop w:val="0"/>
              <w:marBottom w:val="0"/>
              <w:divBdr>
                <w:top w:val="none" w:sz="0" w:space="0" w:color="auto"/>
                <w:left w:val="none" w:sz="0" w:space="0" w:color="auto"/>
                <w:bottom w:val="none" w:sz="0" w:space="0" w:color="auto"/>
                <w:right w:val="none" w:sz="0" w:space="0" w:color="auto"/>
              </w:divBdr>
            </w:div>
          </w:divsChild>
        </w:div>
        <w:div w:id="1446656570">
          <w:marLeft w:val="0"/>
          <w:marRight w:val="0"/>
          <w:marTop w:val="0"/>
          <w:marBottom w:val="0"/>
          <w:divBdr>
            <w:top w:val="none" w:sz="0" w:space="0" w:color="auto"/>
            <w:left w:val="none" w:sz="0" w:space="0" w:color="auto"/>
            <w:bottom w:val="none" w:sz="0" w:space="0" w:color="auto"/>
            <w:right w:val="none" w:sz="0" w:space="0" w:color="auto"/>
          </w:divBdr>
          <w:divsChild>
            <w:div w:id="1527326565">
              <w:marLeft w:val="0"/>
              <w:marRight w:val="0"/>
              <w:marTop w:val="0"/>
              <w:marBottom w:val="0"/>
              <w:divBdr>
                <w:top w:val="none" w:sz="0" w:space="0" w:color="auto"/>
                <w:left w:val="none" w:sz="0" w:space="0" w:color="auto"/>
                <w:bottom w:val="none" w:sz="0" w:space="0" w:color="auto"/>
                <w:right w:val="none" w:sz="0" w:space="0" w:color="auto"/>
              </w:divBdr>
            </w:div>
          </w:divsChild>
        </w:div>
        <w:div w:id="1461609252">
          <w:marLeft w:val="0"/>
          <w:marRight w:val="0"/>
          <w:marTop w:val="0"/>
          <w:marBottom w:val="0"/>
          <w:divBdr>
            <w:top w:val="none" w:sz="0" w:space="0" w:color="auto"/>
            <w:left w:val="none" w:sz="0" w:space="0" w:color="auto"/>
            <w:bottom w:val="none" w:sz="0" w:space="0" w:color="auto"/>
            <w:right w:val="none" w:sz="0" w:space="0" w:color="auto"/>
          </w:divBdr>
          <w:divsChild>
            <w:div w:id="1670520172">
              <w:marLeft w:val="0"/>
              <w:marRight w:val="0"/>
              <w:marTop w:val="0"/>
              <w:marBottom w:val="0"/>
              <w:divBdr>
                <w:top w:val="none" w:sz="0" w:space="0" w:color="auto"/>
                <w:left w:val="none" w:sz="0" w:space="0" w:color="auto"/>
                <w:bottom w:val="none" w:sz="0" w:space="0" w:color="auto"/>
                <w:right w:val="none" w:sz="0" w:space="0" w:color="auto"/>
              </w:divBdr>
            </w:div>
          </w:divsChild>
        </w:div>
        <w:div w:id="1612320717">
          <w:marLeft w:val="0"/>
          <w:marRight w:val="0"/>
          <w:marTop w:val="0"/>
          <w:marBottom w:val="0"/>
          <w:divBdr>
            <w:top w:val="none" w:sz="0" w:space="0" w:color="auto"/>
            <w:left w:val="none" w:sz="0" w:space="0" w:color="auto"/>
            <w:bottom w:val="none" w:sz="0" w:space="0" w:color="auto"/>
            <w:right w:val="none" w:sz="0" w:space="0" w:color="auto"/>
          </w:divBdr>
          <w:divsChild>
            <w:div w:id="924803088">
              <w:marLeft w:val="0"/>
              <w:marRight w:val="0"/>
              <w:marTop w:val="0"/>
              <w:marBottom w:val="0"/>
              <w:divBdr>
                <w:top w:val="none" w:sz="0" w:space="0" w:color="auto"/>
                <w:left w:val="none" w:sz="0" w:space="0" w:color="auto"/>
                <w:bottom w:val="none" w:sz="0" w:space="0" w:color="auto"/>
                <w:right w:val="none" w:sz="0" w:space="0" w:color="auto"/>
              </w:divBdr>
            </w:div>
          </w:divsChild>
        </w:div>
        <w:div w:id="1661348931">
          <w:marLeft w:val="0"/>
          <w:marRight w:val="0"/>
          <w:marTop w:val="0"/>
          <w:marBottom w:val="0"/>
          <w:divBdr>
            <w:top w:val="none" w:sz="0" w:space="0" w:color="auto"/>
            <w:left w:val="none" w:sz="0" w:space="0" w:color="auto"/>
            <w:bottom w:val="none" w:sz="0" w:space="0" w:color="auto"/>
            <w:right w:val="none" w:sz="0" w:space="0" w:color="auto"/>
          </w:divBdr>
          <w:divsChild>
            <w:div w:id="184906272">
              <w:marLeft w:val="0"/>
              <w:marRight w:val="0"/>
              <w:marTop w:val="0"/>
              <w:marBottom w:val="0"/>
              <w:divBdr>
                <w:top w:val="none" w:sz="0" w:space="0" w:color="auto"/>
                <w:left w:val="none" w:sz="0" w:space="0" w:color="auto"/>
                <w:bottom w:val="none" w:sz="0" w:space="0" w:color="auto"/>
                <w:right w:val="none" w:sz="0" w:space="0" w:color="auto"/>
              </w:divBdr>
            </w:div>
          </w:divsChild>
        </w:div>
        <w:div w:id="1715345154">
          <w:marLeft w:val="0"/>
          <w:marRight w:val="0"/>
          <w:marTop w:val="0"/>
          <w:marBottom w:val="0"/>
          <w:divBdr>
            <w:top w:val="none" w:sz="0" w:space="0" w:color="auto"/>
            <w:left w:val="none" w:sz="0" w:space="0" w:color="auto"/>
            <w:bottom w:val="none" w:sz="0" w:space="0" w:color="auto"/>
            <w:right w:val="none" w:sz="0" w:space="0" w:color="auto"/>
          </w:divBdr>
          <w:divsChild>
            <w:div w:id="848519040">
              <w:marLeft w:val="0"/>
              <w:marRight w:val="0"/>
              <w:marTop w:val="0"/>
              <w:marBottom w:val="0"/>
              <w:divBdr>
                <w:top w:val="none" w:sz="0" w:space="0" w:color="auto"/>
                <w:left w:val="none" w:sz="0" w:space="0" w:color="auto"/>
                <w:bottom w:val="none" w:sz="0" w:space="0" w:color="auto"/>
                <w:right w:val="none" w:sz="0" w:space="0" w:color="auto"/>
              </w:divBdr>
            </w:div>
          </w:divsChild>
        </w:div>
        <w:div w:id="1728995423">
          <w:marLeft w:val="0"/>
          <w:marRight w:val="0"/>
          <w:marTop w:val="0"/>
          <w:marBottom w:val="0"/>
          <w:divBdr>
            <w:top w:val="none" w:sz="0" w:space="0" w:color="auto"/>
            <w:left w:val="none" w:sz="0" w:space="0" w:color="auto"/>
            <w:bottom w:val="none" w:sz="0" w:space="0" w:color="auto"/>
            <w:right w:val="none" w:sz="0" w:space="0" w:color="auto"/>
          </w:divBdr>
          <w:divsChild>
            <w:div w:id="1891335263">
              <w:marLeft w:val="0"/>
              <w:marRight w:val="0"/>
              <w:marTop w:val="0"/>
              <w:marBottom w:val="0"/>
              <w:divBdr>
                <w:top w:val="none" w:sz="0" w:space="0" w:color="auto"/>
                <w:left w:val="none" w:sz="0" w:space="0" w:color="auto"/>
                <w:bottom w:val="none" w:sz="0" w:space="0" w:color="auto"/>
                <w:right w:val="none" w:sz="0" w:space="0" w:color="auto"/>
              </w:divBdr>
            </w:div>
          </w:divsChild>
        </w:div>
        <w:div w:id="1781220763">
          <w:marLeft w:val="0"/>
          <w:marRight w:val="0"/>
          <w:marTop w:val="0"/>
          <w:marBottom w:val="0"/>
          <w:divBdr>
            <w:top w:val="none" w:sz="0" w:space="0" w:color="auto"/>
            <w:left w:val="none" w:sz="0" w:space="0" w:color="auto"/>
            <w:bottom w:val="none" w:sz="0" w:space="0" w:color="auto"/>
            <w:right w:val="none" w:sz="0" w:space="0" w:color="auto"/>
          </w:divBdr>
          <w:divsChild>
            <w:div w:id="176041590">
              <w:marLeft w:val="0"/>
              <w:marRight w:val="0"/>
              <w:marTop w:val="0"/>
              <w:marBottom w:val="0"/>
              <w:divBdr>
                <w:top w:val="none" w:sz="0" w:space="0" w:color="auto"/>
                <w:left w:val="none" w:sz="0" w:space="0" w:color="auto"/>
                <w:bottom w:val="none" w:sz="0" w:space="0" w:color="auto"/>
                <w:right w:val="none" w:sz="0" w:space="0" w:color="auto"/>
              </w:divBdr>
            </w:div>
          </w:divsChild>
        </w:div>
        <w:div w:id="2007855922">
          <w:marLeft w:val="0"/>
          <w:marRight w:val="0"/>
          <w:marTop w:val="0"/>
          <w:marBottom w:val="0"/>
          <w:divBdr>
            <w:top w:val="none" w:sz="0" w:space="0" w:color="auto"/>
            <w:left w:val="none" w:sz="0" w:space="0" w:color="auto"/>
            <w:bottom w:val="none" w:sz="0" w:space="0" w:color="auto"/>
            <w:right w:val="none" w:sz="0" w:space="0" w:color="auto"/>
          </w:divBdr>
          <w:divsChild>
            <w:div w:id="823744798">
              <w:marLeft w:val="0"/>
              <w:marRight w:val="0"/>
              <w:marTop w:val="0"/>
              <w:marBottom w:val="0"/>
              <w:divBdr>
                <w:top w:val="none" w:sz="0" w:space="0" w:color="auto"/>
                <w:left w:val="none" w:sz="0" w:space="0" w:color="auto"/>
                <w:bottom w:val="none" w:sz="0" w:space="0" w:color="auto"/>
                <w:right w:val="none" w:sz="0" w:space="0" w:color="auto"/>
              </w:divBdr>
            </w:div>
          </w:divsChild>
        </w:div>
        <w:div w:id="2108647263">
          <w:marLeft w:val="0"/>
          <w:marRight w:val="0"/>
          <w:marTop w:val="0"/>
          <w:marBottom w:val="0"/>
          <w:divBdr>
            <w:top w:val="none" w:sz="0" w:space="0" w:color="auto"/>
            <w:left w:val="none" w:sz="0" w:space="0" w:color="auto"/>
            <w:bottom w:val="none" w:sz="0" w:space="0" w:color="auto"/>
            <w:right w:val="none" w:sz="0" w:space="0" w:color="auto"/>
          </w:divBdr>
          <w:divsChild>
            <w:div w:id="386151277">
              <w:marLeft w:val="0"/>
              <w:marRight w:val="0"/>
              <w:marTop w:val="0"/>
              <w:marBottom w:val="0"/>
              <w:divBdr>
                <w:top w:val="none" w:sz="0" w:space="0" w:color="auto"/>
                <w:left w:val="none" w:sz="0" w:space="0" w:color="auto"/>
                <w:bottom w:val="none" w:sz="0" w:space="0" w:color="auto"/>
                <w:right w:val="none" w:sz="0" w:space="0" w:color="auto"/>
              </w:divBdr>
            </w:div>
            <w:div w:id="570425516">
              <w:marLeft w:val="0"/>
              <w:marRight w:val="0"/>
              <w:marTop w:val="0"/>
              <w:marBottom w:val="0"/>
              <w:divBdr>
                <w:top w:val="none" w:sz="0" w:space="0" w:color="auto"/>
                <w:left w:val="none" w:sz="0" w:space="0" w:color="auto"/>
                <w:bottom w:val="none" w:sz="0" w:space="0" w:color="auto"/>
                <w:right w:val="none" w:sz="0" w:space="0" w:color="auto"/>
              </w:divBdr>
            </w:div>
            <w:div w:id="789518057">
              <w:marLeft w:val="0"/>
              <w:marRight w:val="0"/>
              <w:marTop w:val="0"/>
              <w:marBottom w:val="0"/>
              <w:divBdr>
                <w:top w:val="none" w:sz="0" w:space="0" w:color="auto"/>
                <w:left w:val="none" w:sz="0" w:space="0" w:color="auto"/>
                <w:bottom w:val="none" w:sz="0" w:space="0" w:color="auto"/>
                <w:right w:val="none" w:sz="0" w:space="0" w:color="auto"/>
              </w:divBdr>
            </w:div>
            <w:div w:id="1593468122">
              <w:marLeft w:val="0"/>
              <w:marRight w:val="0"/>
              <w:marTop w:val="0"/>
              <w:marBottom w:val="0"/>
              <w:divBdr>
                <w:top w:val="none" w:sz="0" w:space="0" w:color="auto"/>
                <w:left w:val="none" w:sz="0" w:space="0" w:color="auto"/>
                <w:bottom w:val="none" w:sz="0" w:space="0" w:color="auto"/>
                <w:right w:val="none" w:sz="0" w:space="0" w:color="auto"/>
              </w:divBdr>
            </w:div>
            <w:div w:id="1629434828">
              <w:marLeft w:val="0"/>
              <w:marRight w:val="0"/>
              <w:marTop w:val="0"/>
              <w:marBottom w:val="0"/>
              <w:divBdr>
                <w:top w:val="none" w:sz="0" w:space="0" w:color="auto"/>
                <w:left w:val="none" w:sz="0" w:space="0" w:color="auto"/>
                <w:bottom w:val="none" w:sz="0" w:space="0" w:color="auto"/>
                <w:right w:val="none" w:sz="0" w:space="0" w:color="auto"/>
              </w:divBdr>
            </w:div>
            <w:div w:id="17426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6123">
      <w:bodyDiv w:val="1"/>
      <w:marLeft w:val="0"/>
      <w:marRight w:val="0"/>
      <w:marTop w:val="0"/>
      <w:marBottom w:val="0"/>
      <w:divBdr>
        <w:top w:val="none" w:sz="0" w:space="0" w:color="auto"/>
        <w:left w:val="none" w:sz="0" w:space="0" w:color="auto"/>
        <w:bottom w:val="none" w:sz="0" w:space="0" w:color="auto"/>
        <w:right w:val="none" w:sz="0" w:space="0" w:color="auto"/>
      </w:divBdr>
    </w:div>
    <w:div w:id="1636526566">
      <w:bodyDiv w:val="1"/>
      <w:marLeft w:val="0"/>
      <w:marRight w:val="0"/>
      <w:marTop w:val="0"/>
      <w:marBottom w:val="0"/>
      <w:divBdr>
        <w:top w:val="none" w:sz="0" w:space="0" w:color="auto"/>
        <w:left w:val="none" w:sz="0" w:space="0" w:color="auto"/>
        <w:bottom w:val="none" w:sz="0" w:space="0" w:color="auto"/>
        <w:right w:val="none" w:sz="0" w:space="0" w:color="auto"/>
      </w:divBdr>
    </w:div>
    <w:div w:id="1644852029">
      <w:bodyDiv w:val="1"/>
      <w:marLeft w:val="0"/>
      <w:marRight w:val="0"/>
      <w:marTop w:val="0"/>
      <w:marBottom w:val="0"/>
      <w:divBdr>
        <w:top w:val="none" w:sz="0" w:space="0" w:color="auto"/>
        <w:left w:val="none" w:sz="0" w:space="0" w:color="auto"/>
        <w:bottom w:val="none" w:sz="0" w:space="0" w:color="auto"/>
        <w:right w:val="none" w:sz="0" w:space="0" w:color="auto"/>
      </w:divBdr>
    </w:div>
    <w:div w:id="1656031487">
      <w:bodyDiv w:val="1"/>
      <w:marLeft w:val="0"/>
      <w:marRight w:val="0"/>
      <w:marTop w:val="0"/>
      <w:marBottom w:val="0"/>
      <w:divBdr>
        <w:top w:val="none" w:sz="0" w:space="0" w:color="auto"/>
        <w:left w:val="none" w:sz="0" w:space="0" w:color="auto"/>
        <w:bottom w:val="none" w:sz="0" w:space="0" w:color="auto"/>
        <w:right w:val="none" w:sz="0" w:space="0" w:color="auto"/>
      </w:divBdr>
    </w:div>
    <w:div w:id="1838223402">
      <w:bodyDiv w:val="1"/>
      <w:marLeft w:val="0"/>
      <w:marRight w:val="0"/>
      <w:marTop w:val="0"/>
      <w:marBottom w:val="0"/>
      <w:divBdr>
        <w:top w:val="none" w:sz="0" w:space="0" w:color="auto"/>
        <w:left w:val="none" w:sz="0" w:space="0" w:color="auto"/>
        <w:bottom w:val="none" w:sz="0" w:space="0" w:color="auto"/>
        <w:right w:val="none" w:sz="0" w:space="0" w:color="auto"/>
      </w:divBdr>
    </w:div>
    <w:div w:id="1933858313">
      <w:bodyDiv w:val="1"/>
      <w:marLeft w:val="0"/>
      <w:marRight w:val="0"/>
      <w:marTop w:val="0"/>
      <w:marBottom w:val="0"/>
      <w:divBdr>
        <w:top w:val="none" w:sz="0" w:space="0" w:color="auto"/>
        <w:left w:val="none" w:sz="0" w:space="0" w:color="auto"/>
        <w:bottom w:val="none" w:sz="0" w:space="0" w:color="auto"/>
        <w:right w:val="none" w:sz="0" w:space="0" w:color="auto"/>
      </w:divBdr>
      <w:divsChild>
        <w:div w:id="1222670448">
          <w:marLeft w:val="0"/>
          <w:marRight w:val="0"/>
          <w:marTop w:val="0"/>
          <w:marBottom w:val="0"/>
          <w:divBdr>
            <w:top w:val="none" w:sz="0" w:space="0" w:color="auto"/>
            <w:left w:val="none" w:sz="0" w:space="0" w:color="auto"/>
            <w:bottom w:val="none" w:sz="0" w:space="0" w:color="auto"/>
            <w:right w:val="none" w:sz="0" w:space="0" w:color="auto"/>
          </w:divBdr>
        </w:div>
        <w:div w:id="1230310354">
          <w:marLeft w:val="0"/>
          <w:marRight w:val="0"/>
          <w:marTop w:val="0"/>
          <w:marBottom w:val="0"/>
          <w:divBdr>
            <w:top w:val="none" w:sz="0" w:space="0" w:color="auto"/>
            <w:left w:val="none" w:sz="0" w:space="0" w:color="auto"/>
            <w:bottom w:val="none" w:sz="0" w:space="0" w:color="auto"/>
            <w:right w:val="none" w:sz="0" w:space="0" w:color="auto"/>
          </w:divBdr>
          <w:divsChild>
            <w:div w:id="2024278976">
              <w:marLeft w:val="-75"/>
              <w:marRight w:val="0"/>
              <w:marTop w:val="30"/>
              <w:marBottom w:val="30"/>
              <w:divBdr>
                <w:top w:val="none" w:sz="0" w:space="0" w:color="auto"/>
                <w:left w:val="none" w:sz="0" w:space="0" w:color="auto"/>
                <w:bottom w:val="none" w:sz="0" w:space="0" w:color="auto"/>
                <w:right w:val="none" w:sz="0" w:space="0" w:color="auto"/>
              </w:divBdr>
              <w:divsChild>
                <w:div w:id="125199279">
                  <w:marLeft w:val="0"/>
                  <w:marRight w:val="0"/>
                  <w:marTop w:val="0"/>
                  <w:marBottom w:val="0"/>
                  <w:divBdr>
                    <w:top w:val="none" w:sz="0" w:space="0" w:color="auto"/>
                    <w:left w:val="none" w:sz="0" w:space="0" w:color="auto"/>
                    <w:bottom w:val="none" w:sz="0" w:space="0" w:color="auto"/>
                    <w:right w:val="none" w:sz="0" w:space="0" w:color="auto"/>
                  </w:divBdr>
                  <w:divsChild>
                    <w:div w:id="101537161">
                      <w:marLeft w:val="0"/>
                      <w:marRight w:val="0"/>
                      <w:marTop w:val="0"/>
                      <w:marBottom w:val="0"/>
                      <w:divBdr>
                        <w:top w:val="none" w:sz="0" w:space="0" w:color="auto"/>
                        <w:left w:val="none" w:sz="0" w:space="0" w:color="auto"/>
                        <w:bottom w:val="none" w:sz="0" w:space="0" w:color="auto"/>
                        <w:right w:val="none" w:sz="0" w:space="0" w:color="auto"/>
                      </w:divBdr>
                    </w:div>
                  </w:divsChild>
                </w:div>
                <w:div w:id="133522512">
                  <w:marLeft w:val="0"/>
                  <w:marRight w:val="0"/>
                  <w:marTop w:val="0"/>
                  <w:marBottom w:val="0"/>
                  <w:divBdr>
                    <w:top w:val="none" w:sz="0" w:space="0" w:color="auto"/>
                    <w:left w:val="none" w:sz="0" w:space="0" w:color="auto"/>
                    <w:bottom w:val="none" w:sz="0" w:space="0" w:color="auto"/>
                    <w:right w:val="none" w:sz="0" w:space="0" w:color="auto"/>
                  </w:divBdr>
                  <w:divsChild>
                    <w:div w:id="593321070">
                      <w:marLeft w:val="0"/>
                      <w:marRight w:val="0"/>
                      <w:marTop w:val="0"/>
                      <w:marBottom w:val="0"/>
                      <w:divBdr>
                        <w:top w:val="none" w:sz="0" w:space="0" w:color="auto"/>
                        <w:left w:val="none" w:sz="0" w:space="0" w:color="auto"/>
                        <w:bottom w:val="none" w:sz="0" w:space="0" w:color="auto"/>
                        <w:right w:val="none" w:sz="0" w:space="0" w:color="auto"/>
                      </w:divBdr>
                    </w:div>
                  </w:divsChild>
                </w:div>
                <w:div w:id="382481686">
                  <w:marLeft w:val="0"/>
                  <w:marRight w:val="0"/>
                  <w:marTop w:val="0"/>
                  <w:marBottom w:val="0"/>
                  <w:divBdr>
                    <w:top w:val="none" w:sz="0" w:space="0" w:color="auto"/>
                    <w:left w:val="none" w:sz="0" w:space="0" w:color="auto"/>
                    <w:bottom w:val="none" w:sz="0" w:space="0" w:color="auto"/>
                    <w:right w:val="none" w:sz="0" w:space="0" w:color="auto"/>
                  </w:divBdr>
                  <w:divsChild>
                    <w:div w:id="31540066">
                      <w:marLeft w:val="0"/>
                      <w:marRight w:val="0"/>
                      <w:marTop w:val="0"/>
                      <w:marBottom w:val="0"/>
                      <w:divBdr>
                        <w:top w:val="none" w:sz="0" w:space="0" w:color="auto"/>
                        <w:left w:val="none" w:sz="0" w:space="0" w:color="auto"/>
                        <w:bottom w:val="none" w:sz="0" w:space="0" w:color="auto"/>
                        <w:right w:val="none" w:sz="0" w:space="0" w:color="auto"/>
                      </w:divBdr>
                    </w:div>
                  </w:divsChild>
                </w:div>
                <w:div w:id="813989389">
                  <w:marLeft w:val="0"/>
                  <w:marRight w:val="0"/>
                  <w:marTop w:val="0"/>
                  <w:marBottom w:val="0"/>
                  <w:divBdr>
                    <w:top w:val="none" w:sz="0" w:space="0" w:color="auto"/>
                    <w:left w:val="none" w:sz="0" w:space="0" w:color="auto"/>
                    <w:bottom w:val="none" w:sz="0" w:space="0" w:color="auto"/>
                    <w:right w:val="none" w:sz="0" w:space="0" w:color="auto"/>
                  </w:divBdr>
                  <w:divsChild>
                    <w:div w:id="1440371892">
                      <w:marLeft w:val="0"/>
                      <w:marRight w:val="0"/>
                      <w:marTop w:val="0"/>
                      <w:marBottom w:val="0"/>
                      <w:divBdr>
                        <w:top w:val="none" w:sz="0" w:space="0" w:color="auto"/>
                        <w:left w:val="none" w:sz="0" w:space="0" w:color="auto"/>
                        <w:bottom w:val="none" w:sz="0" w:space="0" w:color="auto"/>
                        <w:right w:val="none" w:sz="0" w:space="0" w:color="auto"/>
                      </w:divBdr>
                    </w:div>
                  </w:divsChild>
                </w:div>
                <w:div w:id="1137915472">
                  <w:marLeft w:val="0"/>
                  <w:marRight w:val="0"/>
                  <w:marTop w:val="0"/>
                  <w:marBottom w:val="0"/>
                  <w:divBdr>
                    <w:top w:val="none" w:sz="0" w:space="0" w:color="auto"/>
                    <w:left w:val="none" w:sz="0" w:space="0" w:color="auto"/>
                    <w:bottom w:val="none" w:sz="0" w:space="0" w:color="auto"/>
                    <w:right w:val="none" w:sz="0" w:space="0" w:color="auto"/>
                  </w:divBdr>
                  <w:divsChild>
                    <w:div w:id="1114714574">
                      <w:marLeft w:val="0"/>
                      <w:marRight w:val="0"/>
                      <w:marTop w:val="0"/>
                      <w:marBottom w:val="0"/>
                      <w:divBdr>
                        <w:top w:val="none" w:sz="0" w:space="0" w:color="auto"/>
                        <w:left w:val="none" w:sz="0" w:space="0" w:color="auto"/>
                        <w:bottom w:val="none" w:sz="0" w:space="0" w:color="auto"/>
                        <w:right w:val="none" w:sz="0" w:space="0" w:color="auto"/>
                      </w:divBdr>
                    </w:div>
                  </w:divsChild>
                </w:div>
                <w:div w:id="1605577236">
                  <w:marLeft w:val="0"/>
                  <w:marRight w:val="0"/>
                  <w:marTop w:val="0"/>
                  <w:marBottom w:val="0"/>
                  <w:divBdr>
                    <w:top w:val="none" w:sz="0" w:space="0" w:color="auto"/>
                    <w:left w:val="none" w:sz="0" w:space="0" w:color="auto"/>
                    <w:bottom w:val="none" w:sz="0" w:space="0" w:color="auto"/>
                    <w:right w:val="none" w:sz="0" w:space="0" w:color="auto"/>
                  </w:divBdr>
                  <w:divsChild>
                    <w:div w:id="2078162757">
                      <w:marLeft w:val="0"/>
                      <w:marRight w:val="0"/>
                      <w:marTop w:val="0"/>
                      <w:marBottom w:val="0"/>
                      <w:divBdr>
                        <w:top w:val="none" w:sz="0" w:space="0" w:color="auto"/>
                        <w:left w:val="none" w:sz="0" w:space="0" w:color="auto"/>
                        <w:bottom w:val="none" w:sz="0" w:space="0" w:color="auto"/>
                        <w:right w:val="none" w:sz="0" w:space="0" w:color="auto"/>
                      </w:divBdr>
                    </w:div>
                  </w:divsChild>
                </w:div>
                <w:div w:id="1703431348">
                  <w:marLeft w:val="0"/>
                  <w:marRight w:val="0"/>
                  <w:marTop w:val="0"/>
                  <w:marBottom w:val="0"/>
                  <w:divBdr>
                    <w:top w:val="none" w:sz="0" w:space="0" w:color="auto"/>
                    <w:left w:val="none" w:sz="0" w:space="0" w:color="auto"/>
                    <w:bottom w:val="none" w:sz="0" w:space="0" w:color="auto"/>
                    <w:right w:val="none" w:sz="0" w:space="0" w:color="auto"/>
                  </w:divBdr>
                  <w:divsChild>
                    <w:div w:id="782574934">
                      <w:marLeft w:val="0"/>
                      <w:marRight w:val="0"/>
                      <w:marTop w:val="0"/>
                      <w:marBottom w:val="0"/>
                      <w:divBdr>
                        <w:top w:val="none" w:sz="0" w:space="0" w:color="auto"/>
                        <w:left w:val="none" w:sz="0" w:space="0" w:color="auto"/>
                        <w:bottom w:val="none" w:sz="0" w:space="0" w:color="auto"/>
                        <w:right w:val="none" w:sz="0" w:space="0" w:color="auto"/>
                      </w:divBdr>
                    </w:div>
                  </w:divsChild>
                </w:div>
                <w:div w:id="1742754756">
                  <w:marLeft w:val="0"/>
                  <w:marRight w:val="0"/>
                  <w:marTop w:val="0"/>
                  <w:marBottom w:val="0"/>
                  <w:divBdr>
                    <w:top w:val="none" w:sz="0" w:space="0" w:color="auto"/>
                    <w:left w:val="none" w:sz="0" w:space="0" w:color="auto"/>
                    <w:bottom w:val="none" w:sz="0" w:space="0" w:color="auto"/>
                    <w:right w:val="none" w:sz="0" w:space="0" w:color="auto"/>
                  </w:divBdr>
                  <w:divsChild>
                    <w:div w:id="1437483422">
                      <w:marLeft w:val="0"/>
                      <w:marRight w:val="0"/>
                      <w:marTop w:val="0"/>
                      <w:marBottom w:val="0"/>
                      <w:divBdr>
                        <w:top w:val="none" w:sz="0" w:space="0" w:color="auto"/>
                        <w:left w:val="none" w:sz="0" w:space="0" w:color="auto"/>
                        <w:bottom w:val="none" w:sz="0" w:space="0" w:color="auto"/>
                        <w:right w:val="none" w:sz="0" w:space="0" w:color="auto"/>
                      </w:divBdr>
                    </w:div>
                  </w:divsChild>
                </w:div>
                <w:div w:id="1879008006">
                  <w:marLeft w:val="0"/>
                  <w:marRight w:val="0"/>
                  <w:marTop w:val="0"/>
                  <w:marBottom w:val="0"/>
                  <w:divBdr>
                    <w:top w:val="none" w:sz="0" w:space="0" w:color="auto"/>
                    <w:left w:val="none" w:sz="0" w:space="0" w:color="auto"/>
                    <w:bottom w:val="none" w:sz="0" w:space="0" w:color="auto"/>
                    <w:right w:val="none" w:sz="0" w:space="0" w:color="auto"/>
                  </w:divBdr>
                  <w:divsChild>
                    <w:div w:id="1400322592">
                      <w:marLeft w:val="0"/>
                      <w:marRight w:val="0"/>
                      <w:marTop w:val="0"/>
                      <w:marBottom w:val="0"/>
                      <w:divBdr>
                        <w:top w:val="none" w:sz="0" w:space="0" w:color="auto"/>
                        <w:left w:val="none" w:sz="0" w:space="0" w:color="auto"/>
                        <w:bottom w:val="none" w:sz="0" w:space="0" w:color="auto"/>
                        <w:right w:val="none" w:sz="0" w:space="0" w:color="auto"/>
                      </w:divBdr>
                    </w:div>
                  </w:divsChild>
                </w:div>
                <w:div w:id="2064938675">
                  <w:marLeft w:val="0"/>
                  <w:marRight w:val="0"/>
                  <w:marTop w:val="0"/>
                  <w:marBottom w:val="0"/>
                  <w:divBdr>
                    <w:top w:val="none" w:sz="0" w:space="0" w:color="auto"/>
                    <w:left w:val="none" w:sz="0" w:space="0" w:color="auto"/>
                    <w:bottom w:val="none" w:sz="0" w:space="0" w:color="auto"/>
                    <w:right w:val="none" w:sz="0" w:space="0" w:color="auto"/>
                  </w:divBdr>
                  <w:divsChild>
                    <w:div w:id="6511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9621">
          <w:marLeft w:val="0"/>
          <w:marRight w:val="0"/>
          <w:marTop w:val="0"/>
          <w:marBottom w:val="0"/>
          <w:divBdr>
            <w:top w:val="none" w:sz="0" w:space="0" w:color="auto"/>
            <w:left w:val="none" w:sz="0" w:space="0" w:color="auto"/>
            <w:bottom w:val="none" w:sz="0" w:space="0" w:color="auto"/>
            <w:right w:val="none" w:sz="0" w:space="0" w:color="auto"/>
          </w:divBdr>
        </w:div>
      </w:divsChild>
    </w:div>
    <w:div w:id="2002151836">
      <w:bodyDiv w:val="1"/>
      <w:marLeft w:val="0"/>
      <w:marRight w:val="0"/>
      <w:marTop w:val="0"/>
      <w:marBottom w:val="0"/>
      <w:divBdr>
        <w:top w:val="none" w:sz="0" w:space="0" w:color="auto"/>
        <w:left w:val="none" w:sz="0" w:space="0" w:color="auto"/>
        <w:bottom w:val="none" w:sz="0" w:space="0" w:color="auto"/>
        <w:right w:val="none" w:sz="0" w:space="0" w:color="auto"/>
      </w:divBdr>
      <w:divsChild>
        <w:div w:id="88047025">
          <w:marLeft w:val="0"/>
          <w:marRight w:val="0"/>
          <w:marTop w:val="0"/>
          <w:marBottom w:val="0"/>
          <w:divBdr>
            <w:top w:val="none" w:sz="0" w:space="0" w:color="auto"/>
            <w:left w:val="none" w:sz="0" w:space="0" w:color="auto"/>
            <w:bottom w:val="none" w:sz="0" w:space="0" w:color="auto"/>
            <w:right w:val="none" w:sz="0" w:space="0" w:color="auto"/>
          </w:divBdr>
          <w:divsChild>
            <w:div w:id="362246788">
              <w:marLeft w:val="0"/>
              <w:marRight w:val="0"/>
              <w:marTop w:val="0"/>
              <w:marBottom w:val="0"/>
              <w:divBdr>
                <w:top w:val="none" w:sz="0" w:space="0" w:color="auto"/>
                <w:left w:val="none" w:sz="0" w:space="0" w:color="auto"/>
                <w:bottom w:val="none" w:sz="0" w:space="0" w:color="auto"/>
                <w:right w:val="none" w:sz="0" w:space="0" w:color="auto"/>
              </w:divBdr>
            </w:div>
            <w:div w:id="951791156">
              <w:marLeft w:val="0"/>
              <w:marRight w:val="0"/>
              <w:marTop w:val="0"/>
              <w:marBottom w:val="0"/>
              <w:divBdr>
                <w:top w:val="none" w:sz="0" w:space="0" w:color="auto"/>
                <w:left w:val="none" w:sz="0" w:space="0" w:color="auto"/>
                <w:bottom w:val="none" w:sz="0" w:space="0" w:color="auto"/>
                <w:right w:val="none" w:sz="0" w:space="0" w:color="auto"/>
              </w:divBdr>
            </w:div>
            <w:div w:id="1656226035">
              <w:marLeft w:val="0"/>
              <w:marRight w:val="0"/>
              <w:marTop w:val="0"/>
              <w:marBottom w:val="0"/>
              <w:divBdr>
                <w:top w:val="none" w:sz="0" w:space="0" w:color="auto"/>
                <w:left w:val="none" w:sz="0" w:space="0" w:color="auto"/>
                <w:bottom w:val="none" w:sz="0" w:space="0" w:color="auto"/>
                <w:right w:val="none" w:sz="0" w:space="0" w:color="auto"/>
              </w:divBdr>
            </w:div>
            <w:div w:id="1844662317">
              <w:marLeft w:val="0"/>
              <w:marRight w:val="0"/>
              <w:marTop w:val="0"/>
              <w:marBottom w:val="0"/>
              <w:divBdr>
                <w:top w:val="none" w:sz="0" w:space="0" w:color="auto"/>
                <w:left w:val="none" w:sz="0" w:space="0" w:color="auto"/>
                <w:bottom w:val="none" w:sz="0" w:space="0" w:color="auto"/>
                <w:right w:val="none" w:sz="0" w:space="0" w:color="auto"/>
              </w:divBdr>
            </w:div>
          </w:divsChild>
        </w:div>
        <w:div w:id="141049251">
          <w:marLeft w:val="0"/>
          <w:marRight w:val="0"/>
          <w:marTop w:val="0"/>
          <w:marBottom w:val="0"/>
          <w:divBdr>
            <w:top w:val="none" w:sz="0" w:space="0" w:color="auto"/>
            <w:left w:val="none" w:sz="0" w:space="0" w:color="auto"/>
            <w:bottom w:val="none" w:sz="0" w:space="0" w:color="auto"/>
            <w:right w:val="none" w:sz="0" w:space="0" w:color="auto"/>
          </w:divBdr>
          <w:divsChild>
            <w:div w:id="1558588031">
              <w:marLeft w:val="0"/>
              <w:marRight w:val="0"/>
              <w:marTop w:val="0"/>
              <w:marBottom w:val="0"/>
              <w:divBdr>
                <w:top w:val="none" w:sz="0" w:space="0" w:color="auto"/>
                <w:left w:val="none" w:sz="0" w:space="0" w:color="auto"/>
                <w:bottom w:val="none" w:sz="0" w:space="0" w:color="auto"/>
                <w:right w:val="none" w:sz="0" w:space="0" w:color="auto"/>
              </w:divBdr>
            </w:div>
            <w:div w:id="1587417092">
              <w:marLeft w:val="0"/>
              <w:marRight w:val="0"/>
              <w:marTop w:val="0"/>
              <w:marBottom w:val="0"/>
              <w:divBdr>
                <w:top w:val="none" w:sz="0" w:space="0" w:color="auto"/>
                <w:left w:val="none" w:sz="0" w:space="0" w:color="auto"/>
                <w:bottom w:val="none" w:sz="0" w:space="0" w:color="auto"/>
                <w:right w:val="none" w:sz="0" w:space="0" w:color="auto"/>
              </w:divBdr>
            </w:div>
          </w:divsChild>
        </w:div>
        <w:div w:id="923146714">
          <w:marLeft w:val="0"/>
          <w:marRight w:val="0"/>
          <w:marTop w:val="0"/>
          <w:marBottom w:val="0"/>
          <w:divBdr>
            <w:top w:val="none" w:sz="0" w:space="0" w:color="auto"/>
            <w:left w:val="none" w:sz="0" w:space="0" w:color="auto"/>
            <w:bottom w:val="none" w:sz="0" w:space="0" w:color="auto"/>
            <w:right w:val="none" w:sz="0" w:space="0" w:color="auto"/>
          </w:divBdr>
          <w:divsChild>
            <w:div w:id="781220100">
              <w:marLeft w:val="0"/>
              <w:marRight w:val="0"/>
              <w:marTop w:val="0"/>
              <w:marBottom w:val="0"/>
              <w:divBdr>
                <w:top w:val="none" w:sz="0" w:space="0" w:color="auto"/>
                <w:left w:val="none" w:sz="0" w:space="0" w:color="auto"/>
                <w:bottom w:val="none" w:sz="0" w:space="0" w:color="auto"/>
                <w:right w:val="none" w:sz="0" w:space="0" w:color="auto"/>
              </w:divBdr>
            </w:div>
          </w:divsChild>
        </w:div>
        <w:div w:id="959189823">
          <w:marLeft w:val="0"/>
          <w:marRight w:val="0"/>
          <w:marTop w:val="0"/>
          <w:marBottom w:val="0"/>
          <w:divBdr>
            <w:top w:val="none" w:sz="0" w:space="0" w:color="auto"/>
            <w:left w:val="none" w:sz="0" w:space="0" w:color="auto"/>
            <w:bottom w:val="none" w:sz="0" w:space="0" w:color="auto"/>
            <w:right w:val="none" w:sz="0" w:space="0" w:color="auto"/>
          </w:divBdr>
          <w:divsChild>
            <w:div w:id="1199664117">
              <w:marLeft w:val="0"/>
              <w:marRight w:val="0"/>
              <w:marTop w:val="0"/>
              <w:marBottom w:val="0"/>
              <w:divBdr>
                <w:top w:val="none" w:sz="0" w:space="0" w:color="auto"/>
                <w:left w:val="none" w:sz="0" w:space="0" w:color="auto"/>
                <w:bottom w:val="none" w:sz="0" w:space="0" w:color="auto"/>
                <w:right w:val="none" w:sz="0" w:space="0" w:color="auto"/>
              </w:divBdr>
            </w:div>
          </w:divsChild>
        </w:div>
        <w:div w:id="1117455934">
          <w:marLeft w:val="0"/>
          <w:marRight w:val="0"/>
          <w:marTop w:val="0"/>
          <w:marBottom w:val="0"/>
          <w:divBdr>
            <w:top w:val="none" w:sz="0" w:space="0" w:color="auto"/>
            <w:left w:val="none" w:sz="0" w:space="0" w:color="auto"/>
            <w:bottom w:val="none" w:sz="0" w:space="0" w:color="auto"/>
            <w:right w:val="none" w:sz="0" w:space="0" w:color="auto"/>
          </w:divBdr>
          <w:divsChild>
            <w:div w:id="1895853542">
              <w:marLeft w:val="0"/>
              <w:marRight w:val="0"/>
              <w:marTop w:val="0"/>
              <w:marBottom w:val="0"/>
              <w:divBdr>
                <w:top w:val="none" w:sz="0" w:space="0" w:color="auto"/>
                <w:left w:val="none" w:sz="0" w:space="0" w:color="auto"/>
                <w:bottom w:val="none" w:sz="0" w:space="0" w:color="auto"/>
                <w:right w:val="none" w:sz="0" w:space="0" w:color="auto"/>
              </w:divBdr>
            </w:div>
          </w:divsChild>
        </w:div>
        <w:div w:id="1233269136">
          <w:marLeft w:val="0"/>
          <w:marRight w:val="0"/>
          <w:marTop w:val="0"/>
          <w:marBottom w:val="0"/>
          <w:divBdr>
            <w:top w:val="none" w:sz="0" w:space="0" w:color="auto"/>
            <w:left w:val="none" w:sz="0" w:space="0" w:color="auto"/>
            <w:bottom w:val="none" w:sz="0" w:space="0" w:color="auto"/>
            <w:right w:val="none" w:sz="0" w:space="0" w:color="auto"/>
          </w:divBdr>
          <w:divsChild>
            <w:div w:id="1027750664">
              <w:marLeft w:val="0"/>
              <w:marRight w:val="0"/>
              <w:marTop w:val="0"/>
              <w:marBottom w:val="0"/>
              <w:divBdr>
                <w:top w:val="none" w:sz="0" w:space="0" w:color="auto"/>
                <w:left w:val="none" w:sz="0" w:space="0" w:color="auto"/>
                <w:bottom w:val="none" w:sz="0" w:space="0" w:color="auto"/>
                <w:right w:val="none" w:sz="0" w:space="0" w:color="auto"/>
              </w:divBdr>
            </w:div>
          </w:divsChild>
        </w:div>
        <w:div w:id="1325553516">
          <w:marLeft w:val="0"/>
          <w:marRight w:val="0"/>
          <w:marTop w:val="0"/>
          <w:marBottom w:val="0"/>
          <w:divBdr>
            <w:top w:val="none" w:sz="0" w:space="0" w:color="auto"/>
            <w:left w:val="none" w:sz="0" w:space="0" w:color="auto"/>
            <w:bottom w:val="none" w:sz="0" w:space="0" w:color="auto"/>
            <w:right w:val="none" w:sz="0" w:space="0" w:color="auto"/>
          </w:divBdr>
          <w:divsChild>
            <w:div w:id="317805112">
              <w:marLeft w:val="0"/>
              <w:marRight w:val="0"/>
              <w:marTop w:val="0"/>
              <w:marBottom w:val="0"/>
              <w:divBdr>
                <w:top w:val="none" w:sz="0" w:space="0" w:color="auto"/>
                <w:left w:val="none" w:sz="0" w:space="0" w:color="auto"/>
                <w:bottom w:val="none" w:sz="0" w:space="0" w:color="auto"/>
                <w:right w:val="none" w:sz="0" w:space="0" w:color="auto"/>
              </w:divBdr>
            </w:div>
          </w:divsChild>
        </w:div>
        <w:div w:id="1526140131">
          <w:marLeft w:val="0"/>
          <w:marRight w:val="0"/>
          <w:marTop w:val="0"/>
          <w:marBottom w:val="0"/>
          <w:divBdr>
            <w:top w:val="none" w:sz="0" w:space="0" w:color="auto"/>
            <w:left w:val="none" w:sz="0" w:space="0" w:color="auto"/>
            <w:bottom w:val="none" w:sz="0" w:space="0" w:color="auto"/>
            <w:right w:val="none" w:sz="0" w:space="0" w:color="auto"/>
          </w:divBdr>
          <w:divsChild>
            <w:div w:id="11230307">
              <w:marLeft w:val="0"/>
              <w:marRight w:val="0"/>
              <w:marTop w:val="0"/>
              <w:marBottom w:val="0"/>
              <w:divBdr>
                <w:top w:val="none" w:sz="0" w:space="0" w:color="auto"/>
                <w:left w:val="none" w:sz="0" w:space="0" w:color="auto"/>
                <w:bottom w:val="none" w:sz="0" w:space="0" w:color="auto"/>
                <w:right w:val="none" w:sz="0" w:space="0" w:color="auto"/>
              </w:divBdr>
            </w:div>
          </w:divsChild>
        </w:div>
        <w:div w:id="1771972192">
          <w:marLeft w:val="0"/>
          <w:marRight w:val="0"/>
          <w:marTop w:val="0"/>
          <w:marBottom w:val="0"/>
          <w:divBdr>
            <w:top w:val="none" w:sz="0" w:space="0" w:color="auto"/>
            <w:left w:val="none" w:sz="0" w:space="0" w:color="auto"/>
            <w:bottom w:val="none" w:sz="0" w:space="0" w:color="auto"/>
            <w:right w:val="none" w:sz="0" w:space="0" w:color="auto"/>
          </w:divBdr>
          <w:divsChild>
            <w:div w:id="1473210918">
              <w:marLeft w:val="0"/>
              <w:marRight w:val="0"/>
              <w:marTop w:val="0"/>
              <w:marBottom w:val="0"/>
              <w:divBdr>
                <w:top w:val="none" w:sz="0" w:space="0" w:color="auto"/>
                <w:left w:val="none" w:sz="0" w:space="0" w:color="auto"/>
                <w:bottom w:val="none" w:sz="0" w:space="0" w:color="auto"/>
                <w:right w:val="none" w:sz="0" w:space="0" w:color="auto"/>
              </w:divBdr>
            </w:div>
          </w:divsChild>
        </w:div>
        <w:div w:id="1880360068">
          <w:marLeft w:val="0"/>
          <w:marRight w:val="0"/>
          <w:marTop w:val="0"/>
          <w:marBottom w:val="0"/>
          <w:divBdr>
            <w:top w:val="none" w:sz="0" w:space="0" w:color="auto"/>
            <w:left w:val="none" w:sz="0" w:space="0" w:color="auto"/>
            <w:bottom w:val="none" w:sz="0" w:space="0" w:color="auto"/>
            <w:right w:val="none" w:sz="0" w:space="0" w:color="auto"/>
          </w:divBdr>
          <w:divsChild>
            <w:div w:id="582377530">
              <w:marLeft w:val="0"/>
              <w:marRight w:val="0"/>
              <w:marTop w:val="0"/>
              <w:marBottom w:val="0"/>
              <w:divBdr>
                <w:top w:val="none" w:sz="0" w:space="0" w:color="auto"/>
                <w:left w:val="none" w:sz="0" w:space="0" w:color="auto"/>
                <w:bottom w:val="none" w:sz="0" w:space="0" w:color="auto"/>
                <w:right w:val="none" w:sz="0" w:space="0" w:color="auto"/>
              </w:divBdr>
            </w:div>
            <w:div w:id="593444374">
              <w:marLeft w:val="0"/>
              <w:marRight w:val="0"/>
              <w:marTop w:val="0"/>
              <w:marBottom w:val="0"/>
              <w:divBdr>
                <w:top w:val="none" w:sz="0" w:space="0" w:color="auto"/>
                <w:left w:val="none" w:sz="0" w:space="0" w:color="auto"/>
                <w:bottom w:val="none" w:sz="0" w:space="0" w:color="auto"/>
                <w:right w:val="none" w:sz="0" w:space="0" w:color="auto"/>
              </w:divBdr>
            </w:div>
          </w:divsChild>
        </w:div>
        <w:div w:id="1888685448">
          <w:marLeft w:val="0"/>
          <w:marRight w:val="0"/>
          <w:marTop w:val="0"/>
          <w:marBottom w:val="0"/>
          <w:divBdr>
            <w:top w:val="none" w:sz="0" w:space="0" w:color="auto"/>
            <w:left w:val="none" w:sz="0" w:space="0" w:color="auto"/>
            <w:bottom w:val="none" w:sz="0" w:space="0" w:color="auto"/>
            <w:right w:val="none" w:sz="0" w:space="0" w:color="auto"/>
          </w:divBdr>
          <w:divsChild>
            <w:div w:id="277415816">
              <w:marLeft w:val="0"/>
              <w:marRight w:val="0"/>
              <w:marTop w:val="0"/>
              <w:marBottom w:val="0"/>
              <w:divBdr>
                <w:top w:val="none" w:sz="0" w:space="0" w:color="auto"/>
                <w:left w:val="none" w:sz="0" w:space="0" w:color="auto"/>
                <w:bottom w:val="none" w:sz="0" w:space="0" w:color="auto"/>
                <w:right w:val="none" w:sz="0" w:space="0" w:color="auto"/>
              </w:divBdr>
            </w:div>
          </w:divsChild>
        </w:div>
        <w:div w:id="2041469598">
          <w:marLeft w:val="0"/>
          <w:marRight w:val="0"/>
          <w:marTop w:val="0"/>
          <w:marBottom w:val="0"/>
          <w:divBdr>
            <w:top w:val="none" w:sz="0" w:space="0" w:color="auto"/>
            <w:left w:val="none" w:sz="0" w:space="0" w:color="auto"/>
            <w:bottom w:val="none" w:sz="0" w:space="0" w:color="auto"/>
            <w:right w:val="none" w:sz="0" w:space="0" w:color="auto"/>
          </w:divBdr>
          <w:divsChild>
            <w:div w:id="17019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0970">
      <w:bodyDiv w:val="1"/>
      <w:marLeft w:val="0"/>
      <w:marRight w:val="0"/>
      <w:marTop w:val="0"/>
      <w:marBottom w:val="0"/>
      <w:divBdr>
        <w:top w:val="none" w:sz="0" w:space="0" w:color="auto"/>
        <w:left w:val="none" w:sz="0" w:space="0" w:color="auto"/>
        <w:bottom w:val="none" w:sz="0" w:space="0" w:color="auto"/>
        <w:right w:val="none" w:sz="0" w:space="0" w:color="auto"/>
      </w:divBdr>
      <w:divsChild>
        <w:div w:id="213084633">
          <w:marLeft w:val="0"/>
          <w:marRight w:val="0"/>
          <w:marTop w:val="0"/>
          <w:marBottom w:val="0"/>
          <w:divBdr>
            <w:top w:val="none" w:sz="0" w:space="0" w:color="auto"/>
            <w:left w:val="none" w:sz="0" w:space="0" w:color="auto"/>
            <w:bottom w:val="none" w:sz="0" w:space="0" w:color="auto"/>
            <w:right w:val="none" w:sz="0" w:space="0" w:color="auto"/>
          </w:divBdr>
        </w:div>
        <w:div w:id="577708975">
          <w:marLeft w:val="0"/>
          <w:marRight w:val="0"/>
          <w:marTop w:val="0"/>
          <w:marBottom w:val="0"/>
          <w:divBdr>
            <w:top w:val="none" w:sz="0" w:space="0" w:color="auto"/>
            <w:left w:val="none" w:sz="0" w:space="0" w:color="auto"/>
            <w:bottom w:val="none" w:sz="0" w:space="0" w:color="auto"/>
            <w:right w:val="none" w:sz="0" w:space="0" w:color="auto"/>
          </w:divBdr>
        </w:div>
        <w:div w:id="623078656">
          <w:marLeft w:val="0"/>
          <w:marRight w:val="0"/>
          <w:marTop w:val="0"/>
          <w:marBottom w:val="0"/>
          <w:divBdr>
            <w:top w:val="none" w:sz="0" w:space="0" w:color="auto"/>
            <w:left w:val="none" w:sz="0" w:space="0" w:color="auto"/>
            <w:bottom w:val="none" w:sz="0" w:space="0" w:color="auto"/>
            <w:right w:val="none" w:sz="0" w:space="0" w:color="auto"/>
          </w:divBdr>
        </w:div>
        <w:div w:id="712848996">
          <w:marLeft w:val="0"/>
          <w:marRight w:val="0"/>
          <w:marTop w:val="0"/>
          <w:marBottom w:val="0"/>
          <w:divBdr>
            <w:top w:val="none" w:sz="0" w:space="0" w:color="auto"/>
            <w:left w:val="none" w:sz="0" w:space="0" w:color="auto"/>
            <w:bottom w:val="none" w:sz="0" w:space="0" w:color="auto"/>
            <w:right w:val="none" w:sz="0" w:space="0" w:color="auto"/>
          </w:divBdr>
        </w:div>
        <w:div w:id="845287171">
          <w:marLeft w:val="0"/>
          <w:marRight w:val="0"/>
          <w:marTop w:val="0"/>
          <w:marBottom w:val="0"/>
          <w:divBdr>
            <w:top w:val="none" w:sz="0" w:space="0" w:color="auto"/>
            <w:left w:val="none" w:sz="0" w:space="0" w:color="auto"/>
            <w:bottom w:val="none" w:sz="0" w:space="0" w:color="auto"/>
            <w:right w:val="none" w:sz="0" w:space="0" w:color="auto"/>
          </w:divBdr>
        </w:div>
        <w:div w:id="880437200">
          <w:marLeft w:val="0"/>
          <w:marRight w:val="0"/>
          <w:marTop w:val="0"/>
          <w:marBottom w:val="0"/>
          <w:divBdr>
            <w:top w:val="none" w:sz="0" w:space="0" w:color="auto"/>
            <w:left w:val="none" w:sz="0" w:space="0" w:color="auto"/>
            <w:bottom w:val="none" w:sz="0" w:space="0" w:color="auto"/>
            <w:right w:val="none" w:sz="0" w:space="0" w:color="auto"/>
          </w:divBdr>
        </w:div>
        <w:div w:id="1499803966">
          <w:marLeft w:val="0"/>
          <w:marRight w:val="0"/>
          <w:marTop w:val="0"/>
          <w:marBottom w:val="0"/>
          <w:divBdr>
            <w:top w:val="none" w:sz="0" w:space="0" w:color="auto"/>
            <w:left w:val="none" w:sz="0" w:space="0" w:color="auto"/>
            <w:bottom w:val="none" w:sz="0" w:space="0" w:color="auto"/>
            <w:right w:val="none" w:sz="0" w:space="0" w:color="auto"/>
          </w:divBdr>
        </w:div>
        <w:div w:id="1864635049">
          <w:marLeft w:val="0"/>
          <w:marRight w:val="0"/>
          <w:marTop w:val="0"/>
          <w:marBottom w:val="0"/>
          <w:divBdr>
            <w:top w:val="none" w:sz="0" w:space="0" w:color="auto"/>
            <w:left w:val="none" w:sz="0" w:space="0" w:color="auto"/>
            <w:bottom w:val="none" w:sz="0" w:space="0" w:color="auto"/>
            <w:right w:val="none" w:sz="0" w:space="0" w:color="auto"/>
          </w:divBdr>
        </w:div>
      </w:divsChild>
    </w:div>
    <w:div w:id="2053069135">
      <w:bodyDiv w:val="1"/>
      <w:marLeft w:val="0"/>
      <w:marRight w:val="0"/>
      <w:marTop w:val="0"/>
      <w:marBottom w:val="0"/>
      <w:divBdr>
        <w:top w:val="none" w:sz="0" w:space="0" w:color="auto"/>
        <w:left w:val="none" w:sz="0" w:space="0" w:color="auto"/>
        <w:bottom w:val="none" w:sz="0" w:space="0" w:color="auto"/>
        <w:right w:val="none" w:sz="0" w:space="0" w:color="auto"/>
      </w:divBdr>
      <w:divsChild>
        <w:div w:id="362631330">
          <w:marLeft w:val="0"/>
          <w:marRight w:val="0"/>
          <w:marTop w:val="0"/>
          <w:marBottom w:val="0"/>
          <w:divBdr>
            <w:top w:val="none" w:sz="0" w:space="0" w:color="auto"/>
            <w:left w:val="none" w:sz="0" w:space="0" w:color="auto"/>
            <w:bottom w:val="none" w:sz="0" w:space="0" w:color="auto"/>
            <w:right w:val="none" w:sz="0" w:space="0" w:color="auto"/>
          </w:divBdr>
        </w:div>
        <w:div w:id="877469228">
          <w:marLeft w:val="0"/>
          <w:marRight w:val="0"/>
          <w:marTop w:val="0"/>
          <w:marBottom w:val="0"/>
          <w:divBdr>
            <w:top w:val="none" w:sz="0" w:space="0" w:color="auto"/>
            <w:left w:val="none" w:sz="0" w:space="0" w:color="auto"/>
            <w:bottom w:val="none" w:sz="0" w:space="0" w:color="auto"/>
            <w:right w:val="none" w:sz="0" w:space="0" w:color="auto"/>
          </w:divBdr>
        </w:div>
        <w:div w:id="963846233">
          <w:marLeft w:val="0"/>
          <w:marRight w:val="0"/>
          <w:marTop w:val="0"/>
          <w:marBottom w:val="0"/>
          <w:divBdr>
            <w:top w:val="none" w:sz="0" w:space="0" w:color="auto"/>
            <w:left w:val="none" w:sz="0" w:space="0" w:color="auto"/>
            <w:bottom w:val="none" w:sz="0" w:space="0" w:color="auto"/>
            <w:right w:val="none" w:sz="0" w:space="0" w:color="auto"/>
          </w:divBdr>
        </w:div>
        <w:div w:id="1068186596">
          <w:marLeft w:val="0"/>
          <w:marRight w:val="0"/>
          <w:marTop w:val="0"/>
          <w:marBottom w:val="0"/>
          <w:divBdr>
            <w:top w:val="none" w:sz="0" w:space="0" w:color="auto"/>
            <w:left w:val="none" w:sz="0" w:space="0" w:color="auto"/>
            <w:bottom w:val="none" w:sz="0" w:space="0" w:color="auto"/>
            <w:right w:val="none" w:sz="0" w:space="0" w:color="auto"/>
          </w:divBdr>
        </w:div>
        <w:div w:id="1616407372">
          <w:marLeft w:val="0"/>
          <w:marRight w:val="0"/>
          <w:marTop w:val="0"/>
          <w:marBottom w:val="0"/>
          <w:divBdr>
            <w:top w:val="none" w:sz="0" w:space="0" w:color="auto"/>
            <w:left w:val="none" w:sz="0" w:space="0" w:color="auto"/>
            <w:bottom w:val="none" w:sz="0" w:space="0" w:color="auto"/>
            <w:right w:val="none" w:sz="0" w:space="0" w:color="auto"/>
          </w:divBdr>
        </w:div>
        <w:div w:id="1912426034">
          <w:marLeft w:val="0"/>
          <w:marRight w:val="0"/>
          <w:marTop w:val="0"/>
          <w:marBottom w:val="0"/>
          <w:divBdr>
            <w:top w:val="none" w:sz="0" w:space="0" w:color="auto"/>
            <w:left w:val="none" w:sz="0" w:space="0" w:color="auto"/>
            <w:bottom w:val="none" w:sz="0" w:space="0" w:color="auto"/>
            <w:right w:val="none" w:sz="0" w:space="0" w:color="auto"/>
          </w:divBdr>
        </w:div>
        <w:div w:id="1913154873">
          <w:marLeft w:val="0"/>
          <w:marRight w:val="0"/>
          <w:marTop w:val="0"/>
          <w:marBottom w:val="0"/>
          <w:divBdr>
            <w:top w:val="none" w:sz="0" w:space="0" w:color="auto"/>
            <w:left w:val="none" w:sz="0" w:space="0" w:color="auto"/>
            <w:bottom w:val="none" w:sz="0" w:space="0" w:color="auto"/>
            <w:right w:val="none" w:sz="0" w:space="0" w:color="auto"/>
          </w:divBdr>
        </w:div>
        <w:div w:id="2055884511">
          <w:marLeft w:val="0"/>
          <w:marRight w:val="0"/>
          <w:marTop w:val="0"/>
          <w:marBottom w:val="0"/>
          <w:divBdr>
            <w:top w:val="none" w:sz="0" w:space="0" w:color="auto"/>
            <w:left w:val="none" w:sz="0" w:space="0" w:color="auto"/>
            <w:bottom w:val="none" w:sz="0" w:space="0" w:color="auto"/>
            <w:right w:val="none" w:sz="0" w:space="0" w:color="auto"/>
          </w:divBdr>
        </w:div>
      </w:divsChild>
    </w:div>
    <w:div w:id="2087995786">
      <w:bodyDiv w:val="1"/>
      <w:marLeft w:val="0"/>
      <w:marRight w:val="0"/>
      <w:marTop w:val="0"/>
      <w:marBottom w:val="0"/>
      <w:divBdr>
        <w:top w:val="none" w:sz="0" w:space="0" w:color="auto"/>
        <w:left w:val="none" w:sz="0" w:space="0" w:color="auto"/>
        <w:bottom w:val="none" w:sz="0" w:space="0" w:color="auto"/>
        <w:right w:val="none" w:sz="0" w:space="0" w:color="auto"/>
      </w:divBdr>
      <w:divsChild>
        <w:div w:id="215895321">
          <w:marLeft w:val="0"/>
          <w:marRight w:val="0"/>
          <w:marTop w:val="0"/>
          <w:marBottom w:val="0"/>
          <w:divBdr>
            <w:top w:val="none" w:sz="0" w:space="0" w:color="auto"/>
            <w:left w:val="none" w:sz="0" w:space="0" w:color="auto"/>
            <w:bottom w:val="none" w:sz="0" w:space="0" w:color="auto"/>
            <w:right w:val="none" w:sz="0" w:space="0" w:color="auto"/>
          </w:divBdr>
        </w:div>
        <w:div w:id="1197422592">
          <w:marLeft w:val="0"/>
          <w:marRight w:val="0"/>
          <w:marTop w:val="0"/>
          <w:marBottom w:val="0"/>
          <w:divBdr>
            <w:top w:val="none" w:sz="0" w:space="0" w:color="auto"/>
            <w:left w:val="none" w:sz="0" w:space="0" w:color="auto"/>
            <w:bottom w:val="none" w:sz="0" w:space="0" w:color="auto"/>
            <w:right w:val="none" w:sz="0" w:space="0" w:color="auto"/>
          </w:divBdr>
        </w:div>
      </w:divsChild>
    </w:div>
    <w:div w:id="2130776732">
      <w:bodyDiv w:val="1"/>
      <w:marLeft w:val="0"/>
      <w:marRight w:val="0"/>
      <w:marTop w:val="0"/>
      <w:marBottom w:val="0"/>
      <w:divBdr>
        <w:top w:val="none" w:sz="0" w:space="0" w:color="auto"/>
        <w:left w:val="none" w:sz="0" w:space="0" w:color="auto"/>
        <w:bottom w:val="none" w:sz="0" w:space="0" w:color="auto"/>
        <w:right w:val="none" w:sz="0" w:space="0" w:color="auto"/>
      </w:divBdr>
      <w:divsChild>
        <w:div w:id="530802451">
          <w:marLeft w:val="0"/>
          <w:marRight w:val="0"/>
          <w:marTop w:val="0"/>
          <w:marBottom w:val="0"/>
          <w:divBdr>
            <w:top w:val="none" w:sz="0" w:space="0" w:color="auto"/>
            <w:left w:val="none" w:sz="0" w:space="0" w:color="auto"/>
            <w:bottom w:val="none" w:sz="0" w:space="0" w:color="auto"/>
            <w:right w:val="none" w:sz="0" w:space="0" w:color="auto"/>
          </w:divBdr>
        </w:div>
        <w:div w:id="1392801476">
          <w:marLeft w:val="0"/>
          <w:marRight w:val="0"/>
          <w:marTop w:val="0"/>
          <w:marBottom w:val="0"/>
          <w:divBdr>
            <w:top w:val="none" w:sz="0" w:space="0" w:color="auto"/>
            <w:left w:val="none" w:sz="0" w:space="0" w:color="auto"/>
            <w:bottom w:val="none" w:sz="0" w:space="0" w:color="auto"/>
            <w:right w:val="none" w:sz="0" w:space="0" w:color="auto"/>
          </w:divBdr>
          <w:divsChild>
            <w:div w:id="676344771">
              <w:marLeft w:val="-75"/>
              <w:marRight w:val="0"/>
              <w:marTop w:val="30"/>
              <w:marBottom w:val="30"/>
              <w:divBdr>
                <w:top w:val="none" w:sz="0" w:space="0" w:color="auto"/>
                <w:left w:val="none" w:sz="0" w:space="0" w:color="auto"/>
                <w:bottom w:val="none" w:sz="0" w:space="0" w:color="auto"/>
                <w:right w:val="none" w:sz="0" w:space="0" w:color="auto"/>
              </w:divBdr>
              <w:divsChild>
                <w:div w:id="385179303">
                  <w:marLeft w:val="0"/>
                  <w:marRight w:val="0"/>
                  <w:marTop w:val="0"/>
                  <w:marBottom w:val="0"/>
                  <w:divBdr>
                    <w:top w:val="none" w:sz="0" w:space="0" w:color="auto"/>
                    <w:left w:val="none" w:sz="0" w:space="0" w:color="auto"/>
                    <w:bottom w:val="none" w:sz="0" w:space="0" w:color="auto"/>
                    <w:right w:val="none" w:sz="0" w:space="0" w:color="auto"/>
                  </w:divBdr>
                  <w:divsChild>
                    <w:div w:id="536896589">
                      <w:marLeft w:val="0"/>
                      <w:marRight w:val="0"/>
                      <w:marTop w:val="0"/>
                      <w:marBottom w:val="0"/>
                      <w:divBdr>
                        <w:top w:val="none" w:sz="0" w:space="0" w:color="auto"/>
                        <w:left w:val="none" w:sz="0" w:space="0" w:color="auto"/>
                        <w:bottom w:val="none" w:sz="0" w:space="0" w:color="auto"/>
                        <w:right w:val="none" w:sz="0" w:space="0" w:color="auto"/>
                      </w:divBdr>
                    </w:div>
                  </w:divsChild>
                </w:div>
                <w:div w:id="391077812">
                  <w:marLeft w:val="0"/>
                  <w:marRight w:val="0"/>
                  <w:marTop w:val="0"/>
                  <w:marBottom w:val="0"/>
                  <w:divBdr>
                    <w:top w:val="none" w:sz="0" w:space="0" w:color="auto"/>
                    <w:left w:val="none" w:sz="0" w:space="0" w:color="auto"/>
                    <w:bottom w:val="none" w:sz="0" w:space="0" w:color="auto"/>
                    <w:right w:val="none" w:sz="0" w:space="0" w:color="auto"/>
                  </w:divBdr>
                  <w:divsChild>
                    <w:div w:id="8871076">
                      <w:marLeft w:val="0"/>
                      <w:marRight w:val="0"/>
                      <w:marTop w:val="0"/>
                      <w:marBottom w:val="0"/>
                      <w:divBdr>
                        <w:top w:val="none" w:sz="0" w:space="0" w:color="auto"/>
                        <w:left w:val="none" w:sz="0" w:space="0" w:color="auto"/>
                        <w:bottom w:val="none" w:sz="0" w:space="0" w:color="auto"/>
                        <w:right w:val="none" w:sz="0" w:space="0" w:color="auto"/>
                      </w:divBdr>
                    </w:div>
                  </w:divsChild>
                </w:div>
                <w:div w:id="481430173">
                  <w:marLeft w:val="0"/>
                  <w:marRight w:val="0"/>
                  <w:marTop w:val="0"/>
                  <w:marBottom w:val="0"/>
                  <w:divBdr>
                    <w:top w:val="none" w:sz="0" w:space="0" w:color="auto"/>
                    <w:left w:val="none" w:sz="0" w:space="0" w:color="auto"/>
                    <w:bottom w:val="none" w:sz="0" w:space="0" w:color="auto"/>
                    <w:right w:val="none" w:sz="0" w:space="0" w:color="auto"/>
                  </w:divBdr>
                  <w:divsChild>
                    <w:div w:id="1869902370">
                      <w:marLeft w:val="0"/>
                      <w:marRight w:val="0"/>
                      <w:marTop w:val="0"/>
                      <w:marBottom w:val="0"/>
                      <w:divBdr>
                        <w:top w:val="none" w:sz="0" w:space="0" w:color="auto"/>
                        <w:left w:val="none" w:sz="0" w:space="0" w:color="auto"/>
                        <w:bottom w:val="none" w:sz="0" w:space="0" w:color="auto"/>
                        <w:right w:val="none" w:sz="0" w:space="0" w:color="auto"/>
                      </w:divBdr>
                    </w:div>
                  </w:divsChild>
                </w:div>
                <w:div w:id="590742976">
                  <w:marLeft w:val="0"/>
                  <w:marRight w:val="0"/>
                  <w:marTop w:val="0"/>
                  <w:marBottom w:val="0"/>
                  <w:divBdr>
                    <w:top w:val="none" w:sz="0" w:space="0" w:color="auto"/>
                    <w:left w:val="none" w:sz="0" w:space="0" w:color="auto"/>
                    <w:bottom w:val="none" w:sz="0" w:space="0" w:color="auto"/>
                    <w:right w:val="none" w:sz="0" w:space="0" w:color="auto"/>
                  </w:divBdr>
                  <w:divsChild>
                    <w:div w:id="1654873619">
                      <w:marLeft w:val="0"/>
                      <w:marRight w:val="0"/>
                      <w:marTop w:val="0"/>
                      <w:marBottom w:val="0"/>
                      <w:divBdr>
                        <w:top w:val="none" w:sz="0" w:space="0" w:color="auto"/>
                        <w:left w:val="none" w:sz="0" w:space="0" w:color="auto"/>
                        <w:bottom w:val="none" w:sz="0" w:space="0" w:color="auto"/>
                        <w:right w:val="none" w:sz="0" w:space="0" w:color="auto"/>
                      </w:divBdr>
                    </w:div>
                  </w:divsChild>
                </w:div>
                <w:div w:id="652561320">
                  <w:marLeft w:val="0"/>
                  <w:marRight w:val="0"/>
                  <w:marTop w:val="0"/>
                  <w:marBottom w:val="0"/>
                  <w:divBdr>
                    <w:top w:val="none" w:sz="0" w:space="0" w:color="auto"/>
                    <w:left w:val="none" w:sz="0" w:space="0" w:color="auto"/>
                    <w:bottom w:val="none" w:sz="0" w:space="0" w:color="auto"/>
                    <w:right w:val="none" w:sz="0" w:space="0" w:color="auto"/>
                  </w:divBdr>
                  <w:divsChild>
                    <w:div w:id="552617569">
                      <w:marLeft w:val="0"/>
                      <w:marRight w:val="0"/>
                      <w:marTop w:val="0"/>
                      <w:marBottom w:val="0"/>
                      <w:divBdr>
                        <w:top w:val="none" w:sz="0" w:space="0" w:color="auto"/>
                        <w:left w:val="none" w:sz="0" w:space="0" w:color="auto"/>
                        <w:bottom w:val="none" w:sz="0" w:space="0" w:color="auto"/>
                        <w:right w:val="none" w:sz="0" w:space="0" w:color="auto"/>
                      </w:divBdr>
                    </w:div>
                  </w:divsChild>
                </w:div>
                <w:div w:id="1052660340">
                  <w:marLeft w:val="0"/>
                  <w:marRight w:val="0"/>
                  <w:marTop w:val="0"/>
                  <w:marBottom w:val="0"/>
                  <w:divBdr>
                    <w:top w:val="none" w:sz="0" w:space="0" w:color="auto"/>
                    <w:left w:val="none" w:sz="0" w:space="0" w:color="auto"/>
                    <w:bottom w:val="none" w:sz="0" w:space="0" w:color="auto"/>
                    <w:right w:val="none" w:sz="0" w:space="0" w:color="auto"/>
                  </w:divBdr>
                  <w:divsChild>
                    <w:div w:id="1134567404">
                      <w:marLeft w:val="0"/>
                      <w:marRight w:val="0"/>
                      <w:marTop w:val="0"/>
                      <w:marBottom w:val="0"/>
                      <w:divBdr>
                        <w:top w:val="none" w:sz="0" w:space="0" w:color="auto"/>
                        <w:left w:val="none" w:sz="0" w:space="0" w:color="auto"/>
                        <w:bottom w:val="none" w:sz="0" w:space="0" w:color="auto"/>
                        <w:right w:val="none" w:sz="0" w:space="0" w:color="auto"/>
                      </w:divBdr>
                    </w:div>
                  </w:divsChild>
                </w:div>
                <w:div w:id="1065373068">
                  <w:marLeft w:val="0"/>
                  <w:marRight w:val="0"/>
                  <w:marTop w:val="0"/>
                  <w:marBottom w:val="0"/>
                  <w:divBdr>
                    <w:top w:val="none" w:sz="0" w:space="0" w:color="auto"/>
                    <w:left w:val="none" w:sz="0" w:space="0" w:color="auto"/>
                    <w:bottom w:val="none" w:sz="0" w:space="0" w:color="auto"/>
                    <w:right w:val="none" w:sz="0" w:space="0" w:color="auto"/>
                  </w:divBdr>
                  <w:divsChild>
                    <w:div w:id="1463188857">
                      <w:marLeft w:val="0"/>
                      <w:marRight w:val="0"/>
                      <w:marTop w:val="0"/>
                      <w:marBottom w:val="0"/>
                      <w:divBdr>
                        <w:top w:val="none" w:sz="0" w:space="0" w:color="auto"/>
                        <w:left w:val="none" w:sz="0" w:space="0" w:color="auto"/>
                        <w:bottom w:val="none" w:sz="0" w:space="0" w:color="auto"/>
                        <w:right w:val="none" w:sz="0" w:space="0" w:color="auto"/>
                      </w:divBdr>
                    </w:div>
                  </w:divsChild>
                </w:div>
                <w:div w:id="1218396280">
                  <w:marLeft w:val="0"/>
                  <w:marRight w:val="0"/>
                  <w:marTop w:val="0"/>
                  <w:marBottom w:val="0"/>
                  <w:divBdr>
                    <w:top w:val="none" w:sz="0" w:space="0" w:color="auto"/>
                    <w:left w:val="none" w:sz="0" w:space="0" w:color="auto"/>
                    <w:bottom w:val="none" w:sz="0" w:space="0" w:color="auto"/>
                    <w:right w:val="none" w:sz="0" w:space="0" w:color="auto"/>
                  </w:divBdr>
                  <w:divsChild>
                    <w:div w:id="1434351583">
                      <w:marLeft w:val="0"/>
                      <w:marRight w:val="0"/>
                      <w:marTop w:val="0"/>
                      <w:marBottom w:val="0"/>
                      <w:divBdr>
                        <w:top w:val="none" w:sz="0" w:space="0" w:color="auto"/>
                        <w:left w:val="none" w:sz="0" w:space="0" w:color="auto"/>
                        <w:bottom w:val="none" w:sz="0" w:space="0" w:color="auto"/>
                        <w:right w:val="none" w:sz="0" w:space="0" w:color="auto"/>
                      </w:divBdr>
                    </w:div>
                  </w:divsChild>
                </w:div>
                <w:div w:id="1314136597">
                  <w:marLeft w:val="0"/>
                  <w:marRight w:val="0"/>
                  <w:marTop w:val="0"/>
                  <w:marBottom w:val="0"/>
                  <w:divBdr>
                    <w:top w:val="none" w:sz="0" w:space="0" w:color="auto"/>
                    <w:left w:val="none" w:sz="0" w:space="0" w:color="auto"/>
                    <w:bottom w:val="none" w:sz="0" w:space="0" w:color="auto"/>
                    <w:right w:val="none" w:sz="0" w:space="0" w:color="auto"/>
                  </w:divBdr>
                  <w:divsChild>
                    <w:div w:id="593248336">
                      <w:marLeft w:val="0"/>
                      <w:marRight w:val="0"/>
                      <w:marTop w:val="0"/>
                      <w:marBottom w:val="0"/>
                      <w:divBdr>
                        <w:top w:val="none" w:sz="0" w:space="0" w:color="auto"/>
                        <w:left w:val="none" w:sz="0" w:space="0" w:color="auto"/>
                        <w:bottom w:val="none" w:sz="0" w:space="0" w:color="auto"/>
                        <w:right w:val="none" w:sz="0" w:space="0" w:color="auto"/>
                      </w:divBdr>
                    </w:div>
                  </w:divsChild>
                </w:div>
                <w:div w:id="2113933661">
                  <w:marLeft w:val="0"/>
                  <w:marRight w:val="0"/>
                  <w:marTop w:val="0"/>
                  <w:marBottom w:val="0"/>
                  <w:divBdr>
                    <w:top w:val="none" w:sz="0" w:space="0" w:color="auto"/>
                    <w:left w:val="none" w:sz="0" w:space="0" w:color="auto"/>
                    <w:bottom w:val="none" w:sz="0" w:space="0" w:color="auto"/>
                    <w:right w:val="none" w:sz="0" w:space="0" w:color="auto"/>
                  </w:divBdr>
                  <w:divsChild>
                    <w:div w:id="5880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02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nationalarchives.gov.uk/doc/open-government-licence/version/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vtracker.fcdo.gov.uk/projects/GB-GOV-13-ICF-0027-TCAF/documen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ODA-Transparency@beis.gov.uk" TargetMode="Externa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si@nationalarchives.gsi.gov.uk"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cience-and-innovation-network.s3.eu-west-2.amazonaws.com/BEIS+ICF/TCAF/TCAF-Business-Case-2017050311054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171768E-B297-46BB-86CE-9078C7E8B355}">
    <t:Anchor>
      <t:Comment id="1657159973"/>
    </t:Anchor>
    <t:History>
      <t:Event id="{C7ECF462-E822-48D5-802F-1D08F44FB18A}" time="2024-07-26T06:59:42.224Z">
        <t:Attribution userId="S::Helen.Finney@energysecurity.gov.uk::44cf4251-336f-4ffe-9798-6e2965d5dc53" userProvider="AD" userName="Finney, Helen (Energy Security)"/>
        <t:Anchor>
          <t:Comment id="1657159973"/>
        </t:Anchor>
        <t:Create/>
      </t:Event>
      <t:Event id="{00684359-E6D4-4E06-B890-793BA16E1041}" time="2024-07-26T06:59:42.224Z">
        <t:Attribution userId="S::Helen.Finney@energysecurity.gov.uk::44cf4251-336f-4ffe-9798-6e2965d5dc53" userProvider="AD" userName="Finney, Helen (Energy Security)"/>
        <t:Anchor>
          <t:Comment id="1657159973"/>
        </t:Anchor>
        <t:Assign userId="S::Ravi.Raichoora@energysecurity.gov.uk::5bf2bad1-e13f-4129-a4be-aef7c48093cf" userProvider="AD" userName="Raichoora, Ravi (Energy Security)"/>
      </t:Event>
      <t:Event id="{F8CD7CA3-D5F4-4752-AE56-7AA9832612E9}" time="2024-07-26T06:59:42.224Z">
        <t:Attribution userId="S::Helen.Finney@energysecurity.gov.uk::44cf4251-336f-4ffe-9798-6e2965d5dc53" userProvider="AD" userName="Finney, Helen (Energy Security)"/>
        <t:Anchor>
          <t:Comment id="1657159973"/>
        </t:Anchor>
        <t:SetTitle title="To update please @Raichoora, Ravi (Energy Security) "/>
      </t:Event>
      <t:Event id="{EB5660F3-AA69-4967-9697-03150E78B77A}" time="2024-07-29T11:06:22.981Z">
        <t:Attribution userId="S::ravi.raichoora@energysecurity.gov.uk::5bf2bad1-e13f-4129-a4be-aef7c48093cf" userProvider="AD" userName="Raichoora, Ravi (Energy Security)"/>
        <t:Progress percentComplete="100"/>
      </t:Event>
    </t:History>
  </t:Task>
  <t:Task id="{7FB783E1-5F3F-4E17-9EB6-61F452F3028B}">
    <t:Anchor>
      <t:Comment id="2121590660"/>
    </t:Anchor>
    <t:History>
      <t:Event id="{63AA64AD-CFCA-4CA9-BDA3-5FEB0A4F9324}" time="2024-07-26T08:05:12.394Z">
        <t:Attribution userId="S::Helen.Finney@energysecurity.gov.uk::44cf4251-336f-4ffe-9798-6e2965d5dc53" userProvider="AD" userName="Finney, Helen (Energy Security)"/>
        <t:Anchor>
          <t:Comment id="2121590660"/>
        </t:Anchor>
        <t:Create/>
      </t:Event>
      <t:Event id="{2B14EE57-58B1-492F-8507-E9569D2BE72A}" time="2024-07-26T08:05:12.394Z">
        <t:Attribution userId="S::Helen.Finney@energysecurity.gov.uk::44cf4251-336f-4ffe-9798-6e2965d5dc53" userProvider="AD" userName="Finney, Helen (Energy Security)"/>
        <t:Anchor>
          <t:Comment id="2121590660"/>
        </t:Anchor>
        <t:Assign userId="S::Ravi.Raichoora@energysecurity.gov.uk::5bf2bad1-e13f-4129-a4be-aef7c48093cf" userProvider="AD" userName="Raichoora, Ravi (Energy Security)"/>
      </t:Event>
      <t:Event id="{2A455505-5935-4ABB-9CB3-C02EFECE357F}" time="2024-07-26T08:05:12.394Z">
        <t:Attribution userId="S::Helen.Finney@energysecurity.gov.uk::44cf4251-336f-4ffe-9798-6e2965d5dc53" userProvider="AD" userName="Finney, Helen (Energy Security)"/>
        <t:Anchor>
          <t:Comment id="2121590660"/>
        </t:Anchor>
        <t:SetTitle title="Please can you have a think about these @Raichoora, Ravi (Energy Security) "/>
      </t:Event>
      <t:Event id="{BB13295A-6DF6-41AF-B3F5-2E956432B5A4}" time="2024-07-31T10:59:47.412Z">
        <t:Attribution userId="S::Helen.Finney@energysecurity.gov.uk::44cf4251-336f-4ffe-9798-6e2965d5dc53" userProvider="AD" userName="Finney, Helen (Energy Security)"/>
        <t:Progress percentComplete="100"/>
      </t:Event>
    </t:History>
  </t:Task>
  <t:Task id="{0139A03E-DB5A-4332-84DE-65EBA201B52A}">
    <t:Anchor>
      <t:Comment id="1844003503"/>
    </t:Anchor>
    <t:History>
      <t:Event id="{3B2A4440-A69F-422F-93DB-877221C6035E}" time="2026-06-11T10:15:32.137Z">
        <t:Attribution userId="S::louise.cheetham@energysecurity.gov.uk::6f592c55-11d4-47de-8146-c289d24e1c96" userProvider="AD" userName="Cheetham, Louise (Energy Security)"/>
        <t:Anchor>
          <t:Comment id="1844003503"/>
        </t:Anchor>
        <t:Create/>
      </t:Event>
      <t:Event id="{9B220B37-3013-479D-BDD9-F1FB3B65ED19}" time="2026-06-11T10:15:32.137Z">
        <t:Attribution userId="S::louise.cheetham@energysecurity.gov.uk::6f592c55-11d4-47de-8146-c289d24e1c96" userProvider="AD" userName="Cheetham, Louise (Energy Security)"/>
        <t:Anchor>
          <t:Comment id="1844003503"/>
        </t:Anchor>
        <t:Assign userId="S::Helen.Finney@energysecurity.gov.uk::44cf4251-336f-4ffe-9798-6e2965d5dc53" userProvider="AD" userName="Finney, Helen (Energy Security)"/>
      </t:Event>
      <t:Event id="{1BE5FAFF-060F-41D2-AC15-B9351C757B57}" time="2026-06-11T10:15:32.137Z">
        <t:Attribution userId="S::louise.cheetham@energysecurity.gov.uk::6f592c55-11d4-47de-8146-c289d24e1c96" userProvider="AD" userName="Cheetham, Louise (Energy Security)"/>
        <t:Anchor>
          <t:Comment id="1844003503"/>
        </t:Anchor>
        <t:SetTitle title="@Finney, Helen (Energy Security) you mentioned making this objective more SMART. I've had a go, appreciate your views on this. Copying old draft below: The Trustee should maintain active engagement with a broad range of carbon market stakeholders, …"/>
      </t:Event>
    </t:History>
  </t:Task>
  <t:Task id="{1143067B-434B-43C3-864C-F94D58C9F816}">
    <t:Anchor>
      <t:Comment id="1383174309"/>
    </t:Anchor>
    <t:History>
      <t:Event id="{E3AD71B2-A4D0-4D74-996F-16317636BF65}" time="2024-07-30T12:57:40.895Z">
        <t:Attribution userId="S::Helen.Finney@energysecurity.gov.uk::44cf4251-336f-4ffe-9798-6e2965d5dc53" userProvider="AD" userName="Finney, Helen (Energy Security)"/>
        <t:Anchor>
          <t:Comment id="1383174309"/>
        </t:Anchor>
        <t:Create/>
      </t:Event>
      <t:Event id="{2D7CDCB9-4180-4735-AC00-543861EC6EAF}" time="2024-07-30T12:57:40.895Z">
        <t:Attribution userId="S::Helen.Finney@energysecurity.gov.uk::44cf4251-336f-4ffe-9798-6e2965d5dc53" userProvider="AD" userName="Finney, Helen (Energy Security)"/>
        <t:Anchor>
          <t:Comment id="1383174309"/>
        </t:Anchor>
        <t:Assign userId="S::Krissie.Gradeva@energysecurity.gov.uk::0447a06a-3435-45bc-99ef-12c44c261537" userProvider="AD" userName="Gradeva, Krissie (Energy Security)"/>
      </t:Event>
      <t:Event id="{EDDA9640-706B-4D50-8179-D45DDA97D909}" time="2024-07-30T12:57:40.895Z">
        <t:Attribution userId="S::Helen.Finney@energysecurity.gov.uk::44cf4251-336f-4ffe-9798-6e2965d5dc53" userProvider="AD" userName="Finney, Helen (Energy Security)"/>
        <t:Anchor>
          <t:Comment id="1383174309"/>
        </t:Anchor>
        <t:SetTitle title="Hi @Gradeva, Krissie (Energy Security) @Spearing, John (Energy Security) @Raichoora, Ravi (Energy Security) - I’ve added the link from our folder to the redacted version, but should this reference the full version?"/>
      </t:Event>
      <t:Event id="{5949DCFB-B945-4601-A6D0-E45A5328D7D8}" time="2024-07-31T08:52:18.744Z">
        <t:Attribution userId="S::Helen.Finney@energysecurity.gov.uk::44cf4251-336f-4ffe-9798-6e2965d5dc53" userProvider="AD" userName="Finney, Helen (Energy Security)"/>
        <t:Progress percentComplete="100"/>
      </t:Event>
    </t:History>
  </t:Task>
  <t:Task id="{78B85261-9D8C-4D36-BF32-A7FB0A06E001}">
    <t:Anchor>
      <t:Comment id="925038076"/>
    </t:Anchor>
    <t:History>
      <t:Event id="{1E83AB77-8164-4B0A-B018-67E4A23A07ED}" time="2024-07-31T14:07:14.822Z">
        <t:Attribution userId="S::Helen.Finney@energysecurity.gov.uk::44cf4251-336f-4ffe-9798-6e2965d5dc53" userProvider="AD" userName="Finney, Helen (Energy Security)"/>
        <t:Anchor>
          <t:Comment id="925038076"/>
        </t:Anchor>
        <t:Create/>
      </t:Event>
      <t:Event id="{2A7C463E-E04B-4716-BD5E-7E0CA2D9B9D3}" time="2024-07-31T14:07:14.822Z">
        <t:Attribution userId="S::Helen.Finney@energysecurity.gov.uk::44cf4251-336f-4ffe-9798-6e2965d5dc53" userProvider="AD" userName="Finney, Helen (Energy Security)"/>
        <t:Anchor>
          <t:Comment id="925038076"/>
        </t:Anchor>
        <t:Assign userId="S::Ravi.Raichoora@energysecurity.gov.uk::5bf2bad1-e13f-4129-a4be-aef7c48093cf" userProvider="AD" userName="Raichoora, Ravi (Energy Security)"/>
      </t:Event>
      <t:Event id="{0689E491-26C5-4E70-AB17-802560E9C6C6}" time="2024-07-31T14:07:14.822Z">
        <t:Attribution userId="S::Helen.Finney@energysecurity.gov.uk::44cf4251-336f-4ffe-9798-6e2965d5dc53" userProvider="AD" userName="Finney, Helen (Energy Security)"/>
        <t:Anchor>
          <t:Comment id="925038076"/>
        </t:Anchor>
        <t:SetTitle title="To address the comment below from Charlotte - please confirm this is accurate @Raichoora, Ravi (Energy Security) and resolve thus comment if this is the case. Thanks"/>
      </t:Event>
      <t:Event id="{B6B08FE5-B769-445F-864E-98A044F48E2A}" time="2024-07-31T15:13:47.48Z">
        <t:Attribution userId="S::ravi.raichoora@energysecurity.gov.uk::5bf2bad1-e13f-4129-a4be-aef7c48093cf" userProvider="AD" userName="Raichoora, Ravi (Energy Security)"/>
        <t:Progress percentComplete="100"/>
      </t:Event>
    </t:History>
  </t:Task>
  <t:Task id="{4255F234-8F11-4A98-9DF0-76417D88CFFE}">
    <t:Anchor>
      <t:Comment id="1552290985"/>
    </t:Anchor>
    <t:History>
      <t:Event id="{F34FBA07-E445-416A-86A7-D4D995545AE6}" time="2024-07-30T13:04:13.81Z">
        <t:Attribution userId="S::Helen.Finney@energysecurity.gov.uk::44cf4251-336f-4ffe-9798-6e2965d5dc53" userProvider="AD" userName="Finney, Helen (Energy Security)"/>
        <t:Anchor>
          <t:Comment id="1552290985"/>
        </t:Anchor>
        <t:Create/>
      </t:Event>
      <t:Event id="{EA7A121E-CD5C-49C0-ACD6-055F640082D9}" time="2024-07-30T13:04:13.81Z">
        <t:Attribution userId="S::Helen.Finney@energysecurity.gov.uk::44cf4251-336f-4ffe-9798-6e2965d5dc53" userProvider="AD" userName="Finney, Helen (Energy Security)"/>
        <t:Anchor>
          <t:Comment id="1552290985"/>
        </t:Anchor>
        <t:Assign userId="S::Ravi.Raichoora@energysecurity.gov.uk::5bf2bad1-e13f-4129-a4be-aef7c48093cf" userProvider="AD" userName="Raichoora, Ravi (Energy Security)"/>
      </t:Event>
      <t:Event id="{EEBA551A-6D4E-4967-BCE5-ACBAF58EA9C0}" time="2024-07-30T13:04:13.81Z">
        <t:Attribution userId="S::Helen.Finney@energysecurity.gov.uk::44cf4251-336f-4ffe-9798-6e2965d5dc53" userProvider="AD" userName="Finney, Helen (Energy Security)"/>
        <t:Anchor>
          <t:Comment id="1552290985"/>
        </t:Anchor>
        <t:SetTitle title="Needs reformatting as calibri not arial @Raichoora, Ravi (Energy Security) "/>
      </t:Event>
      <t:Event id="{9AA6AD9D-1144-4F02-B92C-26B822B3A097}" time="2024-07-30T13:43:30.54Z">
        <t:Attribution userId="S::ravi.raichoora@energysecurity.gov.uk::5bf2bad1-e13f-4129-a4be-aef7c48093cf" userProvider="AD" userName="Raichoora, Ravi (Energy Security)"/>
        <t:Progress percentComplete="100"/>
      </t:Event>
    </t:History>
  </t:Task>
  <t:Task id="{111190E6-A001-45A5-B096-A147B25EF4B8}">
    <t:Anchor>
      <t:Comment id="1611590700"/>
    </t:Anchor>
    <t:History>
      <t:Event id="{A56D93E2-A849-483B-81D8-E329D3EE89B4}" time="2026-06-11T09:30:15.036Z">
        <t:Attribution userId="S::louise.cheetham@energysecurity.gov.uk::6f592c55-11d4-47de-8146-c289d24e1c96" userProvider="AD" userName="Cheetham, Louise (Energy Security)"/>
        <t:Anchor>
          <t:Comment id="1611590700"/>
        </t:Anchor>
        <t:Create/>
      </t:Event>
      <t:Event id="{93D293D8-87EC-4C5A-84CD-560A037E699F}" time="2026-06-11T09:30:15.036Z">
        <t:Attribution userId="S::louise.cheetham@energysecurity.gov.uk::6f592c55-11d4-47de-8146-c289d24e1c96" userProvider="AD" userName="Cheetham, Louise (Energy Security)"/>
        <t:Anchor>
          <t:Comment id="1611590700"/>
        </t:Anchor>
        <t:Assign userId="S::Helen.Finney@energysecurity.gov.uk::44cf4251-336f-4ffe-9798-6e2965d5dc53" userProvider="AD" userName="Finney, Helen (Energy Security)"/>
      </t:Event>
      <t:Event id="{BF9CC715-1DA7-4DAD-BB46-E8C60C8A6090}" time="2026-06-11T09:30:15.036Z">
        <t:Attribution userId="S::louise.cheetham@energysecurity.gov.uk::6f592c55-11d4-47de-8146-c289d24e1c96" userProvider="AD" userName="Cheetham, Louise (Energy Security)"/>
        <t:Anchor>
          <t:Comment id="1611590700"/>
        </t:Anchor>
        <t:SetTitle title="@Finney, Helen (Energy Security) removed reference to 'with an aim to over-programme the pipeline' and made it more neutral sounding. Let me know what you think."/>
      </t:Event>
    </t:History>
  </t:Task>
  <t:Task id="{0757ACFC-67DD-4DFA-BA71-4276752157C2}">
    <t:Anchor>
      <t:Comment id="1660341415"/>
    </t:Anchor>
    <t:History>
      <t:Event id="{7D6E0A6A-4CE4-4929-967C-CB68BBD0DE68}" time="2026-05-22T09:04:57.909Z">
        <t:Attribution userId="S::louise.cheetham@energysecurity.gov.uk::6f592c55-11d4-47de-8146-c289d24e1c96" userProvider="AD" userName="Cheetham, Louise (Energy Security)"/>
        <t:Anchor>
          <t:Comment id="1660341415"/>
        </t:Anchor>
        <t:Create/>
      </t:Event>
      <t:Event id="{D1EAA1D6-92EB-4717-A890-06A41D1F47A6}" time="2026-05-22T09:04:57.909Z">
        <t:Attribution userId="S::louise.cheetham@energysecurity.gov.uk::6f592c55-11d4-47de-8146-c289d24e1c96" userProvider="AD" userName="Cheetham, Louise (Energy Security)"/>
        <t:Anchor>
          <t:Comment id="1660341415"/>
        </t:Anchor>
        <t:Assign userId="S::Banji.Awodumi2@energysecurity.gov.uk::551aba0a-2ae9-4ed3-a880-0b5486ee4c4d" userProvider="AD" userName="Awodumi2, Banji (Energy Security)"/>
      </t:Event>
      <t:Event id="{2DB31C8E-E27F-46E9-9080-E31B15CDFB87}" time="2026-05-22T09:04:57.909Z">
        <t:Attribution userId="S::louise.cheetham@energysecurity.gov.uk::6f592c55-11d4-47de-8146-c289d24e1c96" userProvider="AD" userName="Cheetham, Louise (Energy Security)"/>
        <t:Anchor>
          <t:Comment id="1660341415"/>
        </t:Anchor>
        <t:SetTitle title="@Awodumi2, Banji (Energy Security) are you able to add some specifics here around vfm studies/outcomes pls?"/>
      </t:Event>
      <t:Event id="{E75028D1-6F67-4CD0-964D-B82DD2059A12}" time="2026-05-28T07:38:03.31Z">
        <t:Attribution userId="S::louise.cheetham@energysecurity.gov.uk::6f592c55-11d4-47de-8146-c289d24e1c96" userProvider="AD" userName="Cheetham, Louise (Energy Security)"/>
        <t:Progress percentComplete="100"/>
      </t:Event>
    </t:History>
  </t:Task>
  <t:Task id="{C13F70B2-B889-4C49-A736-0750A1AF668D}">
    <t:Anchor>
      <t:Comment id="62420862"/>
    </t:Anchor>
    <t:History>
      <t:Event id="{536A5815-279A-427E-AD69-BDA53F31F223}" time="2026-05-28T10:27:59.667Z">
        <t:Attribution userId="S::louise.cheetham@energysecurity.gov.uk::6f592c55-11d4-47de-8146-c289d24e1c96" userProvider="AD" userName="Cheetham, Louise (Energy Security)"/>
        <t:Anchor>
          <t:Comment id="62420862"/>
        </t:Anchor>
        <t:Create/>
      </t:Event>
      <t:Event id="{D0753AFA-100B-4C38-943B-4A4EFC49D165}" time="2026-05-28T10:27:59.667Z">
        <t:Attribution userId="S::louise.cheetham@energysecurity.gov.uk::6f592c55-11d4-47de-8146-c289d24e1c96" userProvider="AD" userName="Cheetham, Louise (Energy Security)"/>
        <t:Anchor>
          <t:Comment id="62420862"/>
        </t:Anchor>
        <t:Assign userId="S::Helen.Finney@energysecurity.gov.uk::44cf4251-336f-4ffe-9798-6e2965d5dc53" userProvider="AD" userName="Finney, Helen (Energy Security)"/>
      </t:Event>
      <t:Event id="{ACE979D6-F739-4108-86BF-EC46B2B70E91}" time="2026-05-28T10:27:59.667Z">
        <t:Attribution userId="S::louise.cheetham@energysecurity.gov.uk::6f592c55-11d4-47de-8146-c289d24e1c96" userProvider="AD" userName="Cheetham, Louise (Energy Security)"/>
        <t:Anchor>
          <t:Comment id="62420862"/>
        </t:Anchor>
        <t:SetTitle title="@Finney, Helen (Energy Security) I think you will be best placed to add rationale here if needed."/>
      </t:Event>
    </t:History>
  </t:Task>
  <t:Task id="{05D8C493-5A5B-48FB-9955-BE477D682934}">
    <t:Anchor>
      <t:Comment id="740090937"/>
    </t:Anchor>
    <t:History>
      <t:Event id="{A92E5349-9514-44F4-8177-4179C07535D7}" time="2026-06-11T10:15:32.137Z">
        <t:Attribution userId="S::louise.cheetham@energysecurity.gov.uk::6f592c55-11d4-47de-8146-c289d24e1c96" userProvider="AD" userName="Cheetham, Louise (Energy Security)"/>
        <t:Anchor>
          <t:Comment id="740090937"/>
        </t:Anchor>
        <t:Create/>
      </t:Event>
      <t:Event id="{A10DCF9C-44C5-4530-AFCD-C1FC88904576}" time="2026-06-11T10:15:32.137Z">
        <t:Attribution userId="S::louise.cheetham@energysecurity.gov.uk::6f592c55-11d4-47de-8146-c289d24e1c96" userProvider="AD" userName="Cheetham, Louise (Energy Security)"/>
        <t:Anchor>
          <t:Comment id="740090937"/>
        </t:Anchor>
        <t:Assign userId="S::Helen.Finney@energysecurity.gov.uk::44cf4251-336f-4ffe-9798-6e2965d5dc53" userProvider="AD" userName="Finney, Helen (Energy Security)"/>
      </t:Event>
      <t:Event id="{7AFB8B18-79CC-4CD8-9CE2-E98F1BE257F5}" time="2026-06-11T10:15:32.137Z">
        <t:Attribution userId="S::louise.cheetham@energysecurity.gov.uk::6f592c55-11d4-47de-8146-c289d24e1c96" userProvider="AD" userName="Cheetham, Louise (Energy Security)"/>
        <t:Anchor>
          <t:Comment id="740090937"/>
        </t:Anchor>
        <t:SetTitle title="@Finney, Helen (Energy Security) you mentioned making this objective more SMART. I've had a go, appreciate your views on this. Copying old draft below: The Trustee should maintain active engagement with a broad range of carbon market stakeholders, …"/>
      </t:Event>
    </t:History>
  </t:Task>
  <t:Task id="{792C3706-BA47-4D06-8C21-609FB30370B9}">
    <t:Anchor>
      <t:Comment id="895028918"/>
    </t:Anchor>
    <t:History>
      <t:Event id="{5A3BB18A-35B3-44D0-875B-40CD4A284C97}" time="2026-06-11T13:47:23.67Z">
        <t:Attribution userId="S::louise.cheetham@energysecurity.gov.uk::6f592c55-11d4-47de-8146-c289d24e1c96" userProvider="AD" userName="Cheetham, Louise (Energy Security)"/>
        <t:Anchor>
          <t:Comment id="917618286"/>
        </t:Anchor>
        <t:Create/>
      </t:Event>
      <t:Event id="{63A8315D-3F79-411A-B029-87E784DCE41C}" time="2026-06-11T13:47:23.67Z">
        <t:Attribution userId="S::louise.cheetham@energysecurity.gov.uk::6f592c55-11d4-47de-8146-c289d24e1c96" userProvider="AD" userName="Cheetham, Louise (Energy Security)"/>
        <t:Anchor>
          <t:Comment id="917618286"/>
        </t:Anchor>
        <t:Assign userId="S::Helen.Finney@energysecurity.gov.uk::44cf4251-336f-4ffe-9798-6e2965d5dc53" userProvider="AD" userName="Finney, Helen (Energy Security)"/>
      </t:Event>
      <t:Event id="{F6E1D048-2EAB-4A13-905E-5B5E6281649A}" time="2026-06-11T13:47:23.67Z">
        <t:Attribution userId="S::louise.cheetham@energysecurity.gov.uk::6f592c55-11d4-47de-8146-c289d24e1c96" userProvider="AD" userName="Cheetham, Louise (Energy Security)"/>
        <t:Anchor>
          <t:Comment id="917618286"/>
        </t:Anchor>
        <t:SetTitle title="@Finney, Helen (Energy Security) when sending back to WB shall I clarify this point unless you know more?"/>
      </t:Event>
      <t:Event id="{71E8289A-D7C7-4C7B-A712-0B312A4EC58B}" time="2026-07-16T15:56:34.232Z">
        <t:Attribution userId="S::Helen.Finney@energysecurity.gov.uk::44cf4251-336f-4ffe-9798-6e2965d5dc53" userProvider="AD" userName="Finney, Helen (Energy Security)"/>
        <t:Progress percentComplete="100"/>
      </t:Event>
      <t:Event id="{74FA2A27-468E-4700-93CA-E50C177599D8}" time="2026-07-16T15:57:46.319Z">
        <t:Attribution userId="S::Helen.Finney@energysecurity.gov.uk::44cf4251-336f-4ffe-9798-6e2965d5dc53" userProvider="AD" userName="Finney, Helen (Energy Security)"/>
        <t:Progress percentComplete="0"/>
      </t:Event>
      <t:Event id="{CDD36318-3317-4CC4-91B9-B58C1CC34C6E}" time="2026-07-16T15:57:56.707Z">
        <t:Attribution userId="S::Helen.Finney@energysecurity.gov.uk::44cf4251-336f-4ffe-9798-6e2965d5dc53" userProvider="AD" userName="Finney, Helen (Energy Securit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9d65af1-18fa-4dc7-9941-b26f165da588">SFTTVFQA44A4-567391438-152798</_dlc_DocId>
    <TaxCatchAll xmlns="b9d65af1-18fa-4dc7-9941-b26f165da588">
      <Value>3</Value>
      <Value>2</Value>
      <Value>1</Value>
    </TaxCatchAll>
    <_dlc_DocIdUrl xmlns="b9d65af1-18fa-4dc7-9941-b26f165da588">
      <Url>https://beisgov.sharepoint.com/sites/GreenFinanceAndCapability-ALL/_layouts/15/DocIdRedir.aspx?ID=SFTTVFQA44A4-567391438-152798</Url>
      <Description>SFTTVFQA44A4-567391438-152798</Description>
    </_dlc_DocIdUrl>
    <c6f593ada1854b629148449de059396b xmlns="0f9fa326-da26-4ea8-b6a9-645e8136fe1d">
      <Terms xmlns="http://schemas.microsoft.com/office/infopath/2007/PartnerControls">
        <TermInfo xmlns="http://schemas.microsoft.com/office/infopath/2007/PartnerControls">
          <TermName xmlns="http://schemas.microsoft.com/office/infopath/2007/PartnerControls">BEIS</TermName>
          <TermId xmlns="http://schemas.microsoft.com/office/infopath/2007/PartnerControls">b386cac2-c28c-4db4-8fca-43733d0e74ef</TermId>
        </TermInfo>
      </Terms>
    </c6f593ada1854b629148449de059396b>
    <LegacyData xmlns="aaacb922-5235-4a66-b188-303b9b46fbd7" xsi:nil="true"/>
    <_ip_UnifiedCompliancePolicyUIAction xmlns="http://schemas.microsoft.com/sharepoint/v3" xsi:nil="true"/>
    <_ip_UnifiedCompliancePolicyUIAct xmlns="374ed4d6-b127-4161-a8d5-91d2d6d266bd" xsi:nil="true"/>
    <lcf76f155ced4ddcb4097134ff3c332f xmlns="374ed4d6-b127-4161-a8d5-91d2d6d266bd">
      <Terms xmlns="http://schemas.microsoft.com/office/infopath/2007/PartnerControls"/>
    </lcf76f155ced4ddcb4097134ff3c332f>
    <m817f42addf14c9a838da36e78800043 xmlns="0f9fa326-da26-4ea8-b6a9-645e8136fe1d">
      <Terms xmlns="http://schemas.microsoft.com/office/infopath/2007/PartnerControls">
        <TermInfo xmlns="http://schemas.microsoft.com/office/infopath/2007/PartnerControls">
          <TermName xmlns="http://schemas.microsoft.com/office/infopath/2007/PartnerControls">Climate and energy</TermName>
          <TermId xmlns="http://schemas.microsoft.com/office/infopath/2007/PartnerControls">98b2efea-a649-07e6-a104-07f256801c42</TermId>
        </TermInfo>
      </Terms>
    </m817f42addf14c9a838da36e78800043>
    <_ip_UnifiedCompliancePolicyProperties xmlns="http://schemas.microsoft.com/sharepoint/v3" xsi:nil="true"/>
    <h573c97cf80c4aa6b446c5363dc3ac94 xmlns="0f9fa326-da26-4ea8-b6a9-645e8136fe1d">
      <Terms xmlns="http://schemas.microsoft.com/office/infopath/2007/PartnerControls">
        <TermInfo xmlns="http://schemas.microsoft.com/office/infopath/2007/PartnerControls">
          <TermName xmlns="http://schemas.microsoft.com/office/infopath/2007/PartnerControls">International climate</TermName>
          <TermId xmlns="http://schemas.microsoft.com/office/infopath/2007/PartnerControls">5a595758-250c-1237-4802-ae3329732708</TermId>
        </TermInfo>
      </Terms>
    </h573c97cf80c4aa6b446c5363dc3ac9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DF02EFE51CE9C84D92B4813DC0A3B57A" ma:contentTypeVersion="22" ma:contentTypeDescription="Create a new document." ma:contentTypeScope="" ma:versionID="f3a08a560a87ca769ce0e1587b09f599">
  <xsd:schema xmlns:xsd="http://www.w3.org/2001/XMLSchema" xmlns:xs="http://www.w3.org/2001/XMLSchema" xmlns:p="http://schemas.microsoft.com/office/2006/metadata/properties" xmlns:ns1="http://schemas.microsoft.com/sharepoint/v3" xmlns:ns2="0f9fa326-da26-4ea8-b6a9-645e8136fe1d" xmlns:ns3="b9d65af1-18fa-4dc7-9941-b26f165da588" xmlns:ns4="aaacb922-5235-4a66-b188-303b9b46fbd7" xmlns:ns5="374ed4d6-b127-4161-a8d5-91d2d6d266bd" targetNamespace="http://schemas.microsoft.com/office/2006/metadata/properties" ma:root="true" ma:fieldsID="89423df18224ae45c99d1d624fe105ce" ns1:_="" ns2:_="" ns3:_="" ns4:_="" ns5:_="">
    <xsd:import namespace="http://schemas.microsoft.com/sharepoint/v3"/>
    <xsd:import namespace="0f9fa326-da26-4ea8-b6a9-645e8136fe1d"/>
    <xsd:import namespace="b9d65af1-18fa-4dc7-9941-b26f165da588"/>
    <xsd:import namespace="aaacb922-5235-4a66-b188-303b9b46fbd7"/>
    <xsd:import namespace="374ed4d6-b127-4161-a8d5-91d2d6d266bd"/>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5:MediaServiceMetadata" minOccurs="0"/>
                <xsd:element ref="ns5:MediaServiceFastMetadata" minOccurs="0"/>
                <xsd:element ref="ns5:MediaServiceObjectDetectorVersions"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ServiceSearchProperties" minOccurs="0"/>
                <xsd:element ref="ns5:MediaLengthInSeconds" minOccurs="0"/>
                <xsd:element ref="ns1:_ip_UnifiedCompliancePolicyProperties" minOccurs="0"/>
                <xsd:element ref="ns1:_ip_UnifiedCompliancePolicyUIAction" minOccurs="0"/>
                <xsd:element ref="ns5:_ip_UnifiedCompliancePolicyUIAct"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BEIS|b386cac2-c28c-4db4-8fca-43733d0e74ef"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Climate and energy|98b2efea-a649-07e6-a104-07f256801c42"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International climate|5a595758-250c-1237-4802-ae3329732708"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65af1-18fa-4dc7-9941-b26f165da588"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b47bc4a-1520-4e4a-95b5-a23457f3f389}" ma:internalName="TaxCatchAll" ma:showField="CatchAllData" ma:web="b9d65af1-18fa-4dc7-9941-b26f165da58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b47bc4a-1520-4e4a-95b5-a23457f3f389}" ma:internalName="TaxCatchAllLabel" ma:readOnly="true" ma:showField="CatchAllDataLabel" ma:web="b9d65af1-18fa-4dc7-9941-b26f165da588">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ed4d6-b127-4161-a8d5-91d2d6d266bd"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element name="_ip_UnifiedCompliancePolicyUIAct" ma:index="36" nillable="true" ma:displayName="_ip_UnifiedCompliancePolicyUIAct" ma:internalName="_ip_UnifiedCompliancePolicyUIAct">
      <xsd:simpleType>
        <xsd:restriction base="dms:Text">
          <xsd:maxLength value="255"/>
        </xsd:restriction>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F254B-E40C-4C73-8223-AD959359067D}">
  <ds:schemaRefs>
    <ds:schemaRef ds:uri="http://schemas.microsoft.com/sharepoint/events"/>
  </ds:schemaRefs>
</ds:datastoreItem>
</file>

<file path=customXml/itemProps2.xml><?xml version="1.0" encoding="utf-8"?>
<ds:datastoreItem xmlns:ds="http://schemas.openxmlformats.org/officeDocument/2006/customXml" ds:itemID="{02FCA949-4A17-4A58-8CB4-38E906E85F6A}">
  <ds:schemaRefs>
    <ds:schemaRef ds:uri="http://schemas.microsoft.com/office/2006/metadata/properties"/>
    <ds:schemaRef ds:uri="http://schemas.microsoft.com/office/infopath/2007/PartnerControls"/>
    <ds:schemaRef ds:uri="b9d65af1-18fa-4dc7-9941-b26f165da588"/>
    <ds:schemaRef ds:uri="0f9fa326-da26-4ea8-b6a9-645e8136fe1d"/>
    <ds:schemaRef ds:uri="aaacb922-5235-4a66-b188-303b9b46fbd7"/>
    <ds:schemaRef ds:uri="http://schemas.microsoft.com/sharepoint/v3"/>
    <ds:schemaRef ds:uri="374ed4d6-b127-4161-a8d5-91d2d6d266bd"/>
  </ds:schemaRefs>
</ds:datastoreItem>
</file>

<file path=customXml/itemProps3.xml><?xml version="1.0" encoding="utf-8"?>
<ds:datastoreItem xmlns:ds="http://schemas.openxmlformats.org/officeDocument/2006/customXml" ds:itemID="{28542131-BD40-42FA-BF1D-325659C74395}">
  <ds:schemaRefs>
    <ds:schemaRef ds:uri="http://schemas.microsoft.com/sharepoint/v3/contenttype/forms"/>
  </ds:schemaRefs>
</ds:datastoreItem>
</file>

<file path=customXml/itemProps4.xml><?xml version="1.0" encoding="utf-8"?>
<ds:datastoreItem xmlns:ds="http://schemas.openxmlformats.org/officeDocument/2006/customXml" ds:itemID="{5E470627-5072-4164-B9A0-A8C60A90D51C}">
  <ds:schemaRefs>
    <ds:schemaRef ds:uri="http://schemas.openxmlformats.org/officeDocument/2006/bibliography"/>
  </ds:schemaRefs>
</ds:datastoreItem>
</file>

<file path=customXml/itemProps5.xml><?xml version="1.0" encoding="utf-8"?>
<ds:datastoreItem xmlns:ds="http://schemas.openxmlformats.org/officeDocument/2006/customXml" ds:itemID="{DCD75F20-E3D6-408E-A654-682CB8416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9fa326-da26-4ea8-b6a9-645e8136fe1d"/>
    <ds:schemaRef ds:uri="b9d65af1-18fa-4dc7-9941-b26f165da588"/>
    <ds:schemaRef ds:uri="aaacb922-5235-4a66-b188-303b9b46fbd7"/>
    <ds:schemaRef ds:uri="374ed4d6-b127-4161-a8d5-91d2d6d26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8044</Words>
  <Characters>45856</Characters>
  <Application>Microsoft Office Word</Application>
  <DocSecurity>0</DocSecurity>
  <Lines>382</Lines>
  <Paragraphs>107</Paragraphs>
  <ScaleCrop>false</ScaleCrop>
  <Company/>
  <LinksUpToDate>false</LinksUpToDate>
  <CharactersWithSpaces>53793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William (Intl Climate Finance: Portfolio)</dc:creator>
  <cp:keywords/>
  <dc:description/>
  <cp:lastModifiedBy>Cheetham, Louise (Energy Security)</cp:lastModifiedBy>
  <cp:revision>2</cp:revision>
  <dcterms:created xsi:type="dcterms:W3CDTF">2026-08-25T11:23:00Z</dcterms:created>
  <dcterms:modified xsi:type="dcterms:W3CDTF">2026-08-25T11:23:00Z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2020-07-31T08:26:31Z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cddeefbe-1e4c-49e9-8a2d-000074bea76d</vt:lpwstr>
  </property>
  <property fmtid="{D5CDD505-2E9C-101B-9397-08002B2CF9AE}" pid="8" name="MSIP_Label_ba62f585-b40f-4ab9-bafe-39150f03d124_ContentBits">
    <vt:lpwstr>0</vt:lpwstr>
  </property>
  <property fmtid="{D5CDD505-2E9C-101B-9397-08002B2CF9AE}" pid="9" name="Business Document Type">
    <vt:lpwstr>Annual review</vt:lpwstr>
  </property>
  <property fmtid="{D5CDD505-2E9C-101B-9397-08002B2CF9AE}" pid="10" name="Business Unit">
    <vt:lpwstr>1;#International Climate Finance|25a07eec-082c-4868-be05-2bef48a6767e</vt:lpwstr>
  </property>
  <property fmtid="{D5CDD505-2E9C-101B-9397-08002B2CF9AE}" pid="11" name="MSIP_Label_e4c996da-17fa-4fc5-8989-2758fb4cf86b_ActionId">
    <vt:lpwstr>919708a4-416e-499e-8edc-0000a189eb48</vt:lpwstr>
  </property>
  <property fmtid="{D5CDD505-2E9C-101B-9397-08002B2CF9AE}" pid="12" name="MSIP_Label_e4c996da-17fa-4fc5-8989-2758fb4cf86b_SiteId">
    <vt:lpwstr>cdf709af-1a18-4c74-bd93-6d14a64d73b3</vt:lpwstr>
  </property>
  <property fmtid="{D5CDD505-2E9C-101B-9397-08002B2CF9AE}" pid="13" name="MSIP_Label_e4c996da-17fa-4fc5-8989-2758fb4cf86b_ContentBits">
    <vt:lpwstr>1</vt:lpwstr>
  </property>
  <property fmtid="{D5CDD505-2E9C-101B-9397-08002B2CF9AE}" pid="14" name="MSIP_Label_e4c996da-17fa-4fc5-8989-2758fb4cf86b_Enabled">
    <vt:lpwstr>true</vt:lpwstr>
  </property>
  <property fmtid="{D5CDD505-2E9C-101B-9397-08002B2CF9AE}" pid="15" name="MSIP_Label_e4c996da-17fa-4fc5-8989-2758fb4cf86b_Name">
    <vt:lpwstr>OFFICIAL</vt:lpwstr>
  </property>
  <property fmtid="{D5CDD505-2E9C-101B-9397-08002B2CF9AE}" pid="16" name="_dlc_DocIdItemGuid">
    <vt:lpwstr>19b5f010-987a-4543-b143-7442fc072119</vt:lpwstr>
  </property>
  <property fmtid="{D5CDD505-2E9C-101B-9397-08002B2CF9AE}" pid="17" name="MSIP_Label_e4c996da-17fa-4fc5-8989-2758fb4cf86b_SetDate">
    <vt:lpwstr>2020-03-30T16:49:07Z</vt:lpwstr>
  </property>
  <property fmtid="{D5CDD505-2E9C-101B-9397-08002B2CF9AE}" pid="18" name="MSIP_Label_e4c996da-17fa-4fc5-8989-2758fb4cf86b_Method">
    <vt:lpwstr>Standard</vt:lpwstr>
  </property>
  <property fmtid="{D5CDD505-2E9C-101B-9397-08002B2CF9AE}" pid="19" name="MediaServiceImageTags">
    <vt:lpwstr/>
  </property>
  <property fmtid="{D5CDD505-2E9C-101B-9397-08002B2CF9AE}" pid="20" name="TaxKeyword">
    <vt:lpwstr/>
  </property>
  <property fmtid="{D5CDD505-2E9C-101B-9397-08002B2CF9AE}" pid="21" name="hbe71f8dfd024405860d37e862f27a82">
    <vt:lpwstr/>
  </property>
  <property fmtid="{D5CDD505-2E9C-101B-9397-08002B2CF9AE}" pid="22" name="fbe16eaccf4749f086104f7c67297f76">
    <vt:lpwstr/>
  </property>
  <property fmtid="{D5CDD505-2E9C-101B-9397-08002B2CF9AE}" pid="23" name="WBDocs_Country">
    <vt:lpwstr/>
  </property>
  <property fmtid="{D5CDD505-2E9C-101B-9397-08002B2CF9AE}" pid="24" name="WBDocs_Local_Document_Type">
    <vt:lpwstr/>
  </property>
  <property fmtid="{D5CDD505-2E9C-101B-9397-08002B2CF9AE}" pid="25" name="m23003d518f743f49dcbc82909afe93a">
    <vt:lpwstr/>
  </property>
  <property fmtid="{D5CDD505-2E9C-101B-9397-08002B2CF9AE}" pid="26" name="d744a75525f04a8c9e54f4ed11bfe7c0">
    <vt:lpwstr/>
  </property>
  <property fmtid="{D5CDD505-2E9C-101B-9397-08002B2CF9AE}" pid="27" name="WBDocs_Topic">
    <vt:lpwstr/>
  </property>
  <property fmtid="{D5CDD505-2E9C-101B-9397-08002B2CF9AE}" pid="28" name="TaxKeywordTaxHTField">
    <vt:lpwstr/>
  </property>
  <property fmtid="{D5CDD505-2E9C-101B-9397-08002B2CF9AE}" pid="29" name="WBDocs_Category">
    <vt:lpwstr/>
  </property>
  <property fmtid="{D5CDD505-2E9C-101B-9397-08002B2CF9AE}" pid="30" name="WBDocs_Language">
    <vt:lpwstr/>
  </property>
  <property fmtid="{D5CDD505-2E9C-101B-9397-08002B2CF9AE}" pid="31" name="pf1bc08d06b541998378c6b8090400d8">
    <vt:lpwstr/>
  </property>
  <property fmtid="{D5CDD505-2E9C-101B-9397-08002B2CF9AE}" pid="32" name="WBDocs_Business_Function">
    <vt:lpwstr/>
  </property>
  <property fmtid="{D5CDD505-2E9C-101B-9397-08002B2CF9AE}" pid="33" name="lcf76f155ced4ddcb4097134ff3c332f">
    <vt:lpwstr/>
  </property>
  <property fmtid="{D5CDD505-2E9C-101B-9397-08002B2CF9AE}" pid="34" name="WBDocs_Originating_Unit">
    <vt:lpwstr>5;#SCCD2|b4808342-95f9-4ac9-bb2a-1105c93b66cc;#6;#SCCD1|2bda2a37-6edc-4b88-a3d0-1bb5efd1a348</vt:lpwstr>
  </property>
  <property fmtid="{D5CDD505-2E9C-101B-9397-08002B2CF9AE}" pid="35" name="Organization">
    <vt:lpwstr/>
  </property>
  <property fmtid="{D5CDD505-2E9C-101B-9397-08002B2CF9AE}" pid="36" name="n51c50147e554be9a5479ee6e2785bf7">
    <vt:lpwstr/>
  </property>
  <property fmtid="{D5CDD505-2E9C-101B-9397-08002B2CF9AE}" pid="37" name="KIM_Activity">
    <vt:lpwstr>2;#International climate|5a595758-250c-1237-4802-ae3329732708</vt:lpwstr>
  </property>
  <property fmtid="{D5CDD505-2E9C-101B-9397-08002B2CF9AE}" pid="38" name="KIM_GovernmentBody">
    <vt:lpwstr>3;#BEIS|b386cac2-c28c-4db4-8fca-43733d0e74ef</vt:lpwstr>
  </property>
  <property fmtid="{D5CDD505-2E9C-101B-9397-08002B2CF9AE}" pid="39" name="KIM_Function">
    <vt:lpwstr>1;#Climate and energy|98b2efea-a649-07e6-a104-07f256801c42</vt:lpwstr>
  </property>
  <property fmtid="{D5CDD505-2E9C-101B-9397-08002B2CF9AE}" pid="40" name="docLang">
    <vt:lpwstr>en</vt:lpwstr>
  </property>
  <property fmtid="{D5CDD505-2E9C-101B-9397-08002B2CF9AE}" pid="41" name="ClassificationContentMarkingFooterShapeIds">
    <vt:lpwstr>4965bc3a,a55147,7e63cba2</vt:lpwstr>
  </property>
  <property fmtid="{D5CDD505-2E9C-101B-9397-08002B2CF9AE}" pid="42" name="ClassificationContentMarkingFooterFontProps">
    <vt:lpwstr>#000000,10,Aptos</vt:lpwstr>
  </property>
  <property fmtid="{D5CDD505-2E9C-101B-9397-08002B2CF9AE}" pid="43" name="ClassificationContentMarkingFooterText">
    <vt:lpwstr>Official Use Only</vt:lpwstr>
  </property>
  <property fmtid="{D5CDD505-2E9C-101B-9397-08002B2CF9AE}" pid="44" name="MSIP_Label_f1bf45b6-5649-4236-82a3-f45024cd282e_Enabled">
    <vt:lpwstr>true</vt:lpwstr>
  </property>
  <property fmtid="{D5CDD505-2E9C-101B-9397-08002B2CF9AE}" pid="45" name="MSIP_Label_f1bf45b6-5649-4236-82a3-f45024cd282e_SetDate">
    <vt:lpwstr>2026-03-23T17:22:02Z</vt:lpwstr>
  </property>
  <property fmtid="{D5CDD505-2E9C-101B-9397-08002B2CF9AE}" pid="46" name="MSIP_Label_f1bf45b6-5649-4236-82a3-f45024cd282e_Method">
    <vt:lpwstr>Standard</vt:lpwstr>
  </property>
  <property fmtid="{D5CDD505-2E9C-101B-9397-08002B2CF9AE}" pid="47" name="MSIP_Label_f1bf45b6-5649-4236-82a3-f45024cd282e_Name">
    <vt:lpwstr>Official Use Only</vt:lpwstr>
  </property>
  <property fmtid="{D5CDD505-2E9C-101B-9397-08002B2CF9AE}" pid="48" name="MSIP_Label_f1bf45b6-5649-4236-82a3-f45024cd282e_SiteId">
    <vt:lpwstr>31a2fec0-266b-4c67-b56e-2796d8f59c36</vt:lpwstr>
  </property>
  <property fmtid="{D5CDD505-2E9C-101B-9397-08002B2CF9AE}" pid="49" name="MSIP_Label_f1bf45b6-5649-4236-82a3-f45024cd282e_ActionId">
    <vt:lpwstr>92db4471-0730-4470-9244-fc58561f79c1</vt:lpwstr>
  </property>
  <property fmtid="{D5CDD505-2E9C-101B-9397-08002B2CF9AE}" pid="50" name="MSIP_Label_f1bf45b6-5649-4236-82a3-f45024cd282e_ContentBits">
    <vt:lpwstr>2</vt:lpwstr>
  </property>
  <property fmtid="{D5CDD505-2E9C-101B-9397-08002B2CF9AE}" pid="51" name="MSIP_Label_f1bf45b6-5649-4236-82a3-f45024cd282e_Tag">
    <vt:lpwstr>10, 3, 0, 1</vt:lpwstr>
  </property>
  <property fmtid="{D5CDD505-2E9C-101B-9397-08002B2CF9AE}" pid="52" name="ContentTypeId">
    <vt:lpwstr>0x0101004691A8DE0991884F8E90AD6474FC73730100DF02EFE51CE9C84D92B4813DC0A3B57A</vt:lpwstr>
  </property>
</Properties>
</file>