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E530" w14:textId="77777777" w:rsidR="0009039F" w:rsidRDefault="0009039F" w:rsidP="0009039F">
      <w:pPr>
        <w:spacing w:after="240" w:line="320" w:lineRule="atLeast"/>
        <w:rPr>
          <w:rFonts w:ascii="Arial" w:eastAsia="Calibri" w:hAnsi="Arial" w:cs="Times New Roman"/>
          <w:color w:val="041E42"/>
          <w:kern w:val="0"/>
          <w:sz w:val="76"/>
          <w14:ligatures w14:val="none"/>
        </w:rPr>
      </w:pPr>
    </w:p>
    <w:p w14:paraId="4B3CD9C7" w14:textId="77777777" w:rsidR="0009039F" w:rsidRDefault="0009039F" w:rsidP="0009039F">
      <w:pPr>
        <w:spacing w:after="240" w:line="320" w:lineRule="atLeast"/>
        <w:rPr>
          <w:rFonts w:ascii="Arial" w:eastAsia="Calibri" w:hAnsi="Arial" w:cs="Times New Roman"/>
          <w:color w:val="041E42"/>
          <w:kern w:val="0"/>
          <w:sz w:val="76"/>
          <w14:ligatures w14:val="none"/>
        </w:rPr>
      </w:pPr>
    </w:p>
    <w:p w14:paraId="3623FADE" w14:textId="77777777" w:rsidR="0009039F" w:rsidRDefault="0009039F" w:rsidP="0009039F">
      <w:pPr>
        <w:spacing w:after="240" w:line="320" w:lineRule="atLeast"/>
        <w:rPr>
          <w:rFonts w:ascii="Arial" w:eastAsia="Calibri" w:hAnsi="Arial" w:cs="Times New Roman"/>
          <w:color w:val="041E42"/>
          <w:kern w:val="0"/>
          <w:sz w:val="76"/>
          <w14:ligatures w14:val="none"/>
        </w:rPr>
      </w:pPr>
    </w:p>
    <w:p w14:paraId="23405307" w14:textId="77777777" w:rsidR="00E16BC1" w:rsidRDefault="00E16BC1" w:rsidP="0009039F">
      <w:pPr>
        <w:spacing w:after="240" w:line="320" w:lineRule="atLeast"/>
        <w:rPr>
          <w:rFonts w:ascii="Arial" w:eastAsia="Calibri" w:hAnsi="Arial" w:cs="Times New Roman"/>
          <w:b/>
          <w:bCs/>
          <w:color w:val="000000" w:themeColor="text1"/>
          <w:kern w:val="0"/>
          <w:sz w:val="96"/>
          <w:szCs w:val="24"/>
          <w14:ligatures w14:val="none"/>
        </w:rPr>
      </w:pPr>
      <w:r>
        <w:rPr>
          <w:rFonts w:ascii="Arial" w:eastAsia="Calibri" w:hAnsi="Arial" w:cs="Times New Roman"/>
          <w:b/>
          <w:bCs/>
          <w:color w:val="000000" w:themeColor="text1"/>
          <w:kern w:val="0"/>
          <w:sz w:val="96"/>
          <w:szCs w:val="24"/>
          <w14:ligatures w14:val="none"/>
        </w:rPr>
        <w:t>UKCI</w:t>
      </w:r>
    </w:p>
    <w:p w14:paraId="79614F2F" w14:textId="1CB33D38" w:rsidR="0009039F" w:rsidRPr="0009039F" w:rsidRDefault="0009039F" w:rsidP="0009039F">
      <w:pPr>
        <w:spacing w:after="240" w:line="320" w:lineRule="atLeast"/>
        <w:rPr>
          <w:rFonts w:ascii="Arial" w:eastAsia="Calibri" w:hAnsi="Arial" w:cs="Times New Roman"/>
          <w:b/>
          <w:bCs/>
          <w:color w:val="000000" w:themeColor="text1"/>
          <w:kern w:val="0"/>
          <w:sz w:val="96"/>
          <w:szCs w:val="24"/>
          <w14:ligatures w14:val="none"/>
        </w:rPr>
      </w:pPr>
      <w:r w:rsidRPr="0009039F">
        <w:rPr>
          <w:rFonts w:ascii="Arial" w:eastAsia="Calibri" w:hAnsi="Arial" w:cs="Times New Roman"/>
          <w:b/>
          <w:bCs/>
          <w:color w:val="000000" w:themeColor="text1"/>
          <w:kern w:val="0"/>
          <w:sz w:val="96"/>
          <w:szCs w:val="24"/>
          <w14:ligatures w14:val="none"/>
        </w:rPr>
        <w:t>Programme Completion Re</w:t>
      </w:r>
      <w:r w:rsidR="00502AE7">
        <w:rPr>
          <w:rFonts w:ascii="Arial" w:eastAsia="Calibri" w:hAnsi="Arial" w:cs="Times New Roman"/>
          <w:b/>
          <w:bCs/>
          <w:color w:val="000000" w:themeColor="text1"/>
          <w:kern w:val="0"/>
          <w:sz w:val="96"/>
          <w:szCs w:val="24"/>
          <w14:ligatures w14:val="none"/>
        </w:rPr>
        <w:t>view</w:t>
      </w:r>
    </w:p>
    <w:p w14:paraId="4F6BB35E" w14:textId="77777777" w:rsidR="00462E61" w:rsidRDefault="00462E61">
      <w:pPr>
        <w:rPr>
          <w:rFonts w:ascii="Arial" w:hAnsi="Arial" w:cs="Arial"/>
          <w:color w:val="A5A5A5" w:themeColor="accent3"/>
        </w:rPr>
      </w:pPr>
    </w:p>
    <w:p w14:paraId="5FE6F12D" w14:textId="77777777" w:rsidR="00462E61" w:rsidRDefault="00462E61">
      <w:pPr>
        <w:rPr>
          <w:rFonts w:ascii="Arial" w:hAnsi="Arial" w:cs="Arial"/>
          <w:color w:val="A5A5A5" w:themeColor="accent3"/>
        </w:rPr>
      </w:pPr>
    </w:p>
    <w:p w14:paraId="750DF397" w14:textId="77777777" w:rsidR="00462E61" w:rsidRDefault="00462E61">
      <w:pPr>
        <w:rPr>
          <w:rFonts w:ascii="Arial" w:hAnsi="Arial" w:cs="Arial"/>
          <w:color w:val="A5A5A5" w:themeColor="accent3"/>
        </w:rPr>
      </w:pPr>
    </w:p>
    <w:p w14:paraId="3FB7B66D" w14:textId="77777777" w:rsidR="00462E61" w:rsidRDefault="00462E61">
      <w:pPr>
        <w:rPr>
          <w:rFonts w:ascii="Arial" w:hAnsi="Arial" w:cs="Arial"/>
          <w:color w:val="A5A5A5" w:themeColor="accent3"/>
        </w:rPr>
      </w:pPr>
    </w:p>
    <w:p w14:paraId="392017F6" w14:textId="77777777" w:rsidR="00462E61" w:rsidRDefault="00462E61">
      <w:pPr>
        <w:rPr>
          <w:rFonts w:ascii="Arial" w:hAnsi="Arial" w:cs="Arial"/>
          <w:color w:val="A5A5A5" w:themeColor="accent3"/>
        </w:rPr>
      </w:pPr>
    </w:p>
    <w:p w14:paraId="0DF79568" w14:textId="77777777" w:rsidR="00462E61" w:rsidRDefault="00462E61">
      <w:pPr>
        <w:rPr>
          <w:rFonts w:ascii="Arial" w:hAnsi="Arial" w:cs="Arial"/>
          <w:color w:val="A5A5A5" w:themeColor="accent3"/>
        </w:rPr>
      </w:pPr>
    </w:p>
    <w:p w14:paraId="161BEF2C" w14:textId="77777777" w:rsidR="00462E61" w:rsidRDefault="00462E61">
      <w:pPr>
        <w:rPr>
          <w:rFonts w:ascii="Arial" w:hAnsi="Arial" w:cs="Arial"/>
          <w:color w:val="A5A5A5" w:themeColor="accent3"/>
        </w:rPr>
      </w:pPr>
    </w:p>
    <w:p w14:paraId="09E368AA" w14:textId="77777777" w:rsidR="008B4E2B" w:rsidRDefault="008B4E2B">
      <w:pPr>
        <w:rPr>
          <w:rFonts w:ascii="Arial" w:hAnsi="Arial" w:cs="Arial"/>
          <w:color w:val="A5A5A5" w:themeColor="accent3"/>
        </w:rPr>
        <w:sectPr w:rsidR="008B4E2B" w:rsidSect="001422DF">
          <w:headerReference w:type="default" r:id="rId12"/>
          <w:footerReference w:type="default" r:id="rId13"/>
          <w:pgSz w:w="11906" w:h="16838"/>
          <w:pgMar w:top="1440" w:right="1440" w:bottom="1440" w:left="1440" w:header="680" w:footer="79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CC0CE3A" w14:textId="77777777" w:rsidR="00462E61" w:rsidRDefault="00462E61">
      <w:pPr>
        <w:rPr>
          <w:rFonts w:ascii="Arial" w:hAnsi="Arial" w:cs="Arial"/>
          <w:color w:val="A5A5A5" w:themeColor="accent3"/>
        </w:rPr>
      </w:pPr>
    </w:p>
    <w:p w14:paraId="40C5EA06" w14:textId="77777777" w:rsidR="00462E61" w:rsidRDefault="00462E61">
      <w:pPr>
        <w:rPr>
          <w:rFonts w:ascii="Arial" w:hAnsi="Arial" w:cs="Arial"/>
          <w:color w:val="A5A5A5" w:themeColor="accent3"/>
        </w:rPr>
      </w:pPr>
    </w:p>
    <w:p w14:paraId="56CA9A1B" w14:textId="77777777" w:rsidR="009E61DE" w:rsidRDefault="009E61DE">
      <w:pPr>
        <w:rPr>
          <w:rFonts w:ascii="Arial" w:hAnsi="Arial" w:cs="Arial"/>
          <w:color w:val="A5A5A5" w:themeColor="accent3"/>
        </w:rPr>
      </w:pPr>
    </w:p>
    <w:p w14:paraId="135BF257" w14:textId="77777777" w:rsidR="009E61DE" w:rsidRDefault="009E61DE">
      <w:pPr>
        <w:rPr>
          <w:rFonts w:ascii="Arial" w:hAnsi="Arial" w:cs="Arial"/>
          <w:color w:val="A5A5A5" w:themeColor="accent3"/>
        </w:rPr>
      </w:pPr>
    </w:p>
    <w:p w14:paraId="6783AB9C" w14:textId="77777777" w:rsidR="009E61DE" w:rsidRDefault="009E61DE">
      <w:pPr>
        <w:rPr>
          <w:rFonts w:ascii="Arial" w:hAnsi="Arial" w:cs="Arial"/>
          <w:color w:val="A5A5A5" w:themeColor="accent3"/>
        </w:rPr>
      </w:pPr>
    </w:p>
    <w:p w14:paraId="6CAD5869" w14:textId="77777777" w:rsidR="009E61DE" w:rsidRDefault="009E61DE">
      <w:pPr>
        <w:rPr>
          <w:rFonts w:ascii="Arial" w:hAnsi="Arial" w:cs="Arial"/>
          <w:color w:val="A5A5A5" w:themeColor="accent3"/>
        </w:rPr>
      </w:pPr>
    </w:p>
    <w:p w14:paraId="2A293E42" w14:textId="77777777" w:rsidR="009E61DE" w:rsidRDefault="009E61DE">
      <w:pPr>
        <w:rPr>
          <w:rFonts w:ascii="Arial" w:hAnsi="Arial" w:cs="Arial"/>
          <w:color w:val="A5A5A5" w:themeColor="accent3"/>
        </w:rPr>
      </w:pPr>
    </w:p>
    <w:p w14:paraId="20C7248F" w14:textId="77777777" w:rsidR="009E61DE" w:rsidRDefault="009E61DE">
      <w:pPr>
        <w:rPr>
          <w:rFonts w:ascii="Arial" w:hAnsi="Arial" w:cs="Arial"/>
          <w:color w:val="A5A5A5" w:themeColor="accent3"/>
        </w:rPr>
      </w:pPr>
    </w:p>
    <w:p w14:paraId="26D6B712" w14:textId="77777777" w:rsidR="009E61DE" w:rsidRDefault="009E61DE">
      <w:pPr>
        <w:rPr>
          <w:rFonts w:ascii="Arial" w:hAnsi="Arial" w:cs="Arial"/>
          <w:color w:val="A5A5A5" w:themeColor="accent3"/>
        </w:rPr>
      </w:pPr>
    </w:p>
    <w:p w14:paraId="498219B2" w14:textId="77777777" w:rsidR="009E61DE" w:rsidRDefault="009E61DE">
      <w:pPr>
        <w:rPr>
          <w:rFonts w:ascii="Arial" w:hAnsi="Arial" w:cs="Arial"/>
          <w:color w:val="A5A5A5" w:themeColor="accent3"/>
        </w:rPr>
      </w:pPr>
    </w:p>
    <w:p w14:paraId="436A3979" w14:textId="77777777" w:rsidR="009E61DE" w:rsidRDefault="009E61DE">
      <w:pPr>
        <w:rPr>
          <w:rFonts w:ascii="Arial" w:hAnsi="Arial" w:cs="Arial"/>
          <w:color w:val="A5A5A5" w:themeColor="accent3"/>
        </w:rPr>
      </w:pPr>
    </w:p>
    <w:p w14:paraId="6E50091E" w14:textId="77777777" w:rsidR="009E61DE" w:rsidRDefault="009E61DE">
      <w:pPr>
        <w:rPr>
          <w:rFonts w:ascii="Arial" w:hAnsi="Arial" w:cs="Arial"/>
          <w:color w:val="A5A5A5" w:themeColor="accent3"/>
        </w:rPr>
      </w:pPr>
    </w:p>
    <w:p w14:paraId="721B5E20" w14:textId="77777777" w:rsidR="009E61DE" w:rsidRDefault="009E61DE">
      <w:pPr>
        <w:rPr>
          <w:rFonts w:ascii="Arial" w:hAnsi="Arial" w:cs="Arial"/>
          <w:color w:val="A5A5A5" w:themeColor="accent3"/>
        </w:rPr>
      </w:pPr>
    </w:p>
    <w:p w14:paraId="01635275" w14:textId="77777777" w:rsidR="009E61DE" w:rsidRDefault="009E61DE">
      <w:pPr>
        <w:rPr>
          <w:rFonts w:ascii="Arial" w:hAnsi="Arial" w:cs="Arial"/>
          <w:color w:val="A5A5A5" w:themeColor="accent3"/>
        </w:rPr>
      </w:pPr>
    </w:p>
    <w:p w14:paraId="0787019D" w14:textId="77777777" w:rsidR="009E61DE" w:rsidRDefault="009E61DE">
      <w:pPr>
        <w:rPr>
          <w:rFonts w:ascii="Arial" w:hAnsi="Arial" w:cs="Arial"/>
          <w:color w:val="A5A5A5" w:themeColor="accent3"/>
        </w:rPr>
      </w:pPr>
    </w:p>
    <w:p w14:paraId="2D7F78CC" w14:textId="77777777" w:rsidR="009E61DE" w:rsidRDefault="009E61DE">
      <w:pPr>
        <w:rPr>
          <w:rFonts w:ascii="Arial" w:hAnsi="Arial" w:cs="Arial"/>
          <w:color w:val="A5A5A5" w:themeColor="accent3"/>
        </w:rPr>
      </w:pPr>
    </w:p>
    <w:p w14:paraId="43AC8AD1" w14:textId="77777777" w:rsidR="009E61DE" w:rsidRDefault="009E61DE">
      <w:pPr>
        <w:rPr>
          <w:rFonts w:ascii="Arial" w:hAnsi="Arial" w:cs="Arial"/>
          <w:color w:val="A5A5A5" w:themeColor="accent3"/>
        </w:rPr>
      </w:pPr>
    </w:p>
    <w:p w14:paraId="0536CFC1" w14:textId="77777777" w:rsidR="009E61DE" w:rsidRDefault="009E61DE">
      <w:pPr>
        <w:rPr>
          <w:rFonts w:ascii="Arial" w:hAnsi="Arial" w:cs="Arial"/>
          <w:color w:val="A5A5A5" w:themeColor="accent3"/>
        </w:rPr>
      </w:pPr>
    </w:p>
    <w:p w14:paraId="28612964" w14:textId="77777777" w:rsidR="009E61DE" w:rsidRDefault="009E61DE">
      <w:pPr>
        <w:rPr>
          <w:rFonts w:ascii="Arial" w:hAnsi="Arial" w:cs="Arial"/>
          <w:color w:val="A5A5A5" w:themeColor="accent3"/>
        </w:rPr>
      </w:pPr>
    </w:p>
    <w:p w14:paraId="1746AE90" w14:textId="77777777" w:rsidR="009E61DE" w:rsidRDefault="009E61DE">
      <w:pPr>
        <w:rPr>
          <w:rFonts w:ascii="Arial" w:hAnsi="Arial" w:cs="Arial"/>
          <w:color w:val="A5A5A5" w:themeColor="accent3"/>
        </w:rPr>
      </w:pPr>
    </w:p>
    <w:p w14:paraId="54627CF3" w14:textId="77777777" w:rsidR="009E61DE" w:rsidRDefault="009E61DE">
      <w:pPr>
        <w:rPr>
          <w:rFonts w:ascii="Arial" w:hAnsi="Arial" w:cs="Arial"/>
          <w:color w:val="A5A5A5" w:themeColor="accent3"/>
        </w:rPr>
      </w:pPr>
    </w:p>
    <w:p w14:paraId="494A0569" w14:textId="77777777" w:rsidR="009E61DE" w:rsidRDefault="009E61DE">
      <w:pPr>
        <w:rPr>
          <w:rFonts w:ascii="Arial" w:hAnsi="Arial" w:cs="Arial"/>
          <w:color w:val="A5A5A5" w:themeColor="accent3"/>
        </w:rPr>
      </w:pPr>
    </w:p>
    <w:p w14:paraId="61AE584A" w14:textId="77777777" w:rsidR="009E61DE" w:rsidRDefault="009E61DE">
      <w:pPr>
        <w:rPr>
          <w:rFonts w:ascii="Arial" w:hAnsi="Arial" w:cs="Arial"/>
          <w:color w:val="A5A5A5" w:themeColor="accent3"/>
        </w:rPr>
      </w:pPr>
    </w:p>
    <w:p w14:paraId="6B237D54" w14:textId="77777777" w:rsidR="009E61DE" w:rsidRPr="009E61DE" w:rsidRDefault="009E61DE" w:rsidP="009E61DE">
      <w:pPr>
        <w:rPr>
          <w:rFonts w:ascii="Arial" w:eastAsia="Times New Roman" w:hAnsi="Arial" w:cs="Times New Roman"/>
          <w:kern w:val="0"/>
          <w14:ligatures w14:val="none"/>
        </w:rPr>
      </w:pPr>
      <w:r w:rsidRPr="009E61DE">
        <w:rPr>
          <w:rFonts w:ascii="Arial" w:eastAsia="Times New Roman" w:hAnsi="Arial" w:cs="Times New Roman"/>
          <w:noProof/>
          <w:kern w:val="0"/>
          <w:sz w:val="24"/>
          <w:szCs w:val="24"/>
          <w14:ligatures w14:val="none"/>
        </w:rPr>
        <w:drawing>
          <wp:inline distT="0" distB="0" distL="0" distR="0" wp14:anchorId="56B0F07B" wp14:editId="5D0677EC">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4B8BE412" w14:textId="22CFB415" w:rsidR="009E61DE" w:rsidRPr="009E61DE" w:rsidRDefault="009E61DE" w:rsidP="009E61DE">
      <w:pPr>
        <w:rPr>
          <w:rFonts w:ascii="Arial" w:eastAsia="Times New Roman" w:hAnsi="Arial" w:cs="Times New Roman"/>
          <w:kern w:val="0"/>
          <w14:ligatures w14:val="none"/>
        </w:rPr>
      </w:pPr>
      <w:r w:rsidRPr="009E61DE">
        <w:rPr>
          <w:rFonts w:ascii="Arial" w:eastAsia="Times New Roman" w:hAnsi="Arial" w:cs="Times New Roman"/>
          <w:kern w:val="0"/>
          <w14:ligatures w14:val="none"/>
        </w:rPr>
        <w:t>© Crown copyright 20</w:t>
      </w:r>
      <w:r>
        <w:rPr>
          <w:rFonts w:ascii="Arial" w:eastAsia="Times New Roman" w:hAnsi="Arial" w:cs="Times New Roman"/>
          <w:kern w:val="0"/>
          <w14:ligatures w14:val="none"/>
        </w:rPr>
        <w:t>23</w:t>
      </w:r>
    </w:p>
    <w:p w14:paraId="50B95763" w14:textId="77777777" w:rsidR="009E61DE" w:rsidRPr="009E61DE" w:rsidRDefault="009E61DE" w:rsidP="009E61DE">
      <w:pPr>
        <w:rPr>
          <w:rFonts w:ascii="Arial" w:eastAsia="Times New Roman" w:hAnsi="Arial" w:cs="Times New Roman"/>
          <w:kern w:val="0"/>
          <w14:ligatures w14:val="none"/>
        </w:rPr>
      </w:pPr>
      <w:r w:rsidRPr="009E61DE">
        <w:rPr>
          <w:rFonts w:ascii="Arial" w:eastAsia="Times New Roman" w:hAnsi="Arial" w:cs="Times New Roman"/>
          <w:kern w:val="0"/>
          <w14:ligatures w14:val="none"/>
        </w:rPr>
        <w:t xml:space="preserve">This publication </w:t>
      </w:r>
      <w:proofErr w:type="gramStart"/>
      <w:r w:rsidRPr="009E61DE">
        <w:rPr>
          <w:rFonts w:ascii="Arial" w:eastAsia="Times New Roman" w:hAnsi="Arial" w:cs="Times New Roman"/>
          <w:kern w:val="0"/>
          <w14:ligatures w14:val="none"/>
        </w:rPr>
        <w:t>is licensed</w:t>
      </w:r>
      <w:proofErr w:type="gramEnd"/>
      <w:r w:rsidRPr="009E61DE">
        <w:rPr>
          <w:rFonts w:ascii="Arial" w:eastAsia="Times New Roman" w:hAnsi="Arial" w:cs="Times New Roman"/>
          <w:kern w:val="0"/>
          <w14:ligatures w14:val="none"/>
        </w:rPr>
        <w:t xml:space="preserve"> under the terms of the Open Government Licence v3.0 except where otherwise stated. To view this licence, visit </w:t>
      </w:r>
      <w:hyperlink r:id="rId15" w:history="1">
        <w:r w:rsidRPr="009E61DE">
          <w:rPr>
            <w:rFonts w:ascii="Arial" w:eastAsia="Times New Roman" w:hAnsi="Arial" w:cs="Times New Roman"/>
            <w:color w:val="0563C1" w:themeColor="hyperlink"/>
            <w:kern w:val="0"/>
            <w:u w:val="single"/>
            <w14:ligatures w14:val="none"/>
          </w:rPr>
          <w:t>nationalarchives.gov.uk/doc/open-government-licence/version/3</w:t>
        </w:r>
      </w:hyperlink>
      <w:r w:rsidRPr="009E61DE">
        <w:rPr>
          <w:rFonts w:ascii="Arial" w:eastAsia="Times New Roman" w:hAnsi="Arial" w:cs="Times New Roman"/>
          <w:kern w:val="0"/>
          <w14:ligatures w14:val="none"/>
        </w:rPr>
        <w:t xml:space="preserve"> or write to the Information Policy Team, The National Archives, Kew, London TW9 4DU, or email: </w:t>
      </w:r>
      <w:hyperlink r:id="rId16" w:history="1">
        <w:r w:rsidRPr="009E61DE">
          <w:rPr>
            <w:rFonts w:ascii="Arial" w:eastAsia="Times New Roman" w:hAnsi="Arial" w:cs="Times New Roman"/>
            <w:color w:val="0563C1" w:themeColor="hyperlink"/>
            <w:kern w:val="0"/>
            <w:u w:val="single"/>
            <w14:ligatures w14:val="none"/>
          </w:rPr>
          <w:t>psi@nationalarchives.gsi.gov.uk</w:t>
        </w:r>
      </w:hyperlink>
      <w:r w:rsidRPr="009E61DE">
        <w:rPr>
          <w:rFonts w:ascii="Arial" w:eastAsia="Times New Roman" w:hAnsi="Arial" w:cs="Times New Roman"/>
          <w:kern w:val="0"/>
          <w14:ligatures w14:val="none"/>
        </w:rPr>
        <w:t xml:space="preserve">. </w:t>
      </w:r>
    </w:p>
    <w:p w14:paraId="715A4A6D" w14:textId="77777777" w:rsidR="009E61DE" w:rsidRPr="009E61DE" w:rsidRDefault="009E61DE" w:rsidP="009E61DE">
      <w:pPr>
        <w:rPr>
          <w:rFonts w:ascii="Arial" w:eastAsia="Times New Roman" w:hAnsi="Arial" w:cs="Times New Roman"/>
          <w:kern w:val="0"/>
          <w14:ligatures w14:val="none"/>
        </w:rPr>
      </w:pPr>
      <w:r w:rsidRPr="009E61DE">
        <w:rPr>
          <w:rFonts w:ascii="Arial" w:eastAsia="Times New Roman" w:hAnsi="Arial" w:cs="Times New Roman"/>
          <w:kern w:val="0"/>
          <w14:ligatures w14:val="none"/>
        </w:rPr>
        <w:t>Where we have identified any third-party copyright information you will need to obtain permission from the copyright holders concerned.</w:t>
      </w:r>
    </w:p>
    <w:p w14:paraId="2FE63328" w14:textId="77777777" w:rsidR="009E61DE" w:rsidRPr="009E61DE" w:rsidRDefault="009E61DE" w:rsidP="009E61DE">
      <w:pPr>
        <w:rPr>
          <w:rFonts w:ascii="Arial" w:eastAsia="Times New Roman" w:hAnsi="Arial" w:cs="Times New Roman"/>
          <w:kern w:val="0"/>
          <w14:ligatures w14:val="none"/>
        </w:rPr>
      </w:pPr>
      <w:r w:rsidRPr="009E61DE">
        <w:rPr>
          <w:rFonts w:ascii="Arial" w:eastAsia="Times New Roman" w:hAnsi="Arial" w:cs="Times New Roman"/>
          <w:kern w:val="0"/>
          <w14:ligatures w14:val="none"/>
        </w:rPr>
        <w:t xml:space="preserve">Any enquiries regarding this publication should </w:t>
      </w:r>
      <w:proofErr w:type="gramStart"/>
      <w:r w:rsidRPr="009E61DE">
        <w:rPr>
          <w:rFonts w:ascii="Arial" w:eastAsia="Times New Roman" w:hAnsi="Arial" w:cs="Times New Roman"/>
          <w:kern w:val="0"/>
          <w14:ligatures w14:val="none"/>
        </w:rPr>
        <w:t>be sent</w:t>
      </w:r>
      <w:proofErr w:type="gramEnd"/>
      <w:r w:rsidRPr="009E61DE">
        <w:rPr>
          <w:rFonts w:ascii="Arial" w:eastAsia="Times New Roman" w:hAnsi="Arial" w:cs="Times New Roman"/>
          <w:kern w:val="0"/>
          <w14:ligatures w14:val="none"/>
        </w:rPr>
        <w:t xml:space="preserve"> to us at: </w:t>
      </w:r>
    </w:p>
    <w:p w14:paraId="578B14A1" w14:textId="3BFEDFDD" w:rsidR="00462E61" w:rsidRDefault="0005646A">
      <w:pPr>
        <w:rPr>
          <w:rFonts w:ascii="Arial" w:hAnsi="Arial" w:cs="Arial"/>
          <w:color w:val="A5A5A5" w:themeColor="accent3"/>
        </w:rPr>
      </w:pPr>
      <w:hyperlink r:id="rId17" w:history="1">
        <w:r w:rsidR="009E61DE" w:rsidRPr="009E61DE">
          <w:rPr>
            <w:rFonts w:ascii="Arial" w:eastAsia="Times New Roman" w:hAnsi="Arial" w:cs="Times New Roman"/>
            <w:color w:val="0563C1" w:themeColor="hyperlink"/>
            <w:kern w:val="0"/>
            <w:u w:val="single"/>
            <w14:ligatures w14:val="none"/>
          </w:rPr>
          <w:t>ODA-Transparency@beis.gov.uk</w:t>
        </w:r>
      </w:hyperlink>
    </w:p>
    <w:sdt>
      <w:sdtPr>
        <w:rPr>
          <w:rFonts w:ascii="Arial" w:eastAsiaTheme="minorHAnsi" w:hAnsi="Arial" w:cs="Arial"/>
          <w:color w:val="auto"/>
          <w:kern w:val="2"/>
          <w:sz w:val="22"/>
          <w:szCs w:val="22"/>
          <w:lang w:val="en-GB"/>
          <w14:ligatures w14:val="standardContextual"/>
        </w:rPr>
        <w:id w:val="-2080277051"/>
        <w:docPartObj>
          <w:docPartGallery w:val="Table of Contents"/>
          <w:docPartUnique/>
        </w:docPartObj>
      </w:sdtPr>
      <w:sdtEndPr>
        <w:rPr>
          <w:b/>
          <w:bCs/>
          <w:noProof/>
        </w:rPr>
      </w:sdtEndPr>
      <w:sdtContent>
        <w:p w14:paraId="5D81EE58" w14:textId="77777777" w:rsidR="00462E61" w:rsidRPr="004F6284" w:rsidRDefault="00462E61" w:rsidP="00462E61">
          <w:pPr>
            <w:pStyle w:val="TOCHeading"/>
            <w:jc w:val="center"/>
            <w:rPr>
              <w:rFonts w:ascii="Arial" w:hAnsi="Arial" w:cs="Arial"/>
              <w:b/>
              <w:bCs/>
              <w:color w:val="auto"/>
            </w:rPr>
          </w:pPr>
          <w:r w:rsidRPr="004F6284">
            <w:rPr>
              <w:rFonts w:ascii="Arial" w:hAnsi="Arial" w:cs="Arial"/>
              <w:b/>
              <w:bCs/>
              <w:color w:val="auto"/>
            </w:rPr>
            <w:t>Contents</w:t>
          </w:r>
        </w:p>
        <w:p w14:paraId="01EF18BD" w14:textId="6BC70FA9" w:rsidR="007E63FE" w:rsidRDefault="00462E61">
          <w:pPr>
            <w:pStyle w:val="TOC1"/>
            <w:tabs>
              <w:tab w:val="right" w:leader="dot" w:pos="9016"/>
            </w:tabs>
            <w:rPr>
              <w:rFonts w:eastAsiaTheme="minorEastAsia"/>
              <w:noProof/>
              <w:lang w:eastAsia="en-GB"/>
            </w:rPr>
          </w:pPr>
          <w:r w:rsidRPr="00324E48">
            <w:rPr>
              <w:rFonts w:ascii="Arial" w:hAnsi="Arial" w:cs="Arial"/>
            </w:rPr>
            <w:fldChar w:fldCharType="begin"/>
          </w:r>
          <w:r w:rsidRPr="00324E48">
            <w:rPr>
              <w:rFonts w:ascii="Arial" w:hAnsi="Arial" w:cs="Arial"/>
            </w:rPr>
            <w:instrText xml:space="preserve"> TOC \o "1-3" \h \z \u </w:instrText>
          </w:r>
          <w:r w:rsidRPr="00324E48">
            <w:rPr>
              <w:rFonts w:ascii="Arial" w:hAnsi="Arial" w:cs="Arial"/>
            </w:rPr>
            <w:fldChar w:fldCharType="separate"/>
          </w:r>
          <w:hyperlink w:anchor="_Toc162948066" w:history="1">
            <w:r w:rsidR="007E63FE" w:rsidRPr="00266A24">
              <w:rPr>
                <w:rStyle w:val="Hyperlink"/>
                <w:rFonts w:ascii="Arial" w:hAnsi="Arial" w:cs="Arial"/>
                <w:b/>
                <w:bCs/>
                <w:noProof/>
              </w:rPr>
              <w:t>Section A: Summary and Overview</w:t>
            </w:r>
            <w:r w:rsidR="007E63FE">
              <w:rPr>
                <w:noProof/>
                <w:webHidden/>
              </w:rPr>
              <w:tab/>
            </w:r>
            <w:r w:rsidR="007E63FE">
              <w:rPr>
                <w:noProof/>
                <w:webHidden/>
              </w:rPr>
              <w:fldChar w:fldCharType="begin"/>
            </w:r>
            <w:r w:rsidR="007E63FE">
              <w:rPr>
                <w:noProof/>
                <w:webHidden/>
              </w:rPr>
              <w:instrText xml:space="preserve"> PAGEREF _Toc162948066 \h </w:instrText>
            </w:r>
            <w:r w:rsidR="007E63FE">
              <w:rPr>
                <w:noProof/>
                <w:webHidden/>
              </w:rPr>
            </w:r>
            <w:r w:rsidR="007E63FE">
              <w:rPr>
                <w:noProof/>
                <w:webHidden/>
              </w:rPr>
              <w:fldChar w:fldCharType="separate"/>
            </w:r>
            <w:r w:rsidR="00F842C1">
              <w:rPr>
                <w:noProof/>
                <w:webHidden/>
              </w:rPr>
              <w:t>4</w:t>
            </w:r>
            <w:r w:rsidR="007E63FE">
              <w:rPr>
                <w:noProof/>
                <w:webHidden/>
              </w:rPr>
              <w:fldChar w:fldCharType="end"/>
            </w:r>
          </w:hyperlink>
        </w:p>
        <w:p w14:paraId="4C94C375" w14:textId="6EB70DA4" w:rsidR="007E63FE" w:rsidRDefault="007E63FE">
          <w:pPr>
            <w:pStyle w:val="TOC2"/>
            <w:tabs>
              <w:tab w:val="right" w:leader="dot" w:pos="9016"/>
            </w:tabs>
            <w:rPr>
              <w:rFonts w:eastAsiaTheme="minorEastAsia"/>
              <w:noProof/>
              <w:lang w:eastAsia="en-GB"/>
            </w:rPr>
          </w:pPr>
          <w:hyperlink w:anchor="_Toc162948067" w:history="1">
            <w:r w:rsidRPr="00266A24">
              <w:rPr>
                <w:rStyle w:val="Hyperlink"/>
                <w:rFonts w:cs="Arial"/>
                <w:noProof/>
              </w:rPr>
              <w:t>Description of the programme</w:t>
            </w:r>
            <w:r>
              <w:rPr>
                <w:noProof/>
                <w:webHidden/>
              </w:rPr>
              <w:tab/>
            </w:r>
            <w:r>
              <w:rPr>
                <w:noProof/>
                <w:webHidden/>
              </w:rPr>
              <w:fldChar w:fldCharType="begin"/>
            </w:r>
            <w:r>
              <w:rPr>
                <w:noProof/>
                <w:webHidden/>
              </w:rPr>
              <w:instrText xml:space="preserve"> PAGEREF _Toc162948067 \h </w:instrText>
            </w:r>
            <w:r>
              <w:rPr>
                <w:noProof/>
                <w:webHidden/>
              </w:rPr>
            </w:r>
            <w:r>
              <w:rPr>
                <w:noProof/>
                <w:webHidden/>
              </w:rPr>
              <w:fldChar w:fldCharType="separate"/>
            </w:r>
            <w:r w:rsidR="00F842C1">
              <w:rPr>
                <w:noProof/>
                <w:webHidden/>
              </w:rPr>
              <w:t>4</w:t>
            </w:r>
            <w:r>
              <w:rPr>
                <w:noProof/>
                <w:webHidden/>
              </w:rPr>
              <w:fldChar w:fldCharType="end"/>
            </w:r>
          </w:hyperlink>
        </w:p>
        <w:p w14:paraId="021B2D36" w14:textId="4CFEB421" w:rsidR="007E63FE" w:rsidRDefault="007E63FE">
          <w:pPr>
            <w:pStyle w:val="TOC2"/>
            <w:tabs>
              <w:tab w:val="right" w:leader="dot" w:pos="9016"/>
            </w:tabs>
            <w:rPr>
              <w:rFonts w:eastAsiaTheme="minorEastAsia"/>
              <w:noProof/>
              <w:lang w:eastAsia="en-GB"/>
            </w:rPr>
          </w:pPr>
          <w:hyperlink w:anchor="_Toc162948068" w:history="1">
            <w:r w:rsidRPr="00266A24">
              <w:rPr>
                <w:rStyle w:val="Hyperlink"/>
                <w:rFonts w:cs="Arial"/>
                <w:noProof/>
              </w:rPr>
              <w:t>Summary of progress and supporting narrative for the overall score</w:t>
            </w:r>
            <w:r>
              <w:rPr>
                <w:noProof/>
                <w:webHidden/>
              </w:rPr>
              <w:tab/>
            </w:r>
            <w:r>
              <w:rPr>
                <w:noProof/>
                <w:webHidden/>
              </w:rPr>
              <w:fldChar w:fldCharType="begin"/>
            </w:r>
            <w:r>
              <w:rPr>
                <w:noProof/>
                <w:webHidden/>
              </w:rPr>
              <w:instrText xml:space="preserve"> PAGEREF _Toc162948068 \h </w:instrText>
            </w:r>
            <w:r>
              <w:rPr>
                <w:noProof/>
                <w:webHidden/>
              </w:rPr>
            </w:r>
            <w:r>
              <w:rPr>
                <w:noProof/>
                <w:webHidden/>
              </w:rPr>
              <w:fldChar w:fldCharType="separate"/>
            </w:r>
            <w:r w:rsidR="00F842C1">
              <w:rPr>
                <w:noProof/>
                <w:webHidden/>
              </w:rPr>
              <w:t>5</w:t>
            </w:r>
            <w:r>
              <w:rPr>
                <w:noProof/>
                <w:webHidden/>
              </w:rPr>
              <w:fldChar w:fldCharType="end"/>
            </w:r>
          </w:hyperlink>
        </w:p>
        <w:p w14:paraId="67A22298" w14:textId="61371795" w:rsidR="007E63FE" w:rsidRDefault="007E63FE">
          <w:pPr>
            <w:pStyle w:val="TOC2"/>
            <w:tabs>
              <w:tab w:val="right" w:leader="dot" w:pos="9016"/>
            </w:tabs>
            <w:rPr>
              <w:rFonts w:eastAsiaTheme="minorEastAsia"/>
              <w:noProof/>
              <w:lang w:eastAsia="en-GB"/>
            </w:rPr>
          </w:pPr>
          <w:hyperlink w:anchor="_Toc162948069" w:history="1">
            <w:r w:rsidRPr="00266A24">
              <w:rPr>
                <w:rStyle w:val="Hyperlink"/>
                <w:rFonts w:cs="Arial"/>
                <w:noProof/>
              </w:rPr>
              <w:t>Progress against recommendations from the last review</w:t>
            </w:r>
            <w:r>
              <w:rPr>
                <w:noProof/>
                <w:webHidden/>
              </w:rPr>
              <w:tab/>
            </w:r>
            <w:r>
              <w:rPr>
                <w:noProof/>
                <w:webHidden/>
              </w:rPr>
              <w:fldChar w:fldCharType="begin"/>
            </w:r>
            <w:r>
              <w:rPr>
                <w:noProof/>
                <w:webHidden/>
              </w:rPr>
              <w:instrText xml:space="preserve"> PAGEREF _Toc162948069 \h </w:instrText>
            </w:r>
            <w:r>
              <w:rPr>
                <w:noProof/>
                <w:webHidden/>
              </w:rPr>
            </w:r>
            <w:r>
              <w:rPr>
                <w:noProof/>
                <w:webHidden/>
              </w:rPr>
              <w:fldChar w:fldCharType="separate"/>
            </w:r>
            <w:r w:rsidR="00F842C1">
              <w:rPr>
                <w:noProof/>
                <w:webHidden/>
              </w:rPr>
              <w:t>6</w:t>
            </w:r>
            <w:r>
              <w:rPr>
                <w:noProof/>
                <w:webHidden/>
              </w:rPr>
              <w:fldChar w:fldCharType="end"/>
            </w:r>
          </w:hyperlink>
        </w:p>
        <w:p w14:paraId="521600FB" w14:textId="5898A720" w:rsidR="007E63FE" w:rsidRDefault="007E63FE">
          <w:pPr>
            <w:pStyle w:val="TOC2"/>
            <w:tabs>
              <w:tab w:val="right" w:leader="dot" w:pos="9016"/>
            </w:tabs>
            <w:rPr>
              <w:rFonts w:eastAsiaTheme="minorEastAsia"/>
              <w:noProof/>
              <w:lang w:eastAsia="en-GB"/>
            </w:rPr>
          </w:pPr>
          <w:hyperlink w:anchor="_Toc162948070" w:history="1">
            <w:r w:rsidRPr="00266A24">
              <w:rPr>
                <w:rStyle w:val="Hyperlink"/>
                <w:rFonts w:cs="Arial"/>
                <w:noProof/>
              </w:rPr>
              <w:t>Major lessons learned, evidence generated, evaluations completed and recommendations</w:t>
            </w:r>
            <w:r>
              <w:rPr>
                <w:noProof/>
                <w:webHidden/>
              </w:rPr>
              <w:tab/>
            </w:r>
            <w:r>
              <w:rPr>
                <w:noProof/>
                <w:webHidden/>
              </w:rPr>
              <w:fldChar w:fldCharType="begin"/>
            </w:r>
            <w:r>
              <w:rPr>
                <w:noProof/>
                <w:webHidden/>
              </w:rPr>
              <w:instrText xml:space="preserve"> PAGEREF _Toc162948070 \h </w:instrText>
            </w:r>
            <w:r>
              <w:rPr>
                <w:noProof/>
                <w:webHidden/>
              </w:rPr>
            </w:r>
            <w:r>
              <w:rPr>
                <w:noProof/>
                <w:webHidden/>
              </w:rPr>
              <w:fldChar w:fldCharType="separate"/>
            </w:r>
            <w:r w:rsidR="00F842C1">
              <w:rPr>
                <w:noProof/>
                <w:webHidden/>
              </w:rPr>
              <w:t>6</w:t>
            </w:r>
            <w:r>
              <w:rPr>
                <w:noProof/>
                <w:webHidden/>
              </w:rPr>
              <w:fldChar w:fldCharType="end"/>
            </w:r>
          </w:hyperlink>
        </w:p>
        <w:p w14:paraId="31306CE9" w14:textId="6FA9832B" w:rsidR="007E63FE" w:rsidRDefault="007E63FE">
          <w:pPr>
            <w:pStyle w:val="TOC2"/>
            <w:tabs>
              <w:tab w:val="right" w:leader="dot" w:pos="9016"/>
            </w:tabs>
            <w:rPr>
              <w:rFonts w:eastAsiaTheme="minorEastAsia"/>
              <w:noProof/>
              <w:lang w:eastAsia="en-GB"/>
            </w:rPr>
          </w:pPr>
          <w:hyperlink w:anchor="_Toc162948071" w:history="1">
            <w:r w:rsidRPr="00266A24">
              <w:rPr>
                <w:rStyle w:val="Hyperlink"/>
                <w:rFonts w:cs="Arial"/>
                <w:noProof/>
              </w:rPr>
              <w:t>Actions following approval of this report</w:t>
            </w:r>
            <w:r>
              <w:rPr>
                <w:noProof/>
                <w:webHidden/>
              </w:rPr>
              <w:tab/>
            </w:r>
            <w:r>
              <w:rPr>
                <w:noProof/>
                <w:webHidden/>
              </w:rPr>
              <w:fldChar w:fldCharType="begin"/>
            </w:r>
            <w:r>
              <w:rPr>
                <w:noProof/>
                <w:webHidden/>
              </w:rPr>
              <w:instrText xml:space="preserve"> PAGEREF _Toc162948071 \h </w:instrText>
            </w:r>
            <w:r>
              <w:rPr>
                <w:noProof/>
                <w:webHidden/>
              </w:rPr>
            </w:r>
            <w:r>
              <w:rPr>
                <w:noProof/>
                <w:webHidden/>
              </w:rPr>
              <w:fldChar w:fldCharType="separate"/>
            </w:r>
            <w:r w:rsidR="00F842C1">
              <w:rPr>
                <w:noProof/>
                <w:webHidden/>
              </w:rPr>
              <w:t>9</w:t>
            </w:r>
            <w:r>
              <w:rPr>
                <w:noProof/>
                <w:webHidden/>
              </w:rPr>
              <w:fldChar w:fldCharType="end"/>
            </w:r>
          </w:hyperlink>
        </w:p>
        <w:p w14:paraId="29CEE450" w14:textId="62F3D6D8" w:rsidR="007E63FE" w:rsidRDefault="007E63FE">
          <w:pPr>
            <w:pStyle w:val="TOC1"/>
            <w:tabs>
              <w:tab w:val="right" w:leader="dot" w:pos="9016"/>
            </w:tabs>
            <w:rPr>
              <w:rFonts w:eastAsiaTheme="minorEastAsia"/>
              <w:noProof/>
              <w:lang w:eastAsia="en-GB"/>
            </w:rPr>
          </w:pPr>
          <w:hyperlink w:anchor="_Toc162948072" w:history="1">
            <w:r w:rsidRPr="00266A24">
              <w:rPr>
                <w:rStyle w:val="Hyperlink"/>
                <w:rFonts w:ascii="Arial" w:hAnsi="Arial" w:cs="Arial"/>
                <w:b/>
                <w:bCs/>
                <w:noProof/>
              </w:rPr>
              <w:t>Section B: Theory of Change and Outcome Assessment</w:t>
            </w:r>
            <w:r>
              <w:rPr>
                <w:noProof/>
                <w:webHidden/>
              </w:rPr>
              <w:tab/>
            </w:r>
            <w:r>
              <w:rPr>
                <w:noProof/>
                <w:webHidden/>
              </w:rPr>
              <w:fldChar w:fldCharType="begin"/>
            </w:r>
            <w:r>
              <w:rPr>
                <w:noProof/>
                <w:webHidden/>
              </w:rPr>
              <w:instrText xml:space="preserve"> PAGEREF _Toc162948072 \h </w:instrText>
            </w:r>
            <w:r>
              <w:rPr>
                <w:noProof/>
                <w:webHidden/>
              </w:rPr>
            </w:r>
            <w:r>
              <w:rPr>
                <w:noProof/>
                <w:webHidden/>
              </w:rPr>
              <w:fldChar w:fldCharType="separate"/>
            </w:r>
            <w:r w:rsidR="00F842C1">
              <w:rPr>
                <w:noProof/>
                <w:webHidden/>
              </w:rPr>
              <w:t>10</w:t>
            </w:r>
            <w:r>
              <w:rPr>
                <w:noProof/>
                <w:webHidden/>
              </w:rPr>
              <w:fldChar w:fldCharType="end"/>
            </w:r>
          </w:hyperlink>
        </w:p>
        <w:p w14:paraId="01199759" w14:textId="16576C0C" w:rsidR="007E63FE" w:rsidRDefault="007E63FE">
          <w:pPr>
            <w:pStyle w:val="TOC2"/>
            <w:tabs>
              <w:tab w:val="right" w:leader="dot" w:pos="9016"/>
            </w:tabs>
            <w:rPr>
              <w:rFonts w:eastAsiaTheme="minorEastAsia"/>
              <w:noProof/>
              <w:lang w:eastAsia="en-GB"/>
            </w:rPr>
          </w:pPr>
          <w:hyperlink w:anchor="_Toc162948073" w:history="1">
            <w:r w:rsidRPr="00266A24">
              <w:rPr>
                <w:rStyle w:val="Hyperlink"/>
                <w:rFonts w:cs="Arial"/>
                <w:noProof/>
              </w:rPr>
              <w:t>Overall assessment of programme impact, outcomes and sustainability</w:t>
            </w:r>
            <w:r>
              <w:rPr>
                <w:noProof/>
                <w:webHidden/>
              </w:rPr>
              <w:tab/>
            </w:r>
            <w:r>
              <w:rPr>
                <w:noProof/>
                <w:webHidden/>
              </w:rPr>
              <w:fldChar w:fldCharType="begin"/>
            </w:r>
            <w:r>
              <w:rPr>
                <w:noProof/>
                <w:webHidden/>
              </w:rPr>
              <w:instrText xml:space="preserve"> PAGEREF _Toc162948073 \h </w:instrText>
            </w:r>
            <w:r>
              <w:rPr>
                <w:noProof/>
                <w:webHidden/>
              </w:rPr>
            </w:r>
            <w:r>
              <w:rPr>
                <w:noProof/>
                <w:webHidden/>
              </w:rPr>
              <w:fldChar w:fldCharType="separate"/>
            </w:r>
            <w:r w:rsidR="00F842C1">
              <w:rPr>
                <w:noProof/>
                <w:webHidden/>
              </w:rPr>
              <w:t>11</w:t>
            </w:r>
            <w:r>
              <w:rPr>
                <w:noProof/>
                <w:webHidden/>
              </w:rPr>
              <w:fldChar w:fldCharType="end"/>
            </w:r>
          </w:hyperlink>
        </w:p>
        <w:p w14:paraId="4DCFF358" w14:textId="42C70E97" w:rsidR="007E63FE" w:rsidRDefault="007E63FE">
          <w:pPr>
            <w:pStyle w:val="TOC2"/>
            <w:tabs>
              <w:tab w:val="right" w:leader="dot" w:pos="9016"/>
            </w:tabs>
            <w:rPr>
              <w:rFonts w:eastAsiaTheme="minorEastAsia"/>
              <w:noProof/>
              <w:lang w:eastAsia="en-GB"/>
            </w:rPr>
          </w:pPr>
          <w:hyperlink w:anchor="_Toc162948074" w:history="1">
            <w:r w:rsidRPr="00266A24">
              <w:rPr>
                <w:rStyle w:val="Hyperlink"/>
                <w:rFonts w:cs="Arial"/>
                <w:noProof/>
              </w:rPr>
              <w:t>Summary of the programme’s theory of change and results framework</w:t>
            </w:r>
            <w:r>
              <w:rPr>
                <w:noProof/>
                <w:webHidden/>
              </w:rPr>
              <w:tab/>
            </w:r>
            <w:r>
              <w:rPr>
                <w:noProof/>
                <w:webHidden/>
              </w:rPr>
              <w:fldChar w:fldCharType="begin"/>
            </w:r>
            <w:r>
              <w:rPr>
                <w:noProof/>
                <w:webHidden/>
              </w:rPr>
              <w:instrText xml:space="preserve"> PAGEREF _Toc162948074 \h </w:instrText>
            </w:r>
            <w:r>
              <w:rPr>
                <w:noProof/>
                <w:webHidden/>
              </w:rPr>
            </w:r>
            <w:r>
              <w:rPr>
                <w:noProof/>
                <w:webHidden/>
              </w:rPr>
              <w:fldChar w:fldCharType="separate"/>
            </w:r>
            <w:r w:rsidR="00F842C1">
              <w:rPr>
                <w:noProof/>
                <w:webHidden/>
              </w:rPr>
              <w:t>12</w:t>
            </w:r>
            <w:r>
              <w:rPr>
                <w:noProof/>
                <w:webHidden/>
              </w:rPr>
              <w:fldChar w:fldCharType="end"/>
            </w:r>
          </w:hyperlink>
        </w:p>
        <w:p w14:paraId="3DB751C9" w14:textId="121CDEF3" w:rsidR="007E63FE" w:rsidRDefault="007E63FE">
          <w:pPr>
            <w:pStyle w:val="TOC1"/>
            <w:tabs>
              <w:tab w:val="right" w:leader="dot" w:pos="9016"/>
            </w:tabs>
            <w:rPr>
              <w:rFonts w:eastAsiaTheme="minorEastAsia"/>
              <w:noProof/>
              <w:lang w:eastAsia="en-GB"/>
            </w:rPr>
          </w:pPr>
          <w:hyperlink w:anchor="_Toc162948075" w:history="1">
            <w:r w:rsidRPr="00266A24">
              <w:rPr>
                <w:rStyle w:val="Hyperlink"/>
                <w:rFonts w:ascii="Arial" w:hAnsi="Arial" w:cs="Arial"/>
                <w:b/>
                <w:bCs/>
                <w:noProof/>
              </w:rPr>
              <w:t>Section C: Output Assessment</w:t>
            </w:r>
            <w:r>
              <w:rPr>
                <w:noProof/>
                <w:webHidden/>
              </w:rPr>
              <w:tab/>
            </w:r>
            <w:r>
              <w:rPr>
                <w:noProof/>
                <w:webHidden/>
              </w:rPr>
              <w:fldChar w:fldCharType="begin"/>
            </w:r>
            <w:r>
              <w:rPr>
                <w:noProof/>
                <w:webHidden/>
              </w:rPr>
              <w:instrText xml:space="preserve"> PAGEREF _Toc162948075 \h </w:instrText>
            </w:r>
            <w:r>
              <w:rPr>
                <w:noProof/>
                <w:webHidden/>
              </w:rPr>
            </w:r>
            <w:r>
              <w:rPr>
                <w:noProof/>
                <w:webHidden/>
              </w:rPr>
              <w:fldChar w:fldCharType="separate"/>
            </w:r>
            <w:r w:rsidR="00F842C1">
              <w:rPr>
                <w:noProof/>
                <w:webHidden/>
              </w:rPr>
              <w:t>14</w:t>
            </w:r>
            <w:r>
              <w:rPr>
                <w:noProof/>
                <w:webHidden/>
              </w:rPr>
              <w:fldChar w:fldCharType="end"/>
            </w:r>
          </w:hyperlink>
        </w:p>
        <w:p w14:paraId="3CC950A8" w14:textId="720D6734" w:rsidR="007E63FE" w:rsidRDefault="007E63FE">
          <w:pPr>
            <w:pStyle w:val="TOC2"/>
            <w:tabs>
              <w:tab w:val="right" w:leader="dot" w:pos="9016"/>
            </w:tabs>
            <w:rPr>
              <w:rFonts w:eastAsiaTheme="minorEastAsia"/>
              <w:noProof/>
              <w:lang w:eastAsia="en-GB"/>
            </w:rPr>
          </w:pPr>
          <w:hyperlink w:anchor="_Toc162948076" w:history="1">
            <w:r w:rsidRPr="00266A24">
              <w:rPr>
                <w:rStyle w:val="Hyperlink"/>
                <w:rFonts w:cs="Arial"/>
                <w:noProof/>
              </w:rPr>
              <w:t>Output 1</w:t>
            </w:r>
            <w:r>
              <w:rPr>
                <w:noProof/>
                <w:webHidden/>
              </w:rPr>
              <w:tab/>
            </w:r>
            <w:r>
              <w:rPr>
                <w:noProof/>
                <w:webHidden/>
              </w:rPr>
              <w:fldChar w:fldCharType="begin"/>
            </w:r>
            <w:r>
              <w:rPr>
                <w:noProof/>
                <w:webHidden/>
              </w:rPr>
              <w:instrText xml:space="preserve"> PAGEREF _Toc162948076 \h </w:instrText>
            </w:r>
            <w:r>
              <w:rPr>
                <w:noProof/>
                <w:webHidden/>
              </w:rPr>
            </w:r>
            <w:r>
              <w:rPr>
                <w:noProof/>
                <w:webHidden/>
              </w:rPr>
              <w:fldChar w:fldCharType="separate"/>
            </w:r>
            <w:r w:rsidR="00F842C1">
              <w:rPr>
                <w:noProof/>
                <w:webHidden/>
              </w:rPr>
              <w:t>14</w:t>
            </w:r>
            <w:r>
              <w:rPr>
                <w:noProof/>
                <w:webHidden/>
              </w:rPr>
              <w:fldChar w:fldCharType="end"/>
            </w:r>
          </w:hyperlink>
        </w:p>
        <w:p w14:paraId="1227FF32" w14:textId="50A79B9B" w:rsidR="007E63FE" w:rsidRDefault="007E63FE">
          <w:pPr>
            <w:pStyle w:val="TOC2"/>
            <w:tabs>
              <w:tab w:val="right" w:leader="dot" w:pos="9016"/>
            </w:tabs>
            <w:rPr>
              <w:rFonts w:eastAsiaTheme="minorEastAsia"/>
              <w:noProof/>
              <w:lang w:eastAsia="en-GB"/>
            </w:rPr>
          </w:pPr>
          <w:hyperlink w:anchor="_Toc162948077" w:history="1">
            <w:r w:rsidRPr="00266A24">
              <w:rPr>
                <w:rStyle w:val="Hyperlink"/>
                <w:rFonts w:cs="Arial"/>
                <w:noProof/>
              </w:rPr>
              <w:t>Output 2</w:t>
            </w:r>
            <w:r>
              <w:rPr>
                <w:noProof/>
                <w:webHidden/>
              </w:rPr>
              <w:tab/>
            </w:r>
            <w:r>
              <w:rPr>
                <w:noProof/>
                <w:webHidden/>
              </w:rPr>
              <w:fldChar w:fldCharType="begin"/>
            </w:r>
            <w:r>
              <w:rPr>
                <w:noProof/>
                <w:webHidden/>
              </w:rPr>
              <w:instrText xml:space="preserve"> PAGEREF _Toc162948077 \h </w:instrText>
            </w:r>
            <w:r>
              <w:rPr>
                <w:noProof/>
                <w:webHidden/>
              </w:rPr>
            </w:r>
            <w:r>
              <w:rPr>
                <w:noProof/>
                <w:webHidden/>
              </w:rPr>
              <w:fldChar w:fldCharType="separate"/>
            </w:r>
            <w:r w:rsidR="00F842C1">
              <w:rPr>
                <w:noProof/>
                <w:webHidden/>
              </w:rPr>
              <w:t>17</w:t>
            </w:r>
            <w:r>
              <w:rPr>
                <w:noProof/>
                <w:webHidden/>
              </w:rPr>
              <w:fldChar w:fldCharType="end"/>
            </w:r>
          </w:hyperlink>
        </w:p>
        <w:p w14:paraId="2375E38D" w14:textId="089215F4" w:rsidR="007E63FE" w:rsidRDefault="007E63FE">
          <w:pPr>
            <w:pStyle w:val="TOC1"/>
            <w:tabs>
              <w:tab w:val="right" w:leader="dot" w:pos="9016"/>
            </w:tabs>
            <w:rPr>
              <w:rFonts w:eastAsiaTheme="minorEastAsia"/>
              <w:noProof/>
              <w:lang w:eastAsia="en-GB"/>
            </w:rPr>
          </w:pPr>
          <w:hyperlink w:anchor="_Toc162948078" w:history="1">
            <w:r w:rsidRPr="00266A24">
              <w:rPr>
                <w:rStyle w:val="Hyperlink"/>
                <w:rFonts w:ascii="Arial" w:hAnsi="Arial" w:cs="Arial"/>
                <w:b/>
                <w:bCs/>
                <w:noProof/>
              </w:rPr>
              <w:t>Section D: Performance not captured by outputs</w:t>
            </w:r>
            <w:r>
              <w:rPr>
                <w:noProof/>
                <w:webHidden/>
              </w:rPr>
              <w:tab/>
            </w:r>
            <w:r>
              <w:rPr>
                <w:noProof/>
                <w:webHidden/>
              </w:rPr>
              <w:fldChar w:fldCharType="begin"/>
            </w:r>
            <w:r>
              <w:rPr>
                <w:noProof/>
                <w:webHidden/>
              </w:rPr>
              <w:instrText xml:space="preserve"> PAGEREF _Toc162948078 \h </w:instrText>
            </w:r>
            <w:r>
              <w:rPr>
                <w:noProof/>
                <w:webHidden/>
              </w:rPr>
            </w:r>
            <w:r>
              <w:rPr>
                <w:noProof/>
                <w:webHidden/>
              </w:rPr>
              <w:fldChar w:fldCharType="separate"/>
            </w:r>
            <w:r w:rsidR="00F842C1">
              <w:rPr>
                <w:noProof/>
                <w:webHidden/>
              </w:rPr>
              <w:t>19</w:t>
            </w:r>
            <w:r>
              <w:rPr>
                <w:noProof/>
                <w:webHidden/>
              </w:rPr>
              <w:fldChar w:fldCharType="end"/>
            </w:r>
          </w:hyperlink>
        </w:p>
        <w:p w14:paraId="7CA76F83" w14:textId="0C92D271" w:rsidR="007E63FE" w:rsidRDefault="007E63FE">
          <w:pPr>
            <w:pStyle w:val="TOC1"/>
            <w:tabs>
              <w:tab w:val="right" w:leader="dot" w:pos="9016"/>
            </w:tabs>
            <w:rPr>
              <w:rFonts w:eastAsiaTheme="minorEastAsia"/>
              <w:noProof/>
              <w:lang w:eastAsia="en-GB"/>
            </w:rPr>
          </w:pPr>
          <w:hyperlink w:anchor="_Toc162948079" w:history="1">
            <w:r w:rsidRPr="00266A24">
              <w:rPr>
                <w:rStyle w:val="Hyperlink"/>
                <w:rFonts w:ascii="Arial" w:hAnsi="Arial" w:cs="Arial"/>
                <w:b/>
                <w:bCs/>
                <w:noProof/>
              </w:rPr>
              <w:t>Section E: Value for Money</w:t>
            </w:r>
            <w:r>
              <w:rPr>
                <w:noProof/>
                <w:webHidden/>
              </w:rPr>
              <w:tab/>
            </w:r>
            <w:r>
              <w:rPr>
                <w:noProof/>
                <w:webHidden/>
              </w:rPr>
              <w:fldChar w:fldCharType="begin"/>
            </w:r>
            <w:r>
              <w:rPr>
                <w:noProof/>
                <w:webHidden/>
              </w:rPr>
              <w:instrText xml:space="preserve"> PAGEREF _Toc162948079 \h </w:instrText>
            </w:r>
            <w:r>
              <w:rPr>
                <w:noProof/>
                <w:webHidden/>
              </w:rPr>
            </w:r>
            <w:r>
              <w:rPr>
                <w:noProof/>
                <w:webHidden/>
              </w:rPr>
              <w:fldChar w:fldCharType="separate"/>
            </w:r>
            <w:r w:rsidR="00F842C1">
              <w:rPr>
                <w:noProof/>
                <w:webHidden/>
              </w:rPr>
              <w:t>19</w:t>
            </w:r>
            <w:r>
              <w:rPr>
                <w:noProof/>
                <w:webHidden/>
              </w:rPr>
              <w:fldChar w:fldCharType="end"/>
            </w:r>
          </w:hyperlink>
        </w:p>
        <w:p w14:paraId="3E6DE5E2" w14:textId="4FABCCE9" w:rsidR="007E63FE" w:rsidRDefault="007E63FE">
          <w:pPr>
            <w:pStyle w:val="TOC2"/>
            <w:tabs>
              <w:tab w:val="right" w:leader="dot" w:pos="9016"/>
            </w:tabs>
            <w:rPr>
              <w:rFonts w:eastAsiaTheme="minorEastAsia"/>
              <w:noProof/>
              <w:lang w:eastAsia="en-GB"/>
            </w:rPr>
          </w:pPr>
          <w:hyperlink w:anchor="_Toc162948080" w:history="1">
            <w:r w:rsidRPr="00266A24">
              <w:rPr>
                <w:rStyle w:val="Hyperlink"/>
                <w:rFonts w:cs="Arial"/>
                <w:noProof/>
              </w:rPr>
              <w:t>VfM assessment and performance compared to the original VfM proposition in the business case</w:t>
            </w:r>
            <w:r>
              <w:rPr>
                <w:noProof/>
                <w:webHidden/>
              </w:rPr>
              <w:tab/>
            </w:r>
            <w:r>
              <w:rPr>
                <w:noProof/>
                <w:webHidden/>
              </w:rPr>
              <w:fldChar w:fldCharType="begin"/>
            </w:r>
            <w:r>
              <w:rPr>
                <w:noProof/>
                <w:webHidden/>
              </w:rPr>
              <w:instrText xml:space="preserve"> PAGEREF _Toc162948080 \h </w:instrText>
            </w:r>
            <w:r>
              <w:rPr>
                <w:noProof/>
                <w:webHidden/>
              </w:rPr>
            </w:r>
            <w:r>
              <w:rPr>
                <w:noProof/>
                <w:webHidden/>
              </w:rPr>
              <w:fldChar w:fldCharType="separate"/>
            </w:r>
            <w:r w:rsidR="00F842C1">
              <w:rPr>
                <w:noProof/>
                <w:webHidden/>
              </w:rPr>
              <w:t>19</w:t>
            </w:r>
            <w:r>
              <w:rPr>
                <w:noProof/>
                <w:webHidden/>
              </w:rPr>
              <w:fldChar w:fldCharType="end"/>
            </w:r>
          </w:hyperlink>
        </w:p>
        <w:p w14:paraId="1918DB28" w14:textId="29758DB4" w:rsidR="007E63FE" w:rsidRDefault="007E63FE">
          <w:pPr>
            <w:pStyle w:val="TOC1"/>
            <w:tabs>
              <w:tab w:val="right" w:leader="dot" w:pos="9016"/>
            </w:tabs>
            <w:rPr>
              <w:rFonts w:eastAsiaTheme="minorEastAsia"/>
              <w:noProof/>
              <w:lang w:eastAsia="en-GB"/>
            </w:rPr>
          </w:pPr>
          <w:hyperlink w:anchor="_Toc162948081" w:history="1">
            <w:r w:rsidRPr="00266A24">
              <w:rPr>
                <w:rStyle w:val="Hyperlink"/>
                <w:rFonts w:ascii="Arial" w:hAnsi="Arial" w:cs="Arial"/>
                <w:b/>
                <w:bCs/>
                <w:noProof/>
              </w:rPr>
              <w:t>Section F: Risk</w:t>
            </w:r>
            <w:r>
              <w:rPr>
                <w:noProof/>
                <w:webHidden/>
              </w:rPr>
              <w:tab/>
            </w:r>
            <w:r>
              <w:rPr>
                <w:noProof/>
                <w:webHidden/>
              </w:rPr>
              <w:fldChar w:fldCharType="begin"/>
            </w:r>
            <w:r>
              <w:rPr>
                <w:noProof/>
                <w:webHidden/>
              </w:rPr>
              <w:instrText xml:space="preserve"> PAGEREF _Toc162948081 \h </w:instrText>
            </w:r>
            <w:r>
              <w:rPr>
                <w:noProof/>
                <w:webHidden/>
              </w:rPr>
            </w:r>
            <w:r>
              <w:rPr>
                <w:noProof/>
                <w:webHidden/>
              </w:rPr>
              <w:fldChar w:fldCharType="separate"/>
            </w:r>
            <w:r w:rsidR="00F842C1">
              <w:rPr>
                <w:noProof/>
                <w:webHidden/>
              </w:rPr>
              <w:t>21</w:t>
            </w:r>
            <w:r>
              <w:rPr>
                <w:noProof/>
                <w:webHidden/>
              </w:rPr>
              <w:fldChar w:fldCharType="end"/>
            </w:r>
          </w:hyperlink>
        </w:p>
        <w:p w14:paraId="699C4F04" w14:textId="6A0D9312" w:rsidR="007E63FE" w:rsidRDefault="007E63FE">
          <w:pPr>
            <w:pStyle w:val="TOC2"/>
            <w:tabs>
              <w:tab w:val="right" w:leader="dot" w:pos="9016"/>
            </w:tabs>
            <w:rPr>
              <w:rFonts w:eastAsiaTheme="minorEastAsia"/>
              <w:noProof/>
              <w:lang w:eastAsia="en-GB"/>
            </w:rPr>
          </w:pPr>
          <w:hyperlink w:anchor="_Toc162948082" w:history="1">
            <w:r w:rsidRPr="00266A24">
              <w:rPr>
                <w:rStyle w:val="Hyperlink"/>
                <w:rFonts w:cs="Arial"/>
                <w:noProof/>
              </w:rPr>
              <w:t>Overall Risk Rating</w:t>
            </w:r>
            <w:r>
              <w:rPr>
                <w:noProof/>
                <w:webHidden/>
              </w:rPr>
              <w:tab/>
            </w:r>
            <w:r>
              <w:rPr>
                <w:noProof/>
                <w:webHidden/>
              </w:rPr>
              <w:fldChar w:fldCharType="begin"/>
            </w:r>
            <w:r>
              <w:rPr>
                <w:noProof/>
                <w:webHidden/>
              </w:rPr>
              <w:instrText xml:space="preserve"> PAGEREF _Toc162948082 \h </w:instrText>
            </w:r>
            <w:r>
              <w:rPr>
                <w:noProof/>
                <w:webHidden/>
              </w:rPr>
            </w:r>
            <w:r>
              <w:rPr>
                <w:noProof/>
                <w:webHidden/>
              </w:rPr>
              <w:fldChar w:fldCharType="separate"/>
            </w:r>
            <w:r w:rsidR="00F842C1">
              <w:rPr>
                <w:noProof/>
                <w:webHidden/>
              </w:rPr>
              <w:t>21</w:t>
            </w:r>
            <w:r>
              <w:rPr>
                <w:noProof/>
                <w:webHidden/>
              </w:rPr>
              <w:fldChar w:fldCharType="end"/>
            </w:r>
          </w:hyperlink>
        </w:p>
        <w:p w14:paraId="2C904337" w14:textId="391CBADB" w:rsidR="007E63FE" w:rsidRDefault="007E63FE">
          <w:pPr>
            <w:pStyle w:val="TOC2"/>
            <w:tabs>
              <w:tab w:val="right" w:leader="dot" w:pos="9016"/>
            </w:tabs>
            <w:rPr>
              <w:rFonts w:eastAsiaTheme="minorEastAsia"/>
              <w:noProof/>
              <w:lang w:eastAsia="en-GB"/>
            </w:rPr>
          </w:pPr>
          <w:hyperlink w:anchor="_Toc162948083" w:history="1">
            <w:r w:rsidRPr="00266A24">
              <w:rPr>
                <w:rStyle w:val="Hyperlink"/>
                <w:rFonts w:cs="Arial"/>
                <w:noProof/>
              </w:rPr>
              <w:t>Overview of programme risk during the past year and over the life of the programme</w:t>
            </w:r>
            <w:r>
              <w:rPr>
                <w:noProof/>
                <w:webHidden/>
              </w:rPr>
              <w:tab/>
            </w:r>
            <w:r>
              <w:rPr>
                <w:noProof/>
                <w:webHidden/>
              </w:rPr>
              <w:fldChar w:fldCharType="begin"/>
            </w:r>
            <w:r>
              <w:rPr>
                <w:noProof/>
                <w:webHidden/>
              </w:rPr>
              <w:instrText xml:space="preserve"> PAGEREF _Toc162948083 \h </w:instrText>
            </w:r>
            <w:r>
              <w:rPr>
                <w:noProof/>
                <w:webHidden/>
              </w:rPr>
            </w:r>
            <w:r>
              <w:rPr>
                <w:noProof/>
                <w:webHidden/>
              </w:rPr>
              <w:fldChar w:fldCharType="separate"/>
            </w:r>
            <w:r w:rsidR="00F842C1">
              <w:rPr>
                <w:noProof/>
                <w:webHidden/>
              </w:rPr>
              <w:t>21</w:t>
            </w:r>
            <w:r>
              <w:rPr>
                <w:noProof/>
                <w:webHidden/>
              </w:rPr>
              <w:fldChar w:fldCharType="end"/>
            </w:r>
          </w:hyperlink>
        </w:p>
        <w:p w14:paraId="356F6B00" w14:textId="125A61BC" w:rsidR="007E63FE" w:rsidRDefault="007E63FE">
          <w:pPr>
            <w:pStyle w:val="TOC1"/>
            <w:tabs>
              <w:tab w:val="right" w:leader="dot" w:pos="9016"/>
            </w:tabs>
            <w:rPr>
              <w:rFonts w:eastAsiaTheme="minorEastAsia"/>
              <w:noProof/>
              <w:lang w:eastAsia="en-GB"/>
            </w:rPr>
          </w:pPr>
          <w:hyperlink w:anchor="_Toc162948084" w:history="1">
            <w:r w:rsidRPr="00266A24">
              <w:rPr>
                <w:rStyle w:val="Hyperlink"/>
                <w:rFonts w:ascii="Arial" w:hAnsi="Arial" w:cs="Arial"/>
                <w:b/>
                <w:bCs/>
                <w:noProof/>
              </w:rPr>
              <w:t>Section G: Programme Management: Commercial and Financial Performance</w:t>
            </w:r>
            <w:r>
              <w:rPr>
                <w:noProof/>
                <w:webHidden/>
              </w:rPr>
              <w:tab/>
            </w:r>
            <w:r>
              <w:rPr>
                <w:noProof/>
                <w:webHidden/>
              </w:rPr>
              <w:fldChar w:fldCharType="begin"/>
            </w:r>
            <w:r>
              <w:rPr>
                <w:noProof/>
                <w:webHidden/>
              </w:rPr>
              <w:instrText xml:space="preserve"> PAGEREF _Toc162948084 \h </w:instrText>
            </w:r>
            <w:r>
              <w:rPr>
                <w:noProof/>
                <w:webHidden/>
              </w:rPr>
            </w:r>
            <w:r>
              <w:rPr>
                <w:noProof/>
                <w:webHidden/>
              </w:rPr>
              <w:fldChar w:fldCharType="separate"/>
            </w:r>
            <w:r w:rsidR="00F842C1">
              <w:rPr>
                <w:noProof/>
                <w:webHidden/>
              </w:rPr>
              <w:t>24</w:t>
            </w:r>
            <w:r>
              <w:rPr>
                <w:noProof/>
                <w:webHidden/>
              </w:rPr>
              <w:fldChar w:fldCharType="end"/>
            </w:r>
          </w:hyperlink>
        </w:p>
        <w:p w14:paraId="0E68A68F" w14:textId="0B2C6F8E" w:rsidR="007E63FE" w:rsidRDefault="007E63FE">
          <w:pPr>
            <w:pStyle w:val="TOC2"/>
            <w:tabs>
              <w:tab w:val="right" w:leader="dot" w:pos="9016"/>
            </w:tabs>
            <w:rPr>
              <w:rFonts w:eastAsiaTheme="minorEastAsia"/>
              <w:noProof/>
              <w:lang w:eastAsia="en-GB"/>
            </w:rPr>
          </w:pPr>
          <w:hyperlink w:anchor="_Toc162948085" w:history="1">
            <w:r w:rsidRPr="00266A24">
              <w:rPr>
                <w:rStyle w:val="Hyperlink"/>
                <w:rFonts w:cs="Arial"/>
                <w:noProof/>
              </w:rPr>
              <w:t>Performance of partners and DESNZ, notably on commercial and financial issues</w:t>
            </w:r>
            <w:r>
              <w:rPr>
                <w:noProof/>
                <w:webHidden/>
              </w:rPr>
              <w:tab/>
            </w:r>
            <w:r>
              <w:rPr>
                <w:noProof/>
                <w:webHidden/>
              </w:rPr>
              <w:fldChar w:fldCharType="begin"/>
            </w:r>
            <w:r>
              <w:rPr>
                <w:noProof/>
                <w:webHidden/>
              </w:rPr>
              <w:instrText xml:space="preserve"> PAGEREF _Toc162948085 \h </w:instrText>
            </w:r>
            <w:r>
              <w:rPr>
                <w:noProof/>
                <w:webHidden/>
              </w:rPr>
            </w:r>
            <w:r>
              <w:rPr>
                <w:noProof/>
                <w:webHidden/>
              </w:rPr>
              <w:fldChar w:fldCharType="separate"/>
            </w:r>
            <w:r w:rsidR="00F842C1">
              <w:rPr>
                <w:noProof/>
                <w:webHidden/>
              </w:rPr>
              <w:t>24</w:t>
            </w:r>
            <w:r>
              <w:rPr>
                <w:noProof/>
                <w:webHidden/>
              </w:rPr>
              <w:fldChar w:fldCharType="end"/>
            </w:r>
          </w:hyperlink>
        </w:p>
        <w:p w14:paraId="5FCA8155" w14:textId="66181223" w:rsidR="007E63FE" w:rsidRDefault="007E63FE">
          <w:pPr>
            <w:pStyle w:val="TOC1"/>
            <w:tabs>
              <w:tab w:val="right" w:leader="dot" w:pos="9016"/>
            </w:tabs>
            <w:rPr>
              <w:rFonts w:eastAsiaTheme="minorEastAsia"/>
              <w:noProof/>
              <w:lang w:eastAsia="en-GB"/>
            </w:rPr>
          </w:pPr>
          <w:hyperlink w:anchor="_Toc162948086" w:history="1">
            <w:r w:rsidRPr="00266A24">
              <w:rPr>
                <w:rStyle w:val="Hyperlink"/>
                <w:rFonts w:ascii="Arial" w:hAnsi="Arial" w:cs="Arial"/>
                <w:b/>
                <w:bCs/>
                <w:noProof/>
              </w:rPr>
              <w:t>Section H: Monitoring and Evaluation</w:t>
            </w:r>
            <w:r>
              <w:rPr>
                <w:noProof/>
                <w:webHidden/>
              </w:rPr>
              <w:tab/>
            </w:r>
            <w:r>
              <w:rPr>
                <w:noProof/>
                <w:webHidden/>
              </w:rPr>
              <w:fldChar w:fldCharType="begin"/>
            </w:r>
            <w:r>
              <w:rPr>
                <w:noProof/>
                <w:webHidden/>
              </w:rPr>
              <w:instrText xml:space="preserve"> PAGEREF _Toc162948086 \h </w:instrText>
            </w:r>
            <w:r>
              <w:rPr>
                <w:noProof/>
                <w:webHidden/>
              </w:rPr>
            </w:r>
            <w:r>
              <w:rPr>
                <w:noProof/>
                <w:webHidden/>
              </w:rPr>
              <w:fldChar w:fldCharType="separate"/>
            </w:r>
            <w:r w:rsidR="00F842C1">
              <w:rPr>
                <w:noProof/>
                <w:webHidden/>
              </w:rPr>
              <w:t>25</w:t>
            </w:r>
            <w:r>
              <w:rPr>
                <w:noProof/>
                <w:webHidden/>
              </w:rPr>
              <w:fldChar w:fldCharType="end"/>
            </w:r>
          </w:hyperlink>
        </w:p>
        <w:p w14:paraId="76D07B5C" w14:textId="015FFA9E" w:rsidR="007E63FE" w:rsidRDefault="007E63FE">
          <w:pPr>
            <w:pStyle w:val="TOC2"/>
            <w:tabs>
              <w:tab w:val="right" w:leader="dot" w:pos="9016"/>
            </w:tabs>
            <w:rPr>
              <w:rFonts w:eastAsiaTheme="minorEastAsia"/>
              <w:noProof/>
              <w:lang w:eastAsia="en-GB"/>
            </w:rPr>
          </w:pPr>
          <w:hyperlink w:anchor="_Toc162948087" w:history="1">
            <w:r w:rsidRPr="00266A24">
              <w:rPr>
                <w:rStyle w:val="Hyperlink"/>
                <w:rFonts w:cs="Arial"/>
                <w:noProof/>
              </w:rPr>
              <w:t>Programme-level approach to monitoring and evaluation</w:t>
            </w:r>
            <w:r>
              <w:rPr>
                <w:noProof/>
                <w:webHidden/>
              </w:rPr>
              <w:tab/>
            </w:r>
            <w:r>
              <w:rPr>
                <w:noProof/>
                <w:webHidden/>
              </w:rPr>
              <w:fldChar w:fldCharType="begin"/>
            </w:r>
            <w:r>
              <w:rPr>
                <w:noProof/>
                <w:webHidden/>
              </w:rPr>
              <w:instrText xml:space="preserve"> PAGEREF _Toc162948087 \h </w:instrText>
            </w:r>
            <w:r>
              <w:rPr>
                <w:noProof/>
                <w:webHidden/>
              </w:rPr>
            </w:r>
            <w:r>
              <w:rPr>
                <w:noProof/>
                <w:webHidden/>
              </w:rPr>
              <w:fldChar w:fldCharType="separate"/>
            </w:r>
            <w:r w:rsidR="00F842C1">
              <w:rPr>
                <w:noProof/>
                <w:webHidden/>
              </w:rPr>
              <w:t>25</w:t>
            </w:r>
            <w:r>
              <w:rPr>
                <w:noProof/>
                <w:webHidden/>
              </w:rPr>
              <w:fldChar w:fldCharType="end"/>
            </w:r>
          </w:hyperlink>
        </w:p>
        <w:p w14:paraId="36D8C2D7" w14:textId="37195E53" w:rsidR="00494462" w:rsidRDefault="00462E61" w:rsidP="00D31E1F">
          <w:pPr>
            <w:rPr>
              <w:rFonts w:ascii="Arial" w:hAnsi="Arial" w:cs="Arial"/>
              <w:b/>
              <w:bCs/>
              <w:noProof/>
            </w:rPr>
          </w:pPr>
          <w:r w:rsidRPr="00324E48">
            <w:rPr>
              <w:rFonts w:ascii="Arial" w:hAnsi="Arial" w:cs="Arial"/>
              <w:b/>
              <w:bCs/>
              <w:noProof/>
            </w:rPr>
            <w:fldChar w:fldCharType="end"/>
          </w:r>
        </w:p>
      </w:sdtContent>
    </w:sdt>
    <w:p w14:paraId="71D988E0" w14:textId="77777777" w:rsidR="009F4E49" w:rsidRDefault="009F4E49" w:rsidP="00D31E1F">
      <w:pPr>
        <w:rPr>
          <w:rFonts w:ascii="Arial" w:hAnsi="Arial" w:cs="Arial"/>
        </w:rPr>
      </w:pPr>
    </w:p>
    <w:p w14:paraId="5837E66A" w14:textId="77777777" w:rsidR="009F4E49" w:rsidRDefault="009F4E49" w:rsidP="00D31E1F">
      <w:pPr>
        <w:rPr>
          <w:rFonts w:ascii="Arial" w:hAnsi="Arial" w:cs="Arial"/>
        </w:rPr>
      </w:pPr>
    </w:p>
    <w:p w14:paraId="5AAE2F4E" w14:textId="77777777" w:rsidR="009F4E49" w:rsidRDefault="009F4E49" w:rsidP="00D31E1F">
      <w:pPr>
        <w:rPr>
          <w:rFonts w:ascii="Arial" w:hAnsi="Arial" w:cs="Arial"/>
        </w:rPr>
      </w:pPr>
    </w:p>
    <w:p w14:paraId="76343EE5" w14:textId="77777777" w:rsidR="009F4E49" w:rsidRDefault="009F4E49" w:rsidP="00D31E1F">
      <w:pPr>
        <w:rPr>
          <w:rFonts w:ascii="Arial" w:hAnsi="Arial" w:cs="Arial"/>
        </w:rPr>
      </w:pPr>
    </w:p>
    <w:p w14:paraId="2006BE84" w14:textId="77777777" w:rsidR="009F4E49" w:rsidRDefault="009F4E49" w:rsidP="00D31E1F">
      <w:pPr>
        <w:rPr>
          <w:rFonts w:ascii="Arial" w:hAnsi="Arial" w:cs="Arial"/>
        </w:rPr>
      </w:pPr>
    </w:p>
    <w:p w14:paraId="2B4CB8A8" w14:textId="77777777" w:rsidR="009F4E49" w:rsidRDefault="009F4E49" w:rsidP="00D31E1F">
      <w:pPr>
        <w:rPr>
          <w:rFonts w:ascii="Arial" w:hAnsi="Arial" w:cs="Arial"/>
        </w:rPr>
      </w:pPr>
    </w:p>
    <w:p w14:paraId="084A3EF0" w14:textId="77777777" w:rsidR="009F4E49" w:rsidRDefault="009F4E49" w:rsidP="00D31E1F">
      <w:pPr>
        <w:rPr>
          <w:rFonts w:ascii="Arial" w:hAnsi="Arial" w:cs="Arial"/>
        </w:rPr>
      </w:pPr>
    </w:p>
    <w:p w14:paraId="12C1A1BE" w14:textId="2791BE82" w:rsidR="00F842C1" w:rsidRDefault="00F842C1">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016"/>
      </w:tblGrid>
      <w:tr w:rsidR="00487914" w:rsidRPr="00462E61" w14:paraId="59C69BD4" w14:textId="77777777" w:rsidTr="00487914">
        <w:trPr>
          <w:trHeight w:val="30"/>
        </w:trPr>
        <w:tc>
          <w:tcPr>
            <w:tcW w:w="9016" w:type="dxa"/>
            <w:shd w:val="clear" w:color="auto" w:fill="DEEAF6" w:themeFill="accent5" w:themeFillTint="33"/>
          </w:tcPr>
          <w:p w14:paraId="296D1B8C" w14:textId="08C5842F" w:rsidR="00371B79" w:rsidRPr="00462E61" w:rsidRDefault="00371B79" w:rsidP="00C16186">
            <w:pPr>
              <w:jc w:val="center"/>
              <w:rPr>
                <w:rFonts w:ascii="Arial" w:hAnsi="Arial" w:cs="Arial"/>
                <w:b/>
                <w:bCs/>
              </w:rPr>
            </w:pPr>
            <w:bookmarkStart w:id="0" w:name="_Toc162948066"/>
            <w:r w:rsidRPr="00462E61">
              <w:rPr>
                <w:rStyle w:val="Heading1Char"/>
                <w:rFonts w:ascii="Arial" w:hAnsi="Arial" w:cs="Arial"/>
                <w:b/>
                <w:bCs/>
                <w:color w:val="auto"/>
              </w:rPr>
              <w:lastRenderedPageBreak/>
              <w:t>Section A: Summary and Overvie</w:t>
            </w:r>
            <w:r w:rsidR="005166DB" w:rsidRPr="00462E61">
              <w:rPr>
                <w:rStyle w:val="Heading1Char"/>
                <w:rFonts w:ascii="Arial" w:hAnsi="Arial" w:cs="Arial"/>
                <w:b/>
                <w:bCs/>
                <w:color w:val="auto"/>
              </w:rPr>
              <w:t>w</w:t>
            </w:r>
            <w:bookmarkEnd w:id="0"/>
          </w:p>
        </w:tc>
      </w:tr>
    </w:tbl>
    <w:p w14:paraId="689785A8" w14:textId="77777777" w:rsidR="000B4E8B" w:rsidRPr="00462E61" w:rsidRDefault="000B4E8B">
      <w:pPr>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487914" w:rsidRPr="00462E61" w14:paraId="2EF9F444" w14:textId="77777777" w:rsidTr="002631E7">
        <w:tc>
          <w:tcPr>
            <w:tcW w:w="9016" w:type="dxa"/>
            <w:gridSpan w:val="3"/>
          </w:tcPr>
          <w:p w14:paraId="3937DBD9" w14:textId="781514A8" w:rsidR="00487914" w:rsidRPr="00462E61" w:rsidRDefault="00487914">
            <w:pPr>
              <w:rPr>
                <w:rFonts w:ascii="Arial" w:hAnsi="Arial" w:cs="Arial"/>
              </w:rPr>
            </w:pPr>
            <w:r w:rsidRPr="00462E61">
              <w:rPr>
                <w:rFonts w:ascii="Arial" w:hAnsi="Arial" w:cs="Arial"/>
                <w:b/>
                <w:bCs/>
              </w:rPr>
              <w:t>Title:</w:t>
            </w:r>
            <w:r w:rsidR="00737C78">
              <w:rPr>
                <w:rFonts w:ascii="Arial" w:hAnsi="Arial" w:cs="Arial"/>
                <w:b/>
                <w:bCs/>
              </w:rPr>
              <w:t xml:space="preserve"> UK Climate Investments (UKCI)</w:t>
            </w:r>
          </w:p>
        </w:tc>
      </w:tr>
      <w:tr w:rsidR="00487914" w:rsidRPr="00462E61" w14:paraId="04928251" w14:textId="77777777" w:rsidTr="00371B79">
        <w:tc>
          <w:tcPr>
            <w:tcW w:w="3005" w:type="dxa"/>
          </w:tcPr>
          <w:p w14:paraId="0B0D0F76" w14:textId="6BAF1F6F" w:rsidR="00371B79" w:rsidRPr="00462E61" w:rsidRDefault="00371B79">
            <w:pPr>
              <w:rPr>
                <w:rFonts w:ascii="Arial" w:hAnsi="Arial" w:cs="Arial"/>
                <w:b/>
                <w:bCs/>
              </w:rPr>
            </w:pPr>
            <w:r w:rsidRPr="00462E61">
              <w:rPr>
                <w:rFonts w:ascii="Arial" w:hAnsi="Arial" w:cs="Arial"/>
                <w:b/>
                <w:bCs/>
              </w:rPr>
              <w:t>Final Programm</w:t>
            </w:r>
            <w:r w:rsidR="00D00FB7" w:rsidRPr="00462E61">
              <w:rPr>
                <w:rFonts w:ascii="Arial" w:hAnsi="Arial" w:cs="Arial"/>
                <w:b/>
                <w:bCs/>
              </w:rPr>
              <w:t>e Spend £ (full life):</w:t>
            </w:r>
            <w:r w:rsidR="001C6ACF">
              <w:rPr>
                <w:rFonts w:ascii="Arial" w:hAnsi="Arial" w:cs="Arial"/>
                <w:b/>
                <w:bCs/>
              </w:rPr>
              <w:t xml:space="preserve"> </w:t>
            </w:r>
            <w:r w:rsidR="001C6ACF" w:rsidRPr="00FA3F66">
              <w:rPr>
                <w:rFonts w:ascii="Arial" w:hAnsi="Arial" w:cs="Arial"/>
              </w:rPr>
              <w:t>£200m</w:t>
            </w:r>
          </w:p>
        </w:tc>
        <w:tc>
          <w:tcPr>
            <w:tcW w:w="3005" w:type="dxa"/>
          </w:tcPr>
          <w:p w14:paraId="0F16D5CC" w14:textId="5236B124" w:rsidR="00371B79" w:rsidRPr="00462E61" w:rsidRDefault="00FA7189">
            <w:pPr>
              <w:rPr>
                <w:rFonts w:ascii="Arial" w:hAnsi="Arial" w:cs="Arial"/>
              </w:rPr>
            </w:pPr>
            <w:r w:rsidRPr="00FA7189">
              <w:rPr>
                <w:rFonts w:ascii="Arial" w:hAnsi="Arial" w:cs="Arial"/>
                <w:b/>
                <w:bCs/>
              </w:rPr>
              <w:t>Overall Programme Score</w:t>
            </w:r>
            <w:r>
              <w:rPr>
                <w:rFonts w:ascii="Arial" w:hAnsi="Arial" w:cs="Arial"/>
              </w:rPr>
              <w:t>:</w:t>
            </w:r>
            <w:r w:rsidR="00F56984">
              <w:rPr>
                <w:rFonts w:ascii="Arial" w:hAnsi="Arial" w:cs="Arial"/>
              </w:rPr>
              <w:t xml:space="preserve"> B</w:t>
            </w:r>
          </w:p>
        </w:tc>
        <w:tc>
          <w:tcPr>
            <w:tcW w:w="3006" w:type="dxa"/>
          </w:tcPr>
          <w:p w14:paraId="7A14A1DD" w14:textId="7178C78D" w:rsidR="00371B79" w:rsidRPr="00462E61" w:rsidRDefault="009A7214">
            <w:pPr>
              <w:rPr>
                <w:rFonts w:ascii="Arial" w:hAnsi="Arial" w:cs="Arial"/>
                <w:b/>
                <w:bCs/>
              </w:rPr>
            </w:pPr>
            <w:r w:rsidRPr="00462E61">
              <w:rPr>
                <w:rFonts w:ascii="Arial" w:hAnsi="Arial" w:cs="Arial"/>
                <w:b/>
                <w:bCs/>
              </w:rPr>
              <w:t>Review Date:</w:t>
            </w:r>
            <w:r w:rsidR="00EA7F3B">
              <w:rPr>
                <w:rFonts w:ascii="Arial" w:hAnsi="Arial" w:cs="Arial"/>
                <w:b/>
                <w:bCs/>
              </w:rPr>
              <w:t xml:space="preserve"> </w:t>
            </w:r>
            <w:r w:rsidR="00EA7F3B" w:rsidRPr="00FA3F66">
              <w:rPr>
                <w:rFonts w:ascii="Arial" w:hAnsi="Arial" w:cs="Arial"/>
              </w:rPr>
              <w:t>November 2023</w:t>
            </w:r>
          </w:p>
        </w:tc>
      </w:tr>
      <w:tr w:rsidR="00487914" w:rsidRPr="00462E61" w14:paraId="7BC99497" w14:textId="77777777" w:rsidTr="00371B79">
        <w:tc>
          <w:tcPr>
            <w:tcW w:w="3005" w:type="dxa"/>
          </w:tcPr>
          <w:p w14:paraId="461CA5C7" w14:textId="41CAB752" w:rsidR="00371B79" w:rsidRPr="00FA3F66" w:rsidRDefault="00D00FB7" w:rsidP="00FA3F66">
            <w:pPr>
              <w:spacing w:after="160" w:line="259" w:lineRule="auto"/>
              <w:rPr>
                <w:b/>
              </w:rPr>
            </w:pPr>
            <w:r w:rsidRPr="00462E61">
              <w:rPr>
                <w:rFonts w:ascii="Arial" w:hAnsi="Arial" w:cs="Arial"/>
                <w:b/>
                <w:bCs/>
              </w:rPr>
              <w:t>Programme Code:</w:t>
            </w:r>
            <w:r w:rsidR="00FA3F66">
              <w:rPr>
                <w:rFonts w:ascii="Arial" w:hAnsi="Arial" w:cs="Arial"/>
                <w:b/>
                <w:bCs/>
              </w:rPr>
              <w:t xml:space="preserve"> </w:t>
            </w:r>
            <w:r w:rsidR="00FA3F66">
              <w:rPr>
                <w:rFonts w:cs="Arial"/>
                <w:sz w:val="20"/>
                <w:szCs w:val="20"/>
              </w:rPr>
              <w:t xml:space="preserve">Found </w:t>
            </w:r>
            <w:hyperlink r:id="rId18" w:history="1">
              <w:r w:rsidR="00FA3F66">
                <w:rPr>
                  <w:rStyle w:val="Hyperlink"/>
                  <w:rFonts w:cs="Arial"/>
                  <w:sz w:val="20"/>
                  <w:szCs w:val="20"/>
                </w:rPr>
                <w:t>here</w:t>
              </w:r>
            </w:hyperlink>
          </w:p>
        </w:tc>
        <w:tc>
          <w:tcPr>
            <w:tcW w:w="3005" w:type="dxa"/>
          </w:tcPr>
          <w:p w14:paraId="54108B4C" w14:textId="54E554B7" w:rsidR="00371B79" w:rsidRPr="00462E61" w:rsidRDefault="009A7214">
            <w:pPr>
              <w:rPr>
                <w:rFonts w:ascii="Arial" w:hAnsi="Arial" w:cs="Arial"/>
                <w:b/>
                <w:bCs/>
              </w:rPr>
            </w:pPr>
            <w:r w:rsidRPr="00462E61">
              <w:rPr>
                <w:rFonts w:ascii="Arial" w:hAnsi="Arial" w:cs="Arial"/>
                <w:b/>
                <w:bCs/>
              </w:rPr>
              <w:t>Start Date</w:t>
            </w:r>
            <w:r w:rsidR="00FA7189">
              <w:rPr>
                <w:rFonts w:ascii="Arial" w:hAnsi="Arial" w:cs="Arial"/>
                <w:b/>
                <w:bCs/>
              </w:rPr>
              <w:t>:</w:t>
            </w:r>
            <w:r w:rsidR="00FA3F66">
              <w:rPr>
                <w:rFonts w:ascii="Arial" w:hAnsi="Arial" w:cs="Arial"/>
                <w:b/>
                <w:bCs/>
              </w:rPr>
              <w:t xml:space="preserve"> </w:t>
            </w:r>
            <w:r w:rsidR="00FA3F66" w:rsidRPr="00FA3F66">
              <w:rPr>
                <w:rFonts w:ascii="Arial" w:hAnsi="Arial" w:cs="Arial"/>
              </w:rPr>
              <w:t>June 2015</w:t>
            </w:r>
          </w:p>
        </w:tc>
        <w:tc>
          <w:tcPr>
            <w:tcW w:w="3006" w:type="dxa"/>
          </w:tcPr>
          <w:p w14:paraId="19BCD1CE" w14:textId="4F543607" w:rsidR="00371B79" w:rsidRPr="00462E61" w:rsidRDefault="009A7214">
            <w:pPr>
              <w:rPr>
                <w:rFonts w:ascii="Arial" w:hAnsi="Arial" w:cs="Arial"/>
                <w:b/>
                <w:bCs/>
              </w:rPr>
            </w:pPr>
            <w:r w:rsidRPr="00462E61">
              <w:rPr>
                <w:rFonts w:ascii="Arial" w:hAnsi="Arial" w:cs="Arial"/>
                <w:b/>
                <w:bCs/>
              </w:rPr>
              <w:t>End Date:</w:t>
            </w:r>
            <w:r w:rsidR="00FA3F66">
              <w:rPr>
                <w:rFonts w:ascii="Arial" w:hAnsi="Arial" w:cs="Arial"/>
                <w:b/>
                <w:bCs/>
              </w:rPr>
              <w:t xml:space="preserve"> </w:t>
            </w:r>
            <w:r w:rsidR="00FA3F66" w:rsidRPr="00FA3F66">
              <w:rPr>
                <w:rFonts w:ascii="Arial" w:hAnsi="Arial" w:cs="Arial"/>
              </w:rPr>
              <w:t>October 2023</w:t>
            </w:r>
          </w:p>
        </w:tc>
      </w:tr>
    </w:tbl>
    <w:p w14:paraId="6528B592" w14:textId="77777777" w:rsidR="00371B79" w:rsidRPr="00462E61" w:rsidRDefault="00371B79">
      <w:pPr>
        <w:rPr>
          <w:rFonts w:ascii="Arial" w:hAnsi="Arial" w:cs="Arial"/>
        </w:rPr>
      </w:pPr>
    </w:p>
    <w:tbl>
      <w:tblPr>
        <w:tblStyle w:val="TableGrid"/>
        <w:tblW w:w="0" w:type="auto"/>
        <w:tblLook w:val="04A0" w:firstRow="1" w:lastRow="0" w:firstColumn="1" w:lastColumn="0" w:noHBand="0" w:noVBand="1"/>
      </w:tblPr>
      <w:tblGrid>
        <w:gridCol w:w="1838"/>
        <w:gridCol w:w="1025"/>
        <w:gridCol w:w="1025"/>
        <w:gridCol w:w="1026"/>
        <w:gridCol w:w="1025"/>
        <w:gridCol w:w="1026"/>
        <w:gridCol w:w="1025"/>
        <w:gridCol w:w="1025"/>
      </w:tblGrid>
      <w:tr w:rsidR="00F56984" w:rsidRPr="00462E61" w14:paraId="7A3CD365" w14:textId="6E07AECB" w:rsidTr="00921107">
        <w:tc>
          <w:tcPr>
            <w:tcW w:w="1838" w:type="dxa"/>
            <w:shd w:val="clear" w:color="auto" w:fill="DEEAF6" w:themeFill="accent5" w:themeFillTint="33"/>
          </w:tcPr>
          <w:p w14:paraId="6F2A11A6" w14:textId="6283C498" w:rsidR="00F56984" w:rsidRPr="00462E61" w:rsidRDefault="00F56984" w:rsidP="0081550F">
            <w:pPr>
              <w:rPr>
                <w:rFonts w:ascii="Arial" w:hAnsi="Arial" w:cs="Arial"/>
                <w:b/>
                <w:bCs/>
              </w:rPr>
            </w:pPr>
            <w:r w:rsidRPr="00462E61">
              <w:rPr>
                <w:rFonts w:ascii="Arial" w:hAnsi="Arial" w:cs="Arial"/>
                <w:b/>
                <w:bCs/>
              </w:rPr>
              <w:t>Year</w:t>
            </w:r>
          </w:p>
        </w:tc>
        <w:tc>
          <w:tcPr>
            <w:tcW w:w="1025" w:type="dxa"/>
          </w:tcPr>
          <w:p w14:paraId="3BF3FD9F" w14:textId="6BE093CA" w:rsidR="00F56984" w:rsidRPr="00462E61" w:rsidRDefault="00F56984" w:rsidP="0081550F">
            <w:pPr>
              <w:rPr>
                <w:rFonts w:ascii="Arial" w:hAnsi="Arial" w:cs="Arial"/>
              </w:rPr>
            </w:pPr>
            <w:r w:rsidRPr="00C3332E">
              <w:t>June 2015 - Nov 2016</w:t>
            </w:r>
          </w:p>
        </w:tc>
        <w:tc>
          <w:tcPr>
            <w:tcW w:w="1025" w:type="dxa"/>
          </w:tcPr>
          <w:p w14:paraId="1A55A165" w14:textId="2192AB9D" w:rsidR="00F56984" w:rsidRPr="00462E61" w:rsidRDefault="00F56984" w:rsidP="0081550F">
            <w:pPr>
              <w:rPr>
                <w:rFonts w:ascii="Arial" w:hAnsi="Arial" w:cs="Arial"/>
              </w:rPr>
            </w:pPr>
            <w:r w:rsidRPr="00C3332E">
              <w:t>Dec 2016 - Nov 2017</w:t>
            </w:r>
          </w:p>
        </w:tc>
        <w:tc>
          <w:tcPr>
            <w:tcW w:w="1026" w:type="dxa"/>
          </w:tcPr>
          <w:p w14:paraId="621D50FE" w14:textId="12CE6A00" w:rsidR="00F56984" w:rsidRPr="00462E61" w:rsidRDefault="00F56984" w:rsidP="0081550F">
            <w:pPr>
              <w:rPr>
                <w:rFonts w:ascii="Arial" w:hAnsi="Arial" w:cs="Arial"/>
              </w:rPr>
            </w:pPr>
            <w:r w:rsidRPr="00C3332E">
              <w:t>Dec 2017 - Nov 2018</w:t>
            </w:r>
          </w:p>
        </w:tc>
        <w:tc>
          <w:tcPr>
            <w:tcW w:w="1025" w:type="dxa"/>
          </w:tcPr>
          <w:p w14:paraId="19B90E0C" w14:textId="13C52BD0" w:rsidR="00F56984" w:rsidRPr="00462E61" w:rsidRDefault="00F56984" w:rsidP="0081550F">
            <w:pPr>
              <w:rPr>
                <w:rFonts w:ascii="Arial" w:hAnsi="Arial" w:cs="Arial"/>
              </w:rPr>
            </w:pPr>
            <w:r w:rsidRPr="00C3332E">
              <w:t>Dec 2018 - Nov 2019</w:t>
            </w:r>
          </w:p>
        </w:tc>
        <w:tc>
          <w:tcPr>
            <w:tcW w:w="1026" w:type="dxa"/>
          </w:tcPr>
          <w:p w14:paraId="6B5C99CE" w14:textId="0E2E8BAE" w:rsidR="00F56984" w:rsidRPr="00462E61" w:rsidRDefault="00F56984" w:rsidP="0081550F">
            <w:pPr>
              <w:rPr>
                <w:rFonts w:ascii="Arial" w:hAnsi="Arial" w:cs="Arial"/>
              </w:rPr>
            </w:pPr>
            <w:r w:rsidRPr="00C3332E">
              <w:t>Dec 2019 - Nov 2020</w:t>
            </w:r>
          </w:p>
        </w:tc>
        <w:tc>
          <w:tcPr>
            <w:tcW w:w="1025" w:type="dxa"/>
          </w:tcPr>
          <w:p w14:paraId="5A855D8F" w14:textId="2AB13FC5" w:rsidR="00F56984" w:rsidRPr="00462E61" w:rsidRDefault="00F56984" w:rsidP="0081550F">
            <w:pPr>
              <w:rPr>
                <w:rFonts w:ascii="Arial" w:hAnsi="Arial" w:cs="Arial"/>
              </w:rPr>
            </w:pPr>
            <w:r w:rsidRPr="00C3332E">
              <w:t>Dec 2020 - Nov 2021</w:t>
            </w:r>
          </w:p>
        </w:tc>
        <w:tc>
          <w:tcPr>
            <w:tcW w:w="1025" w:type="dxa"/>
          </w:tcPr>
          <w:p w14:paraId="37C99A9B" w14:textId="50C887C3" w:rsidR="00F56984" w:rsidRPr="00C3332E" w:rsidRDefault="00F56984" w:rsidP="0081550F">
            <w:r>
              <w:t>Final Year Score</w:t>
            </w:r>
          </w:p>
        </w:tc>
      </w:tr>
      <w:tr w:rsidR="00F56984" w:rsidRPr="00462E61" w14:paraId="24663BEB" w14:textId="4C3D05B3" w:rsidTr="00921107">
        <w:tc>
          <w:tcPr>
            <w:tcW w:w="1838" w:type="dxa"/>
            <w:shd w:val="clear" w:color="auto" w:fill="DEEAF6" w:themeFill="accent5" w:themeFillTint="33"/>
          </w:tcPr>
          <w:p w14:paraId="207A4803" w14:textId="01A13E05" w:rsidR="00F56984" w:rsidRPr="00462E61" w:rsidRDefault="00F56984" w:rsidP="0081550F">
            <w:pPr>
              <w:rPr>
                <w:rFonts w:ascii="Arial" w:hAnsi="Arial" w:cs="Arial"/>
                <w:b/>
                <w:bCs/>
              </w:rPr>
            </w:pPr>
            <w:r w:rsidRPr="00462E61">
              <w:rPr>
                <w:rFonts w:ascii="Arial" w:hAnsi="Arial" w:cs="Arial"/>
                <w:b/>
                <w:bCs/>
              </w:rPr>
              <w:t>Programme Score</w:t>
            </w:r>
          </w:p>
        </w:tc>
        <w:tc>
          <w:tcPr>
            <w:tcW w:w="1025" w:type="dxa"/>
          </w:tcPr>
          <w:p w14:paraId="0E2958C2" w14:textId="6CE82CD3" w:rsidR="00F56984" w:rsidRPr="00462E61" w:rsidRDefault="00F56984" w:rsidP="0081550F">
            <w:pPr>
              <w:rPr>
                <w:rFonts w:ascii="Arial" w:hAnsi="Arial" w:cs="Arial"/>
              </w:rPr>
            </w:pPr>
            <w:r w:rsidRPr="00C3332E">
              <w:t>B</w:t>
            </w:r>
          </w:p>
        </w:tc>
        <w:tc>
          <w:tcPr>
            <w:tcW w:w="1025" w:type="dxa"/>
          </w:tcPr>
          <w:p w14:paraId="633ED0C2" w14:textId="220C86B3" w:rsidR="00F56984" w:rsidRPr="00462E61" w:rsidRDefault="00F56984" w:rsidP="0081550F">
            <w:pPr>
              <w:rPr>
                <w:rFonts w:ascii="Arial" w:hAnsi="Arial" w:cs="Arial"/>
              </w:rPr>
            </w:pPr>
            <w:r w:rsidRPr="00C3332E">
              <w:t>B</w:t>
            </w:r>
          </w:p>
        </w:tc>
        <w:tc>
          <w:tcPr>
            <w:tcW w:w="1026" w:type="dxa"/>
          </w:tcPr>
          <w:p w14:paraId="7BDB8AD9" w14:textId="5598582B" w:rsidR="00F56984" w:rsidRPr="00462E61" w:rsidRDefault="00F56984" w:rsidP="0081550F">
            <w:pPr>
              <w:rPr>
                <w:rFonts w:ascii="Arial" w:hAnsi="Arial" w:cs="Arial"/>
              </w:rPr>
            </w:pPr>
            <w:r w:rsidRPr="00C3332E">
              <w:t>B</w:t>
            </w:r>
          </w:p>
        </w:tc>
        <w:tc>
          <w:tcPr>
            <w:tcW w:w="1025" w:type="dxa"/>
          </w:tcPr>
          <w:p w14:paraId="306AA802" w14:textId="507B4CFA" w:rsidR="00F56984" w:rsidRPr="00462E61" w:rsidRDefault="00F56984" w:rsidP="0081550F">
            <w:pPr>
              <w:rPr>
                <w:rFonts w:ascii="Arial" w:hAnsi="Arial" w:cs="Arial"/>
              </w:rPr>
            </w:pPr>
            <w:r w:rsidRPr="00C3332E">
              <w:t>B</w:t>
            </w:r>
          </w:p>
        </w:tc>
        <w:tc>
          <w:tcPr>
            <w:tcW w:w="1026" w:type="dxa"/>
          </w:tcPr>
          <w:p w14:paraId="06BC3444" w14:textId="2544E71E" w:rsidR="00F56984" w:rsidRPr="00462E61" w:rsidRDefault="00F56984" w:rsidP="0081550F">
            <w:pPr>
              <w:rPr>
                <w:rFonts w:ascii="Arial" w:hAnsi="Arial" w:cs="Arial"/>
              </w:rPr>
            </w:pPr>
            <w:r w:rsidRPr="00C3332E">
              <w:t>B</w:t>
            </w:r>
          </w:p>
        </w:tc>
        <w:tc>
          <w:tcPr>
            <w:tcW w:w="1025" w:type="dxa"/>
          </w:tcPr>
          <w:p w14:paraId="7D2DB884" w14:textId="5F632AA3" w:rsidR="00F56984" w:rsidRPr="00462E61" w:rsidRDefault="00F56984" w:rsidP="0081550F">
            <w:pPr>
              <w:rPr>
                <w:rFonts w:ascii="Arial" w:hAnsi="Arial" w:cs="Arial"/>
              </w:rPr>
            </w:pPr>
            <w:r w:rsidRPr="00C3332E">
              <w:t>A</w:t>
            </w:r>
          </w:p>
        </w:tc>
        <w:tc>
          <w:tcPr>
            <w:tcW w:w="1025" w:type="dxa"/>
          </w:tcPr>
          <w:p w14:paraId="5C107240" w14:textId="380D1B48" w:rsidR="00F56984" w:rsidRPr="00C3332E" w:rsidRDefault="00F56984" w:rsidP="0081550F">
            <w:r>
              <w:t>A</w:t>
            </w:r>
          </w:p>
        </w:tc>
      </w:tr>
      <w:tr w:rsidR="00F56984" w:rsidRPr="00462E61" w14:paraId="6EB1718B" w14:textId="7DFBF35D" w:rsidTr="00921107">
        <w:tc>
          <w:tcPr>
            <w:tcW w:w="1838" w:type="dxa"/>
            <w:shd w:val="clear" w:color="auto" w:fill="DEEAF6" w:themeFill="accent5" w:themeFillTint="33"/>
          </w:tcPr>
          <w:p w14:paraId="0A86BCDC" w14:textId="42EDD3C0" w:rsidR="00F56984" w:rsidRPr="00462E61" w:rsidRDefault="00F56984" w:rsidP="0081550F">
            <w:pPr>
              <w:rPr>
                <w:rFonts w:ascii="Arial" w:hAnsi="Arial" w:cs="Arial"/>
                <w:b/>
                <w:bCs/>
              </w:rPr>
            </w:pPr>
            <w:r w:rsidRPr="00462E61">
              <w:rPr>
                <w:rFonts w:ascii="Arial" w:hAnsi="Arial" w:cs="Arial"/>
                <w:b/>
                <w:bCs/>
              </w:rPr>
              <w:t>Risk Rating</w:t>
            </w:r>
          </w:p>
        </w:tc>
        <w:tc>
          <w:tcPr>
            <w:tcW w:w="1025" w:type="dxa"/>
          </w:tcPr>
          <w:p w14:paraId="6E07FE70" w14:textId="7A6786A7" w:rsidR="00F56984" w:rsidRPr="00462E61" w:rsidRDefault="00F56984" w:rsidP="0081550F">
            <w:pPr>
              <w:rPr>
                <w:rFonts w:ascii="Arial" w:hAnsi="Arial" w:cs="Arial"/>
              </w:rPr>
            </w:pPr>
            <w:r w:rsidRPr="00C3332E">
              <w:t>Major</w:t>
            </w:r>
          </w:p>
        </w:tc>
        <w:tc>
          <w:tcPr>
            <w:tcW w:w="1025" w:type="dxa"/>
          </w:tcPr>
          <w:p w14:paraId="43B90992" w14:textId="70A5B3E5" w:rsidR="00F56984" w:rsidRPr="00462E61" w:rsidRDefault="00F56984" w:rsidP="0081550F">
            <w:pPr>
              <w:rPr>
                <w:rFonts w:ascii="Arial" w:hAnsi="Arial" w:cs="Arial"/>
              </w:rPr>
            </w:pPr>
            <w:r w:rsidRPr="00C3332E">
              <w:t>Major</w:t>
            </w:r>
          </w:p>
        </w:tc>
        <w:tc>
          <w:tcPr>
            <w:tcW w:w="1026" w:type="dxa"/>
          </w:tcPr>
          <w:p w14:paraId="2CB0FBAF" w14:textId="1FF34284" w:rsidR="00F56984" w:rsidRPr="00462E61" w:rsidRDefault="00F56984" w:rsidP="0081550F">
            <w:pPr>
              <w:rPr>
                <w:rFonts w:ascii="Arial" w:hAnsi="Arial" w:cs="Arial"/>
              </w:rPr>
            </w:pPr>
            <w:r w:rsidRPr="00C3332E">
              <w:t>Major</w:t>
            </w:r>
          </w:p>
        </w:tc>
        <w:tc>
          <w:tcPr>
            <w:tcW w:w="1025" w:type="dxa"/>
          </w:tcPr>
          <w:p w14:paraId="1CB433A8" w14:textId="524B9233" w:rsidR="00F56984" w:rsidRPr="00462E61" w:rsidRDefault="00F56984" w:rsidP="0081550F">
            <w:pPr>
              <w:rPr>
                <w:rFonts w:ascii="Arial" w:hAnsi="Arial" w:cs="Arial"/>
              </w:rPr>
            </w:pPr>
            <w:r w:rsidRPr="00C3332E">
              <w:t>Major</w:t>
            </w:r>
          </w:p>
        </w:tc>
        <w:tc>
          <w:tcPr>
            <w:tcW w:w="1026" w:type="dxa"/>
          </w:tcPr>
          <w:p w14:paraId="482E67A8" w14:textId="38349CF9" w:rsidR="00F56984" w:rsidRPr="00462E61" w:rsidRDefault="00F56984" w:rsidP="0081550F">
            <w:pPr>
              <w:rPr>
                <w:rFonts w:ascii="Arial" w:hAnsi="Arial" w:cs="Arial"/>
              </w:rPr>
            </w:pPr>
            <w:r w:rsidRPr="00C3332E">
              <w:t>Major</w:t>
            </w:r>
          </w:p>
        </w:tc>
        <w:tc>
          <w:tcPr>
            <w:tcW w:w="1025" w:type="dxa"/>
          </w:tcPr>
          <w:p w14:paraId="374B77A4" w14:textId="5576CC41" w:rsidR="00F56984" w:rsidRPr="00462E61" w:rsidRDefault="00F56984" w:rsidP="0081550F">
            <w:pPr>
              <w:rPr>
                <w:rFonts w:ascii="Arial" w:hAnsi="Arial" w:cs="Arial"/>
              </w:rPr>
            </w:pPr>
            <w:r w:rsidRPr="00C3332E">
              <w:t>Minor</w:t>
            </w:r>
          </w:p>
        </w:tc>
        <w:tc>
          <w:tcPr>
            <w:tcW w:w="1025" w:type="dxa"/>
          </w:tcPr>
          <w:p w14:paraId="45B42920" w14:textId="30C7DA16" w:rsidR="00F56984" w:rsidRPr="00C3332E" w:rsidRDefault="00F56984" w:rsidP="0081550F">
            <w:r>
              <w:t>Minor</w:t>
            </w:r>
          </w:p>
        </w:tc>
      </w:tr>
    </w:tbl>
    <w:p w14:paraId="47B4C154" w14:textId="77777777" w:rsidR="00B359F7" w:rsidRPr="00462E61" w:rsidRDefault="00B359F7">
      <w:pPr>
        <w:rPr>
          <w:rFonts w:ascii="Arial" w:hAnsi="Arial" w:cs="Arial"/>
        </w:rPr>
      </w:pPr>
    </w:p>
    <w:tbl>
      <w:tblPr>
        <w:tblStyle w:val="TableGrid"/>
        <w:tblW w:w="0" w:type="auto"/>
        <w:tblLook w:val="04A0" w:firstRow="1" w:lastRow="0" w:firstColumn="1" w:lastColumn="0" w:noHBand="0" w:noVBand="1"/>
      </w:tblPr>
      <w:tblGrid>
        <w:gridCol w:w="4508"/>
        <w:gridCol w:w="4508"/>
      </w:tblGrid>
      <w:tr w:rsidR="00487914" w:rsidRPr="00462E61" w14:paraId="19032C7B" w14:textId="77777777" w:rsidTr="00487914">
        <w:tc>
          <w:tcPr>
            <w:tcW w:w="4508" w:type="dxa"/>
            <w:shd w:val="clear" w:color="auto" w:fill="DEEAF6" w:themeFill="accent5" w:themeFillTint="33"/>
          </w:tcPr>
          <w:p w14:paraId="68071213" w14:textId="57493E8D" w:rsidR="00CA292F" w:rsidRPr="00462E61" w:rsidRDefault="00E55A6D">
            <w:pPr>
              <w:rPr>
                <w:rFonts w:ascii="Arial" w:hAnsi="Arial" w:cs="Arial"/>
                <w:b/>
                <w:bCs/>
              </w:rPr>
            </w:pPr>
            <w:r w:rsidRPr="00462E61">
              <w:rPr>
                <w:rFonts w:ascii="Arial" w:hAnsi="Arial" w:cs="Arial"/>
                <w:b/>
                <w:bCs/>
              </w:rPr>
              <w:t>Link to Business Case (and any addendum</w:t>
            </w:r>
            <w:r w:rsidR="009F2CB4">
              <w:rPr>
                <w:rFonts w:ascii="Arial" w:hAnsi="Arial" w:cs="Arial"/>
                <w:b/>
                <w:bCs/>
              </w:rPr>
              <w:t>(s)</w:t>
            </w:r>
            <w:r w:rsidRPr="00462E61">
              <w:rPr>
                <w:rFonts w:ascii="Arial" w:hAnsi="Arial" w:cs="Arial"/>
                <w:b/>
                <w:bCs/>
              </w:rPr>
              <w:t>):</w:t>
            </w:r>
          </w:p>
        </w:tc>
        <w:tc>
          <w:tcPr>
            <w:tcW w:w="4508" w:type="dxa"/>
          </w:tcPr>
          <w:p w14:paraId="724D42A8" w14:textId="2D4F11A7" w:rsidR="00CA292F" w:rsidRPr="00462E61" w:rsidRDefault="0005646A">
            <w:pPr>
              <w:rPr>
                <w:rFonts w:ascii="Arial" w:hAnsi="Arial" w:cs="Arial"/>
              </w:rPr>
            </w:pPr>
            <w:hyperlink r:id="rId19" w:history="1">
              <w:r w:rsidR="00C53C2A">
                <w:rPr>
                  <w:rStyle w:val="Hyperlink"/>
                </w:rPr>
                <w:t>DevTracker Programme GB-GOV-13-ICF-0015-UKCI Documents (fcdo.gov.uk)</w:t>
              </w:r>
            </w:hyperlink>
          </w:p>
        </w:tc>
      </w:tr>
      <w:tr w:rsidR="00487914" w:rsidRPr="00462E61" w14:paraId="457C37DB" w14:textId="77777777" w:rsidTr="00487914">
        <w:tc>
          <w:tcPr>
            <w:tcW w:w="4508" w:type="dxa"/>
            <w:shd w:val="clear" w:color="auto" w:fill="DEEAF6" w:themeFill="accent5" w:themeFillTint="33"/>
          </w:tcPr>
          <w:p w14:paraId="29CE317E" w14:textId="11FFBEA6" w:rsidR="00CA292F" w:rsidRPr="00462E61" w:rsidRDefault="001C1216">
            <w:pPr>
              <w:rPr>
                <w:rFonts w:ascii="Arial" w:hAnsi="Arial" w:cs="Arial"/>
                <w:b/>
                <w:bCs/>
              </w:rPr>
            </w:pPr>
            <w:r w:rsidRPr="00462E61">
              <w:rPr>
                <w:rFonts w:ascii="Arial" w:hAnsi="Arial" w:cs="Arial"/>
                <w:b/>
                <w:bCs/>
              </w:rPr>
              <w:t xml:space="preserve">Links to all </w:t>
            </w:r>
            <w:proofErr w:type="spellStart"/>
            <w:r w:rsidRPr="00462E61">
              <w:rPr>
                <w:rFonts w:ascii="Arial" w:hAnsi="Arial" w:cs="Arial"/>
                <w:b/>
                <w:bCs/>
              </w:rPr>
              <w:t>logframes</w:t>
            </w:r>
            <w:proofErr w:type="spellEnd"/>
            <w:r w:rsidRPr="00462E61">
              <w:rPr>
                <w:rFonts w:ascii="Arial" w:hAnsi="Arial" w:cs="Arial"/>
                <w:b/>
                <w:bCs/>
              </w:rPr>
              <w:t xml:space="preserve"> used during programme lifetime:</w:t>
            </w:r>
          </w:p>
        </w:tc>
        <w:tc>
          <w:tcPr>
            <w:tcW w:w="4508" w:type="dxa"/>
          </w:tcPr>
          <w:p w14:paraId="664D7B33" w14:textId="3B493617" w:rsidR="00CA292F" w:rsidRPr="00462E61" w:rsidRDefault="0005646A">
            <w:pPr>
              <w:rPr>
                <w:rFonts w:ascii="Arial" w:hAnsi="Arial" w:cs="Arial"/>
              </w:rPr>
            </w:pPr>
            <w:hyperlink r:id="rId20" w:history="1">
              <w:r w:rsidR="00C53C2A">
                <w:rPr>
                  <w:rStyle w:val="Hyperlink"/>
                </w:rPr>
                <w:t>DevTracker Programme GB-GOV-13-ICF-0015-UKCI Documents (fcdo.gov.uk)</w:t>
              </w:r>
            </w:hyperlink>
          </w:p>
        </w:tc>
      </w:tr>
      <w:tr w:rsidR="00487914" w:rsidRPr="00462E61" w14:paraId="4F416AD3" w14:textId="77777777" w:rsidTr="00487914">
        <w:tc>
          <w:tcPr>
            <w:tcW w:w="4508" w:type="dxa"/>
            <w:shd w:val="clear" w:color="auto" w:fill="DEEAF6" w:themeFill="accent5" w:themeFillTint="33"/>
          </w:tcPr>
          <w:p w14:paraId="4977AEB7" w14:textId="3AF1C822" w:rsidR="00CA292F" w:rsidRPr="00462E61" w:rsidRDefault="000B4E8B">
            <w:pPr>
              <w:rPr>
                <w:rFonts w:ascii="Arial" w:hAnsi="Arial" w:cs="Arial"/>
                <w:b/>
                <w:bCs/>
              </w:rPr>
            </w:pPr>
            <w:r w:rsidRPr="00462E61">
              <w:rPr>
                <w:rFonts w:ascii="Arial" w:hAnsi="Arial" w:cs="Arial"/>
                <w:b/>
                <w:bCs/>
              </w:rPr>
              <w:t>Links to all annual reviews during programme lifetime:</w:t>
            </w:r>
          </w:p>
        </w:tc>
        <w:tc>
          <w:tcPr>
            <w:tcW w:w="4508" w:type="dxa"/>
          </w:tcPr>
          <w:p w14:paraId="0F767A60" w14:textId="250B56A9" w:rsidR="00CA292F" w:rsidRPr="00462E61" w:rsidRDefault="0005646A">
            <w:pPr>
              <w:rPr>
                <w:rFonts w:ascii="Arial" w:hAnsi="Arial" w:cs="Arial"/>
              </w:rPr>
            </w:pPr>
            <w:hyperlink r:id="rId21" w:history="1">
              <w:r w:rsidR="00C53C2A">
                <w:rPr>
                  <w:rStyle w:val="Hyperlink"/>
                </w:rPr>
                <w:t>DevTracker Programme GB-GOV-13-ICF-0015-UKCI Documents (fcdo.gov.uk)</w:t>
              </w:r>
            </w:hyperlink>
          </w:p>
        </w:tc>
      </w:tr>
    </w:tbl>
    <w:p w14:paraId="7A78DC79" w14:textId="77777777" w:rsidR="00CA292F" w:rsidRPr="00462E61" w:rsidRDefault="00CA292F">
      <w:pPr>
        <w:rPr>
          <w:rFonts w:ascii="Arial" w:hAnsi="Arial" w:cs="Arial"/>
        </w:rPr>
      </w:pPr>
    </w:p>
    <w:p w14:paraId="740F025C" w14:textId="57308C45" w:rsidR="00EC7D86" w:rsidRPr="00324E48" w:rsidRDefault="00EC7D86" w:rsidP="00EC7D86">
      <w:pPr>
        <w:rPr>
          <w:rFonts w:ascii="Arial" w:hAnsi="Arial" w:cs="Arial"/>
          <w:sz w:val="24"/>
          <w:szCs w:val="24"/>
        </w:rPr>
      </w:pPr>
      <w:bookmarkStart w:id="1" w:name="_Toc162948067"/>
      <w:r w:rsidRPr="00324E48">
        <w:rPr>
          <w:rStyle w:val="Heading2Char"/>
          <w:rFonts w:cs="Arial"/>
          <w:sz w:val="24"/>
          <w:szCs w:val="24"/>
        </w:rPr>
        <w:t>Description of the programme</w:t>
      </w:r>
      <w:bookmarkEnd w:id="1"/>
    </w:p>
    <w:p w14:paraId="7789504B" w14:textId="7040B8EB" w:rsidR="003C3AC5" w:rsidRDefault="007E6C2B" w:rsidP="007E6C2B">
      <w:pPr>
        <w:rPr>
          <w:rFonts w:ascii="Arial" w:hAnsi="Arial" w:cs="Arial"/>
        </w:rPr>
      </w:pPr>
      <w:r w:rsidRPr="007E6C2B">
        <w:rPr>
          <w:rFonts w:ascii="Arial" w:hAnsi="Arial" w:cs="Arial"/>
        </w:rPr>
        <w:t>UK Climate Investments (UKCI) is a joint venture between the Green Investment Group, now part of Macquarie, and the UK Government</w:t>
      </w:r>
      <w:r w:rsidR="00545353">
        <w:rPr>
          <w:rFonts w:ascii="Arial" w:hAnsi="Arial" w:cs="Arial"/>
        </w:rPr>
        <w:t xml:space="preserve">. The programme </w:t>
      </w:r>
      <w:proofErr w:type="gramStart"/>
      <w:r w:rsidR="00545353">
        <w:rPr>
          <w:rFonts w:ascii="Arial" w:hAnsi="Arial" w:cs="Arial"/>
        </w:rPr>
        <w:t xml:space="preserve">was </w:t>
      </w:r>
      <w:r w:rsidR="007D4111">
        <w:rPr>
          <w:rFonts w:ascii="Arial" w:hAnsi="Arial" w:cs="Arial"/>
        </w:rPr>
        <w:t>established</w:t>
      </w:r>
      <w:proofErr w:type="gramEnd"/>
      <w:r w:rsidR="007D4111">
        <w:rPr>
          <w:rFonts w:ascii="Arial" w:hAnsi="Arial" w:cs="Arial"/>
        </w:rPr>
        <w:t xml:space="preserve"> by</w:t>
      </w:r>
      <w:r w:rsidR="00685D4E">
        <w:rPr>
          <w:rFonts w:ascii="Arial" w:hAnsi="Arial" w:cs="Arial"/>
        </w:rPr>
        <w:t xml:space="preserve"> the Department for Environment and Climate Change (DECC)</w:t>
      </w:r>
      <w:r w:rsidR="009E6B70">
        <w:rPr>
          <w:rFonts w:ascii="Arial" w:hAnsi="Arial" w:cs="Arial"/>
        </w:rPr>
        <w:t>, wh</w:t>
      </w:r>
      <w:r w:rsidR="00F56984">
        <w:rPr>
          <w:rFonts w:ascii="Arial" w:hAnsi="Arial" w:cs="Arial"/>
        </w:rPr>
        <w:t>ich</w:t>
      </w:r>
      <w:r w:rsidR="009E6B70">
        <w:rPr>
          <w:rFonts w:ascii="Arial" w:hAnsi="Arial" w:cs="Arial"/>
        </w:rPr>
        <w:t xml:space="preserve"> then merged to become the</w:t>
      </w:r>
      <w:r w:rsidR="007D4111">
        <w:rPr>
          <w:rFonts w:ascii="Arial" w:hAnsi="Arial" w:cs="Arial"/>
        </w:rPr>
        <w:t xml:space="preserve"> </w:t>
      </w:r>
      <w:r w:rsidR="00FC7BA8" w:rsidRPr="00FC7BA8">
        <w:rPr>
          <w:rFonts w:ascii="Arial" w:hAnsi="Arial" w:cs="Arial"/>
        </w:rPr>
        <w:t xml:space="preserve">Department for Business, </w:t>
      </w:r>
      <w:r w:rsidR="00F842C1" w:rsidRPr="00FC7BA8">
        <w:rPr>
          <w:rFonts w:ascii="Arial" w:hAnsi="Arial" w:cs="Arial"/>
        </w:rPr>
        <w:t>Energy,</w:t>
      </w:r>
      <w:r w:rsidR="00FC7BA8" w:rsidRPr="00FC7BA8">
        <w:rPr>
          <w:rFonts w:ascii="Arial" w:hAnsi="Arial" w:cs="Arial"/>
        </w:rPr>
        <w:t xml:space="preserve"> and Industrial Strategy (BEIS)</w:t>
      </w:r>
      <w:r w:rsidR="009E6B70">
        <w:rPr>
          <w:rFonts w:ascii="Arial" w:hAnsi="Arial" w:cs="Arial"/>
        </w:rPr>
        <w:t xml:space="preserve">. The programme </w:t>
      </w:r>
      <w:r w:rsidR="00FC7BA8">
        <w:rPr>
          <w:rFonts w:ascii="Arial" w:hAnsi="Arial" w:cs="Arial"/>
        </w:rPr>
        <w:t>subsequently moved to control by the Department for Energy Security and Net Zero (DESNZ) upon its creation</w:t>
      </w:r>
      <w:r w:rsidR="009E6B70">
        <w:rPr>
          <w:rFonts w:ascii="Arial" w:hAnsi="Arial" w:cs="Arial"/>
        </w:rPr>
        <w:t xml:space="preserve"> following the break-up of BEIS</w:t>
      </w:r>
      <w:r w:rsidR="00FC7BA8">
        <w:rPr>
          <w:rFonts w:ascii="Arial" w:hAnsi="Arial" w:cs="Arial"/>
        </w:rPr>
        <w:t xml:space="preserve"> in June 2023.</w:t>
      </w:r>
      <w:r w:rsidR="003C3AC5">
        <w:rPr>
          <w:rFonts w:ascii="Arial" w:hAnsi="Arial" w:cs="Arial"/>
        </w:rPr>
        <w:t xml:space="preserve"> This report will reference the responsible department depending on the timeline of the information supplied.</w:t>
      </w:r>
      <w:r w:rsidR="00545353">
        <w:rPr>
          <w:rFonts w:ascii="Arial" w:hAnsi="Arial" w:cs="Arial"/>
        </w:rPr>
        <w:t xml:space="preserve"> </w:t>
      </w:r>
    </w:p>
    <w:p w14:paraId="1E9FCBAE" w14:textId="737CEC31" w:rsidR="007E6C2B" w:rsidRPr="007E6C2B" w:rsidRDefault="007E6C2B" w:rsidP="007E6C2B">
      <w:pPr>
        <w:rPr>
          <w:rFonts w:ascii="Arial" w:hAnsi="Arial" w:cs="Arial"/>
        </w:rPr>
      </w:pPr>
      <w:r w:rsidRPr="007E6C2B">
        <w:rPr>
          <w:rFonts w:ascii="Arial" w:hAnsi="Arial" w:cs="Arial"/>
        </w:rPr>
        <w:t>UKCI invests in Renewable Energy (RE) and Energy Efficiency (EE) projects across sub-Saharan Africa and India to demonstrate that low carbon development is possible, replicable at scale, commercially viable and capable of lowering carbon emissions and supporting economic growth. UKCI provides £200m of UK International Climate Finance investments on a commercial basis to get projects off the ground that would not otherwise reach financial close. UKCI delivers development outcomes consistent with the conditions of UK Overseas Development Assistance</w:t>
      </w:r>
      <w:proofErr w:type="gramStart"/>
      <w:r w:rsidRPr="007E6C2B">
        <w:rPr>
          <w:rFonts w:ascii="Arial" w:hAnsi="Arial" w:cs="Arial"/>
        </w:rPr>
        <w:t xml:space="preserve">.  </w:t>
      </w:r>
      <w:proofErr w:type="gramEnd"/>
    </w:p>
    <w:p w14:paraId="33BCD9B0" w14:textId="5A1E307A" w:rsidR="007E6C2B" w:rsidRPr="007E6C2B" w:rsidRDefault="007E6C2B" w:rsidP="007E6C2B">
      <w:pPr>
        <w:rPr>
          <w:rFonts w:ascii="Arial" w:hAnsi="Arial" w:cs="Arial"/>
        </w:rPr>
      </w:pPr>
      <w:r w:rsidRPr="007E6C2B">
        <w:rPr>
          <w:rFonts w:ascii="Arial" w:hAnsi="Arial" w:cs="Arial"/>
        </w:rPr>
        <w:t xml:space="preserve">UKCI was originally set up as a three-year joint venture (2015-2018) with the Green Investment Bank (GIB). Following the privatisation of the Green Investment Bank and its acquisition by the Macquarie Group in September 2017, BEIS extended UKCI’s investment period to account for delays incurred during privatisation. A further extension of the programme’s investment phase to November 2021 </w:t>
      </w:r>
      <w:proofErr w:type="gramStart"/>
      <w:r w:rsidRPr="007E6C2B">
        <w:rPr>
          <w:rFonts w:ascii="Arial" w:hAnsi="Arial" w:cs="Arial"/>
        </w:rPr>
        <w:t>was agreed</w:t>
      </w:r>
      <w:proofErr w:type="gramEnd"/>
      <w:r w:rsidRPr="007E6C2B">
        <w:rPr>
          <w:rFonts w:ascii="Arial" w:hAnsi="Arial" w:cs="Arial"/>
        </w:rPr>
        <w:t xml:space="preserve"> in 2020 to allow the realisation of UKCI’s pipeline of expected results. From November 2021 to November 2023 UKCI operat</w:t>
      </w:r>
      <w:r w:rsidR="00CC2E13">
        <w:rPr>
          <w:rFonts w:ascii="Arial" w:hAnsi="Arial" w:cs="Arial"/>
        </w:rPr>
        <w:t>ed</w:t>
      </w:r>
      <w:r w:rsidRPr="007E6C2B">
        <w:rPr>
          <w:rFonts w:ascii="Arial" w:hAnsi="Arial" w:cs="Arial"/>
        </w:rPr>
        <w:t xml:space="preserve"> in its commitment phase, where the programme continue</w:t>
      </w:r>
      <w:r w:rsidR="00CC2E13">
        <w:rPr>
          <w:rFonts w:ascii="Arial" w:hAnsi="Arial" w:cs="Arial"/>
        </w:rPr>
        <w:t>d</w:t>
      </w:r>
      <w:r w:rsidRPr="007E6C2B">
        <w:rPr>
          <w:rFonts w:ascii="Arial" w:hAnsi="Arial" w:cs="Arial"/>
        </w:rPr>
        <w:t xml:space="preserve"> to spend against remaining undrawn commitments made during the investment phase. The</w:t>
      </w:r>
      <w:r w:rsidR="00F842C1">
        <w:rPr>
          <w:rFonts w:ascii="Arial" w:hAnsi="Arial" w:cs="Arial"/>
        </w:rPr>
        <w:t xml:space="preserve"> </w:t>
      </w:r>
      <w:r w:rsidRPr="007E6C2B">
        <w:rPr>
          <w:rFonts w:ascii="Arial" w:hAnsi="Arial" w:cs="Arial"/>
        </w:rPr>
        <w:t xml:space="preserve">asset </w:t>
      </w:r>
      <w:r w:rsidRPr="007E6C2B">
        <w:rPr>
          <w:rFonts w:ascii="Arial" w:hAnsi="Arial" w:cs="Arial"/>
        </w:rPr>
        <w:lastRenderedPageBreak/>
        <w:t xml:space="preserve">management </w:t>
      </w:r>
      <w:proofErr w:type="gramStart"/>
      <w:r w:rsidR="00460524">
        <w:rPr>
          <w:rFonts w:ascii="Arial" w:hAnsi="Arial" w:cs="Arial"/>
        </w:rPr>
        <w:t>is expected</w:t>
      </w:r>
      <w:proofErr w:type="gramEnd"/>
      <w:r w:rsidR="00460524">
        <w:rPr>
          <w:rFonts w:ascii="Arial" w:hAnsi="Arial" w:cs="Arial"/>
        </w:rPr>
        <w:t xml:space="preserve"> to</w:t>
      </w:r>
      <w:r w:rsidRPr="007E6C2B">
        <w:rPr>
          <w:rFonts w:ascii="Arial" w:hAnsi="Arial" w:cs="Arial"/>
        </w:rPr>
        <w:t xml:space="preserve"> continue up to 2040, until which UKCI is expected to hold its investments until their realisation (if earlier)</w:t>
      </w:r>
      <w:r w:rsidR="00460524">
        <w:rPr>
          <w:rFonts w:ascii="Arial" w:hAnsi="Arial" w:cs="Arial"/>
        </w:rPr>
        <w:t>, the</w:t>
      </w:r>
      <w:r w:rsidRPr="007E6C2B">
        <w:rPr>
          <w:rFonts w:ascii="Arial" w:hAnsi="Arial" w:cs="Arial"/>
        </w:rPr>
        <w:t xml:space="preserve"> conclusion of the programme</w:t>
      </w:r>
      <w:r w:rsidR="00460524">
        <w:rPr>
          <w:rFonts w:ascii="Arial" w:hAnsi="Arial" w:cs="Arial"/>
        </w:rPr>
        <w:t>, or until BII determines an alternative course for the fund</w:t>
      </w:r>
      <w:r w:rsidRPr="007E6C2B">
        <w:rPr>
          <w:rFonts w:ascii="Arial" w:hAnsi="Arial" w:cs="Arial"/>
        </w:rPr>
        <w:t>.</w:t>
      </w:r>
      <w:r w:rsidR="00460524">
        <w:rPr>
          <w:rFonts w:ascii="Arial" w:hAnsi="Arial" w:cs="Arial"/>
        </w:rPr>
        <w:t xml:space="preserve"> </w:t>
      </w:r>
    </w:p>
    <w:p w14:paraId="0DF5E4CB" w14:textId="58C40044" w:rsidR="00C15541" w:rsidRDefault="00CC2E13" w:rsidP="007E6C2B">
      <w:pPr>
        <w:rPr>
          <w:rFonts w:ascii="Arial" w:hAnsi="Arial" w:cs="Arial"/>
        </w:rPr>
      </w:pPr>
      <w:r>
        <w:rPr>
          <w:rFonts w:ascii="Arial" w:hAnsi="Arial" w:cs="Arial"/>
        </w:rPr>
        <w:t xml:space="preserve">It </w:t>
      </w:r>
      <w:proofErr w:type="gramStart"/>
      <w:r>
        <w:rPr>
          <w:rFonts w:ascii="Arial" w:hAnsi="Arial" w:cs="Arial"/>
        </w:rPr>
        <w:t>was expected</w:t>
      </w:r>
      <w:proofErr w:type="gramEnd"/>
      <w:r>
        <w:rPr>
          <w:rFonts w:ascii="Arial" w:hAnsi="Arial" w:cs="Arial"/>
        </w:rPr>
        <w:t xml:space="preserve"> that f</w:t>
      </w:r>
      <w:r w:rsidR="007E6C2B" w:rsidRPr="007E6C2B">
        <w:rPr>
          <w:rFonts w:ascii="Arial" w:hAnsi="Arial" w:cs="Arial"/>
        </w:rPr>
        <w:t>rom 1 April 2022, UKCI w</w:t>
      </w:r>
      <w:r>
        <w:rPr>
          <w:rFonts w:ascii="Arial" w:hAnsi="Arial" w:cs="Arial"/>
        </w:rPr>
        <w:t>ould</w:t>
      </w:r>
      <w:r w:rsidR="007E6C2B" w:rsidRPr="007E6C2B">
        <w:rPr>
          <w:rFonts w:ascii="Arial" w:hAnsi="Arial" w:cs="Arial"/>
        </w:rPr>
        <w:t xml:space="preserve"> transfer to FCDO and become an FCDO managed and delivered programme. </w:t>
      </w:r>
      <w:r w:rsidR="006C6213" w:rsidRPr="007E6C2B">
        <w:rPr>
          <w:rFonts w:ascii="Arial" w:hAnsi="Arial" w:cs="Arial"/>
        </w:rPr>
        <w:t xml:space="preserve">The </w:t>
      </w:r>
      <w:r w:rsidR="006C6213">
        <w:rPr>
          <w:rFonts w:ascii="Arial" w:hAnsi="Arial" w:cs="Arial"/>
        </w:rPr>
        <w:t>expected</w:t>
      </w:r>
      <w:r w:rsidR="006C6213" w:rsidRPr="007E6C2B">
        <w:rPr>
          <w:rFonts w:ascii="Arial" w:hAnsi="Arial" w:cs="Arial"/>
        </w:rPr>
        <w:t xml:space="preserve"> move </w:t>
      </w:r>
      <w:r w:rsidR="006C6213">
        <w:rPr>
          <w:rFonts w:ascii="Arial" w:hAnsi="Arial" w:cs="Arial"/>
        </w:rPr>
        <w:t xml:space="preserve">was part of a broader </w:t>
      </w:r>
      <w:r w:rsidR="00547328">
        <w:rPr>
          <w:rFonts w:ascii="Arial" w:hAnsi="Arial" w:cs="Arial"/>
        </w:rPr>
        <w:t xml:space="preserve">move of </w:t>
      </w:r>
      <w:proofErr w:type="gramStart"/>
      <w:r w:rsidR="006C6213" w:rsidRPr="007E6C2B">
        <w:rPr>
          <w:rFonts w:ascii="Arial" w:hAnsi="Arial" w:cs="Arial"/>
        </w:rPr>
        <w:t>some of</w:t>
      </w:r>
      <w:proofErr w:type="gramEnd"/>
      <w:r w:rsidR="006C6213" w:rsidRPr="007E6C2B">
        <w:rPr>
          <w:rFonts w:ascii="Arial" w:hAnsi="Arial" w:cs="Arial"/>
        </w:rPr>
        <w:t xml:space="preserve"> the BEIS ICF programming into FCDO</w:t>
      </w:r>
      <w:r w:rsidR="00547328">
        <w:rPr>
          <w:rFonts w:ascii="Arial" w:hAnsi="Arial" w:cs="Arial"/>
        </w:rPr>
        <w:t>. The decision was</w:t>
      </w:r>
      <w:r w:rsidR="006C6213" w:rsidRPr="007E6C2B">
        <w:rPr>
          <w:rFonts w:ascii="Arial" w:hAnsi="Arial" w:cs="Arial"/>
        </w:rPr>
        <w:t xml:space="preserve"> based on the Spending Review 2021, delivering on the Prime Minister’s ambition for aligning our international effort, bringing greater coherence and strategic oversight to the UK aid budget</w:t>
      </w:r>
      <w:r w:rsidR="00547328">
        <w:rPr>
          <w:rFonts w:ascii="Arial" w:hAnsi="Arial" w:cs="Arial"/>
        </w:rPr>
        <w:t xml:space="preserve">. </w:t>
      </w:r>
      <w:r w:rsidR="002C0BFD">
        <w:rPr>
          <w:rFonts w:ascii="Arial" w:hAnsi="Arial" w:cs="Arial"/>
        </w:rPr>
        <w:t xml:space="preserve">FCDO made the strategic decision to transfer UKCI to BII to improve economy, </w:t>
      </w:r>
      <w:r w:rsidR="00F842C1">
        <w:rPr>
          <w:rFonts w:ascii="Arial" w:hAnsi="Arial" w:cs="Arial"/>
        </w:rPr>
        <w:t>efficiency,</w:t>
      </w:r>
      <w:r w:rsidR="002C0BFD">
        <w:rPr>
          <w:rFonts w:ascii="Arial" w:hAnsi="Arial" w:cs="Arial"/>
        </w:rPr>
        <w:t xml:space="preserve"> and </w:t>
      </w:r>
      <w:r w:rsidR="00655015">
        <w:rPr>
          <w:rFonts w:ascii="Arial" w:hAnsi="Arial" w:cs="Arial"/>
        </w:rPr>
        <w:t xml:space="preserve">effective </w:t>
      </w:r>
      <w:r w:rsidR="002C0BFD">
        <w:rPr>
          <w:rFonts w:ascii="Arial" w:hAnsi="Arial" w:cs="Arial"/>
        </w:rPr>
        <w:t>oversight of the mature investment fund</w:t>
      </w:r>
      <w:r w:rsidR="00655015">
        <w:rPr>
          <w:rFonts w:ascii="Arial" w:hAnsi="Arial" w:cs="Arial"/>
        </w:rPr>
        <w:t>. Transfer of control took place on 31 March 2023</w:t>
      </w:r>
      <w:r w:rsidR="00B84C03">
        <w:rPr>
          <w:rFonts w:ascii="Arial" w:hAnsi="Arial" w:cs="Arial"/>
        </w:rPr>
        <w:t xml:space="preserve"> before legally transferring in October 2023</w:t>
      </w:r>
      <w:r w:rsidR="00460524">
        <w:rPr>
          <w:rStyle w:val="FootnoteReference"/>
          <w:rFonts w:ascii="Arial" w:hAnsi="Arial" w:cs="Arial"/>
        </w:rPr>
        <w:footnoteReference w:id="2"/>
      </w:r>
      <w:r w:rsidR="00655015">
        <w:rPr>
          <w:rFonts w:ascii="Arial" w:hAnsi="Arial" w:cs="Arial"/>
        </w:rPr>
        <w:t xml:space="preserve">. This report considers performance of UKCI to </w:t>
      </w:r>
      <w:r w:rsidR="00B84C03">
        <w:rPr>
          <w:rFonts w:ascii="Arial" w:hAnsi="Arial" w:cs="Arial"/>
        </w:rPr>
        <w:t>March</w:t>
      </w:r>
      <w:r w:rsidR="00655015">
        <w:rPr>
          <w:rFonts w:ascii="Arial" w:hAnsi="Arial" w:cs="Arial"/>
        </w:rPr>
        <w:t xml:space="preserve"> </w:t>
      </w:r>
      <w:r w:rsidR="00F56984">
        <w:rPr>
          <w:rFonts w:ascii="Arial" w:hAnsi="Arial" w:cs="Arial"/>
        </w:rPr>
        <w:t xml:space="preserve">2023 </w:t>
      </w:r>
      <w:r w:rsidR="00B84C03">
        <w:rPr>
          <w:rFonts w:ascii="Arial" w:hAnsi="Arial" w:cs="Arial"/>
        </w:rPr>
        <w:t>given thereafter HMG had ceded control.</w:t>
      </w:r>
      <w:r w:rsidR="002C0BFD">
        <w:rPr>
          <w:rFonts w:ascii="Arial" w:hAnsi="Arial" w:cs="Arial"/>
        </w:rPr>
        <w:br/>
      </w:r>
      <w:r w:rsidR="002C0BFD">
        <w:rPr>
          <w:rFonts w:ascii="Arial" w:hAnsi="Arial" w:cs="Arial"/>
        </w:rPr>
        <w:br/>
      </w:r>
      <w:r w:rsidR="00CE3BD4">
        <w:rPr>
          <w:rFonts w:ascii="Arial" w:hAnsi="Arial" w:cs="Arial"/>
        </w:rPr>
        <w:t xml:space="preserve">UKCI </w:t>
      </w:r>
      <w:r w:rsidR="00C15541">
        <w:rPr>
          <w:rFonts w:ascii="Arial" w:hAnsi="Arial" w:cs="Arial"/>
        </w:rPr>
        <w:t>consists of a portfolio of the following investments</w:t>
      </w:r>
      <w:r w:rsidR="003F4508">
        <w:rPr>
          <w:rFonts w:ascii="Arial" w:hAnsi="Arial" w:cs="Arial"/>
        </w:rPr>
        <w:t>:</w:t>
      </w:r>
    </w:p>
    <w:tbl>
      <w:tblPr>
        <w:tblStyle w:val="TableGrid"/>
        <w:tblW w:w="0" w:type="auto"/>
        <w:tblLook w:val="04A0" w:firstRow="1" w:lastRow="0" w:firstColumn="1" w:lastColumn="0" w:noHBand="0" w:noVBand="1"/>
      </w:tblPr>
      <w:tblGrid>
        <w:gridCol w:w="1129"/>
        <w:gridCol w:w="1134"/>
        <w:gridCol w:w="1560"/>
        <w:gridCol w:w="1417"/>
        <w:gridCol w:w="3776"/>
      </w:tblGrid>
      <w:tr w:rsidR="00D73798" w14:paraId="6F67F275" w14:textId="77777777" w:rsidTr="0071692B">
        <w:tc>
          <w:tcPr>
            <w:tcW w:w="1129" w:type="dxa"/>
            <w:shd w:val="clear" w:color="auto" w:fill="D9E2F3" w:themeFill="accent1" w:themeFillTint="33"/>
          </w:tcPr>
          <w:p w14:paraId="17EC64C1" w14:textId="45F9C6B2" w:rsidR="00D73798" w:rsidRPr="0071692B" w:rsidRDefault="00D73798" w:rsidP="007E6C2B">
            <w:pPr>
              <w:rPr>
                <w:rFonts w:ascii="Arial" w:hAnsi="Arial" w:cs="Arial"/>
                <w:b/>
                <w:bCs/>
              </w:rPr>
            </w:pPr>
            <w:r w:rsidRPr="0071692B">
              <w:rPr>
                <w:rFonts w:ascii="Arial" w:hAnsi="Arial" w:cs="Arial"/>
                <w:b/>
                <w:bCs/>
              </w:rPr>
              <w:t>Project</w:t>
            </w:r>
          </w:p>
        </w:tc>
        <w:tc>
          <w:tcPr>
            <w:tcW w:w="1134" w:type="dxa"/>
            <w:shd w:val="clear" w:color="auto" w:fill="D9E2F3" w:themeFill="accent1" w:themeFillTint="33"/>
          </w:tcPr>
          <w:p w14:paraId="62E1FB9B" w14:textId="6418A10E" w:rsidR="00D73798" w:rsidRPr="0071692B" w:rsidRDefault="00D73798" w:rsidP="007E6C2B">
            <w:pPr>
              <w:rPr>
                <w:rFonts w:ascii="Arial" w:hAnsi="Arial" w:cs="Arial"/>
                <w:b/>
                <w:bCs/>
              </w:rPr>
            </w:pPr>
            <w:r w:rsidRPr="0071692B">
              <w:rPr>
                <w:rFonts w:ascii="Arial" w:hAnsi="Arial" w:cs="Arial"/>
                <w:b/>
                <w:bCs/>
              </w:rPr>
              <w:t>Country</w:t>
            </w:r>
          </w:p>
        </w:tc>
        <w:tc>
          <w:tcPr>
            <w:tcW w:w="1560" w:type="dxa"/>
            <w:shd w:val="clear" w:color="auto" w:fill="D9E2F3" w:themeFill="accent1" w:themeFillTint="33"/>
          </w:tcPr>
          <w:p w14:paraId="127E4BB1" w14:textId="04598A51" w:rsidR="00D73798" w:rsidRPr="0071692B" w:rsidRDefault="00D73798" w:rsidP="007E6C2B">
            <w:pPr>
              <w:rPr>
                <w:rFonts w:ascii="Arial" w:hAnsi="Arial" w:cs="Arial"/>
                <w:b/>
                <w:bCs/>
              </w:rPr>
            </w:pPr>
            <w:r w:rsidRPr="0071692B">
              <w:rPr>
                <w:rFonts w:ascii="Arial" w:hAnsi="Arial" w:cs="Arial"/>
                <w:b/>
                <w:bCs/>
              </w:rPr>
              <w:t>Sector</w:t>
            </w:r>
          </w:p>
        </w:tc>
        <w:tc>
          <w:tcPr>
            <w:tcW w:w="1417" w:type="dxa"/>
            <w:shd w:val="clear" w:color="auto" w:fill="D9E2F3" w:themeFill="accent1" w:themeFillTint="33"/>
          </w:tcPr>
          <w:p w14:paraId="122A8BBD" w14:textId="026F8926" w:rsidR="00D73798" w:rsidRPr="0071692B" w:rsidRDefault="00853258" w:rsidP="007E6C2B">
            <w:pPr>
              <w:rPr>
                <w:rFonts w:ascii="Arial" w:hAnsi="Arial" w:cs="Arial"/>
                <w:b/>
                <w:bCs/>
              </w:rPr>
            </w:pPr>
            <w:r w:rsidRPr="0071692B">
              <w:rPr>
                <w:rFonts w:ascii="Arial" w:hAnsi="Arial" w:cs="Arial"/>
                <w:b/>
                <w:bCs/>
              </w:rPr>
              <w:t>Size</w:t>
            </w:r>
          </w:p>
        </w:tc>
        <w:tc>
          <w:tcPr>
            <w:tcW w:w="3776" w:type="dxa"/>
            <w:shd w:val="clear" w:color="auto" w:fill="D9E2F3" w:themeFill="accent1" w:themeFillTint="33"/>
          </w:tcPr>
          <w:p w14:paraId="053F7B40" w14:textId="5EBD7683" w:rsidR="00D73798" w:rsidRPr="0071692B" w:rsidRDefault="00853258" w:rsidP="007E6C2B">
            <w:pPr>
              <w:rPr>
                <w:rFonts w:ascii="Arial" w:hAnsi="Arial" w:cs="Arial"/>
                <w:b/>
                <w:bCs/>
              </w:rPr>
            </w:pPr>
            <w:r w:rsidRPr="0071692B">
              <w:rPr>
                <w:rFonts w:ascii="Arial" w:hAnsi="Arial" w:cs="Arial"/>
                <w:b/>
                <w:bCs/>
              </w:rPr>
              <w:t>Description</w:t>
            </w:r>
          </w:p>
        </w:tc>
      </w:tr>
      <w:tr w:rsidR="00D73798" w14:paraId="1FB8903B" w14:textId="77777777" w:rsidTr="00E10BFC">
        <w:tc>
          <w:tcPr>
            <w:tcW w:w="1129" w:type="dxa"/>
          </w:tcPr>
          <w:p w14:paraId="01CD52CA" w14:textId="36D9F624" w:rsidR="00D73798" w:rsidRDefault="00853258" w:rsidP="007E6C2B">
            <w:pPr>
              <w:rPr>
                <w:rFonts w:ascii="Arial" w:hAnsi="Arial" w:cs="Arial"/>
              </w:rPr>
            </w:pPr>
            <w:r>
              <w:rPr>
                <w:rFonts w:ascii="Arial" w:hAnsi="Arial" w:cs="Arial"/>
              </w:rPr>
              <w:t>Bolt</w:t>
            </w:r>
          </w:p>
        </w:tc>
        <w:tc>
          <w:tcPr>
            <w:tcW w:w="1134" w:type="dxa"/>
          </w:tcPr>
          <w:p w14:paraId="3CEDD298" w14:textId="458CBA67" w:rsidR="00D73798" w:rsidRDefault="00853258" w:rsidP="007E6C2B">
            <w:pPr>
              <w:rPr>
                <w:rFonts w:ascii="Arial" w:hAnsi="Arial" w:cs="Arial"/>
              </w:rPr>
            </w:pPr>
            <w:r>
              <w:rPr>
                <w:rFonts w:ascii="Arial" w:hAnsi="Arial" w:cs="Arial"/>
              </w:rPr>
              <w:t>India</w:t>
            </w:r>
          </w:p>
        </w:tc>
        <w:tc>
          <w:tcPr>
            <w:tcW w:w="1560" w:type="dxa"/>
          </w:tcPr>
          <w:p w14:paraId="0AB4E871" w14:textId="424E9AE3" w:rsidR="00D73798" w:rsidRDefault="00853258" w:rsidP="007E6C2B">
            <w:pPr>
              <w:rPr>
                <w:rFonts w:ascii="Arial" w:hAnsi="Arial" w:cs="Arial"/>
              </w:rPr>
            </w:pPr>
            <w:r>
              <w:rPr>
                <w:rFonts w:ascii="Arial" w:hAnsi="Arial" w:cs="Arial"/>
              </w:rPr>
              <w:t>Renewable Energy (PV)</w:t>
            </w:r>
          </w:p>
        </w:tc>
        <w:tc>
          <w:tcPr>
            <w:tcW w:w="1417" w:type="dxa"/>
          </w:tcPr>
          <w:p w14:paraId="5945EBA6" w14:textId="776B43D4" w:rsidR="00D73798" w:rsidRDefault="00E10BFC" w:rsidP="007E6C2B">
            <w:pPr>
              <w:rPr>
                <w:rFonts w:ascii="Arial" w:hAnsi="Arial" w:cs="Arial"/>
              </w:rPr>
            </w:pPr>
            <w:r>
              <w:rPr>
                <w:rFonts w:ascii="Arial" w:hAnsi="Arial" w:cs="Arial"/>
              </w:rPr>
              <w:t>GBP 5m</w:t>
            </w:r>
          </w:p>
        </w:tc>
        <w:tc>
          <w:tcPr>
            <w:tcW w:w="3776" w:type="dxa"/>
          </w:tcPr>
          <w:p w14:paraId="6A6E2CC6" w14:textId="79283E62" w:rsidR="00D73798" w:rsidRDefault="0024679F" w:rsidP="007E6C2B">
            <w:pPr>
              <w:rPr>
                <w:rFonts w:ascii="Arial" w:hAnsi="Arial" w:cs="Arial"/>
              </w:rPr>
            </w:pPr>
            <w:r>
              <w:rPr>
                <w:rFonts w:ascii="Arial" w:hAnsi="Arial" w:cs="Arial"/>
              </w:rPr>
              <w:t>50MW utility-scale solar project</w:t>
            </w:r>
          </w:p>
        </w:tc>
      </w:tr>
      <w:tr w:rsidR="00D73798" w14:paraId="6045A24B" w14:textId="77777777" w:rsidTr="00E10BFC">
        <w:tc>
          <w:tcPr>
            <w:tcW w:w="1129" w:type="dxa"/>
          </w:tcPr>
          <w:p w14:paraId="0681FB48" w14:textId="18CFE4B6" w:rsidR="00D73798" w:rsidRDefault="00853258" w:rsidP="007E6C2B">
            <w:pPr>
              <w:rPr>
                <w:rFonts w:ascii="Arial" w:hAnsi="Arial" w:cs="Arial"/>
              </w:rPr>
            </w:pPr>
            <w:r>
              <w:rPr>
                <w:rFonts w:ascii="Arial" w:hAnsi="Arial" w:cs="Arial"/>
              </w:rPr>
              <w:t>Lakeside</w:t>
            </w:r>
          </w:p>
        </w:tc>
        <w:tc>
          <w:tcPr>
            <w:tcW w:w="1134" w:type="dxa"/>
          </w:tcPr>
          <w:p w14:paraId="4391B673" w14:textId="0DEF1EA5" w:rsidR="00D73798" w:rsidRDefault="00853258" w:rsidP="007E6C2B">
            <w:pPr>
              <w:rPr>
                <w:rFonts w:ascii="Arial" w:hAnsi="Arial" w:cs="Arial"/>
              </w:rPr>
            </w:pPr>
            <w:r>
              <w:rPr>
                <w:rFonts w:ascii="Arial" w:hAnsi="Arial" w:cs="Arial"/>
              </w:rPr>
              <w:t>India</w:t>
            </w:r>
          </w:p>
        </w:tc>
        <w:tc>
          <w:tcPr>
            <w:tcW w:w="1560" w:type="dxa"/>
          </w:tcPr>
          <w:p w14:paraId="48112395" w14:textId="6E8A45D9" w:rsidR="00D73798" w:rsidRDefault="00853258" w:rsidP="007E6C2B">
            <w:pPr>
              <w:rPr>
                <w:rFonts w:ascii="Arial" w:hAnsi="Arial" w:cs="Arial"/>
              </w:rPr>
            </w:pPr>
            <w:r>
              <w:rPr>
                <w:rFonts w:ascii="Arial" w:hAnsi="Arial" w:cs="Arial"/>
              </w:rPr>
              <w:t>Renewable Energy (PV)</w:t>
            </w:r>
          </w:p>
        </w:tc>
        <w:tc>
          <w:tcPr>
            <w:tcW w:w="1417" w:type="dxa"/>
          </w:tcPr>
          <w:p w14:paraId="548EE1BF" w14:textId="2A1609DF" w:rsidR="00D73798" w:rsidRDefault="00E10BFC" w:rsidP="007E6C2B">
            <w:pPr>
              <w:rPr>
                <w:rFonts w:ascii="Arial" w:hAnsi="Arial" w:cs="Arial"/>
              </w:rPr>
            </w:pPr>
            <w:r>
              <w:rPr>
                <w:rFonts w:ascii="Arial" w:hAnsi="Arial" w:cs="Arial"/>
              </w:rPr>
              <w:t>GBP 31m</w:t>
            </w:r>
          </w:p>
        </w:tc>
        <w:tc>
          <w:tcPr>
            <w:tcW w:w="3776" w:type="dxa"/>
          </w:tcPr>
          <w:p w14:paraId="08773555" w14:textId="530C93AB" w:rsidR="00D73798" w:rsidRDefault="0024679F" w:rsidP="007E6C2B">
            <w:pPr>
              <w:rPr>
                <w:rFonts w:ascii="Arial" w:hAnsi="Arial" w:cs="Arial"/>
              </w:rPr>
            </w:pPr>
            <w:r>
              <w:rPr>
                <w:rFonts w:ascii="Arial" w:hAnsi="Arial" w:cs="Arial"/>
              </w:rPr>
              <w:t>First unlisted renewable Yield Company (Yield</w:t>
            </w:r>
            <w:r w:rsidR="00F842C1">
              <w:rPr>
                <w:rFonts w:ascii="Arial" w:hAnsi="Arial" w:cs="Arial"/>
              </w:rPr>
              <w:t>C</w:t>
            </w:r>
            <w:r>
              <w:rPr>
                <w:rFonts w:ascii="Arial" w:hAnsi="Arial" w:cs="Arial"/>
              </w:rPr>
              <w:t>o) for international investors</w:t>
            </w:r>
          </w:p>
        </w:tc>
      </w:tr>
      <w:tr w:rsidR="00D73798" w14:paraId="37B76B2A" w14:textId="77777777" w:rsidTr="00E10BFC">
        <w:tc>
          <w:tcPr>
            <w:tcW w:w="1129" w:type="dxa"/>
          </w:tcPr>
          <w:p w14:paraId="6A6FFBB9" w14:textId="356F5E7F" w:rsidR="00D73798" w:rsidRDefault="00853258" w:rsidP="007E6C2B">
            <w:pPr>
              <w:rPr>
                <w:rFonts w:ascii="Arial" w:hAnsi="Arial" w:cs="Arial"/>
              </w:rPr>
            </w:pPr>
            <w:r>
              <w:rPr>
                <w:rFonts w:ascii="Arial" w:hAnsi="Arial" w:cs="Arial"/>
              </w:rPr>
              <w:t>Dazzle</w:t>
            </w:r>
          </w:p>
        </w:tc>
        <w:tc>
          <w:tcPr>
            <w:tcW w:w="1134" w:type="dxa"/>
          </w:tcPr>
          <w:p w14:paraId="6518D84C" w14:textId="0397A2C5" w:rsidR="00D73798" w:rsidRDefault="00853258" w:rsidP="007E6C2B">
            <w:pPr>
              <w:rPr>
                <w:rFonts w:ascii="Arial" w:hAnsi="Arial" w:cs="Arial"/>
              </w:rPr>
            </w:pPr>
            <w:r>
              <w:rPr>
                <w:rFonts w:ascii="Arial" w:hAnsi="Arial" w:cs="Arial"/>
              </w:rPr>
              <w:t>S. Africa</w:t>
            </w:r>
          </w:p>
        </w:tc>
        <w:tc>
          <w:tcPr>
            <w:tcW w:w="1560" w:type="dxa"/>
          </w:tcPr>
          <w:p w14:paraId="052ED1A0" w14:textId="6B2ABD2C" w:rsidR="00D73798" w:rsidRDefault="00E10BFC" w:rsidP="007E6C2B">
            <w:pPr>
              <w:rPr>
                <w:rFonts w:ascii="Arial" w:hAnsi="Arial" w:cs="Arial"/>
              </w:rPr>
            </w:pPr>
            <w:r>
              <w:rPr>
                <w:rFonts w:ascii="Arial" w:hAnsi="Arial" w:cs="Arial"/>
              </w:rPr>
              <w:t>Renewable Energy (wind, PV)</w:t>
            </w:r>
          </w:p>
        </w:tc>
        <w:tc>
          <w:tcPr>
            <w:tcW w:w="1417" w:type="dxa"/>
          </w:tcPr>
          <w:p w14:paraId="702C9DD2" w14:textId="4A8F666A" w:rsidR="00D73798" w:rsidRDefault="00E10BFC" w:rsidP="007E6C2B">
            <w:pPr>
              <w:rPr>
                <w:rFonts w:ascii="Arial" w:hAnsi="Arial" w:cs="Arial"/>
              </w:rPr>
            </w:pPr>
            <w:r>
              <w:rPr>
                <w:rFonts w:ascii="Arial" w:hAnsi="Arial" w:cs="Arial"/>
              </w:rPr>
              <w:t>GBP 21m (+GBP 15m follow-on)</w:t>
            </w:r>
          </w:p>
        </w:tc>
        <w:tc>
          <w:tcPr>
            <w:tcW w:w="3776" w:type="dxa"/>
          </w:tcPr>
          <w:p w14:paraId="7AAF720E" w14:textId="22FB801A" w:rsidR="00D73798" w:rsidRDefault="00543E8A" w:rsidP="007E6C2B">
            <w:pPr>
              <w:rPr>
                <w:rFonts w:ascii="Arial" w:hAnsi="Arial" w:cs="Arial"/>
              </w:rPr>
            </w:pPr>
            <w:r>
              <w:rPr>
                <w:rFonts w:ascii="Arial" w:hAnsi="Arial" w:cs="Arial"/>
              </w:rPr>
              <w:t>First listed BEE renewable energy YieldCo</w:t>
            </w:r>
          </w:p>
        </w:tc>
      </w:tr>
      <w:tr w:rsidR="00D73798" w14:paraId="5D298BA4" w14:textId="77777777" w:rsidTr="00E10BFC">
        <w:tc>
          <w:tcPr>
            <w:tcW w:w="1129" w:type="dxa"/>
          </w:tcPr>
          <w:p w14:paraId="1296E947" w14:textId="65850503" w:rsidR="00D73798" w:rsidRDefault="00853258" w:rsidP="007E6C2B">
            <w:pPr>
              <w:rPr>
                <w:rFonts w:ascii="Arial" w:hAnsi="Arial" w:cs="Arial"/>
              </w:rPr>
            </w:pPr>
            <w:r>
              <w:rPr>
                <w:rFonts w:ascii="Arial" w:hAnsi="Arial" w:cs="Arial"/>
              </w:rPr>
              <w:t>Apollo</w:t>
            </w:r>
          </w:p>
        </w:tc>
        <w:tc>
          <w:tcPr>
            <w:tcW w:w="1134" w:type="dxa"/>
          </w:tcPr>
          <w:p w14:paraId="427FF30D" w14:textId="75829E38" w:rsidR="00D73798" w:rsidRDefault="00853258" w:rsidP="007E6C2B">
            <w:pPr>
              <w:rPr>
                <w:rFonts w:ascii="Arial" w:hAnsi="Arial" w:cs="Arial"/>
              </w:rPr>
            </w:pPr>
            <w:r>
              <w:rPr>
                <w:rFonts w:ascii="Arial" w:hAnsi="Arial" w:cs="Arial"/>
              </w:rPr>
              <w:t>India</w:t>
            </w:r>
          </w:p>
        </w:tc>
        <w:tc>
          <w:tcPr>
            <w:tcW w:w="1560" w:type="dxa"/>
          </w:tcPr>
          <w:p w14:paraId="419C24A5" w14:textId="49A691D7" w:rsidR="00D73798" w:rsidRDefault="00853258" w:rsidP="007E6C2B">
            <w:pPr>
              <w:rPr>
                <w:rFonts w:ascii="Arial" w:hAnsi="Arial" w:cs="Arial"/>
              </w:rPr>
            </w:pPr>
            <w:r>
              <w:rPr>
                <w:rFonts w:ascii="Arial" w:hAnsi="Arial" w:cs="Arial"/>
              </w:rPr>
              <w:t>Renewable Energy (PV)</w:t>
            </w:r>
          </w:p>
        </w:tc>
        <w:tc>
          <w:tcPr>
            <w:tcW w:w="1417" w:type="dxa"/>
          </w:tcPr>
          <w:p w14:paraId="1E36AF80" w14:textId="10EBC249" w:rsidR="00D73798" w:rsidRDefault="00E10BFC" w:rsidP="007E6C2B">
            <w:pPr>
              <w:rPr>
                <w:rFonts w:ascii="Arial" w:hAnsi="Arial" w:cs="Arial"/>
              </w:rPr>
            </w:pPr>
            <w:r>
              <w:rPr>
                <w:rFonts w:ascii="Arial" w:hAnsi="Arial" w:cs="Arial"/>
              </w:rPr>
              <w:t>GBP 31m</w:t>
            </w:r>
          </w:p>
        </w:tc>
        <w:tc>
          <w:tcPr>
            <w:tcW w:w="3776" w:type="dxa"/>
          </w:tcPr>
          <w:p w14:paraId="32F78802" w14:textId="501A43E9" w:rsidR="00D73798" w:rsidRDefault="006D110D" w:rsidP="007E6C2B">
            <w:pPr>
              <w:rPr>
                <w:rFonts w:ascii="Arial" w:hAnsi="Arial" w:cs="Arial"/>
              </w:rPr>
            </w:pPr>
            <w:r>
              <w:rPr>
                <w:rFonts w:ascii="Arial" w:hAnsi="Arial" w:cs="Arial"/>
              </w:rPr>
              <w:t>Investment in solar farm company for commercial and industrial clients</w:t>
            </w:r>
          </w:p>
        </w:tc>
      </w:tr>
      <w:tr w:rsidR="00D73798" w14:paraId="65E37E61" w14:textId="77777777" w:rsidTr="00E10BFC">
        <w:tc>
          <w:tcPr>
            <w:tcW w:w="1129" w:type="dxa"/>
          </w:tcPr>
          <w:p w14:paraId="1DDF0765" w14:textId="3B412755" w:rsidR="00D73798" w:rsidRDefault="00853258" w:rsidP="007E6C2B">
            <w:pPr>
              <w:rPr>
                <w:rFonts w:ascii="Arial" w:hAnsi="Arial" w:cs="Arial"/>
              </w:rPr>
            </w:pPr>
            <w:r>
              <w:rPr>
                <w:rFonts w:ascii="Arial" w:hAnsi="Arial" w:cs="Arial"/>
              </w:rPr>
              <w:t>Oslo</w:t>
            </w:r>
          </w:p>
        </w:tc>
        <w:tc>
          <w:tcPr>
            <w:tcW w:w="1134" w:type="dxa"/>
          </w:tcPr>
          <w:p w14:paraId="102B67FD" w14:textId="189083EB" w:rsidR="00D73798" w:rsidRDefault="00853258" w:rsidP="007E6C2B">
            <w:pPr>
              <w:rPr>
                <w:rFonts w:ascii="Arial" w:hAnsi="Arial" w:cs="Arial"/>
              </w:rPr>
            </w:pPr>
            <w:r>
              <w:rPr>
                <w:rFonts w:ascii="Arial" w:hAnsi="Arial" w:cs="Arial"/>
              </w:rPr>
              <w:t>S. Africa</w:t>
            </w:r>
          </w:p>
        </w:tc>
        <w:tc>
          <w:tcPr>
            <w:tcW w:w="1560" w:type="dxa"/>
          </w:tcPr>
          <w:p w14:paraId="6C411486" w14:textId="05BAF8AF" w:rsidR="00D73798" w:rsidRDefault="00E10BFC" w:rsidP="007E6C2B">
            <w:pPr>
              <w:rPr>
                <w:rFonts w:ascii="Arial" w:hAnsi="Arial" w:cs="Arial"/>
              </w:rPr>
            </w:pPr>
            <w:r>
              <w:rPr>
                <w:rFonts w:ascii="Arial" w:hAnsi="Arial" w:cs="Arial"/>
              </w:rPr>
              <w:t>Renewable Energy (wind, hydro)</w:t>
            </w:r>
          </w:p>
        </w:tc>
        <w:tc>
          <w:tcPr>
            <w:tcW w:w="1417" w:type="dxa"/>
          </w:tcPr>
          <w:p w14:paraId="17BD3AB0" w14:textId="4C8E9037" w:rsidR="00D73798" w:rsidRDefault="00E10BFC" w:rsidP="007E6C2B">
            <w:pPr>
              <w:rPr>
                <w:rFonts w:ascii="Arial" w:hAnsi="Arial" w:cs="Arial"/>
              </w:rPr>
            </w:pPr>
            <w:r>
              <w:rPr>
                <w:rFonts w:ascii="Arial" w:hAnsi="Arial" w:cs="Arial"/>
              </w:rPr>
              <w:t>GBP 14m</w:t>
            </w:r>
          </w:p>
        </w:tc>
        <w:tc>
          <w:tcPr>
            <w:tcW w:w="3776" w:type="dxa"/>
          </w:tcPr>
          <w:p w14:paraId="51813BE4" w14:textId="0DB2DB58" w:rsidR="00D73798" w:rsidRDefault="006D110D" w:rsidP="007E6C2B">
            <w:pPr>
              <w:rPr>
                <w:rFonts w:ascii="Arial" w:hAnsi="Arial" w:cs="Arial"/>
              </w:rPr>
            </w:pPr>
            <w:r>
              <w:rPr>
                <w:rFonts w:ascii="Arial" w:hAnsi="Arial" w:cs="Arial"/>
              </w:rPr>
              <w:t>Innovative structure enabling BEE investment in two wind and one hydro project</w:t>
            </w:r>
          </w:p>
        </w:tc>
      </w:tr>
      <w:tr w:rsidR="00D73798" w14:paraId="77B903EB" w14:textId="77777777" w:rsidTr="00E10BFC">
        <w:tc>
          <w:tcPr>
            <w:tcW w:w="1129" w:type="dxa"/>
          </w:tcPr>
          <w:p w14:paraId="6374464C" w14:textId="7142CFA2" w:rsidR="00D73798" w:rsidRDefault="00853258" w:rsidP="007E6C2B">
            <w:pPr>
              <w:rPr>
                <w:rFonts w:ascii="Arial" w:hAnsi="Arial" w:cs="Arial"/>
              </w:rPr>
            </w:pPr>
            <w:r>
              <w:rPr>
                <w:rFonts w:ascii="Arial" w:hAnsi="Arial" w:cs="Arial"/>
              </w:rPr>
              <w:t>Kijani</w:t>
            </w:r>
          </w:p>
        </w:tc>
        <w:tc>
          <w:tcPr>
            <w:tcW w:w="1134" w:type="dxa"/>
          </w:tcPr>
          <w:p w14:paraId="7EB9C37F" w14:textId="722B2741" w:rsidR="00D73798" w:rsidRDefault="00853258" w:rsidP="007E6C2B">
            <w:pPr>
              <w:rPr>
                <w:rFonts w:ascii="Arial" w:hAnsi="Arial" w:cs="Arial"/>
              </w:rPr>
            </w:pPr>
            <w:r>
              <w:rPr>
                <w:rFonts w:ascii="Arial" w:hAnsi="Arial" w:cs="Arial"/>
              </w:rPr>
              <w:t>Kenya</w:t>
            </w:r>
          </w:p>
        </w:tc>
        <w:tc>
          <w:tcPr>
            <w:tcW w:w="1560" w:type="dxa"/>
          </w:tcPr>
          <w:p w14:paraId="378DE2F0" w14:textId="3D87D0A8" w:rsidR="00D73798" w:rsidRDefault="00E10BFC" w:rsidP="007E6C2B">
            <w:pPr>
              <w:rPr>
                <w:rFonts w:ascii="Arial" w:hAnsi="Arial" w:cs="Arial"/>
              </w:rPr>
            </w:pPr>
            <w:r>
              <w:rPr>
                <w:rFonts w:ascii="Arial" w:hAnsi="Arial" w:cs="Arial"/>
              </w:rPr>
              <w:t>Energy Efficiency</w:t>
            </w:r>
          </w:p>
        </w:tc>
        <w:tc>
          <w:tcPr>
            <w:tcW w:w="1417" w:type="dxa"/>
          </w:tcPr>
          <w:p w14:paraId="5947D825" w14:textId="1D15F74F" w:rsidR="00D73798" w:rsidRDefault="00E10BFC" w:rsidP="007E6C2B">
            <w:pPr>
              <w:rPr>
                <w:rFonts w:ascii="Arial" w:hAnsi="Arial" w:cs="Arial"/>
              </w:rPr>
            </w:pPr>
            <w:r>
              <w:rPr>
                <w:rFonts w:ascii="Arial" w:hAnsi="Arial" w:cs="Arial"/>
              </w:rPr>
              <w:t>GBP 30m</w:t>
            </w:r>
          </w:p>
        </w:tc>
        <w:tc>
          <w:tcPr>
            <w:tcW w:w="3776" w:type="dxa"/>
          </w:tcPr>
          <w:p w14:paraId="343BDDCE" w14:textId="30FAECE5" w:rsidR="00D73798" w:rsidRDefault="0035437C" w:rsidP="007E6C2B">
            <w:pPr>
              <w:rPr>
                <w:rFonts w:ascii="Arial" w:hAnsi="Arial" w:cs="Arial"/>
              </w:rPr>
            </w:pPr>
            <w:r>
              <w:rPr>
                <w:rFonts w:ascii="Arial" w:hAnsi="Arial" w:cs="Arial"/>
              </w:rPr>
              <w:t>Energy and water efficient housing (10,000 units) with EDGE building standards</w:t>
            </w:r>
          </w:p>
        </w:tc>
      </w:tr>
      <w:tr w:rsidR="00D73798" w14:paraId="321D1A8E" w14:textId="77777777" w:rsidTr="00E10BFC">
        <w:tc>
          <w:tcPr>
            <w:tcW w:w="1129" w:type="dxa"/>
          </w:tcPr>
          <w:p w14:paraId="0FD857A5" w14:textId="41B2CC99" w:rsidR="00D73798" w:rsidRDefault="00853258" w:rsidP="007E6C2B">
            <w:pPr>
              <w:rPr>
                <w:rFonts w:ascii="Arial" w:hAnsi="Arial" w:cs="Arial"/>
              </w:rPr>
            </w:pPr>
            <w:r>
              <w:rPr>
                <w:rFonts w:ascii="Arial" w:hAnsi="Arial" w:cs="Arial"/>
              </w:rPr>
              <w:t>Etna2</w:t>
            </w:r>
          </w:p>
        </w:tc>
        <w:tc>
          <w:tcPr>
            <w:tcW w:w="1134" w:type="dxa"/>
          </w:tcPr>
          <w:p w14:paraId="79A6FF6C" w14:textId="42BA1FE0" w:rsidR="00D73798" w:rsidRDefault="00853258" w:rsidP="007E6C2B">
            <w:pPr>
              <w:rPr>
                <w:rFonts w:ascii="Arial" w:hAnsi="Arial" w:cs="Arial"/>
              </w:rPr>
            </w:pPr>
            <w:r>
              <w:rPr>
                <w:rFonts w:ascii="Arial" w:hAnsi="Arial" w:cs="Arial"/>
              </w:rPr>
              <w:t>S. Africa</w:t>
            </w:r>
          </w:p>
        </w:tc>
        <w:tc>
          <w:tcPr>
            <w:tcW w:w="1560" w:type="dxa"/>
          </w:tcPr>
          <w:p w14:paraId="16A1D211" w14:textId="5FF380B0" w:rsidR="00D73798" w:rsidRDefault="00E10BFC" w:rsidP="007E6C2B">
            <w:pPr>
              <w:rPr>
                <w:rFonts w:ascii="Arial" w:hAnsi="Arial" w:cs="Arial"/>
              </w:rPr>
            </w:pPr>
            <w:r>
              <w:rPr>
                <w:rFonts w:ascii="Arial" w:hAnsi="Arial" w:cs="Arial"/>
              </w:rPr>
              <w:t>Renewable Energy (wind)</w:t>
            </w:r>
          </w:p>
        </w:tc>
        <w:tc>
          <w:tcPr>
            <w:tcW w:w="1417" w:type="dxa"/>
          </w:tcPr>
          <w:p w14:paraId="59048528" w14:textId="3EDA53A3" w:rsidR="00D73798" w:rsidRDefault="00E10BFC" w:rsidP="007E6C2B">
            <w:pPr>
              <w:rPr>
                <w:rFonts w:ascii="Arial" w:hAnsi="Arial" w:cs="Arial"/>
              </w:rPr>
            </w:pPr>
            <w:r>
              <w:rPr>
                <w:rFonts w:ascii="Arial" w:hAnsi="Arial" w:cs="Arial"/>
              </w:rPr>
              <w:t>GBP 35m</w:t>
            </w:r>
          </w:p>
        </w:tc>
        <w:tc>
          <w:tcPr>
            <w:tcW w:w="3776" w:type="dxa"/>
          </w:tcPr>
          <w:p w14:paraId="1D75251A" w14:textId="5114D2C8" w:rsidR="00D73798" w:rsidRDefault="0035437C" w:rsidP="007E6C2B">
            <w:pPr>
              <w:rPr>
                <w:rFonts w:ascii="Arial" w:hAnsi="Arial" w:cs="Arial"/>
              </w:rPr>
            </w:pPr>
            <w:r>
              <w:rPr>
                <w:rFonts w:ascii="Arial" w:hAnsi="Arial" w:cs="Arial"/>
              </w:rPr>
              <w:t xml:space="preserve">Largest BEE renewable energy platform </w:t>
            </w:r>
            <w:r w:rsidR="003F4508">
              <w:rPr>
                <w:rFonts w:ascii="Arial" w:hAnsi="Arial" w:cs="Arial"/>
              </w:rPr>
              <w:t>with minority equity in 5 wind projects</w:t>
            </w:r>
          </w:p>
        </w:tc>
      </w:tr>
    </w:tbl>
    <w:p w14:paraId="0A0D867D" w14:textId="5AA1D85A" w:rsidR="00EC7D86" w:rsidRPr="007E6C2B" w:rsidRDefault="00CC2E13" w:rsidP="007E6C2B">
      <w:pPr>
        <w:rPr>
          <w:rFonts w:ascii="Arial" w:hAnsi="Arial" w:cs="Arial"/>
        </w:rPr>
      </w:pPr>
      <w:r>
        <w:rPr>
          <w:rFonts w:ascii="Arial" w:hAnsi="Arial" w:cs="Arial"/>
        </w:rPr>
        <w:br/>
      </w:r>
    </w:p>
    <w:p w14:paraId="5E4FBFE4" w14:textId="4B7F6DB4" w:rsidR="00535A58" w:rsidRPr="00324E48" w:rsidRDefault="00535A58" w:rsidP="00535A58">
      <w:pPr>
        <w:rPr>
          <w:rFonts w:ascii="Arial" w:hAnsi="Arial" w:cs="Arial"/>
          <w:b/>
          <w:bCs/>
          <w:sz w:val="24"/>
          <w:szCs w:val="24"/>
        </w:rPr>
      </w:pPr>
      <w:bookmarkStart w:id="2" w:name="_Toc162948068"/>
      <w:r w:rsidRPr="00324E48">
        <w:rPr>
          <w:rStyle w:val="Heading2Char"/>
          <w:rFonts w:cs="Arial"/>
          <w:sz w:val="24"/>
          <w:szCs w:val="28"/>
        </w:rPr>
        <w:t>Summary of progress and supporting narrative for the overall score</w:t>
      </w:r>
      <w:bookmarkEnd w:id="2"/>
    </w:p>
    <w:p w14:paraId="42005F13" w14:textId="77777777" w:rsidR="00C9752A" w:rsidRDefault="00FB5F20" w:rsidP="00535A58">
      <w:pPr>
        <w:rPr>
          <w:rFonts w:ascii="Arial" w:hAnsi="Arial" w:cs="Arial"/>
        </w:rPr>
      </w:pPr>
      <w:r>
        <w:rPr>
          <w:rFonts w:ascii="Arial" w:hAnsi="Arial" w:cs="Arial"/>
        </w:rPr>
        <w:t xml:space="preserve">Despite scoring two </w:t>
      </w:r>
      <w:proofErr w:type="gramStart"/>
      <w:r>
        <w:rPr>
          <w:rFonts w:ascii="Arial" w:hAnsi="Arial" w:cs="Arial"/>
        </w:rPr>
        <w:t>consecutive</w:t>
      </w:r>
      <w:proofErr w:type="gramEnd"/>
      <w:r>
        <w:rPr>
          <w:rFonts w:ascii="Arial" w:hAnsi="Arial" w:cs="Arial"/>
        </w:rPr>
        <w:t xml:space="preserve"> As in its final years, UKCI’s overall programme score is a B to reflect the historical performance of the programme with five consecutive Bs. </w:t>
      </w:r>
    </w:p>
    <w:p w14:paraId="5A0F81DD" w14:textId="0433F1E1" w:rsidR="00FB5F20" w:rsidRDefault="00FB5F20" w:rsidP="00535A58">
      <w:pPr>
        <w:rPr>
          <w:rFonts w:ascii="Arial" w:hAnsi="Arial" w:cs="Arial"/>
        </w:rPr>
      </w:pPr>
      <w:r>
        <w:rPr>
          <w:rFonts w:ascii="Arial" w:hAnsi="Arial" w:cs="Arial"/>
        </w:rPr>
        <w:t xml:space="preserve">There were notable increases in both private finance mobilisation targets and MWs of clean energy installed </w:t>
      </w:r>
      <w:r w:rsidR="002D6223">
        <w:rPr>
          <w:rFonts w:ascii="Arial" w:hAnsi="Arial" w:cs="Arial"/>
        </w:rPr>
        <w:t>during</w:t>
      </w:r>
      <w:r>
        <w:rPr>
          <w:rFonts w:ascii="Arial" w:hAnsi="Arial" w:cs="Arial"/>
        </w:rPr>
        <w:t xml:space="preserve"> the programme. This is unsurprising in hindsight as the cost of renewables technology declined overall while the commercial interest in investing in the sector increased during the life of the programme. </w:t>
      </w:r>
      <w:r w:rsidR="00D34DDE">
        <w:rPr>
          <w:rFonts w:ascii="Arial" w:hAnsi="Arial" w:cs="Arial"/>
        </w:rPr>
        <w:t>As such conditions evolved – the programme responded by increasing its ambition, ensuring that UKCI remained successfully positioned at the cusp of commercial viability during its durations.</w:t>
      </w:r>
    </w:p>
    <w:p w14:paraId="18AF151E" w14:textId="6F6CADB6" w:rsidR="00D34DDE" w:rsidRPr="00625CE6" w:rsidRDefault="00D34DDE" w:rsidP="00535A58">
      <w:pPr>
        <w:rPr>
          <w:rFonts w:ascii="Arial" w:hAnsi="Arial" w:cs="Arial"/>
        </w:rPr>
      </w:pPr>
      <w:proofErr w:type="gramStart"/>
      <w:r>
        <w:rPr>
          <w:rFonts w:ascii="Arial" w:hAnsi="Arial" w:cs="Arial"/>
        </w:rPr>
        <w:lastRenderedPageBreak/>
        <w:t>It's</w:t>
      </w:r>
      <w:proofErr w:type="gramEnd"/>
      <w:r>
        <w:rPr>
          <w:rFonts w:ascii="Arial" w:hAnsi="Arial" w:cs="Arial"/>
        </w:rPr>
        <w:t xml:space="preserve"> important to note that the programme achieved these results in a longer time frame than originally envisaged. </w:t>
      </w:r>
      <w:proofErr w:type="gramStart"/>
      <w:r>
        <w:rPr>
          <w:rFonts w:ascii="Arial" w:hAnsi="Arial" w:cs="Arial"/>
        </w:rPr>
        <w:t>Several</w:t>
      </w:r>
      <w:proofErr w:type="gramEnd"/>
      <w:r>
        <w:rPr>
          <w:rFonts w:ascii="Arial" w:hAnsi="Arial" w:cs="Arial"/>
        </w:rPr>
        <w:t xml:space="preserve"> extensions were granted to the programme partly for reasons outside of the programme’s control. These include the privatisation of the Green Investment Bank and COVID-19 linked disruption. The 2021 annual review also highlighted that the initial </w:t>
      </w:r>
      <w:r w:rsidR="00F842C1">
        <w:rPr>
          <w:rFonts w:ascii="Arial" w:hAnsi="Arial" w:cs="Arial"/>
        </w:rPr>
        <w:t>3-year</w:t>
      </w:r>
      <w:r>
        <w:rPr>
          <w:rFonts w:ascii="Arial" w:hAnsi="Arial" w:cs="Arial"/>
        </w:rPr>
        <w:t xml:space="preserve"> window for investments was </w:t>
      </w:r>
      <w:proofErr w:type="gramStart"/>
      <w:r>
        <w:rPr>
          <w:rFonts w:ascii="Arial" w:hAnsi="Arial" w:cs="Arial"/>
        </w:rPr>
        <w:t>relatively short</w:t>
      </w:r>
      <w:proofErr w:type="gramEnd"/>
      <w:r>
        <w:rPr>
          <w:rFonts w:ascii="Arial" w:hAnsi="Arial" w:cs="Arial"/>
        </w:rPr>
        <w:t xml:space="preserve"> compared to commercial investment funds generally. It is likely that the programme could have fully invested earlier if the investment criteria had been more flexible, but this would have come with trade-offs (this point </w:t>
      </w:r>
      <w:proofErr w:type="gramStart"/>
      <w:r>
        <w:rPr>
          <w:rFonts w:ascii="Arial" w:hAnsi="Arial" w:cs="Arial"/>
        </w:rPr>
        <w:t>is explored</w:t>
      </w:r>
      <w:proofErr w:type="gramEnd"/>
      <w:r>
        <w:rPr>
          <w:rFonts w:ascii="Arial" w:hAnsi="Arial" w:cs="Arial"/>
        </w:rPr>
        <w:t xml:space="preserve"> further in the major lessons learned section below).</w:t>
      </w:r>
    </w:p>
    <w:p w14:paraId="6F626B04" w14:textId="23167AF8" w:rsidR="008A2CF9" w:rsidRPr="00462E61" w:rsidRDefault="008A2CF9" w:rsidP="00535A58">
      <w:pPr>
        <w:rPr>
          <w:rFonts w:ascii="Arial" w:hAnsi="Arial" w:cs="Arial"/>
        </w:rPr>
      </w:pPr>
      <w:bookmarkStart w:id="3" w:name="_Toc162948069"/>
      <w:r w:rsidRPr="00324E48">
        <w:rPr>
          <w:rStyle w:val="Heading2Char"/>
          <w:rFonts w:cs="Arial"/>
          <w:sz w:val="24"/>
          <w:szCs w:val="24"/>
        </w:rPr>
        <w:t>Progress against recommendations from the last review</w:t>
      </w:r>
      <w:bookmarkEnd w:id="3"/>
    </w:p>
    <w:tbl>
      <w:tblPr>
        <w:tblStyle w:val="TableGrid"/>
        <w:tblW w:w="0" w:type="auto"/>
        <w:tblLook w:val="04A0" w:firstRow="1" w:lastRow="0" w:firstColumn="1" w:lastColumn="0" w:noHBand="0" w:noVBand="1"/>
      </w:tblPr>
      <w:tblGrid>
        <w:gridCol w:w="4508"/>
        <w:gridCol w:w="4508"/>
      </w:tblGrid>
      <w:tr w:rsidR="00487914" w:rsidRPr="00462E61" w14:paraId="10EA0380" w14:textId="77777777" w:rsidTr="00BF019F">
        <w:tc>
          <w:tcPr>
            <w:tcW w:w="4508" w:type="dxa"/>
            <w:shd w:val="clear" w:color="auto" w:fill="DEEAF6" w:themeFill="accent5" w:themeFillTint="33"/>
          </w:tcPr>
          <w:p w14:paraId="13256791" w14:textId="0C39EA9F" w:rsidR="008A2CF9" w:rsidRPr="00462E61" w:rsidRDefault="008A2CF9" w:rsidP="00535A58">
            <w:pPr>
              <w:rPr>
                <w:rFonts w:ascii="Arial" w:hAnsi="Arial" w:cs="Arial"/>
                <w:b/>
                <w:bCs/>
              </w:rPr>
            </w:pPr>
            <w:r w:rsidRPr="00462E61">
              <w:rPr>
                <w:rFonts w:ascii="Arial" w:hAnsi="Arial" w:cs="Arial"/>
                <w:b/>
                <w:bCs/>
              </w:rPr>
              <w:t>Recommendation</w:t>
            </w:r>
          </w:p>
        </w:tc>
        <w:tc>
          <w:tcPr>
            <w:tcW w:w="4508" w:type="dxa"/>
            <w:shd w:val="clear" w:color="auto" w:fill="DEEAF6" w:themeFill="accent5" w:themeFillTint="33"/>
          </w:tcPr>
          <w:p w14:paraId="1D02D675" w14:textId="29F4B7E8" w:rsidR="008A2CF9" w:rsidRPr="00462E61" w:rsidRDefault="008A2CF9" w:rsidP="00535A58">
            <w:pPr>
              <w:rPr>
                <w:rFonts w:ascii="Arial" w:hAnsi="Arial" w:cs="Arial"/>
                <w:b/>
                <w:bCs/>
              </w:rPr>
            </w:pPr>
            <w:r w:rsidRPr="00462E61">
              <w:rPr>
                <w:rFonts w:ascii="Arial" w:hAnsi="Arial" w:cs="Arial"/>
                <w:b/>
                <w:bCs/>
              </w:rPr>
              <w:t>Progress</w:t>
            </w:r>
          </w:p>
        </w:tc>
      </w:tr>
      <w:tr w:rsidR="00487914" w:rsidRPr="00462E61" w14:paraId="66C7FF40" w14:textId="77777777" w:rsidTr="008A2CF9">
        <w:tc>
          <w:tcPr>
            <w:tcW w:w="4508" w:type="dxa"/>
          </w:tcPr>
          <w:p w14:paraId="7C94F36D" w14:textId="346F47A2" w:rsidR="008A2CF9" w:rsidRPr="00462E61" w:rsidRDefault="00F665C9" w:rsidP="00535A58">
            <w:pPr>
              <w:rPr>
                <w:rFonts w:ascii="Arial" w:hAnsi="Arial" w:cs="Arial"/>
              </w:rPr>
            </w:pPr>
            <w:r w:rsidRPr="00F665C9">
              <w:rPr>
                <w:rFonts w:ascii="Arial" w:hAnsi="Arial" w:cs="Arial"/>
              </w:rPr>
              <w:t xml:space="preserve">With UKCI’s investment budget now fully committed and the LLP having entered its commitment phase, no new investments will </w:t>
            </w:r>
            <w:proofErr w:type="gramStart"/>
            <w:r w:rsidRPr="00F665C9">
              <w:rPr>
                <w:rFonts w:ascii="Arial" w:hAnsi="Arial" w:cs="Arial"/>
              </w:rPr>
              <w:t>be made</w:t>
            </w:r>
            <w:proofErr w:type="gramEnd"/>
            <w:r w:rsidRPr="00F665C9">
              <w:rPr>
                <w:rFonts w:ascii="Arial" w:hAnsi="Arial" w:cs="Arial"/>
              </w:rPr>
              <w:t xml:space="preserve"> and all work on pipeline has ceased. The LLP is already pivoting towards a slower tempo management approach focused on the performance of existing assets, for example with ICs reduced in frequency from monthly to quarterly. It </w:t>
            </w:r>
            <w:proofErr w:type="gramStart"/>
            <w:r w:rsidRPr="00F665C9">
              <w:rPr>
                <w:rFonts w:ascii="Arial" w:hAnsi="Arial" w:cs="Arial"/>
              </w:rPr>
              <w:t>is recommended</w:t>
            </w:r>
            <w:proofErr w:type="gramEnd"/>
            <w:r w:rsidRPr="00F665C9">
              <w:rPr>
                <w:rFonts w:ascii="Arial" w:hAnsi="Arial" w:cs="Arial"/>
              </w:rPr>
              <w:t xml:space="preserve"> that FCDO, as the incoming HMG members of the LLP, should review planning and expectations for the remainder of the LLP (set to run until 2040) for their fit with HMG strategy and best use of resources. Target: by November 2022.</w:t>
            </w:r>
          </w:p>
        </w:tc>
        <w:tc>
          <w:tcPr>
            <w:tcW w:w="4508" w:type="dxa"/>
          </w:tcPr>
          <w:p w14:paraId="794BAA0F" w14:textId="3835ABA6" w:rsidR="008A2CF9" w:rsidRPr="00462E61" w:rsidRDefault="00841B3F" w:rsidP="00535A58">
            <w:pPr>
              <w:rPr>
                <w:rFonts w:ascii="Arial" w:hAnsi="Arial" w:cs="Arial"/>
                <w:i/>
                <w:iCs/>
              </w:rPr>
            </w:pPr>
            <w:r w:rsidRPr="00462E61">
              <w:rPr>
                <w:rFonts w:ascii="Arial" w:hAnsi="Arial" w:cs="Arial"/>
                <w:i/>
                <w:iCs/>
              </w:rPr>
              <w:t xml:space="preserve">Achieved </w:t>
            </w:r>
            <w:r w:rsidR="00B05620">
              <w:rPr>
                <w:rFonts w:ascii="Arial" w:hAnsi="Arial" w:cs="Arial"/>
                <w:i/>
                <w:iCs/>
              </w:rPr>
              <w:t xml:space="preserve">– FCDO made the strategic decision to transfer UKCI to BII to improve economy, </w:t>
            </w:r>
            <w:r w:rsidR="002D6223">
              <w:rPr>
                <w:rFonts w:ascii="Arial" w:hAnsi="Arial" w:cs="Arial"/>
                <w:i/>
                <w:iCs/>
              </w:rPr>
              <w:t>efficiency,</w:t>
            </w:r>
            <w:r w:rsidR="00B05620">
              <w:rPr>
                <w:rFonts w:ascii="Arial" w:hAnsi="Arial" w:cs="Arial"/>
                <w:i/>
                <w:iCs/>
              </w:rPr>
              <w:t xml:space="preserve"> and oversight; and then </w:t>
            </w:r>
            <w:proofErr w:type="gramStart"/>
            <w:r w:rsidR="00B05620">
              <w:rPr>
                <w:rFonts w:ascii="Arial" w:hAnsi="Arial" w:cs="Arial"/>
                <w:i/>
                <w:iCs/>
              </w:rPr>
              <w:t>liaised</w:t>
            </w:r>
            <w:proofErr w:type="gramEnd"/>
            <w:r w:rsidR="00B05620">
              <w:rPr>
                <w:rFonts w:ascii="Arial" w:hAnsi="Arial" w:cs="Arial"/>
                <w:i/>
                <w:iCs/>
              </w:rPr>
              <w:t xml:space="preserve"> with BII </w:t>
            </w:r>
            <w:r w:rsidR="00AB57E1">
              <w:rPr>
                <w:rFonts w:ascii="Arial" w:hAnsi="Arial" w:cs="Arial"/>
                <w:i/>
                <w:iCs/>
              </w:rPr>
              <w:t>on decisions related to the future of UKCI ahead of the programme’s formal transfer in October 2023.</w:t>
            </w:r>
          </w:p>
        </w:tc>
      </w:tr>
      <w:tr w:rsidR="00487914" w:rsidRPr="00462E61" w14:paraId="4EC11F43" w14:textId="77777777" w:rsidTr="008A2CF9">
        <w:tc>
          <w:tcPr>
            <w:tcW w:w="4508" w:type="dxa"/>
          </w:tcPr>
          <w:p w14:paraId="2198398E" w14:textId="1FF913B1" w:rsidR="008A2CF9" w:rsidRPr="00462E61" w:rsidRDefault="00801CCC" w:rsidP="00535A58">
            <w:pPr>
              <w:rPr>
                <w:rFonts w:ascii="Arial" w:hAnsi="Arial" w:cs="Arial"/>
              </w:rPr>
            </w:pPr>
            <w:r w:rsidRPr="00801CCC">
              <w:rPr>
                <w:rFonts w:ascii="Arial" w:hAnsi="Arial" w:cs="Arial"/>
              </w:rPr>
              <w:t xml:space="preserve">BEIS and FCDO should work to complete the evaluation of UKCI and ensure best efforts </w:t>
            </w:r>
            <w:proofErr w:type="gramStart"/>
            <w:r w:rsidRPr="00801CCC">
              <w:rPr>
                <w:rFonts w:ascii="Arial" w:hAnsi="Arial" w:cs="Arial"/>
              </w:rPr>
              <w:t>are made</w:t>
            </w:r>
            <w:proofErr w:type="gramEnd"/>
            <w:r w:rsidRPr="00801CCC">
              <w:rPr>
                <w:rFonts w:ascii="Arial" w:hAnsi="Arial" w:cs="Arial"/>
              </w:rPr>
              <w:t xml:space="preserve"> to disseminate and learn from the evaluation report and broader experiences of the programme to the benefit of future programming and funding through private finance delivery channels. Target: Evaluation complete by March 2022. Dissemination plan put in place and underway by November 2022.</w:t>
            </w:r>
          </w:p>
        </w:tc>
        <w:tc>
          <w:tcPr>
            <w:tcW w:w="4508" w:type="dxa"/>
          </w:tcPr>
          <w:p w14:paraId="67E4C75D" w14:textId="696BBF1A" w:rsidR="008A2CF9" w:rsidRPr="00783650" w:rsidRDefault="00783650" w:rsidP="00535A58">
            <w:pPr>
              <w:rPr>
                <w:rFonts w:ascii="Arial" w:hAnsi="Arial" w:cs="Arial"/>
                <w:i/>
                <w:iCs/>
              </w:rPr>
            </w:pPr>
            <w:r>
              <w:rPr>
                <w:rFonts w:ascii="Arial" w:hAnsi="Arial" w:cs="Arial"/>
                <w:i/>
                <w:iCs/>
              </w:rPr>
              <w:t xml:space="preserve">Partially Achieved </w:t>
            </w:r>
            <w:r w:rsidR="00A931A2">
              <w:rPr>
                <w:rFonts w:ascii="Arial" w:hAnsi="Arial" w:cs="Arial"/>
                <w:i/>
                <w:iCs/>
              </w:rPr>
              <w:t>–</w:t>
            </w:r>
            <w:r>
              <w:rPr>
                <w:rFonts w:ascii="Arial" w:hAnsi="Arial" w:cs="Arial"/>
                <w:i/>
                <w:iCs/>
              </w:rPr>
              <w:t xml:space="preserve"> </w:t>
            </w:r>
            <w:r w:rsidR="00A931A2">
              <w:rPr>
                <w:rFonts w:ascii="Arial" w:hAnsi="Arial" w:cs="Arial"/>
                <w:i/>
                <w:iCs/>
              </w:rPr>
              <w:t xml:space="preserve">The review required significant additional and unexpected work and </w:t>
            </w:r>
            <w:proofErr w:type="gramStart"/>
            <w:r w:rsidR="00A931A2">
              <w:rPr>
                <w:rFonts w:ascii="Arial" w:hAnsi="Arial" w:cs="Arial"/>
                <w:i/>
                <w:iCs/>
              </w:rPr>
              <w:t>was completed</w:t>
            </w:r>
            <w:proofErr w:type="gramEnd"/>
            <w:r w:rsidR="00A931A2">
              <w:rPr>
                <w:rFonts w:ascii="Arial" w:hAnsi="Arial" w:cs="Arial"/>
                <w:i/>
                <w:iCs/>
              </w:rPr>
              <w:t xml:space="preserve"> in May 2023. </w:t>
            </w:r>
            <w:r w:rsidR="00A94EDD">
              <w:rPr>
                <w:rFonts w:ascii="Arial" w:hAnsi="Arial" w:cs="Arial"/>
                <w:i/>
                <w:iCs/>
              </w:rPr>
              <w:t>Dissemination of the report and learning activities</w:t>
            </w:r>
            <w:r w:rsidR="0014752A">
              <w:rPr>
                <w:rFonts w:ascii="Arial" w:hAnsi="Arial" w:cs="Arial"/>
                <w:i/>
                <w:iCs/>
              </w:rPr>
              <w:t xml:space="preserve"> for HMG</w:t>
            </w:r>
            <w:r w:rsidR="00A94EDD">
              <w:rPr>
                <w:rFonts w:ascii="Arial" w:hAnsi="Arial" w:cs="Arial"/>
                <w:i/>
                <w:iCs/>
              </w:rPr>
              <w:t xml:space="preserve"> need to </w:t>
            </w:r>
            <w:proofErr w:type="gramStart"/>
            <w:r w:rsidR="00A94EDD">
              <w:rPr>
                <w:rFonts w:ascii="Arial" w:hAnsi="Arial" w:cs="Arial"/>
                <w:i/>
                <w:iCs/>
              </w:rPr>
              <w:t>be planned</w:t>
            </w:r>
            <w:proofErr w:type="gramEnd"/>
            <w:r w:rsidR="00A94EDD">
              <w:rPr>
                <w:rFonts w:ascii="Arial" w:hAnsi="Arial" w:cs="Arial"/>
                <w:i/>
                <w:iCs/>
              </w:rPr>
              <w:t xml:space="preserve"> </w:t>
            </w:r>
            <w:r w:rsidR="002D6223">
              <w:rPr>
                <w:rFonts w:ascii="Arial" w:hAnsi="Arial" w:cs="Arial"/>
                <w:i/>
                <w:iCs/>
              </w:rPr>
              <w:t>to follow</w:t>
            </w:r>
            <w:r w:rsidR="00A94EDD">
              <w:rPr>
                <w:rFonts w:ascii="Arial" w:hAnsi="Arial" w:cs="Arial"/>
                <w:i/>
                <w:iCs/>
              </w:rPr>
              <w:t xml:space="preserve"> the PCR.</w:t>
            </w:r>
          </w:p>
        </w:tc>
      </w:tr>
    </w:tbl>
    <w:p w14:paraId="232E394B" w14:textId="77777777" w:rsidR="008A2CF9" w:rsidRPr="00462E61" w:rsidRDefault="008A2CF9" w:rsidP="00535A58">
      <w:pPr>
        <w:rPr>
          <w:rFonts w:ascii="Arial" w:hAnsi="Arial" w:cs="Arial"/>
        </w:rPr>
      </w:pPr>
    </w:p>
    <w:p w14:paraId="03A7A673" w14:textId="43BE6CF8" w:rsidR="00B429B0" w:rsidRPr="00462E61" w:rsidRDefault="00B429B0" w:rsidP="00B429B0">
      <w:pPr>
        <w:rPr>
          <w:rFonts w:ascii="Arial" w:hAnsi="Arial" w:cs="Arial"/>
        </w:rPr>
      </w:pPr>
      <w:bookmarkStart w:id="4" w:name="_Toc162948070"/>
      <w:r w:rsidRPr="00324E48">
        <w:rPr>
          <w:rStyle w:val="Heading2Char"/>
          <w:rFonts w:cs="Arial"/>
          <w:sz w:val="24"/>
          <w:szCs w:val="28"/>
        </w:rPr>
        <w:t>Major lessons learned, evidence generated</w:t>
      </w:r>
      <w:r w:rsidR="00BF019F" w:rsidRPr="00324E48">
        <w:rPr>
          <w:rStyle w:val="Heading2Char"/>
          <w:rFonts w:cs="Arial"/>
          <w:sz w:val="24"/>
          <w:szCs w:val="28"/>
        </w:rPr>
        <w:t>,</w:t>
      </w:r>
      <w:r w:rsidR="001E17E9">
        <w:rPr>
          <w:rStyle w:val="Heading2Char"/>
          <w:rFonts w:cs="Arial"/>
          <w:sz w:val="24"/>
          <w:szCs w:val="28"/>
        </w:rPr>
        <w:t xml:space="preserve"> evaluation</w:t>
      </w:r>
      <w:r w:rsidR="003B6408">
        <w:rPr>
          <w:rStyle w:val="Heading2Char"/>
          <w:rFonts w:cs="Arial"/>
          <w:sz w:val="24"/>
          <w:szCs w:val="28"/>
        </w:rPr>
        <w:t>s</w:t>
      </w:r>
      <w:r w:rsidR="001E17E9">
        <w:rPr>
          <w:rStyle w:val="Heading2Char"/>
          <w:rFonts w:cs="Arial"/>
          <w:sz w:val="24"/>
          <w:szCs w:val="28"/>
        </w:rPr>
        <w:t xml:space="preserve"> completed</w:t>
      </w:r>
      <w:r w:rsidRPr="00324E48">
        <w:rPr>
          <w:rStyle w:val="Heading2Char"/>
          <w:rFonts w:cs="Arial"/>
          <w:sz w:val="24"/>
          <w:szCs w:val="28"/>
        </w:rPr>
        <w:t xml:space="preserve"> and </w:t>
      </w:r>
      <w:proofErr w:type="gramStart"/>
      <w:r w:rsidRPr="00324E48">
        <w:rPr>
          <w:rStyle w:val="Heading2Char"/>
          <w:rFonts w:cs="Arial"/>
          <w:sz w:val="24"/>
          <w:szCs w:val="28"/>
        </w:rPr>
        <w:t>recommendations</w:t>
      </w:r>
      <w:bookmarkEnd w:id="4"/>
      <w:proofErr w:type="gramEnd"/>
    </w:p>
    <w:p w14:paraId="241AF7FD" w14:textId="1C7E14A7" w:rsidR="00FD2735" w:rsidRDefault="00FD2735" w:rsidP="00B429B0">
      <w:pPr>
        <w:rPr>
          <w:rFonts w:ascii="Arial" w:hAnsi="Arial" w:cs="Arial"/>
        </w:rPr>
      </w:pPr>
      <w:r>
        <w:rPr>
          <w:rFonts w:ascii="Arial" w:hAnsi="Arial" w:cs="Arial"/>
        </w:rPr>
        <w:t xml:space="preserve">As detailed in Section H on Monitoring and Evaluation, UKCI notably included an independent evaluation which produced a series of independent reports. A final report </w:t>
      </w:r>
      <w:proofErr w:type="gramStart"/>
      <w:r>
        <w:rPr>
          <w:rFonts w:ascii="Arial" w:hAnsi="Arial" w:cs="Arial"/>
        </w:rPr>
        <w:t>was concluded</w:t>
      </w:r>
      <w:proofErr w:type="gramEnd"/>
      <w:r>
        <w:rPr>
          <w:rFonts w:ascii="Arial" w:hAnsi="Arial" w:cs="Arial"/>
        </w:rPr>
        <w:t xml:space="preserve"> in 2023</w:t>
      </w:r>
      <w:r w:rsidR="002B29E7">
        <w:rPr>
          <w:rFonts w:ascii="Arial" w:hAnsi="Arial" w:cs="Arial"/>
        </w:rPr>
        <w:t xml:space="preserve"> which highlighted the following major finding</w:t>
      </w:r>
      <w:r w:rsidR="00FB4307">
        <w:rPr>
          <w:rFonts w:ascii="Arial" w:hAnsi="Arial" w:cs="Arial"/>
        </w:rPr>
        <w:t>s (emphasis from bolding copied from the report):</w:t>
      </w:r>
    </w:p>
    <w:p w14:paraId="6CE29903" w14:textId="0C2A3EE0" w:rsidR="002B29E7" w:rsidRPr="00FB4307" w:rsidRDefault="00F01E0D" w:rsidP="00FB4307">
      <w:pPr>
        <w:ind w:left="720"/>
        <w:rPr>
          <w:rFonts w:ascii="Arial" w:hAnsi="Arial" w:cs="Arial"/>
          <w:b/>
          <w:bCs/>
          <w:i/>
          <w:iCs/>
        </w:rPr>
      </w:pPr>
      <w:r w:rsidRPr="00FB4307">
        <w:rPr>
          <w:rFonts w:ascii="Arial" w:hAnsi="Arial" w:cs="Arial"/>
          <w:b/>
          <w:bCs/>
          <w:i/>
          <w:iCs/>
        </w:rPr>
        <w:t>Additionality</w:t>
      </w:r>
    </w:p>
    <w:p w14:paraId="4E451191" w14:textId="77777777" w:rsidR="006B74A2" w:rsidRPr="00FB4307" w:rsidRDefault="006B74A2" w:rsidP="00FB4307">
      <w:pPr>
        <w:ind w:left="720"/>
        <w:rPr>
          <w:rFonts w:ascii="Arial" w:hAnsi="Arial" w:cs="Arial"/>
          <w:i/>
          <w:iCs/>
        </w:rPr>
      </w:pPr>
      <w:r w:rsidRPr="00FB4307">
        <w:rPr>
          <w:rFonts w:ascii="Arial" w:hAnsi="Arial" w:cs="Arial"/>
          <w:i/>
          <w:iCs/>
        </w:rPr>
        <w:t xml:space="preserve">UKCI investments, overall, were relevant in their context and </w:t>
      </w:r>
      <w:r w:rsidRPr="00FB4307">
        <w:rPr>
          <w:rFonts w:ascii="Arial" w:hAnsi="Arial" w:cs="Arial"/>
          <w:b/>
          <w:bCs/>
          <w:i/>
          <w:iCs/>
        </w:rPr>
        <w:t xml:space="preserve">contributed to addressing </w:t>
      </w:r>
      <w:proofErr w:type="gramStart"/>
      <w:r w:rsidRPr="00FB4307">
        <w:rPr>
          <w:rFonts w:ascii="Arial" w:hAnsi="Arial" w:cs="Arial"/>
          <w:b/>
          <w:bCs/>
          <w:i/>
          <w:iCs/>
        </w:rPr>
        <w:t>some</w:t>
      </w:r>
      <w:proofErr w:type="gramEnd"/>
      <w:r w:rsidRPr="00FB4307">
        <w:rPr>
          <w:rFonts w:ascii="Arial" w:hAnsi="Arial" w:cs="Arial"/>
          <w:b/>
          <w:bCs/>
          <w:i/>
          <w:iCs/>
        </w:rPr>
        <w:t xml:space="preserve"> key market barriers</w:t>
      </w:r>
      <w:r w:rsidRPr="00FB4307">
        <w:rPr>
          <w:rFonts w:ascii="Arial" w:hAnsi="Arial" w:cs="Arial"/>
          <w:i/>
          <w:iCs/>
        </w:rPr>
        <w:t xml:space="preserve">:  </w:t>
      </w:r>
    </w:p>
    <w:p w14:paraId="56436435" w14:textId="2354E3B6" w:rsidR="006B74A2" w:rsidRPr="00FB4307" w:rsidRDefault="006B74A2" w:rsidP="00FB4307">
      <w:pPr>
        <w:pStyle w:val="ListParagraph"/>
        <w:numPr>
          <w:ilvl w:val="0"/>
          <w:numId w:val="4"/>
        </w:numPr>
        <w:ind w:left="1440"/>
        <w:rPr>
          <w:rFonts w:ascii="Arial" w:hAnsi="Arial" w:cs="Arial"/>
          <w:i/>
          <w:iCs/>
        </w:rPr>
      </w:pPr>
      <w:r w:rsidRPr="00FB4307">
        <w:rPr>
          <w:rFonts w:ascii="Arial" w:hAnsi="Arial" w:cs="Arial"/>
          <w:i/>
          <w:iCs/>
        </w:rPr>
        <w:t xml:space="preserve">In India, UKCI contributed to reducing the perceived risk of investing in the C&amp;I sector, and the market has grown </w:t>
      </w:r>
      <w:proofErr w:type="gramStart"/>
      <w:r w:rsidRPr="00FB4307">
        <w:rPr>
          <w:rFonts w:ascii="Arial" w:hAnsi="Arial" w:cs="Arial"/>
          <w:i/>
          <w:iCs/>
        </w:rPr>
        <w:t>considerably since</w:t>
      </w:r>
      <w:proofErr w:type="gramEnd"/>
      <w:r w:rsidRPr="00FB4307">
        <w:rPr>
          <w:rFonts w:ascii="Arial" w:hAnsi="Arial" w:cs="Arial"/>
          <w:i/>
          <w:iCs/>
        </w:rPr>
        <w:t xml:space="preserve"> UKCI invested. </w:t>
      </w:r>
      <w:r w:rsidRPr="00FB4307">
        <w:rPr>
          <w:rFonts w:ascii="Arial" w:hAnsi="Arial" w:cs="Arial"/>
          <w:i/>
          <w:iCs/>
        </w:rPr>
        <w:lastRenderedPageBreak/>
        <w:t xml:space="preserve">UKCI also provided cornerstone investment to the first </w:t>
      </w:r>
      <w:r w:rsidR="002D6223">
        <w:rPr>
          <w:rFonts w:ascii="Arial" w:hAnsi="Arial" w:cs="Arial"/>
          <w:i/>
          <w:iCs/>
        </w:rPr>
        <w:t>Y</w:t>
      </w:r>
      <w:r w:rsidRPr="00FB4307">
        <w:rPr>
          <w:rFonts w:ascii="Arial" w:hAnsi="Arial" w:cs="Arial"/>
          <w:i/>
          <w:iCs/>
        </w:rPr>
        <w:t>ield</w:t>
      </w:r>
      <w:r w:rsidR="002D6223">
        <w:rPr>
          <w:rFonts w:ascii="Arial" w:hAnsi="Arial" w:cs="Arial"/>
          <w:i/>
          <w:iCs/>
        </w:rPr>
        <w:t>C</w:t>
      </w:r>
      <w:r w:rsidRPr="00FB4307">
        <w:rPr>
          <w:rFonts w:ascii="Arial" w:hAnsi="Arial" w:cs="Arial"/>
          <w:i/>
          <w:iCs/>
        </w:rPr>
        <w:t xml:space="preserve">o investing in renewable energy in the country, which was </w:t>
      </w:r>
      <w:proofErr w:type="gramStart"/>
      <w:r w:rsidRPr="00FB4307">
        <w:rPr>
          <w:rFonts w:ascii="Arial" w:hAnsi="Arial" w:cs="Arial"/>
          <w:i/>
          <w:iCs/>
        </w:rPr>
        <w:t>a very relevant</w:t>
      </w:r>
      <w:proofErr w:type="gramEnd"/>
      <w:r w:rsidRPr="00FB4307">
        <w:rPr>
          <w:rFonts w:ascii="Arial" w:hAnsi="Arial" w:cs="Arial"/>
          <w:i/>
          <w:iCs/>
        </w:rPr>
        <w:t xml:space="preserve"> concept in the Indian context.</w:t>
      </w:r>
    </w:p>
    <w:p w14:paraId="775D8D9B" w14:textId="18016A8E" w:rsidR="00C7063E" w:rsidRPr="00FB4307" w:rsidRDefault="006B74A2" w:rsidP="00FB4307">
      <w:pPr>
        <w:pStyle w:val="ListParagraph"/>
        <w:numPr>
          <w:ilvl w:val="0"/>
          <w:numId w:val="4"/>
        </w:numPr>
        <w:ind w:left="1440"/>
        <w:rPr>
          <w:rFonts w:ascii="Arial" w:hAnsi="Arial" w:cs="Arial"/>
          <w:i/>
          <w:iCs/>
        </w:rPr>
      </w:pPr>
      <w:r w:rsidRPr="00FB4307">
        <w:rPr>
          <w:rFonts w:ascii="Arial" w:hAnsi="Arial" w:cs="Arial"/>
          <w:i/>
          <w:iCs/>
        </w:rPr>
        <w:t xml:space="preserve">In South Africa, UKCI supported the first </w:t>
      </w:r>
      <w:r w:rsidR="002D6223">
        <w:rPr>
          <w:rFonts w:ascii="Arial" w:hAnsi="Arial" w:cs="Arial"/>
          <w:i/>
          <w:iCs/>
        </w:rPr>
        <w:t>Y</w:t>
      </w:r>
      <w:r w:rsidRPr="00FB4307">
        <w:rPr>
          <w:rFonts w:ascii="Arial" w:hAnsi="Arial" w:cs="Arial"/>
          <w:i/>
          <w:iCs/>
        </w:rPr>
        <w:t>ield</w:t>
      </w:r>
      <w:r w:rsidR="002D6223">
        <w:rPr>
          <w:rFonts w:ascii="Arial" w:hAnsi="Arial" w:cs="Arial"/>
          <w:i/>
          <w:iCs/>
        </w:rPr>
        <w:t>C</w:t>
      </w:r>
      <w:r w:rsidRPr="00FB4307">
        <w:rPr>
          <w:rFonts w:ascii="Arial" w:hAnsi="Arial" w:cs="Arial"/>
          <w:i/>
          <w:iCs/>
        </w:rPr>
        <w:t xml:space="preserve">o investing exclusively in renewable energy, potentially providing a new exit route for project developers so that they could re-invest the funds in new assets. Given the strong pipeline of new renewable energy assets in the country, this investment is </w:t>
      </w:r>
      <w:proofErr w:type="gramStart"/>
      <w:r w:rsidRPr="00FB4307">
        <w:rPr>
          <w:rFonts w:ascii="Arial" w:hAnsi="Arial" w:cs="Arial"/>
          <w:i/>
          <w:iCs/>
        </w:rPr>
        <w:t>very relevant</w:t>
      </w:r>
      <w:proofErr w:type="gramEnd"/>
      <w:r w:rsidRPr="00FB4307">
        <w:rPr>
          <w:rFonts w:ascii="Arial" w:hAnsi="Arial" w:cs="Arial"/>
          <w:i/>
          <w:iCs/>
        </w:rPr>
        <w:t>. UKCI also developed a new instrument to improve BEE parties’ access to finance.</w:t>
      </w:r>
    </w:p>
    <w:p w14:paraId="5CCBA7E6" w14:textId="4050D08D" w:rsidR="006B74A2" w:rsidRPr="00FB4307" w:rsidRDefault="006B74A2" w:rsidP="00FB4307">
      <w:pPr>
        <w:pStyle w:val="ListParagraph"/>
        <w:numPr>
          <w:ilvl w:val="0"/>
          <w:numId w:val="4"/>
        </w:numPr>
        <w:ind w:left="1440"/>
        <w:rPr>
          <w:rFonts w:ascii="Arial" w:hAnsi="Arial" w:cs="Arial"/>
          <w:i/>
          <w:iCs/>
        </w:rPr>
      </w:pPr>
      <w:r w:rsidRPr="00FB4307">
        <w:rPr>
          <w:rFonts w:ascii="Arial" w:hAnsi="Arial" w:cs="Arial"/>
          <w:i/>
          <w:iCs/>
        </w:rPr>
        <w:t>In Kenya, UKCI invested in a fund that aims to provide a new route for institutional investors to invest in affordable housing. Currently, institutional investors do not have the scale and capacity to invest in green infrastructure. The investment also has the potential to help develop a niche market with high GHG emission reduction potential.</w:t>
      </w:r>
    </w:p>
    <w:p w14:paraId="0BF510B4" w14:textId="7BD3E2CF" w:rsidR="006B74A2" w:rsidRPr="00FB4307" w:rsidRDefault="006B74A2" w:rsidP="00FB4307">
      <w:pPr>
        <w:ind w:left="720"/>
        <w:rPr>
          <w:rFonts w:ascii="Arial" w:hAnsi="Arial" w:cs="Arial"/>
          <w:i/>
          <w:iCs/>
        </w:rPr>
      </w:pPr>
      <w:r w:rsidRPr="00FB4307">
        <w:rPr>
          <w:rFonts w:ascii="Arial" w:hAnsi="Arial" w:cs="Arial"/>
          <w:i/>
          <w:iCs/>
        </w:rPr>
        <w:t xml:space="preserve">There were three main </w:t>
      </w:r>
      <w:r w:rsidRPr="00FB4307">
        <w:rPr>
          <w:rFonts w:ascii="Arial" w:hAnsi="Arial" w:cs="Arial"/>
          <w:b/>
          <w:bCs/>
          <w:i/>
          <w:iCs/>
        </w:rPr>
        <w:t>aspects that enabled UKCI to address market barriers</w:t>
      </w:r>
      <w:r w:rsidRPr="00FB4307">
        <w:rPr>
          <w:rFonts w:ascii="Arial" w:hAnsi="Arial" w:cs="Arial"/>
          <w:i/>
          <w:iCs/>
        </w:rPr>
        <w:t xml:space="preserve">: (a) the fact that investments were analysed as per the additionality and transformational change criteria set in the mandate, (b) UKCI’s capacity to shoulder more risk in operations where the private sector would have been unlikely to invest, and (c) the UKCI/Macquarie team’s expertise to structure complex operations. </w:t>
      </w:r>
      <w:proofErr w:type="gramStart"/>
      <w:r w:rsidRPr="00FB4307">
        <w:rPr>
          <w:rFonts w:ascii="Arial" w:hAnsi="Arial" w:cs="Arial"/>
          <w:i/>
          <w:iCs/>
        </w:rPr>
        <w:t>Some</w:t>
      </w:r>
      <w:proofErr w:type="gramEnd"/>
      <w:r w:rsidRPr="00FB4307">
        <w:rPr>
          <w:rFonts w:ascii="Arial" w:hAnsi="Arial" w:cs="Arial"/>
          <w:i/>
          <w:iCs/>
        </w:rPr>
        <w:t xml:space="preserve"> barriers, however, </w:t>
      </w:r>
      <w:r w:rsidR="002D6223" w:rsidRPr="00FB4307">
        <w:rPr>
          <w:rFonts w:ascii="Arial" w:hAnsi="Arial" w:cs="Arial"/>
          <w:i/>
          <w:iCs/>
        </w:rPr>
        <w:t>remain</w:t>
      </w:r>
      <w:r w:rsidRPr="00FB4307">
        <w:rPr>
          <w:rFonts w:ascii="Arial" w:hAnsi="Arial" w:cs="Arial"/>
          <w:i/>
          <w:iCs/>
        </w:rPr>
        <w:t>, especially for international investors to invest in India and Kenya.</w:t>
      </w:r>
    </w:p>
    <w:p w14:paraId="538E7D51" w14:textId="5E05AD47" w:rsidR="006B74A2" w:rsidRPr="00FB4307" w:rsidRDefault="006B74A2" w:rsidP="00FB4307">
      <w:pPr>
        <w:ind w:left="720"/>
        <w:rPr>
          <w:rFonts w:ascii="Arial" w:hAnsi="Arial" w:cs="Arial"/>
          <w:i/>
          <w:iCs/>
        </w:rPr>
      </w:pPr>
      <w:r w:rsidRPr="00FB4307">
        <w:rPr>
          <w:rFonts w:ascii="Arial" w:hAnsi="Arial" w:cs="Arial"/>
          <w:i/>
          <w:iCs/>
        </w:rPr>
        <w:t xml:space="preserve">Overall, the evaluation has found that the </w:t>
      </w:r>
      <w:r w:rsidRPr="00FB4307">
        <w:rPr>
          <w:rFonts w:ascii="Arial" w:hAnsi="Arial" w:cs="Arial"/>
          <w:b/>
          <w:bCs/>
          <w:i/>
          <w:iCs/>
        </w:rPr>
        <w:t>UKCI investments were additional</w:t>
      </w:r>
      <w:r w:rsidRPr="00FB4307">
        <w:rPr>
          <w:rFonts w:ascii="Arial" w:hAnsi="Arial" w:cs="Arial"/>
          <w:i/>
          <w:iCs/>
        </w:rPr>
        <w:t xml:space="preserve">, as </w:t>
      </w:r>
      <w:proofErr w:type="gramStart"/>
      <w:r w:rsidRPr="00FB4307">
        <w:rPr>
          <w:rFonts w:ascii="Arial" w:hAnsi="Arial" w:cs="Arial"/>
          <w:i/>
          <w:iCs/>
        </w:rPr>
        <w:t>most of</w:t>
      </w:r>
      <w:proofErr w:type="gramEnd"/>
      <w:r w:rsidRPr="00FB4307">
        <w:rPr>
          <w:rFonts w:ascii="Arial" w:hAnsi="Arial" w:cs="Arial"/>
          <w:i/>
          <w:iCs/>
        </w:rPr>
        <w:t xml:space="preserve"> the investments would not have proceeded at the same scale and within the same timelines without support from UKCI. UKCI invested in sectors where private investors were reluctant to invest as they were very niche or new, and it was a lever to structure certain operations using innovative structures (e.g., </w:t>
      </w:r>
      <w:r w:rsidR="00BA7CB7">
        <w:rPr>
          <w:rFonts w:ascii="Arial" w:hAnsi="Arial" w:cs="Arial"/>
          <w:i/>
          <w:iCs/>
        </w:rPr>
        <w:t>Y</w:t>
      </w:r>
      <w:r w:rsidRPr="00FB4307">
        <w:rPr>
          <w:rFonts w:ascii="Arial" w:hAnsi="Arial" w:cs="Arial"/>
          <w:i/>
          <w:iCs/>
        </w:rPr>
        <w:t>ield</w:t>
      </w:r>
      <w:r w:rsidR="00BA7CB7">
        <w:rPr>
          <w:rFonts w:ascii="Arial" w:hAnsi="Arial" w:cs="Arial"/>
          <w:i/>
          <w:iCs/>
        </w:rPr>
        <w:t>C</w:t>
      </w:r>
      <w:r w:rsidRPr="00FB4307">
        <w:rPr>
          <w:rFonts w:ascii="Arial" w:hAnsi="Arial" w:cs="Arial"/>
          <w:i/>
          <w:iCs/>
        </w:rPr>
        <w:t xml:space="preserve">o). Overall, the additionality criteria were effective at ensuring UKCI was additional; the </w:t>
      </w:r>
      <w:proofErr w:type="gramStart"/>
      <w:r w:rsidRPr="00FB4307">
        <w:rPr>
          <w:rFonts w:ascii="Arial" w:hAnsi="Arial" w:cs="Arial"/>
          <w:i/>
          <w:iCs/>
        </w:rPr>
        <w:t>very detailed</w:t>
      </w:r>
      <w:proofErr w:type="gramEnd"/>
      <w:r w:rsidRPr="00FB4307">
        <w:rPr>
          <w:rFonts w:ascii="Arial" w:hAnsi="Arial" w:cs="Arial"/>
          <w:i/>
          <w:iCs/>
        </w:rPr>
        <w:t xml:space="preserve"> investment criteria in the mandate, however, came at the cost of slower deployment of funds than would have been the case with a more flexible mandate. </w:t>
      </w:r>
    </w:p>
    <w:p w14:paraId="1C6A618C" w14:textId="77777777" w:rsidR="006B74A2" w:rsidRPr="00FB4307" w:rsidRDefault="006B74A2" w:rsidP="00FB4307">
      <w:pPr>
        <w:ind w:left="720"/>
        <w:rPr>
          <w:rFonts w:ascii="Arial" w:hAnsi="Arial" w:cs="Arial"/>
          <w:i/>
          <w:iCs/>
        </w:rPr>
      </w:pPr>
      <w:r w:rsidRPr="00FB4307">
        <w:rPr>
          <w:rFonts w:ascii="Arial" w:hAnsi="Arial" w:cs="Arial"/>
          <w:i/>
          <w:iCs/>
        </w:rPr>
        <w:t xml:space="preserve">UKCI helped the invested companies to </w:t>
      </w:r>
      <w:r w:rsidRPr="00FB4307">
        <w:rPr>
          <w:rFonts w:ascii="Arial" w:hAnsi="Arial" w:cs="Arial"/>
          <w:b/>
          <w:bCs/>
          <w:i/>
          <w:iCs/>
        </w:rPr>
        <w:t>crowd-in additional (public and private) capital</w:t>
      </w:r>
      <w:r w:rsidRPr="00FB4307">
        <w:rPr>
          <w:rFonts w:ascii="Arial" w:hAnsi="Arial" w:cs="Arial"/>
          <w:i/>
          <w:iCs/>
        </w:rPr>
        <w:t>. It did so by supporting innovative financial structures that met investors’ needs, by helping companies in new sectors to grow and become attractive to private investors, and through the positive influence of the UKCI brand, which successfully combined the soft power of the UK Government with Macquarie’s reputation.</w:t>
      </w:r>
    </w:p>
    <w:p w14:paraId="382CF886" w14:textId="77777777" w:rsidR="006B74A2" w:rsidRPr="00FB4307" w:rsidRDefault="006B74A2" w:rsidP="00FB4307">
      <w:pPr>
        <w:ind w:left="720"/>
        <w:rPr>
          <w:rFonts w:ascii="Arial" w:hAnsi="Arial" w:cs="Arial"/>
          <w:b/>
          <w:bCs/>
          <w:i/>
          <w:iCs/>
        </w:rPr>
      </w:pPr>
      <w:r w:rsidRPr="00FB4307">
        <w:rPr>
          <w:rFonts w:ascii="Arial" w:hAnsi="Arial" w:cs="Arial"/>
          <w:b/>
          <w:bCs/>
          <w:i/>
          <w:iCs/>
        </w:rPr>
        <w:t>Effectiveness</w:t>
      </w:r>
    </w:p>
    <w:p w14:paraId="3046FD27" w14:textId="77777777" w:rsidR="006B74A2" w:rsidRPr="00FB4307" w:rsidRDefault="006B74A2" w:rsidP="00FB4307">
      <w:pPr>
        <w:ind w:left="720"/>
        <w:rPr>
          <w:rFonts w:ascii="Arial" w:hAnsi="Arial" w:cs="Arial"/>
          <w:i/>
          <w:iCs/>
        </w:rPr>
      </w:pPr>
      <w:r w:rsidRPr="00FB4307">
        <w:rPr>
          <w:rFonts w:ascii="Arial" w:hAnsi="Arial" w:cs="Arial"/>
          <w:i/>
          <w:iCs/>
        </w:rPr>
        <w:t xml:space="preserve">At programming level, UKCI took longer than expected to commit all its funds. This can </w:t>
      </w:r>
      <w:proofErr w:type="gramStart"/>
      <w:r w:rsidRPr="00FB4307">
        <w:rPr>
          <w:rFonts w:ascii="Arial" w:hAnsi="Arial" w:cs="Arial"/>
          <w:i/>
          <w:iCs/>
        </w:rPr>
        <w:t>be partly explained</w:t>
      </w:r>
      <w:proofErr w:type="gramEnd"/>
      <w:r w:rsidRPr="00FB4307">
        <w:rPr>
          <w:rFonts w:ascii="Arial" w:hAnsi="Arial" w:cs="Arial"/>
          <w:i/>
          <w:iCs/>
        </w:rPr>
        <w:t xml:space="preserve"> by reasons external to UKCI, but also by reasons linked to the design of the programme. The main reasons external to UKCI are the privatisation of the GIB and the COVID-19 pandemic. The internal reasons are the following:</w:t>
      </w:r>
    </w:p>
    <w:p w14:paraId="2556D524" w14:textId="77777777" w:rsidR="00B330A7" w:rsidRPr="00FB4307" w:rsidRDefault="006B74A2" w:rsidP="00FB4307">
      <w:pPr>
        <w:pStyle w:val="ListParagraph"/>
        <w:numPr>
          <w:ilvl w:val="0"/>
          <w:numId w:val="4"/>
        </w:numPr>
        <w:ind w:left="1440"/>
        <w:rPr>
          <w:rFonts w:ascii="Arial" w:hAnsi="Arial" w:cs="Arial"/>
          <w:i/>
          <w:iCs/>
        </w:rPr>
      </w:pPr>
      <w:proofErr w:type="gramStart"/>
      <w:r w:rsidRPr="00FB4307">
        <w:rPr>
          <w:rFonts w:ascii="Arial" w:hAnsi="Arial" w:cs="Arial"/>
          <w:i/>
          <w:iCs/>
        </w:rPr>
        <w:t>Very specific</w:t>
      </w:r>
      <w:proofErr w:type="gramEnd"/>
      <w:r w:rsidRPr="00FB4307">
        <w:rPr>
          <w:rFonts w:ascii="Arial" w:hAnsi="Arial" w:cs="Arial"/>
          <w:i/>
          <w:iCs/>
        </w:rPr>
        <w:t xml:space="preserve"> additionality and transformational change criteria: These criteria made it difficult for the UKCI team to source deals that would meet all the requirements. While they were mostly useful to ensure additionality of the investments, they slowed down the speed at which UKCI could commit its funds.</w:t>
      </w:r>
    </w:p>
    <w:p w14:paraId="0BA9828D" w14:textId="77777777" w:rsidR="00B330A7" w:rsidRPr="00FB4307" w:rsidRDefault="006B74A2" w:rsidP="00FB4307">
      <w:pPr>
        <w:pStyle w:val="ListParagraph"/>
        <w:numPr>
          <w:ilvl w:val="0"/>
          <w:numId w:val="4"/>
        </w:numPr>
        <w:ind w:left="1440"/>
        <w:rPr>
          <w:rFonts w:ascii="Arial" w:hAnsi="Arial" w:cs="Arial"/>
          <w:i/>
          <w:iCs/>
        </w:rPr>
      </w:pPr>
      <w:r w:rsidRPr="00FB4307">
        <w:rPr>
          <w:rFonts w:ascii="Arial" w:hAnsi="Arial" w:cs="Arial"/>
          <w:i/>
          <w:iCs/>
        </w:rPr>
        <w:t xml:space="preserve">Low adaptation to changes in context in target geographies: The target geographies were reviewed and expanded after UKCI was launched, but even so, UKCI was delayed partly due to some contextual aspects in its key </w:t>
      </w:r>
      <w:r w:rsidRPr="00FB4307">
        <w:rPr>
          <w:rFonts w:ascii="Arial" w:hAnsi="Arial" w:cs="Arial"/>
          <w:i/>
          <w:iCs/>
        </w:rPr>
        <w:lastRenderedPageBreak/>
        <w:t xml:space="preserve">geographies: In South Africa, the REIPPP was put on hold for several years (2014-2021), limiting investments in renewable energy; and in India, the GBP 30 million threshold for investments per project/firm was relatively low for the market. </w:t>
      </w:r>
    </w:p>
    <w:p w14:paraId="44041ADA" w14:textId="4CA25BD3" w:rsidR="006B74A2" w:rsidRPr="00FB4307" w:rsidRDefault="006B74A2" w:rsidP="00FB4307">
      <w:pPr>
        <w:pStyle w:val="ListParagraph"/>
        <w:numPr>
          <w:ilvl w:val="0"/>
          <w:numId w:val="4"/>
        </w:numPr>
        <w:ind w:left="1440"/>
        <w:rPr>
          <w:rFonts w:ascii="Arial" w:hAnsi="Arial" w:cs="Arial"/>
          <w:i/>
          <w:iCs/>
        </w:rPr>
      </w:pPr>
      <w:r w:rsidRPr="00FB4307">
        <w:rPr>
          <w:rFonts w:ascii="Arial" w:hAnsi="Arial" w:cs="Arial"/>
          <w:i/>
          <w:iCs/>
        </w:rPr>
        <w:t xml:space="preserve">Learning curve: With the move of UKCI to Macquarie, the UKCI team and IC had to get up to speed on concepts that are less familiar to commercial investors (e.g., transformational change), meaning that processes to approve deals took longer at the beginning. </w:t>
      </w:r>
    </w:p>
    <w:p w14:paraId="6C86FB27" w14:textId="77777777" w:rsidR="006B74A2" w:rsidRPr="00FB4307" w:rsidRDefault="006B74A2" w:rsidP="00FB4307">
      <w:pPr>
        <w:ind w:left="720"/>
        <w:rPr>
          <w:rFonts w:ascii="Arial" w:hAnsi="Arial" w:cs="Arial"/>
          <w:i/>
          <w:iCs/>
        </w:rPr>
      </w:pPr>
      <w:r w:rsidRPr="00FB4307">
        <w:rPr>
          <w:rFonts w:ascii="Arial" w:hAnsi="Arial" w:cs="Arial"/>
          <w:i/>
          <w:iCs/>
        </w:rPr>
        <w:t xml:space="preserve">One of the UKCI key aims is to communicate the vision and successes of the pilot and, in so doing, contribute to a positive reputation for UK climate finance among governments, investors and other stakeholders. The evaluation found that there is widespread awareness of the UKCI Pilot in the investor and wider stakeholder community in target geographies, that fund managers and investors are also disseminating information about the deals, and that the partnership between BEIS and Macquarie gives </w:t>
      </w:r>
      <w:proofErr w:type="gramStart"/>
      <w:r w:rsidRPr="00FB4307">
        <w:rPr>
          <w:rFonts w:ascii="Arial" w:hAnsi="Arial" w:cs="Arial"/>
          <w:i/>
          <w:iCs/>
        </w:rPr>
        <w:t>a strong reputation</w:t>
      </w:r>
      <w:proofErr w:type="gramEnd"/>
      <w:r w:rsidRPr="00FB4307">
        <w:rPr>
          <w:rFonts w:ascii="Arial" w:hAnsi="Arial" w:cs="Arial"/>
          <w:i/>
          <w:iCs/>
        </w:rPr>
        <w:t xml:space="preserve"> to UKCI. </w:t>
      </w:r>
    </w:p>
    <w:p w14:paraId="115DFED5" w14:textId="77777777" w:rsidR="006B74A2" w:rsidRPr="00FB4307" w:rsidRDefault="006B74A2" w:rsidP="00FB4307">
      <w:pPr>
        <w:ind w:left="720"/>
        <w:rPr>
          <w:rFonts w:ascii="Arial" w:hAnsi="Arial" w:cs="Arial"/>
          <w:b/>
          <w:bCs/>
          <w:i/>
          <w:iCs/>
        </w:rPr>
      </w:pPr>
      <w:r w:rsidRPr="00FB4307">
        <w:rPr>
          <w:rFonts w:ascii="Arial" w:hAnsi="Arial" w:cs="Arial"/>
          <w:b/>
          <w:bCs/>
          <w:i/>
          <w:iCs/>
        </w:rPr>
        <w:t>Transformational Change</w:t>
      </w:r>
    </w:p>
    <w:p w14:paraId="5E05E800" w14:textId="77777777" w:rsidR="006B74A2" w:rsidRPr="00FB4307" w:rsidRDefault="006B74A2" w:rsidP="00FB4307">
      <w:pPr>
        <w:ind w:left="720"/>
        <w:rPr>
          <w:rFonts w:ascii="Arial" w:hAnsi="Arial" w:cs="Arial"/>
          <w:i/>
          <w:iCs/>
        </w:rPr>
      </w:pPr>
      <w:r w:rsidRPr="00FB4307">
        <w:rPr>
          <w:rFonts w:ascii="Arial" w:hAnsi="Arial" w:cs="Arial"/>
          <w:i/>
          <w:iCs/>
        </w:rPr>
        <w:t xml:space="preserve">UKCI has already achieved, or is likely to achieve, transformational change through </w:t>
      </w:r>
      <w:proofErr w:type="gramStart"/>
      <w:r w:rsidRPr="00FB4307">
        <w:rPr>
          <w:rFonts w:ascii="Arial" w:hAnsi="Arial" w:cs="Arial"/>
          <w:i/>
          <w:iCs/>
        </w:rPr>
        <w:t>some of</w:t>
      </w:r>
      <w:proofErr w:type="gramEnd"/>
      <w:r w:rsidRPr="00FB4307">
        <w:rPr>
          <w:rFonts w:ascii="Arial" w:hAnsi="Arial" w:cs="Arial"/>
          <w:i/>
          <w:iCs/>
        </w:rPr>
        <w:t xml:space="preserve"> the investments: </w:t>
      </w:r>
    </w:p>
    <w:p w14:paraId="0855A8B1" w14:textId="77777777" w:rsidR="00AE01A7" w:rsidRPr="00FB4307" w:rsidRDefault="006B74A2" w:rsidP="00FB4307">
      <w:pPr>
        <w:pStyle w:val="ListParagraph"/>
        <w:numPr>
          <w:ilvl w:val="0"/>
          <w:numId w:val="4"/>
        </w:numPr>
        <w:ind w:left="1440"/>
        <w:rPr>
          <w:rFonts w:ascii="Arial" w:hAnsi="Arial" w:cs="Arial"/>
          <w:i/>
          <w:iCs/>
        </w:rPr>
      </w:pPr>
      <w:r w:rsidRPr="00FB4307">
        <w:rPr>
          <w:rFonts w:ascii="Arial" w:hAnsi="Arial" w:cs="Arial"/>
          <w:i/>
          <w:iCs/>
        </w:rPr>
        <w:t xml:space="preserve">The new </w:t>
      </w:r>
      <w:r w:rsidRPr="00FB4307">
        <w:rPr>
          <w:rFonts w:ascii="Arial" w:hAnsi="Arial" w:cs="Arial"/>
          <w:b/>
          <w:bCs/>
          <w:i/>
          <w:iCs/>
        </w:rPr>
        <w:t>BEE instrument</w:t>
      </w:r>
      <w:r w:rsidRPr="00FB4307">
        <w:rPr>
          <w:rFonts w:ascii="Arial" w:hAnsi="Arial" w:cs="Arial"/>
          <w:i/>
          <w:iCs/>
        </w:rPr>
        <w:t xml:space="preserve"> has </w:t>
      </w:r>
      <w:proofErr w:type="gramStart"/>
      <w:r w:rsidRPr="00FB4307">
        <w:rPr>
          <w:rFonts w:ascii="Arial" w:hAnsi="Arial" w:cs="Arial"/>
          <w:i/>
          <w:iCs/>
        </w:rPr>
        <w:t xml:space="preserve">been </w:t>
      </w:r>
      <w:r w:rsidRPr="00FB4307">
        <w:rPr>
          <w:rFonts w:ascii="Arial" w:hAnsi="Arial" w:cs="Arial"/>
          <w:b/>
          <w:bCs/>
          <w:i/>
          <w:iCs/>
        </w:rPr>
        <w:t>replicated</w:t>
      </w:r>
      <w:proofErr w:type="gramEnd"/>
      <w:r w:rsidRPr="00FB4307">
        <w:rPr>
          <w:rFonts w:ascii="Arial" w:hAnsi="Arial" w:cs="Arial"/>
          <w:i/>
          <w:iCs/>
        </w:rPr>
        <w:t xml:space="preserve"> by a co-investor and there are early signs that the BEE parties who participated in Oslo and Etna2 and replicating the equity structure with other DFIs. </w:t>
      </w:r>
    </w:p>
    <w:p w14:paraId="2D11826E" w14:textId="77777777" w:rsidR="00AE01A7" w:rsidRPr="00FB4307" w:rsidRDefault="006B74A2" w:rsidP="00FB4307">
      <w:pPr>
        <w:pStyle w:val="ListParagraph"/>
        <w:numPr>
          <w:ilvl w:val="0"/>
          <w:numId w:val="4"/>
        </w:numPr>
        <w:ind w:left="1440"/>
        <w:rPr>
          <w:rFonts w:ascii="Arial" w:hAnsi="Arial" w:cs="Arial"/>
          <w:i/>
          <w:iCs/>
        </w:rPr>
      </w:pPr>
      <w:r w:rsidRPr="00FB4307">
        <w:rPr>
          <w:rFonts w:ascii="Arial" w:hAnsi="Arial" w:cs="Arial"/>
          <w:i/>
          <w:iCs/>
        </w:rPr>
        <w:t xml:space="preserve">The </w:t>
      </w:r>
      <w:r w:rsidRPr="00FB4307">
        <w:rPr>
          <w:rFonts w:ascii="Arial" w:hAnsi="Arial" w:cs="Arial"/>
          <w:b/>
          <w:bCs/>
          <w:i/>
          <w:iCs/>
        </w:rPr>
        <w:t>yieldcos</w:t>
      </w:r>
      <w:r w:rsidRPr="00FB4307">
        <w:rPr>
          <w:rFonts w:ascii="Arial" w:hAnsi="Arial" w:cs="Arial"/>
          <w:i/>
          <w:iCs/>
        </w:rPr>
        <w:t xml:space="preserve"> are showing that they are useful instruments to attract institutional investors towards green infrastructure in emerging economies. In India, more yieldcos are proliferating, including one in the renewable energy sector. However, it uses a different structure (InvIT, an onshore structure) and UKCI’s contribution to this outcome </w:t>
      </w:r>
      <w:proofErr w:type="gramStart"/>
      <w:r w:rsidRPr="00FB4307">
        <w:rPr>
          <w:rFonts w:ascii="Arial" w:hAnsi="Arial" w:cs="Arial"/>
          <w:i/>
          <w:iCs/>
        </w:rPr>
        <w:t>is limited</w:t>
      </w:r>
      <w:proofErr w:type="gramEnd"/>
      <w:r w:rsidRPr="00FB4307">
        <w:rPr>
          <w:rFonts w:ascii="Arial" w:hAnsi="Arial" w:cs="Arial"/>
          <w:i/>
          <w:iCs/>
        </w:rPr>
        <w:t xml:space="preserve">. In South Africa, stakeholders consulted believe that Dazzle has strong potential to </w:t>
      </w:r>
      <w:proofErr w:type="gramStart"/>
      <w:r w:rsidRPr="00FB4307">
        <w:rPr>
          <w:rFonts w:ascii="Arial" w:hAnsi="Arial" w:cs="Arial"/>
          <w:i/>
          <w:iCs/>
        </w:rPr>
        <w:t>be</w:t>
      </w:r>
      <w:r w:rsidRPr="00FB4307">
        <w:rPr>
          <w:rFonts w:ascii="Arial" w:hAnsi="Arial" w:cs="Arial"/>
          <w:b/>
          <w:bCs/>
          <w:i/>
          <w:iCs/>
        </w:rPr>
        <w:t xml:space="preserve"> replicated</w:t>
      </w:r>
      <w:proofErr w:type="gramEnd"/>
      <w:r w:rsidRPr="00FB4307">
        <w:rPr>
          <w:rFonts w:ascii="Arial" w:hAnsi="Arial" w:cs="Arial"/>
          <w:i/>
          <w:iCs/>
        </w:rPr>
        <w:t>, and market conditions for replication exist.</w:t>
      </w:r>
    </w:p>
    <w:p w14:paraId="361BF465" w14:textId="252C3C49" w:rsidR="006B74A2" w:rsidRPr="00FB4307" w:rsidRDefault="006B74A2" w:rsidP="00FB4307">
      <w:pPr>
        <w:pStyle w:val="ListParagraph"/>
        <w:numPr>
          <w:ilvl w:val="0"/>
          <w:numId w:val="4"/>
        </w:numPr>
        <w:ind w:left="1440"/>
        <w:rPr>
          <w:rFonts w:ascii="Arial" w:hAnsi="Arial" w:cs="Arial"/>
          <w:i/>
          <w:iCs/>
        </w:rPr>
      </w:pPr>
      <w:r w:rsidRPr="00FB4307">
        <w:rPr>
          <w:rFonts w:ascii="Arial" w:hAnsi="Arial" w:cs="Arial"/>
          <w:i/>
          <w:iCs/>
        </w:rPr>
        <w:t xml:space="preserve">UKCI has contributed to de-risking the C&amp;I sector in India and to </w:t>
      </w:r>
      <w:r w:rsidRPr="00FB4307">
        <w:rPr>
          <w:rFonts w:ascii="Arial" w:hAnsi="Arial" w:cs="Arial"/>
          <w:b/>
          <w:bCs/>
          <w:i/>
          <w:iCs/>
        </w:rPr>
        <w:t>leverage</w:t>
      </w:r>
      <w:r w:rsidRPr="00FB4307">
        <w:rPr>
          <w:rFonts w:ascii="Arial" w:hAnsi="Arial" w:cs="Arial"/>
          <w:i/>
          <w:iCs/>
        </w:rPr>
        <w:t xml:space="preserve"> capital towards the sector. </w:t>
      </w:r>
    </w:p>
    <w:p w14:paraId="21E3F395" w14:textId="77777777" w:rsidR="00127033" w:rsidRPr="00FB4307" w:rsidRDefault="006B74A2" w:rsidP="00FB4307">
      <w:pPr>
        <w:ind w:left="720"/>
        <w:rPr>
          <w:rFonts w:ascii="Arial" w:hAnsi="Arial" w:cs="Arial"/>
          <w:i/>
          <w:iCs/>
        </w:rPr>
      </w:pPr>
      <w:r w:rsidRPr="00FB4307">
        <w:rPr>
          <w:rFonts w:ascii="Arial" w:hAnsi="Arial" w:cs="Arial"/>
          <w:i/>
          <w:iCs/>
        </w:rPr>
        <w:t xml:space="preserve">On the other hand, there are </w:t>
      </w:r>
      <w:proofErr w:type="gramStart"/>
      <w:r w:rsidRPr="00FB4307">
        <w:rPr>
          <w:rFonts w:ascii="Arial" w:hAnsi="Arial" w:cs="Arial"/>
          <w:i/>
          <w:iCs/>
        </w:rPr>
        <w:t>some</w:t>
      </w:r>
      <w:proofErr w:type="gramEnd"/>
      <w:r w:rsidRPr="00FB4307">
        <w:rPr>
          <w:rFonts w:ascii="Arial" w:hAnsi="Arial" w:cs="Arial"/>
          <w:i/>
          <w:iCs/>
        </w:rPr>
        <w:t xml:space="preserve"> objectives that have not been met yet:</w:t>
      </w:r>
    </w:p>
    <w:p w14:paraId="1F524213" w14:textId="77777777" w:rsidR="00127033" w:rsidRPr="00FB4307" w:rsidRDefault="006B74A2" w:rsidP="00FB4307">
      <w:pPr>
        <w:pStyle w:val="ListParagraph"/>
        <w:numPr>
          <w:ilvl w:val="0"/>
          <w:numId w:val="4"/>
        </w:numPr>
        <w:ind w:left="1440"/>
        <w:rPr>
          <w:rFonts w:ascii="Arial" w:hAnsi="Arial" w:cs="Arial"/>
          <w:i/>
          <w:iCs/>
        </w:rPr>
      </w:pPr>
      <w:r w:rsidRPr="00FB4307">
        <w:rPr>
          <w:rFonts w:ascii="Arial" w:hAnsi="Arial" w:cs="Arial"/>
          <w:i/>
          <w:iCs/>
        </w:rPr>
        <w:t>Project Bolt aimed to attract more quality project developers to India. However, as the project developer did not undertake their planned pipeline of projects (for reasons external to UKCI), UKCI has not contributed to attract more developers. This investment is the smallest in the UKCI portfolio (GBP 5 million) and, although it will not achieve the objectives set at the outset, it helped UKCI to start building its own track record and it has provided some learning that can inform future ICF programmes (see chapter 7 on lessons learned).</w:t>
      </w:r>
    </w:p>
    <w:p w14:paraId="3F86D81F" w14:textId="167B9D67" w:rsidR="006B74A2" w:rsidRPr="00FB4307" w:rsidRDefault="006B74A2" w:rsidP="00FB4307">
      <w:pPr>
        <w:pStyle w:val="ListParagraph"/>
        <w:numPr>
          <w:ilvl w:val="0"/>
          <w:numId w:val="4"/>
        </w:numPr>
        <w:ind w:left="1440"/>
        <w:rPr>
          <w:rFonts w:ascii="Arial" w:hAnsi="Arial" w:cs="Arial"/>
          <w:i/>
          <w:iCs/>
        </w:rPr>
      </w:pPr>
      <w:r w:rsidRPr="00FB4307">
        <w:rPr>
          <w:rFonts w:ascii="Arial" w:hAnsi="Arial" w:cs="Arial"/>
          <w:i/>
          <w:iCs/>
        </w:rPr>
        <w:t xml:space="preserve">The yieldcos have not yet fully demonstrated that they are a viable instrument to upscale renewable energy generation capacity. In Dazzle, </w:t>
      </w:r>
      <w:proofErr w:type="spellStart"/>
      <w:r w:rsidRPr="00FB4307">
        <w:rPr>
          <w:rFonts w:ascii="Arial" w:hAnsi="Arial" w:cs="Arial"/>
          <w:i/>
          <w:iCs/>
        </w:rPr>
        <w:t>Revego</w:t>
      </w:r>
      <w:proofErr w:type="spellEnd"/>
      <w:r w:rsidRPr="00FB4307">
        <w:rPr>
          <w:rFonts w:ascii="Arial" w:hAnsi="Arial" w:cs="Arial"/>
          <w:i/>
          <w:iCs/>
        </w:rPr>
        <w:t xml:space="preserve"> acquired their assets from an investor that did not participate in REIPPP Bid Window 5 (although it invested some funds in a renewable energy company in Sub-Saharan Africa); and in Lakeside, Fortum reinvested the proceeds from the sale in new renewable energy infrastructure, but when it became operational it sold it to another investor, instead of the yieldco.</w:t>
      </w:r>
    </w:p>
    <w:p w14:paraId="099C6629" w14:textId="77777777" w:rsidR="00BA7CB7" w:rsidRDefault="00BA7CB7" w:rsidP="00FB4307">
      <w:pPr>
        <w:ind w:left="720"/>
        <w:rPr>
          <w:rFonts w:ascii="Arial" w:hAnsi="Arial" w:cs="Arial"/>
          <w:b/>
          <w:bCs/>
          <w:i/>
          <w:iCs/>
        </w:rPr>
      </w:pPr>
    </w:p>
    <w:p w14:paraId="331DE724" w14:textId="1AD572A8" w:rsidR="006B74A2" w:rsidRPr="00FB4307" w:rsidRDefault="006B74A2" w:rsidP="00FB4307">
      <w:pPr>
        <w:ind w:left="720"/>
        <w:rPr>
          <w:rFonts w:ascii="Arial" w:hAnsi="Arial" w:cs="Arial"/>
          <w:b/>
          <w:bCs/>
          <w:i/>
          <w:iCs/>
        </w:rPr>
      </w:pPr>
      <w:r w:rsidRPr="00FB4307">
        <w:rPr>
          <w:rFonts w:ascii="Arial" w:hAnsi="Arial" w:cs="Arial"/>
          <w:b/>
          <w:bCs/>
          <w:i/>
          <w:iCs/>
        </w:rPr>
        <w:lastRenderedPageBreak/>
        <w:t>GESI</w:t>
      </w:r>
    </w:p>
    <w:p w14:paraId="1D392DAA" w14:textId="77777777" w:rsidR="006B74A2" w:rsidRPr="00FB4307" w:rsidRDefault="006B74A2" w:rsidP="00FB4307">
      <w:pPr>
        <w:ind w:left="720"/>
        <w:rPr>
          <w:rFonts w:ascii="Arial" w:hAnsi="Arial" w:cs="Arial"/>
          <w:i/>
          <w:iCs/>
        </w:rPr>
      </w:pPr>
      <w:r w:rsidRPr="00FB4307">
        <w:rPr>
          <w:rFonts w:ascii="Arial" w:hAnsi="Arial" w:cs="Arial"/>
          <w:i/>
          <w:iCs/>
        </w:rPr>
        <w:t>Although there was not a GESI a strategy from the outset in UKCI, over time, GESI gained more importance in the UK Government and across policies and programmes.</w:t>
      </w:r>
    </w:p>
    <w:p w14:paraId="3599A794" w14:textId="77777777" w:rsidR="006B74A2" w:rsidRPr="00FB4307" w:rsidRDefault="006B74A2" w:rsidP="00FB4307">
      <w:pPr>
        <w:ind w:left="720"/>
        <w:rPr>
          <w:rFonts w:ascii="Arial" w:hAnsi="Arial" w:cs="Arial"/>
          <w:i/>
          <w:iCs/>
        </w:rPr>
      </w:pPr>
      <w:r w:rsidRPr="00FB4307">
        <w:rPr>
          <w:rFonts w:ascii="Arial" w:hAnsi="Arial" w:cs="Arial"/>
          <w:i/>
          <w:iCs/>
        </w:rPr>
        <w:t>Four of the UKCI investments directly sought to achieve GESI objectives: Oslo, Etna2 and (to a lesser extent) Dazzle, as they support BEE parties (a disadvantaged group) to access funding, and Kijani, as it invests in green affordable housing. In addition to this, Macquarie promoted the development of diversity and inclusion (D&amp;I) policies among their invested companies, including the UKCI portfolio. All companies have initiatives or policies to promote D&amp;I, such as supporting broader diversity at board level focusing on the promotion of the diversity attributes of gender, race, culture, age, field of knowledge (</w:t>
      </w:r>
      <w:proofErr w:type="spellStart"/>
      <w:r w:rsidRPr="00FB4307">
        <w:rPr>
          <w:rFonts w:ascii="Arial" w:hAnsi="Arial" w:cs="Arial"/>
          <w:i/>
          <w:iCs/>
        </w:rPr>
        <w:t>Revego</w:t>
      </w:r>
      <w:proofErr w:type="spellEnd"/>
      <w:r w:rsidRPr="00FB4307">
        <w:rPr>
          <w:rFonts w:ascii="Arial" w:hAnsi="Arial" w:cs="Arial"/>
          <w:i/>
          <w:iCs/>
        </w:rPr>
        <w:t>), and bringing in more women in the workforce (non-EPC roles) (Apollo).</w:t>
      </w:r>
    </w:p>
    <w:p w14:paraId="62BEA3EB" w14:textId="77777777" w:rsidR="006B74A2" w:rsidRPr="00FB4307" w:rsidRDefault="006B74A2" w:rsidP="00FB4307">
      <w:pPr>
        <w:ind w:left="720"/>
        <w:rPr>
          <w:rFonts w:ascii="Arial" w:hAnsi="Arial" w:cs="Arial"/>
          <w:i/>
          <w:iCs/>
        </w:rPr>
      </w:pPr>
      <w:r w:rsidRPr="00FB4307">
        <w:rPr>
          <w:rFonts w:ascii="Arial" w:hAnsi="Arial" w:cs="Arial"/>
          <w:i/>
          <w:iCs/>
        </w:rPr>
        <w:t xml:space="preserve">Overall, the invested companies sought objectives in terms of poverty reduction and equity that went beyond climate change mitigation. The GESI outcomes at the underlying asset level are noticeable and, in </w:t>
      </w:r>
      <w:proofErr w:type="gramStart"/>
      <w:r w:rsidRPr="00FB4307">
        <w:rPr>
          <w:rFonts w:ascii="Arial" w:hAnsi="Arial" w:cs="Arial"/>
          <w:i/>
          <w:iCs/>
        </w:rPr>
        <w:t>some</w:t>
      </w:r>
      <w:proofErr w:type="gramEnd"/>
      <w:r w:rsidRPr="00FB4307">
        <w:rPr>
          <w:rFonts w:ascii="Arial" w:hAnsi="Arial" w:cs="Arial"/>
          <w:i/>
          <w:iCs/>
        </w:rPr>
        <w:t xml:space="preserve"> cases, very impactful (although UKCI’s contribution is minor). </w:t>
      </w:r>
      <w:proofErr w:type="gramStart"/>
      <w:r w:rsidRPr="00FB4307">
        <w:rPr>
          <w:rFonts w:ascii="Arial" w:hAnsi="Arial" w:cs="Arial"/>
          <w:i/>
          <w:iCs/>
        </w:rPr>
        <w:t>Some of</w:t>
      </w:r>
      <w:proofErr w:type="gramEnd"/>
      <w:r w:rsidRPr="00FB4307">
        <w:rPr>
          <w:rFonts w:ascii="Arial" w:hAnsi="Arial" w:cs="Arial"/>
          <w:i/>
          <w:iCs/>
        </w:rPr>
        <w:t xml:space="preserve"> them conducted specific activities to this end, including, for instance: infrastructure projects to improve access to education, investments in employment and training opportunities, and initiatives to improve education and health in the local communities where the projects operate. UKCI’s invested companies also reported having helped the local communities during COVID-19.</w:t>
      </w:r>
    </w:p>
    <w:p w14:paraId="46A34F54" w14:textId="77777777" w:rsidR="006B74A2" w:rsidRPr="00FB4307" w:rsidRDefault="006B74A2" w:rsidP="00FB4307">
      <w:pPr>
        <w:ind w:left="720"/>
        <w:rPr>
          <w:rFonts w:ascii="Arial" w:hAnsi="Arial" w:cs="Arial"/>
          <w:i/>
          <w:iCs/>
        </w:rPr>
      </w:pPr>
      <w:r w:rsidRPr="00FB4307">
        <w:rPr>
          <w:rFonts w:ascii="Arial" w:hAnsi="Arial" w:cs="Arial"/>
          <w:i/>
          <w:iCs/>
        </w:rPr>
        <w:t xml:space="preserve">The evaluation has not found any negative unintended effects from UKCI activity; however, there may have been missing opportunities of further supporting GESI outcomes. As GESI </w:t>
      </w:r>
      <w:proofErr w:type="gramStart"/>
      <w:r w:rsidRPr="00FB4307">
        <w:rPr>
          <w:rFonts w:ascii="Arial" w:hAnsi="Arial" w:cs="Arial"/>
          <w:i/>
          <w:iCs/>
        </w:rPr>
        <w:t>was not fully monitored</w:t>
      </w:r>
      <w:proofErr w:type="gramEnd"/>
      <w:r w:rsidRPr="00FB4307">
        <w:rPr>
          <w:rFonts w:ascii="Arial" w:hAnsi="Arial" w:cs="Arial"/>
          <w:i/>
          <w:iCs/>
        </w:rPr>
        <w:t xml:space="preserve"> from the beginning, it has not been possible in this evaluation to identify such opportunities.</w:t>
      </w:r>
    </w:p>
    <w:p w14:paraId="02272502" w14:textId="77777777" w:rsidR="006B74A2" w:rsidRPr="00FB4307" w:rsidRDefault="006B74A2" w:rsidP="00FB4307">
      <w:pPr>
        <w:ind w:left="720"/>
        <w:rPr>
          <w:rFonts w:ascii="Arial" w:hAnsi="Arial" w:cs="Arial"/>
          <w:b/>
          <w:bCs/>
          <w:i/>
          <w:iCs/>
        </w:rPr>
      </w:pPr>
      <w:r w:rsidRPr="00FB4307">
        <w:rPr>
          <w:rFonts w:ascii="Arial" w:hAnsi="Arial" w:cs="Arial"/>
          <w:b/>
          <w:bCs/>
          <w:i/>
          <w:iCs/>
        </w:rPr>
        <w:t>Efficiency</w:t>
      </w:r>
    </w:p>
    <w:p w14:paraId="32C368E3" w14:textId="77777777" w:rsidR="006B74A2" w:rsidRPr="00FB4307" w:rsidRDefault="006B74A2" w:rsidP="00FB4307">
      <w:pPr>
        <w:ind w:left="720"/>
        <w:rPr>
          <w:rFonts w:ascii="Arial" w:hAnsi="Arial" w:cs="Arial"/>
          <w:i/>
          <w:iCs/>
        </w:rPr>
      </w:pPr>
      <w:r w:rsidRPr="00FB4307">
        <w:rPr>
          <w:rFonts w:ascii="Arial" w:hAnsi="Arial" w:cs="Arial"/>
          <w:i/>
          <w:iCs/>
        </w:rPr>
        <w:t>Overall, the evaluation found that the LLP model has worked well: There was a perception of a shared understanding of the investment mandate within both BEIS and Macquarie and the facilitation of constructive discussions during Board and Committee meetings. The model of using a commercial investor to deliver UKCI worked well due to a number of factors: (a) The UKCI team was thought to be benefiting from the resources available at Macquarie, providing breadth and depth of management experience; (b) Macquarie had a good understanding of government requirements and risk appetite; (c) its knowledge of the target geographies (with physical presence in some target countries); (d) Macquarie’s strong reputation in infrastructure investment and asset management; (e) a shared understanding of the mandate and constructive communication between Macquarie and BEIS.</w:t>
      </w:r>
    </w:p>
    <w:p w14:paraId="5B073C35" w14:textId="0D9B97EC" w:rsidR="00F01E0D" w:rsidRPr="00FB4307" w:rsidRDefault="006B74A2" w:rsidP="00FB4307">
      <w:pPr>
        <w:ind w:left="720"/>
        <w:rPr>
          <w:rFonts w:ascii="Arial" w:hAnsi="Arial" w:cs="Arial"/>
          <w:i/>
          <w:iCs/>
        </w:rPr>
      </w:pPr>
      <w:r w:rsidRPr="00FB4307">
        <w:rPr>
          <w:rFonts w:ascii="Arial" w:hAnsi="Arial" w:cs="Arial"/>
          <w:i/>
          <w:iCs/>
        </w:rPr>
        <w:t>The challenges mentioned by stakeholders, on the other hand, included: (a) Lack of flexibility in the mandate; (b) negotiations being lengthier than what is normal in the market; and (c) Macquarie’s lack of resources and expertise to monitor ODA compliance.</w:t>
      </w:r>
    </w:p>
    <w:p w14:paraId="6E5C4F94" w14:textId="52E3B13C" w:rsidR="006C3D24" w:rsidRPr="00324E48" w:rsidRDefault="006C3D24" w:rsidP="006C3D24">
      <w:pPr>
        <w:rPr>
          <w:rFonts w:ascii="Arial" w:hAnsi="Arial" w:cs="Arial"/>
          <w:sz w:val="24"/>
          <w:szCs w:val="24"/>
        </w:rPr>
      </w:pPr>
      <w:bookmarkStart w:id="5" w:name="_Toc162948071"/>
      <w:r w:rsidRPr="00324E48">
        <w:rPr>
          <w:rStyle w:val="Heading2Char"/>
          <w:rFonts w:cs="Arial"/>
          <w:sz w:val="24"/>
          <w:szCs w:val="28"/>
        </w:rPr>
        <w:t xml:space="preserve">Actions following approval of this </w:t>
      </w:r>
      <w:proofErr w:type="gramStart"/>
      <w:r w:rsidRPr="00324E48">
        <w:rPr>
          <w:rStyle w:val="Heading2Char"/>
          <w:rFonts w:cs="Arial"/>
          <w:sz w:val="24"/>
          <w:szCs w:val="28"/>
        </w:rPr>
        <w:t>report</w:t>
      </w:r>
      <w:bookmarkEnd w:id="5"/>
      <w:proofErr w:type="gramEnd"/>
    </w:p>
    <w:p w14:paraId="21EE8B7E" w14:textId="1726C7CE" w:rsidR="000564DC" w:rsidRDefault="000564DC" w:rsidP="006C3D24">
      <w:pPr>
        <w:rPr>
          <w:rFonts w:ascii="Arial" w:hAnsi="Arial" w:cs="Arial"/>
        </w:rPr>
      </w:pPr>
      <w:r>
        <w:rPr>
          <w:rFonts w:ascii="Arial" w:hAnsi="Arial" w:cs="Arial"/>
        </w:rPr>
        <w:t>The key actions following approval of the PCR relate to the socialisation of the learnings and findings of the independent evaluations of UKCI</w:t>
      </w:r>
      <w:r w:rsidR="00460524">
        <w:rPr>
          <w:rFonts w:ascii="Arial" w:hAnsi="Arial" w:cs="Arial"/>
        </w:rPr>
        <w:t xml:space="preserve"> (as detailed in Section H on Monitoring and </w:t>
      </w:r>
      <w:r w:rsidR="00460524">
        <w:rPr>
          <w:rFonts w:ascii="Arial" w:hAnsi="Arial" w:cs="Arial"/>
        </w:rPr>
        <w:lastRenderedPageBreak/>
        <w:t>Evaluation)</w:t>
      </w:r>
      <w:r>
        <w:rPr>
          <w:rFonts w:ascii="Arial" w:hAnsi="Arial" w:cs="Arial"/>
        </w:rPr>
        <w:t>. These will benefit specialists across HMG who are working on investment programming – particularly as it relates to UKCI’s geographies and sectors.</w:t>
      </w:r>
    </w:p>
    <w:p w14:paraId="6A08C3F2" w14:textId="77777777" w:rsidR="000564DC" w:rsidRPr="000564DC" w:rsidRDefault="000564DC" w:rsidP="006C3D24">
      <w:pPr>
        <w:rPr>
          <w:rFonts w:ascii="Arial" w:hAnsi="Arial" w:cs="Arial"/>
        </w:rPr>
      </w:pPr>
    </w:p>
    <w:tbl>
      <w:tblPr>
        <w:tblStyle w:val="TableGrid"/>
        <w:tblW w:w="0" w:type="auto"/>
        <w:tblLook w:val="04A0" w:firstRow="1" w:lastRow="0" w:firstColumn="1" w:lastColumn="0" w:noHBand="0" w:noVBand="1"/>
      </w:tblPr>
      <w:tblGrid>
        <w:gridCol w:w="9016"/>
      </w:tblGrid>
      <w:tr w:rsidR="00487914" w:rsidRPr="00462E61" w14:paraId="3409F6F6" w14:textId="77777777" w:rsidTr="00C16186">
        <w:tc>
          <w:tcPr>
            <w:tcW w:w="9016" w:type="dxa"/>
            <w:shd w:val="clear" w:color="auto" w:fill="DEEAF6" w:themeFill="accent5" w:themeFillTint="33"/>
          </w:tcPr>
          <w:p w14:paraId="1E5EC074" w14:textId="11F3AA38" w:rsidR="00B52E5D" w:rsidRPr="00462E61" w:rsidRDefault="00091B19" w:rsidP="00C16186">
            <w:pPr>
              <w:jc w:val="center"/>
              <w:rPr>
                <w:rFonts w:ascii="Arial" w:hAnsi="Arial" w:cs="Arial"/>
                <w:b/>
                <w:bCs/>
                <w:sz w:val="32"/>
                <w:szCs w:val="32"/>
              </w:rPr>
            </w:pPr>
            <w:bookmarkStart w:id="6" w:name="_Toc162948072"/>
            <w:r w:rsidRPr="00462E61">
              <w:rPr>
                <w:rStyle w:val="Heading1Char"/>
                <w:rFonts w:ascii="Arial" w:hAnsi="Arial" w:cs="Arial"/>
                <w:b/>
                <w:bCs/>
                <w:color w:val="auto"/>
              </w:rPr>
              <w:t>Section B: Theory of Change and Outcome Assessment</w:t>
            </w:r>
            <w:bookmarkEnd w:id="6"/>
          </w:p>
        </w:tc>
      </w:tr>
    </w:tbl>
    <w:p w14:paraId="5EF3B027" w14:textId="77777777" w:rsidR="00091B19" w:rsidRPr="00462E61" w:rsidRDefault="00091B19" w:rsidP="006C3D24">
      <w:pPr>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487914" w:rsidRPr="00462E61" w14:paraId="076B99A5" w14:textId="77777777" w:rsidTr="00C16186">
        <w:tc>
          <w:tcPr>
            <w:tcW w:w="3005" w:type="dxa"/>
            <w:tcBorders>
              <w:top w:val="nil"/>
              <w:left w:val="nil"/>
              <w:bottom w:val="single" w:sz="4" w:space="0" w:color="auto"/>
              <w:right w:val="single" w:sz="4" w:space="0" w:color="auto"/>
            </w:tcBorders>
          </w:tcPr>
          <w:p w14:paraId="23032E9C" w14:textId="77777777" w:rsidR="00091B19" w:rsidRPr="00462E61" w:rsidRDefault="00091B19" w:rsidP="006C3D24">
            <w:pPr>
              <w:rPr>
                <w:rFonts w:ascii="Arial" w:hAnsi="Arial" w:cs="Arial"/>
              </w:rPr>
            </w:pPr>
          </w:p>
        </w:tc>
        <w:tc>
          <w:tcPr>
            <w:tcW w:w="3005" w:type="dxa"/>
            <w:tcBorders>
              <w:left w:val="single" w:sz="4" w:space="0" w:color="auto"/>
            </w:tcBorders>
            <w:shd w:val="clear" w:color="auto" w:fill="DEEAF6" w:themeFill="accent5" w:themeFillTint="33"/>
          </w:tcPr>
          <w:p w14:paraId="4C1FD9F5" w14:textId="775E590C" w:rsidR="00091B19" w:rsidRPr="00462E61" w:rsidRDefault="00091B19" w:rsidP="006C3D24">
            <w:pPr>
              <w:rPr>
                <w:rFonts w:ascii="Arial" w:hAnsi="Arial" w:cs="Arial"/>
                <w:b/>
                <w:bCs/>
              </w:rPr>
            </w:pPr>
            <w:r w:rsidRPr="00462E61">
              <w:rPr>
                <w:rFonts w:ascii="Arial" w:hAnsi="Arial" w:cs="Arial"/>
                <w:b/>
                <w:bCs/>
              </w:rPr>
              <w:t>Starting point</w:t>
            </w:r>
          </w:p>
        </w:tc>
        <w:tc>
          <w:tcPr>
            <w:tcW w:w="3006" w:type="dxa"/>
            <w:shd w:val="clear" w:color="auto" w:fill="DEEAF6" w:themeFill="accent5" w:themeFillTint="33"/>
          </w:tcPr>
          <w:p w14:paraId="7CF96A2F" w14:textId="3325903A" w:rsidR="00091B19" w:rsidRPr="00462E61" w:rsidRDefault="00091B19" w:rsidP="006C3D24">
            <w:pPr>
              <w:rPr>
                <w:rFonts w:ascii="Arial" w:hAnsi="Arial" w:cs="Arial"/>
                <w:b/>
                <w:bCs/>
              </w:rPr>
            </w:pPr>
            <w:proofErr w:type="gramStart"/>
            <w:r w:rsidRPr="00462E61">
              <w:rPr>
                <w:rFonts w:ascii="Arial" w:hAnsi="Arial" w:cs="Arial"/>
                <w:b/>
                <w:bCs/>
              </w:rPr>
              <w:t>Final result</w:t>
            </w:r>
            <w:proofErr w:type="gramEnd"/>
          </w:p>
        </w:tc>
      </w:tr>
      <w:tr w:rsidR="00487914" w:rsidRPr="00462E61" w14:paraId="2F0506A0" w14:textId="77777777" w:rsidTr="00C16186">
        <w:tc>
          <w:tcPr>
            <w:tcW w:w="3005" w:type="dxa"/>
            <w:tcBorders>
              <w:top w:val="single" w:sz="4" w:space="0" w:color="auto"/>
            </w:tcBorders>
            <w:shd w:val="clear" w:color="auto" w:fill="DEEAF6" w:themeFill="accent5" w:themeFillTint="33"/>
          </w:tcPr>
          <w:p w14:paraId="45F1F920" w14:textId="12EBAB1A" w:rsidR="00091B19" w:rsidRPr="00462E61" w:rsidRDefault="00091B19" w:rsidP="006C3D24">
            <w:pPr>
              <w:rPr>
                <w:rFonts w:ascii="Arial" w:hAnsi="Arial" w:cs="Arial"/>
                <w:b/>
                <w:bCs/>
              </w:rPr>
            </w:pPr>
            <w:r w:rsidRPr="00462E61">
              <w:rPr>
                <w:rFonts w:ascii="Arial" w:hAnsi="Arial" w:cs="Arial"/>
                <w:b/>
                <w:bCs/>
              </w:rPr>
              <w:t xml:space="preserve">Budget </w:t>
            </w:r>
          </w:p>
        </w:tc>
        <w:tc>
          <w:tcPr>
            <w:tcW w:w="3005" w:type="dxa"/>
          </w:tcPr>
          <w:p w14:paraId="6EEF2494" w14:textId="376925AE" w:rsidR="000D12AB" w:rsidRPr="00462E61" w:rsidRDefault="000D12AB" w:rsidP="006C3D24">
            <w:pPr>
              <w:rPr>
                <w:rFonts w:ascii="Arial" w:hAnsi="Arial" w:cs="Arial"/>
                <w:i/>
                <w:iCs/>
              </w:rPr>
            </w:pPr>
            <w:r>
              <w:rPr>
                <w:rFonts w:ascii="Arial" w:hAnsi="Arial" w:cs="Arial"/>
                <w:i/>
                <w:iCs/>
              </w:rPr>
              <w:t>£20</w:t>
            </w:r>
            <w:r w:rsidR="008D1BAA">
              <w:rPr>
                <w:rFonts w:ascii="Arial" w:hAnsi="Arial" w:cs="Arial"/>
                <w:i/>
                <w:iCs/>
              </w:rPr>
              <w:t>0</w:t>
            </w:r>
            <w:r>
              <w:rPr>
                <w:rFonts w:ascii="Arial" w:hAnsi="Arial" w:cs="Arial"/>
                <w:i/>
                <w:iCs/>
              </w:rPr>
              <w:t>m</w:t>
            </w:r>
            <w:r w:rsidR="008D1BAA">
              <w:rPr>
                <w:rFonts w:ascii="Arial" w:hAnsi="Arial" w:cs="Arial"/>
                <w:i/>
                <w:iCs/>
              </w:rPr>
              <w:t xml:space="preserve"> in the investment fund + £2m for independent evaluations</w:t>
            </w:r>
          </w:p>
        </w:tc>
        <w:tc>
          <w:tcPr>
            <w:tcW w:w="3006" w:type="dxa"/>
          </w:tcPr>
          <w:p w14:paraId="675B2771" w14:textId="729356F5" w:rsidR="000D12AB" w:rsidRPr="00462E61" w:rsidRDefault="000D12AB" w:rsidP="006C3D24">
            <w:pPr>
              <w:rPr>
                <w:rFonts w:ascii="Arial" w:hAnsi="Arial" w:cs="Arial"/>
                <w:i/>
                <w:iCs/>
              </w:rPr>
            </w:pPr>
            <w:r>
              <w:rPr>
                <w:rFonts w:ascii="Arial" w:hAnsi="Arial" w:cs="Arial"/>
                <w:i/>
                <w:iCs/>
              </w:rPr>
              <w:t>£200m</w:t>
            </w:r>
            <w:r w:rsidR="008D1BAA">
              <w:rPr>
                <w:rFonts w:ascii="Arial" w:hAnsi="Arial" w:cs="Arial"/>
                <w:i/>
                <w:iCs/>
              </w:rPr>
              <w:t xml:space="preserve"> + </w:t>
            </w:r>
            <w:r w:rsidR="0073456A">
              <w:rPr>
                <w:rFonts w:ascii="Arial" w:hAnsi="Arial" w:cs="Arial"/>
                <w:i/>
                <w:iCs/>
              </w:rPr>
              <w:t>£</w:t>
            </w:r>
            <w:r w:rsidR="00553590">
              <w:rPr>
                <w:rFonts w:ascii="Arial" w:hAnsi="Arial" w:cs="Arial"/>
                <w:i/>
                <w:iCs/>
              </w:rPr>
              <w:t>653k</w:t>
            </w:r>
            <w:r w:rsidR="008D1BAA">
              <w:rPr>
                <w:rFonts w:ascii="Arial" w:hAnsi="Arial" w:cs="Arial"/>
                <w:i/>
                <w:iCs/>
              </w:rPr>
              <w:t xml:space="preserve"> for independent evaluations</w:t>
            </w:r>
          </w:p>
        </w:tc>
      </w:tr>
      <w:tr w:rsidR="00487914" w:rsidRPr="00462E61" w14:paraId="491559F5" w14:textId="77777777" w:rsidTr="00C16186">
        <w:tc>
          <w:tcPr>
            <w:tcW w:w="3005" w:type="dxa"/>
            <w:shd w:val="clear" w:color="auto" w:fill="DEEAF6" w:themeFill="accent5" w:themeFillTint="33"/>
          </w:tcPr>
          <w:p w14:paraId="6EDBE32A" w14:textId="4E2921CF" w:rsidR="00091B19" w:rsidRPr="00462E61" w:rsidRDefault="00091B19" w:rsidP="006C3D24">
            <w:pPr>
              <w:rPr>
                <w:rFonts w:ascii="Arial" w:hAnsi="Arial" w:cs="Arial"/>
                <w:b/>
                <w:bCs/>
              </w:rPr>
            </w:pPr>
            <w:proofErr w:type="gramStart"/>
            <w:r w:rsidRPr="00462E61">
              <w:rPr>
                <w:rFonts w:ascii="Arial" w:hAnsi="Arial" w:cs="Arial"/>
                <w:b/>
                <w:bCs/>
              </w:rPr>
              <w:t>Timeframe</w:t>
            </w:r>
            <w:proofErr w:type="gramEnd"/>
          </w:p>
        </w:tc>
        <w:tc>
          <w:tcPr>
            <w:tcW w:w="3005" w:type="dxa"/>
          </w:tcPr>
          <w:p w14:paraId="04A6C78F" w14:textId="4F86CFF8" w:rsidR="00046FFE" w:rsidRPr="00462E61" w:rsidRDefault="00046FFE" w:rsidP="006C3D24">
            <w:pPr>
              <w:rPr>
                <w:rFonts w:ascii="Arial" w:hAnsi="Arial" w:cs="Arial"/>
                <w:i/>
                <w:iCs/>
              </w:rPr>
            </w:pPr>
            <w:r>
              <w:rPr>
                <w:rFonts w:ascii="Arial" w:hAnsi="Arial" w:cs="Arial"/>
                <w:i/>
                <w:iCs/>
              </w:rPr>
              <w:t>3 years</w:t>
            </w:r>
          </w:p>
        </w:tc>
        <w:tc>
          <w:tcPr>
            <w:tcW w:w="3006" w:type="dxa"/>
          </w:tcPr>
          <w:p w14:paraId="0D4271D3" w14:textId="3E5A0FDB" w:rsidR="0030657E" w:rsidRPr="00462E61" w:rsidRDefault="0030657E" w:rsidP="006C3D24">
            <w:pPr>
              <w:rPr>
                <w:rFonts w:ascii="Arial" w:hAnsi="Arial" w:cs="Arial"/>
                <w:i/>
                <w:iCs/>
              </w:rPr>
            </w:pPr>
            <w:r>
              <w:rPr>
                <w:rFonts w:ascii="Arial" w:hAnsi="Arial" w:cs="Arial"/>
                <w:i/>
                <w:iCs/>
              </w:rPr>
              <w:t>~8.5 years</w:t>
            </w:r>
          </w:p>
        </w:tc>
      </w:tr>
      <w:tr w:rsidR="00487914" w:rsidRPr="00462E61" w14:paraId="2753332E" w14:textId="77777777" w:rsidTr="00C16186">
        <w:tc>
          <w:tcPr>
            <w:tcW w:w="3005" w:type="dxa"/>
            <w:shd w:val="clear" w:color="auto" w:fill="DEEAF6" w:themeFill="accent5" w:themeFillTint="33"/>
          </w:tcPr>
          <w:p w14:paraId="5328EF95" w14:textId="68EEF79D" w:rsidR="00091B19" w:rsidRPr="00462E61" w:rsidRDefault="00091B19" w:rsidP="006C3D24">
            <w:pPr>
              <w:rPr>
                <w:rFonts w:ascii="Arial" w:hAnsi="Arial" w:cs="Arial"/>
                <w:b/>
                <w:bCs/>
              </w:rPr>
            </w:pPr>
            <w:r w:rsidRPr="00462E61">
              <w:rPr>
                <w:rFonts w:ascii="Arial" w:hAnsi="Arial" w:cs="Arial"/>
                <w:b/>
                <w:bCs/>
              </w:rPr>
              <w:t>Outcomes</w:t>
            </w:r>
          </w:p>
        </w:tc>
        <w:tc>
          <w:tcPr>
            <w:tcW w:w="3005" w:type="dxa"/>
          </w:tcPr>
          <w:p w14:paraId="6D7E6B44" w14:textId="1A1DE917" w:rsidR="00091B19" w:rsidRDefault="00215022" w:rsidP="006C3D24">
            <w:pPr>
              <w:rPr>
                <w:rFonts w:ascii="Arial" w:hAnsi="Arial" w:cs="Arial"/>
              </w:rPr>
            </w:pPr>
            <w:r>
              <w:rPr>
                <w:rFonts w:ascii="Arial" w:hAnsi="Arial" w:cs="Arial"/>
              </w:rPr>
              <w:t>The business case set outcomes as:</w:t>
            </w:r>
          </w:p>
          <w:p w14:paraId="48B700A4" w14:textId="77777777" w:rsidR="00215022" w:rsidRDefault="00215022" w:rsidP="00215022">
            <w:pPr>
              <w:pStyle w:val="ListParagraph"/>
              <w:numPr>
                <w:ilvl w:val="0"/>
                <w:numId w:val="4"/>
              </w:numPr>
              <w:rPr>
                <w:rFonts w:ascii="Arial" w:hAnsi="Arial" w:cs="Arial"/>
              </w:rPr>
            </w:pPr>
            <w:r>
              <w:rPr>
                <w:rFonts w:ascii="Arial" w:hAnsi="Arial" w:cs="Arial"/>
              </w:rPr>
              <w:t xml:space="preserve">Strong climate and development outcomes secured </w:t>
            </w:r>
            <w:r w:rsidR="00E56A20">
              <w:rPr>
                <w:rFonts w:ascii="Arial" w:hAnsi="Arial" w:cs="Arial"/>
              </w:rPr>
              <w:t xml:space="preserve">from </w:t>
            </w:r>
            <w:proofErr w:type="gramStart"/>
            <w:r w:rsidR="00E56A20">
              <w:rPr>
                <w:rFonts w:ascii="Arial" w:hAnsi="Arial" w:cs="Arial"/>
              </w:rPr>
              <w:t>projects;</w:t>
            </w:r>
            <w:proofErr w:type="gramEnd"/>
          </w:p>
          <w:p w14:paraId="60C3A91C" w14:textId="77777777" w:rsidR="00E56A20" w:rsidRDefault="00E56A20" w:rsidP="00215022">
            <w:pPr>
              <w:pStyle w:val="ListParagraph"/>
              <w:numPr>
                <w:ilvl w:val="0"/>
                <w:numId w:val="4"/>
              </w:numPr>
              <w:rPr>
                <w:rFonts w:ascii="Arial" w:hAnsi="Arial" w:cs="Arial"/>
              </w:rPr>
            </w:pPr>
            <w:r>
              <w:rPr>
                <w:rFonts w:ascii="Arial" w:hAnsi="Arial" w:cs="Arial"/>
              </w:rPr>
              <w:t xml:space="preserve">GIB investments have a demonstration effect, signalling the attractiveness of the sector to a wider </w:t>
            </w:r>
            <w:proofErr w:type="gramStart"/>
            <w:r>
              <w:rPr>
                <w:rFonts w:ascii="Arial" w:hAnsi="Arial" w:cs="Arial"/>
              </w:rPr>
              <w:t>market;</w:t>
            </w:r>
            <w:proofErr w:type="gramEnd"/>
          </w:p>
          <w:p w14:paraId="5C24D1F8" w14:textId="77777777" w:rsidR="00E56A20" w:rsidRDefault="00E56A20" w:rsidP="00215022">
            <w:pPr>
              <w:pStyle w:val="ListParagraph"/>
              <w:numPr>
                <w:ilvl w:val="0"/>
                <w:numId w:val="4"/>
              </w:numPr>
              <w:rPr>
                <w:rFonts w:ascii="Arial" w:hAnsi="Arial" w:cs="Arial"/>
              </w:rPr>
            </w:pPr>
            <w:r>
              <w:rPr>
                <w:rFonts w:ascii="Arial" w:hAnsi="Arial" w:cs="Arial"/>
              </w:rPr>
              <w:t xml:space="preserve">GIBI is established as a vehicle that efficiently identifies, assesses and places financially viable climate investments in priority </w:t>
            </w:r>
            <w:proofErr w:type="gramStart"/>
            <w:r>
              <w:rPr>
                <w:rFonts w:ascii="Arial" w:hAnsi="Arial" w:cs="Arial"/>
              </w:rPr>
              <w:t>countries;</w:t>
            </w:r>
            <w:proofErr w:type="gramEnd"/>
          </w:p>
          <w:p w14:paraId="647C1054" w14:textId="03317D81" w:rsidR="00E56A20" w:rsidRPr="00215022" w:rsidRDefault="00E56A20" w:rsidP="00215022">
            <w:pPr>
              <w:pStyle w:val="ListParagraph"/>
              <w:numPr>
                <w:ilvl w:val="0"/>
                <w:numId w:val="4"/>
              </w:numPr>
              <w:rPr>
                <w:rFonts w:ascii="Arial" w:hAnsi="Arial" w:cs="Arial"/>
              </w:rPr>
            </w:pPr>
            <w:r>
              <w:rPr>
                <w:rFonts w:ascii="Arial" w:hAnsi="Arial" w:cs="Arial"/>
              </w:rPr>
              <w:t>GIB’s credibility as world like climate focussed development institution enhanced.</w:t>
            </w:r>
          </w:p>
        </w:tc>
        <w:tc>
          <w:tcPr>
            <w:tcW w:w="3006" w:type="dxa"/>
          </w:tcPr>
          <w:p w14:paraId="5EF3D90D" w14:textId="77777777" w:rsidR="00A301DC" w:rsidRDefault="005158E2" w:rsidP="006C3D24">
            <w:pPr>
              <w:rPr>
                <w:rFonts w:ascii="Arial" w:hAnsi="Arial" w:cs="Arial"/>
              </w:rPr>
            </w:pPr>
            <w:r>
              <w:rPr>
                <w:rFonts w:ascii="Arial" w:hAnsi="Arial" w:cs="Arial"/>
              </w:rPr>
              <w:t xml:space="preserve">The indicator changed to </w:t>
            </w:r>
            <w:r w:rsidR="004214AB">
              <w:rPr>
                <w:rFonts w:ascii="Arial" w:hAnsi="Arial" w:cs="Arial"/>
              </w:rPr>
              <w:t>the following: UKCI demonstrates commercial viability and strengthens RE and EE markets in target geographies, leading to climate change mitigation and wider developmental impacts.</w:t>
            </w:r>
          </w:p>
          <w:p w14:paraId="2E4880B8" w14:textId="77777777" w:rsidR="00A301DC" w:rsidRDefault="00A301DC" w:rsidP="006C3D24">
            <w:pPr>
              <w:rPr>
                <w:rFonts w:ascii="Arial" w:hAnsi="Arial" w:cs="Arial"/>
              </w:rPr>
            </w:pPr>
          </w:p>
          <w:p w14:paraId="13F438E6" w14:textId="77777777" w:rsidR="00A301DC" w:rsidRDefault="00A301DC" w:rsidP="006C3D24">
            <w:pPr>
              <w:rPr>
                <w:rFonts w:ascii="Arial" w:hAnsi="Arial" w:cs="Arial"/>
              </w:rPr>
            </w:pPr>
            <w:r>
              <w:rPr>
                <w:rFonts w:ascii="Arial" w:hAnsi="Arial" w:cs="Arial"/>
              </w:rPr>
              <w:t>The indicator consisted of three sub-indicators:</w:t>
            </w:r>
          </w:p>
          <w:p w14:paraId="3A4931CC" w14:textId="77777777" w:rsidR="00A301DC" w:rsidRDefault="00A301DC" w:rsidP="00A301DC">
            <w:pPr>
              <w:rPr>
                <w:rFonts w:ascii="Arial" w:hAnsi="Arial" w:cs="Arial"/>
              </w:rPr>
            </w:pPr>
          </w:p>
          <w:p w14:paraId="2C5CF8E6" w14:textId="04DFD4EB" w:rsidR="00A301DC" w:rsidRDefault="00A301DC" w:rsidP="00A301DC">
            <w:pPr>
              <w:rPr>
                <w:rFonts w:ascii="Arial" w:hAnsi="Arial" w:cs="Arial"/>
              </w:rPr>
            </w:pPr>
            <w:r w:rsidRPr="00625CE6">
              <w:rPr>
                <w:rFonts w:ascii="Arial" w:hAnsi="Arial" w:cs="Arial"/>
              </w:rPr>
              <w:t>Gross change in GHG emission</w:t>
            </w:r>
            <w:r>
              <w:rPr>
                <w:rFonts w:ascii="Arial" w:hAnsi="Arial" w:cs="Arial"/>
              </w:rPr>
              <w:t xml:space="preserve">s – million tonnes of GHG reduced or avoided by projects supported by UKCI investments (MtCO2e, cumulative) – 42.6-52.1 expected </w:t>
            </w:r>
            <w:proofErr w:type="gramStart"/>
            <w:r>
              <w:rPr>
                <w:rFonts w:ascii="Arial" w:hAnsi="Arial" w:cs="Arial"/>
              </w:rPr>
              <w:t>lifetime</w:t>
            </w:r>
            <w:proofErr w:type="gramEnd"/>
          </w:p>
          <w:p w14:paraId="2F0CAA35" w14:textId="77777777" w:rsidR="00A301DC" w:rsidRDefault="00A301DC" w:rsidP="00A301DC">
            <w:pPr>
              <w:rPr>
                <w:rFonts w:ascii="Arial" w:hAnsi="Arial" w:cs="Arial"/>
              </w:rPr>
            </w:pPr>
          </w:p>
          <w:p w14:paraId="69BBE4C4" w14:textId="79092167" w:rsidR="00A301DC" w:rsidRDefault="00A301DC" w:rsidP="00A301DC">
            <w:pPr>
              <w:rPr>
                <w:rFonts w:ascii="Arial" w:hAnsi="Arial" w:cs="Arial"/>
              </w:rPr>
            </w:pPr>
            <w:r>
              <w:rPr>
                <w:rFonts w:ascii="Arial" w:hAnsi="Arial" w:cs="Arial"/>
              </w:rPr>
              <w:t xml:space="preserve">Gross level of installed capacity of clean energy supported by UKCI investments (MW, cumulative) – 923-1129 expected </w:t>
            </w:r>
            <w:proofErr w:type="gramStart"/>
            <w:r>
              <w:rPr>
                <w:rFonts w:ascii="Arial" w:hAnsi="Arial" w:cs="Arial"/>
              </w:rPr>
              <w:t>lifetime</w:t>
            </w:r>
            <w:proofErr w:type="gramEnd"/>
          </w:p>
          <w:p w14:paraId="06B7298E" w14:textId="77777777" w:rsidR="00A301DC" w:rsidRDefault="00A301DC" w:rsidP="00A301DC">
            <w:pPr>
              <w:rPr>
                <w:rFonts w:ascii="Arial" w:hAnsi="Arial" w:cs="Arial"/>
              </w:rPr>
            </w:pPr>
          </w:p>
          <w:p w14:paraId="4531C039" w14:textId="3BB119F7" w:rsidR="00091B19" w:rsidRPr="00625CE6" w:rsidRDefault="00A301DC" w:rsidP="00A301DC">
            <w:pPr>
              <w:rPr>
                <w:rFonts w:ascii="Arial" w:hAnsi="Arial" w:cs="Arial"/>
              </w:rPr>
            </w:pPr>
            <w:r>
              <w:rPr>
                <w:rFonts w:ascii="Arial" w:hAnsi="Arial" w:cs="Arial"/>
              </w:rPr>
              <w:t>Weighted average (expected) internal rate of return for UKCI investments in local currency (cumulative) – 12% for local currency returns (8% for GBP)</w:t>
            </w:r>
            <w:r w:rsidR="004214AB" w:rsidRPr="00625CE6">
              <w:rPr>
                <w:rFonts w:ascii="Arial" w:hAnsi="Arial" w:cs="Arial"/>
              </w:rPr>
              <w:br/>
            </w:r>
            <w:r w:rsidR="004214AB" w:rsidRPr="00625CE6">
              <w:rPr>
                <w:rFonts w:ascii="Arial" w:hAnsi="Arial" w:cs="Arial"/>
              </w:rPr>
              <w:br/>
              <w:t xml:space="preserve">Outcomes as they relate to GIB became redundant </w:t>
            </w:r>
            <w:r w:rsidR="006967AD" w:rsidRPr="00625CE6">
              <w:rPr>
                <w:rFonts w:ascii="Arial" w:hAnsi="Arial" w:cs="Arial"/>
              </w:rPr>
              <w:t xml:space="preserve">when </w:t>
            </w:r>
            <w:r w:rsidR="004F7A2C" w:rsidRPr="00625CE6">
              <w:rPr>
                <w:rFonts w:ascii="Arial" w:hAnsi="Arial" w:cs="Arial"/>
              </w:rPr>
              <w:t xml:space="preserve">the GIB </w:t>
            </w:r>
            <w:proofErr w:type="gramStart"/>
            <w:r w:rsidR="004F7A2C" w:rsidRPr="00625CE6">
              <w:rPr>
                <w:rFonts w:ascii="Arial" w:hAnsi="Arial" w:cs="Arial"/>
              </w:rPr>
              <w:t>was privatised</w:t>
            </w:r>
            <w:proofErr w:type="gramEnd"/>
            <w:r w:rsidR="004F7A2C" w:rsidRPr="00625CE6">
              <w:rPr>
                <w:rFonts w:ascii="Arial" w:hAnsi="Arial" w:cs="Arial"/>
              </w:rPr>
              <w:t xml:space="preserve"> and acquired by Macquarie. </w:t>
            </w:r>
          </w:p>
          <w:p w14:paraId="6D7DA14E" w14:textId="77777777" w:rsidR="004F7A2C" w:rsidRDefault="004F7A2C" w:rsidP="006C3D24">
            <w:pPr>
              <w:rPr>
                <w:rFonts w:ascii="Arial" w:hAnsi="Arial" w:cs="Arial"/>
              </w:rPr>
            </w:pPr>
          </w:p>
          <w:p w14:paraId="0D1BAAFB" w14:textId="45F5A968" w:rsidR="006B1B46" w:rsidRDefault="006B1B46" w:rsidP="006C3D24">
            <w:pPr>
              <w:rPr>
                <w:rFonts w:ascii="Arial" w:hAnsi="Arial" w:cs="Arial"/>
              </w:rPr>
            </w:pPr>
            <w:r>
              <w:rPr>
                <w:rFonts w:ascii="Arial" w:hAnsi="Arial" w:cs="Arial"/>
              </w:rPr>
              <w:lastRenderedPageBreak/>
              <w:t xml:space="preserve">There is evidence that UKCI projects have demonstrated </w:t>
            </w:r>
            <w:r w:rsidR="00EB768A">
              <w:rPr>
                <w:rFonts w:ascii="Arial" w:hAnsi="Arial" w:cs="Arial"/>
              </w:rPr>
              <w:t>commercial viability and strengthened RE markets (Apollo, Oslo, and Etna2) or show early promise (Dazzle and Kijani (for EE)).</w:t>
            </w:r>
            <w:r w:rsidR="005F23DC">
              <w:rPr>
                <w:rFonts w:ascii="Arial" w:hAnsi="Arial" w:cs="Arial"/>
              </w:rPr>
              <w:t xml:space="preserve"> Lakeside and Bolt have not successfully contributed to the outcome.</w:t>
            </w:r>
          </w:p>
          <w:p w14:paraId="04B24A9A" w14:textId="77777777" w:rsidR="006B1B46" w:rsidRDefault="006B1B46" w:rsidP="006C3D24">
            <w:pPr>
              <w:rPr>
                <w:rFonts w:ascii="Arial" w:hAnsi="Arial" w:cs="Arial"/>
              </w:rPr>
            </w:pPr>
          </w:p>
          <w:p w14:paraId="068B4142" w14:textId="797B27C9" w:rsidR="004F7A2C" w:rsidRPr="005158E2" w:rsidRDefault="006B1B46" w:rsidP="006C3D24">
            <w:pPr>
              <w:rPr>
                <w:rFonts w:ascii="Arial" w:hAnsi="Arial" w:cs="Arial"/>
              </w:rPr>
            </w:pPr>
            <w:r>
              <w:rPr>
                <w:rFonts w:ascii="Arial" w:hAnsi="Arial" w:cs="Arial"/>
              </w:rPr>
              <w:t xml:space="preserve">Climate change mitigation and wider developmental impacts </w:t>
            </w:r>
            <w:proofErr w:type="gramStart"/>
            <w:r>
              <w:rPr>
                <w:rFonts w:ascii="Arial" w:hAnsi="Arial" w:cs="Arial"/>
              </w:rPr>
              <w:t>were achieved</w:t>
            </w:r>
            <w:proofErr w:type="gramEnd"/>
            <w:r>
              <w:rPr>
                <w:rFonts w:ascii="Arial" w:hAnsi="Arial" w:cs="Arial"/>
              </w:rPr>
              <w:t>.</w:t>
            </w:r>
          </w:p>
        </w:tc>
      </w:tr>
    </w:tbl>
    <w:p w14:paraId="76B3C79C" w14:textId="77777777" w:rsidR="00091B19" w:rsidRPr="00462E61" w:rsidRDefault="00091B19" w:rsidP="006C3D24">
      <w:pPr>
        <w:rPr>
          <w:rFonts w:ascii="Arial" w:hAnsi="Arial" w:cs="Arial"/>
        </w:rPr>
      </w:pPr>
    </w:p>
    <w:p w14:paraId="1CD11DB0" w14:textId="22929457" w:rsidR="00C43C3C" w:rsidRPr="00324E48" w:rsidRDefault="00C43C3C" w:rsidP="00C43C3C">
      <w:pPr>
        <w:rPr>
          <w:rFonts w:ascii="Arial" w:hAnsi="Arial" w:cs="Arial"/>
          <w:sz w:val="24"/>
          <w:szCs w:val="24"/>
        </w:rPr>
      </w:pPr>
      <w:bookmarkStart w:id="7" w:name="_Toc162948073"/>
      <w:r w:rsidRPr="00324E48">
        <w:rPr>
          <w:rStyle w:val="Heading2Char"/>
          <w:rFonts w:cs="Arial"/>
          <w:sz w:val="24"/>
          <w:szCs w:val="28"/>
        </w:rPr>
        <w:t>Overall assessment of programme</w:t>
      </w:r>
      <w:r w:rsidR="00F8224F" w:rsidRPr="00324E48">
        <w:rPr>
          <w:rStyle w:val="Heading2Char"/>
          <w:rFonts w:cs="Arial"/>
          <w:sz w:val="24"/>
          <w:szCs w:val="28"/>
        </w:rPr>
        <w:t xml:space="preserve"> impact</w:t>
      </w:r>
      <w:r w:rsidR="00C16186" w:rsidRPr="00324E48">
        <w:rPr>
          <w:rStyle w:val="Heading2Char"/>
          <w:rFonts w:cs="Arial"/>
          <w:sz w:val="24"/>
          <w:szCs w:val="28"/>
        </w:rPr>
        <w:t xml:space="preserve">, </w:t>
      </w:r>
      <w:proofErr w:type="gramStart"/>
      <w:r w:rsidRPr="00324E48">
        <w:rPr>
          <w:rStyle w:val="Heading2Char"/>
          <w:rFonts w:cs="Arial"/>
          <w:sz w:val="24"/>
          <w:szCs w:val="28"/>
        </w:rPr>
        <w:t>outcomes</w:t>
      </w:r>
      <w:proofErr w:type="gramEnd"/>
      <w:r w:rsidR="00F8224F" w:rsidRPr="00324E48">
        <w:rPr>
          <w:rStyle w:val="Heading2Char"/>
          <w:rFonts w:cs="Arial"/>
          <w:sz w:val="24"/>
          <w:szCs w:val="28"/>
        </w:rPr>
        <w:t xml:space="preserve"> and </w:t>
      </w:r>
      <w:r w:rsidRPr="00324E48">
        <w:rPr>
          <w:rStyle w:val="Heading2Char"/>
          <w:rFonts w:cs="Arial"/>
          <w:sz w:val="24"/>
          <w:szCs w:val="28"/>
        </w:rPr>
        <w:t>sustainability</w:t>
      </w:r>
      <w:bookmarkEnd w:id="7"/>
    </w:p>
    <w:p w14:paraId="6BC1325F" w14:textId="0DBBA441" w:rsidR="00515D76" w:rsidRDefault="00515D76" w:rsidP="00C43C3C">
      <w:pPr>
        <w:rPr>
          <w:rFonts w:ascii="Arial" w:hAnsi="Arial" w:cs="Arial"/>
        </w:rPr>
      </w:pPr>
      <w:r>
        <w:rPr>
          <w:rFonts w:ascii="Arial" w:hAnsi="Arial" w:cs="Arial"/>
        </w:rPr>
        <w:t xml:space="preserve">The logframe outcomes and impacts </w:t>
      </w:r>
      <w:proofErr w:type="gramStart"/>
      <w:r>
        <w:rPr>
          <w:rFonts w:ascii="Arial" w:hAnsi="Arial" w:cs="Arial"/>
        </w:rPr>
        <w:t>were achieved</w:t>
      </w:r>
      <w:proofErr w:type="gramEnd"/>
      <w:r>
        <w:rPr>
          <w:rFonts w:ascii="Arial" w:hAnsi="Arial" w:cs="Arial"/>
        </w:rPr>
        <w:t xml:space="preserve"> in 8.5 years against an initial expectation of 3 years for the programme. The budget did not change during the programme. </w:t>
      </w:r>
      <w:r w:rsidR="00E42993">
        <w:rPr>
          <w:rFonts w:ascii="Arial" w:hAnsi="Arial" w:cs="Arial"/>
        </w:rPr>
        <w:t xml:space="preserve">The reasons for this extension </w:t>
      </w:r>
      <w:proofErr w:type="gramStart"/>
      <w:r w:rsidR="00E42993">
        <w:rPr>
          <w:rFonts w:ascii="Arial" w:hAnsi="Arial" w:cs="Arial"/>
        </w:rPr>
        <w:t>are discussed</w:t>
      </w:r>
      <w:proofErr w:type="gramEnd"/>
      <w:r w:rsidR="00E42993">
        <w:rPr>
          <w:rFonts w:ascii="Arial" w:hAnsi="Arial" w:cs="Arial"/>
        </w:rPr>
        <w:t xml:space="preserve"> elsewhere in this document including in section A. </w:t>
      </w:r>
    </w:p>
    <w:p w14:paraId="67E1FEDA" w14:textId="59C7A8F5" w:rsidR="00515D76" w:rsidRDefault="00515D76" w:rsidP="00C43C3C">
      <w:pPr>
        <w:rPr>
          <w:rFonts w:ascii="Arial" w:hAnsi="Arial" w:cs="Arial"/>
        </w:rPr>
      </w:pPr>
      <w:r>
        <w:rPr>
          <w:rFonts w:ascii="Arial" w:hAnsi="Arial" w:cs="Arial"/>
        </w:rPr>
        <w:t xml:space="preserve">Of the subcomponents in the outcome indicator, both gross change in GHG emissions and gross level of clean energy capacity installed outperformed targets (64m tC02e cumulative achieved vs. </w:t>
      </w:r>
      <w:r w:rsidRPr="00515D76">
        <w:rPr>
          <w:rFonts w:ascii="Arial" w:hAnsi="Arial" w:cs="Arial"/>
        </w:rPr>
        <w:t>42.6-52.1</w:t>
      </w:r>
      <w:r>
        <w:rPr>
          <w:rFonts w:ascii="Arial" w:hAnsi="Arial" w:cs="Arial"/>
        </w:rPr>
        <w:t xml:space="preserve"> targeted and 1,403MW cumulative achieved vs. </w:t>
      </w:r>
      <w:r w:rsidRPr="00515D76">
        <w:rPr>
          <w:rFonts w:ascii="Arial" w:hAnsi="Arial" w:cs="Arial"/>
        </w:rPr>
        <w:t xml:space="preserve">923-1129 </w:t>
      </w:r>
      <w:r>
        <w:rPr>
          <w:rFonts w:ascii="Arial" w:hAnsi="Arial" w:cs="Arial"/>
        </w:rPr>
        <w:t>targeted).</w:t>
      </w:r>
      <w:r w:rsidR="009D323C">
        <w:rPr>
          <w:rFonts w:ascii="Arial" w:hAnsi="Arial" w:cs="Arial"/>
        </w:rPr>
        <w:t xml:space="preserve"> The weighted average rate of return </w:t>
      </w:r>
      <w:r w:rsidR="001855DF">
        <w:rPr>
          <w:rFonts w:ascii="Arial" w:hAnsi="Arial" w:cs="Arial"/>
        </w:rPr>
        <w:t xml:space="preserve">at ~11.5% only slightly underperforms the </w:t>
      </w:r>
      <w:r w:rsidR="00EB2BE4">
        <w:rPr>
          <w:rFonts w:ascii="Arial" w:hAnsi="Arial" w:cs="Arial"/>
        </w:rPr>
        <w:t xml:space="preserve">12% </w:t>
      </w:r>
      <w:r w:rsidR="001855DF">
        <w:rPr>
          <w:rFonts w:ascii="Arial" w:hAnsi="Arial" w:cs="Arial"/>
        </w:rPr>
        <w:t>target.</w:t>
      </w:r>
    </w:p>
    <w:p w14:paraId="03C00EC9" w14:textId="34272EC0" w:rsidR="00515D76" w:rsidRDefault="00515D76" w:rsidP="00C43C3C">
      <w:pPr>
        <w:rPr>
          <w:rFonts w:ascii="Arial" w:hAnsi="Arial" w:cs="Arial"/>
        </w:rPr>
      </w:pPr>
      <w:r>
        <w:rPr>
          <w:rFonts w:ascii="Arial" w:hAnsi="Arial" w:cs="Arial"/>
        </w:rPr>
        <w:t xml:space="preserve">There is evidence of </w:t>
      </w:r>
      <w:r w:rsidR="00E42993">
        <w:rPr>
          <w:rFonts w:ascii="Arial" w:hAnsi="Arial" w:cs="Arial"/>
        </w:rPr>
        <w:t xml:space="preserve">demonstration of commercial viability, strengthening of RE markets, and </w:t>
      </w:r>
      <w:r>
        <w:rPr>
          <w:rFonts w:ascii="Arial" w:hAnsi="Arial" w:cs="Arial"/>
        </w:rPr>
        <w:t>replication as described in Section A’s ‘Major Lessons Learned</w:t>
      </w:r>
      <w:proofErr w:type="gramStart"/>
      <w:r>
        <w:rPr>
          <w:rFonts w:ascii="Arial" w:hAnsi="Arial" w:cs="Arial"/>
        </w:rPr>
        <w:t>’.</w:t>
      </w:r>
      <w:proofErr w:type="gramEnd"/>
      <w:r w:rsidR="00E42993">
        <w:rPr>
          <w:rFonts w:ascii="Arial" w:hAnsi="Arial" w:cs="Arial"/>
        </w:rPr>
        <w:t xml:space="preserve"> These findings are for most but not </w:t>
      </w:r>
      <w:proofErr w:type="gramStart"/>
      <w:r w:rsidR="00E42993">
        <w:rPr>
          <w:rFonts w:ascii="Arial" w:hAnsi="Arial" w:cs="Arial"/>
        </w:rPr>
        <w:t>all of</w:t>
      </w:r>
      <w:proofErr w:type="gramEnd"/>
      <w:r w:rsidR="00E42993">
        <w:rPr>
          <w:rFonts w:ascii="Arial" w:hAnsi="Arial" w:cs="Arial"/>
        </w:rPr>
        <w:t xml:space="preserve"> UKCI’s investments. </w:t>
      </w:r>
    </w:p>
    <w:p w14:paraId="27E1BB9B" w14:textId="16D61148" w:rsidR="00E42993" w:rsidRDefault="00E42993" w:rsidP="00C43C3C">
      <w:pPr>
        <w:rPr>
          <w:rFonts w:ascii="Arial" w:hAnsi="Arial" w:cs="Arial"/>
        </w:rPr>
      </w:pPr>
      <w:r>
        <w:rPr>
          <w:rFonts w:ascii="Arial" w:hAnsi="Arial" w:cs="Arial"/>
        </w:rPr>
        <w:t xml:space="preserve">It </w:t>
      </w:r>
      <w:proofErr w:type="gramStart"/>
      <w:r>
        <w:rPr>
          <w:rFonts w:ascii="Arial" w:hAnsi="Arial" w:cs="Arial"/>
        </w:rPr>
        <w:t>is therefore judged</w:t>
      </w:r>
      <w:proofErr w:type="gramEnd"/>
      <w:r>
        <w:rPr>
          <w:rFonts w:ascii="Arial" w:hAnsi="Arial" w:cs="Arial"/>
        </w:rPr>
        <w:t xml:space="preserve"> as reasonable that UKCI has achieved its outcome indicator: “</w:t>
      </w:r>
      <w:r w:rsidRPr="00E42993">
        <w:rPr>
          <w:rFonts w:ascii="Arial" w:hAnsi="Arial" w:cs="Arial"/>
        </w:rPr>
        <w:t>UKCI demonstrates commercial viability and strengthens RE and EE markets in target geographies, leading to climate change mitigation and wider developmental impacts.</w:t>
      </w:r>
      <w:r>
        <w:rPr>
          <w:rFonts w:ascii="Arial" w:hAnsi="Arial" w:cs="Arial"/>
        </w:rPr>
        <w:t>”</w:t>
      </w:r>
    </w:p>
    <w:p w14:paraId="5DD27A85" w14:textId="77777777" w:rsidR="00AA4310" w:rsidRPr="00AA4310" w:rsidRDefault="00E42993" w:rsidP="00AA4310">
      <w:pPr>
        <w:rPr>
          <w:rFonts w:ascii="Arial" w:hAnsi="Arial" w:cs="Arial"/>
        </w:rPr>
      </w:pPr>
      <w:r w:rsidRPr="00AA4310">
        <w:rPr>
          <w:rFonts w:ascii="Arial" w:hAnsi="Arial" w:cs="Arial"/>
        </w:rPr>
        <w:t xml:space="preserve">The </w:t>
      </w:r>
      <w:proofErr w:type="gramStart"/>
      <w:r w:rsidRPr="00AA4310">
        <w:rPr>
          <w:rFonts w:ascii="Arial" w:hAnsi="Arial" w:cs="Arial"/>
        </w:rPr>
        <w:t>final outcome</w:t>
      </w:r>
      <w:proofErr w:type="gramEnd"/>
      <w:r w:rsidRPr="00AA4310">
        <w:rPr>
          <w:rFonts w:ascii="Arial" w:hAnsi="Arial" w:cs="Arial"/>
        </w:rPr>
        <w:t xml:space="preserve"> indicator reflects those elements of the outcomes expected in the business case which remained relevant following GIB’s privation. Those are:</w:t>
      </w:r>
    </w:p>
    <w:p w14:paraId="64C9BE3C" w14:textId="77777777" w:rsidR="00AA4310" w:rsidRDefault="00E42993" w:rsidP="00AA4310">
      <w:pPr>
        <w:pStyle w:val="ListParagraph"/>
        <w:numPr>
          <w:ilvl w:val="0"/>
          <w:numId w:val="9"/>
        </w:numPr>
        <w:rPr>
          <w:rFonts w:ascii="Arial" w:hAnsi="Arial" w:cs="Arial"/>
        </w:rPr>
      </w:pPr>
      <w:r w:rsidRPr="00AA4310">
        <w:rPr>
          <w:rFonts w:ascii="Arial" w:hAnsi="Arial" w:cs="Arial"/>
        </w:rPr>
        <w:t xml:space="preserve">Strong climate and development outcomes secured from </w:t>
      </w:r>
      <w:proofErr w:type="gramStart"/>
      <w:r w:rsidRPr="00AA4310">
        <w:rPr>
          <w:rFonts w:ascii="Arial" w:hAnsi="Arial" w:cs="Arial"/>
        </w:rPr>
        <w:t>projects;</w:t>
      </w:r>
      <w:proofErr w:type="gramEnd"/>
    </w:p>
    <w:p w14:paraId="6939B6BD" w14:textId="364DE151" w:rsidR="00E42993" w:rsidRPr="00AA4310" w:rsidRDefault="00E42993" w:rsidP="00AA4310">
      <w:pPr>
        <w:pStyle w:val="ListParagraph"/>
        <w:numPr>
          <w:ilvl w:val="0"/>
          <w:numId w:val="9"/>
        </w:numPr>
        <w:rPr>
          <w:rFonts w:ascii="Arial" w:hAnsi="Arial" w:cs="Arial"/>
        </w:rPr>
      </w:pPr>
      <w:r w:rsidRPr="00AA4310">
        <w:rPr>
          <w:rFonts w:ascii="Arial" w:hAnsi="Arial" w:cs="Arial"/>
        </w:rPr>
        <w:t xml:space="preserve">GIB investments have a demonstration effect, signalling the attractiveness of the sector to a wider </w:t>
      </w:r>
      <w:proofErr w:type="gramStart"/>
      <w:r w:rsidRPr="00AA4310">
        <w:rPr>
          <w:rFonts w:ascii="Arial" w:hAnsi="Arial" w:cs="Arial"/>
        </w:rPr>
        <w:t>market;</w:t>
      </w:r>
      <w:proofErr w:type="gramEnd"/>
    </w:p>
    <w:p w14:paraId="2DFACE3C" w14:textId="0F51F5EA" w:rsidR="00515D76" w:rsidRDefault="00E42993" w:rsidP="00C43C3C">
      <w:pPr>
        <w:rPr>
          <w:rFonts w:ascii="Arial" w:hAnsi="Arial" w:cs="Arial"/>
        </w:rPr>
      </w:pPr>
      <w:r>
        <w:rPr>
          <w:rFonts w:ascii="Arial" w:hAnsi="Arial" w:cs="Arial"/>
        </w:rPr>
        <w:t>The programme’s impact indicator is “UKCI contributes to replication at scale of innovative low-carbon investment models.” It would be impossible to determine the true extent of UKCI’s contribution to any current or future innovative low-carbon investment models in its target geographies. Nevertheless, as outlines in section A’s ‘Major Lessons Learned’ there is evidence of replication. As a result, we can tentatively assert that UKCI may achieve its intended impact.</w:t>
      </w:r>
    </w:p>
    <w:p w14:paraId="7A9BDD1F" w14:textId="60316D7A" w:rsidR="00E42993" w:rsidRDefault="00E42993" w:rsidP="00C43C3C">
      <w:pPr>
        <w:rPr>
          <w:rFonts w:ascii="Arial" w:hAnsi="Arial" w:cs="Arial"/>
        </w:rPr>
      </w:pPr>
      <w:r>
        <w:rPr>
          <w:rFonts w:ascii="Arial" w:hAnsi="Arial" w:cs="Arial"/>
        </w:rPr>
        <w:t xml:space="preserve">While the outcome indicators were </w:t>
      </w:r>
      <w:proofErr w:type="gramStart"/>
      <w:r>
        <w:rPr>
          <w:rFonts w:ascii="Arial" w:hAnsi="Arial" w:cs="Arial"/>
        </w:rPr>
        <w:t>largely achieved</w:t>
      </w:r>
      <w:proofErr w:type="gramEnd"/>
      <w:r>
        <w:rPr>
          <w:rFonts w:ascii="Arial" w:hAnsi="Arial" w:cs="Arial"/>
        </w:rPr>
        <w:t xml:space="preserve"> – output indicators related to private and public finance mobilised slightly underperformed. Market conditions negatively impacted UKCI’s performance in these areas as outlined in the following sections on outputs. </w:t>
      </w:r>
    </w:p>
    <w:p w14:paraId="72D3597C" w14:textId="78411AAB" w:rsidR="00E42993" w:rsidRPr="00625CE6" w:rsidRDefault="00E42993" w:rsidP="00C43C3C">
      <w:pPr>
        <w:rPr>
          <w:rFonts w:ascii="Arial" w:hAnsi="Arial" w:cs="Arial"/>
        </w:rPr>
      </w:pPr>
      <w:r>
        <w:rPr>
          <w:rFonts w:ascii="Arial" w:hAnsi="Arial" w:cs="Arial"/>
        </w:rPr>
        <w:lastRenderedPageBreak/>
        <w:t xml:space="preserve">Given the trajectory of the programme with results achieved in line with expectations in outer years, it seems reasonable to have seen an uptick in annual review scores from B during the investment period to A following its completion. </w:t>
      </w:r>
    </w:p>
    <w:p w14:paraId="32D3C44D" w14:textId="2CDC517A" w:rsidR="002758B3" w:rsidRPr="00324E48" w:rsidRDefault="002758B3" w:rsidP="00C43C3C">
      <w:pPr>
        <w:rPr>
          <w:rFonts w:ascii="Arial" w:hAnsi="Arial" w:cs="Arial"/>
          <w:sz w:val="24"/>
          <w:szCs w:val="24"/>
        </w:rPr>
      </w:pPr>
      <w:bookmarkStart w:id="8" w:name="_Toc162948074"/>
      <w:r w:rsidRPr="00324E48">
        <w:rPr>
          <w:rStyle w:val="Heading2Char"/>
          <w:rFonts w:cs="Arial"/>
          <w:sz w:val="24"/>
          <w:szCs w:val="28"/>
        </w:rPr>
        <w:t>Summary of the programme’s theory of change and results framework</w:t>
      </w:r>
      <w:bookmarkEnd w:id="8"/>
    </w:p>
    <w:p w14:paraId="01E76057" w14:textId="5EC9ED0B" w:rsidR="00051058" w:rsidRPr="00051058" w:rsidRDefault="00051058" w:rsidP="00051058">
      <w:pPr>
        <w:rPr>
          <w:rFonts w:ascii="Arial" w:hAnsi="Arial" w:cs="Arial"/>
        </w:rPr>
      </w:pPr>
      <w:r w:rsidRPr="00051058">
        <w:rPr>
          <w:rFonts w:ascii="Arial" w:hAnsi="Arial" w:cs="Arial"/>
        </w:rPr>
        <w:t xml:space="preserve">UKCI </w:t>
      </w:r>
      <w:proofErr w:type="gramStart"/>
      <w:r w:rsidRPr="00051058">
        <w:rPr>
          <w:rFonts w:ascii="Arial" w:hAnsi="Arial" w:cs="Arial"/>
        </w:rPr>
        <w:t>is expected</w:t>
      </w:r>
      <w:proofErr w:type="gramEnd"/>
      <w:r w:rsidRPr="00051058">
        <w:rPr>
          <w:rFonts w:ascii="Arial" w:hAnsi="Arial" w:cs="Arial"/>
        </w:rPr>
        <w:t xml:space="preserve"> to demonstrate commercial viability and strengthen renewable energy and energy efficiency markets in target geographies, leading to climate change mitigation and wider development impacts. </w:t>
      </w:r>
      <w:r w:rsidRPr="00546DA2">
        <w:rPr>
          <w:rFonts w:ascii="Arial" w:hAnsi="Arial" w:cs="Arial"/>
        </w:rPr>
        <w:t xml:space="preserve">Overall, the evidence from </w:t>
      </w:r>
      <w:r w:rsidR="00546DA2" w:rsidRPr="00546DA2">
        <w:rPr>
          <w:rFonts w:ascii="Arial" w:hAnsi="Arial" w:cs="Arial"/>
        </w:rPr>
        <w:t>UKCI</w:t>
      </w:r>
      <w:r w:rsidRPr="00546DA2">
        <w:rPr>
          <w:rFonts w:ascii="Arial" w:hAnsi="Arial" w:cs="Arial"/>
        </w:rPr>
        <w:t xml:space="preserve"> provides growing support for the steps included in the Theory of Change (ToC) leading to the stated outcomes and impacts.</w:t>
      </w:r>
      <w:r w:rsidRPr="00051058">
        <w:rPr>
          <w:rFonts w:ascii="Arial" w:hAnsi="Arial" w:cs="Arial"/>
        </w:rPr>
        <w:t xml:space="preserve"> </w:t>
      </w:r>
      <w:r w:rsidRPr="00491675">
        <w:rPr>
          <w:rFonts w:ascii="Arial" w:hAnsi="Arial" w:cs="Arial"/>
        </w:rPr>
        <w:t>However</w:t>
      </w:r>
      <w:r w:rsidR="003646E9" w:rsidRPr="00491675">
        <w:rPr>
          <w:rFonts w:ascii="Arial" w:hAnsi="Arial" w:cs="Arial"/>
        </w:rPr>
        <w:t xml:space="preserve"> </w:t>
      </w:r>
      <w:r w:rsidRPr="00491675">
        <w:rPr>
          <w:rFonts w:ascii="Arial" w:hAnsi="Arial" w:cs="Arial"/>
        </w:rPr>
        <w:t>additional flexibility in the programme design may have allowed UCKI to achieve a greater impact</w:t>
      </w:r>
      <w:r w:rsidR="003646E9" w:rsidRPr="00491675">
        <w:rPr>
          <w:rFonts w:ascii="Arial" w:hAnsi="Arial" w:cs="Arial"/>
        </w:rPr>
        <w:t xml:space="preserve">. In practice the original business case provided a narrow and highly defined scope for how and where the programme could </w:t>
      </w:r>
      <w:r w:rsidR="00491675" w:rsidRPr="00491675">
        <w:rPr>
          <w:rFonts w:ascii="Arial" w:hAnsi="Arial" w:cs="Arial"/>
        </w:rPr>
        <w:t xml:space="preserve">invest, which </w:t>
      </w:r>
      <w:proofErr w:type="gramStart"/>
      <w:r w:rsidR="00491675" w:rsidRPr="00491675">
        <w:rPr>
          <w:rFonts w:ascii="Arial" w:hAnsi="Arial" w:cs="Arial"/>
        </w:rPr>
        <w:t>was rapidly superseded</w:t>
      </w:r>
      <w:proofErr w:type="gramEnd"/>
      <w:r w:rsidR="00491675" w:rsidRPr="00491675">
        <w:rPr>
          <w:rFonts w:ascii="Arial" w:hAnsi="Arial" w:cs="Arial"/>
        </w:rPr>
        <w:t xml:space="preserve"> by events in desired markets and proved unworkable. This</w:t>
      </w:r>
      <w:r w:rsidRPr="00491675">
        <w:rPr>
          <w:rFonts w:ascii="Arial" w:hAnsi="Arial" w:cs="Arial"/>
        </w:rPr>
        <w:t xml:space="preserve"> suggest</w:t>
      </w:r>
      <w:r w:rsidR="00491675" w:rsidRPr="00491675">
        <w:rPr>
          <w:rFonts w:ascii="Arial" w:hAnsi="Arial" w:cs="Arial"/>
        </w:rPr>
        <w:t>s</w:t>
      </w:r>
      <w:r w:rsidRPr="00491675">
        <w:rPr>
          <w:rFonts w:ascii="Arial" w:hAnsi="Arial" w:cs="Arial"/>
        </w:rPr>
        <w:t xml:space="preserve"> a more fluid ToC may be useful for future programming</w:t>
      </w:r>
      <w:r w:rsidR="00491675" w:rsidRPr="00491675">
        <w:rPr>
          <w:rFonts w:ascii="Arial" w:hAnsi="Arial" w:cs="Arial"/>
        </w:rPr>
        <w:t xml:space="preserve"> which needs to be responsive to market dynamics.</w:t>
      </w:r>
    </w:p>
    <w:p w14:paraId="47A2602F" w14:textId="7271C9B7" w:rsidR="00193EB7" w:rsidRDefault="00051058" w:rsidP="00051058">
      <w:pPr>
        <w:rPr>
          <w:rFonts w:ascii="Arial" w:hAnsi="Arial" w:cs="Arial"/>
        </w:rPr>
      </w:pPr>
      <w:r w:rsidRPr="00051058">
        <w:rPr>
          <w:rFonts w:ascii="Arial" w:hAnsi="Arial" w:cs="Arial"/>
        </w:rPr>
        <w:t xml:space="preserve">UKCI’s ToC underwent a review conducted by IPSOS Mori in April 2019 to validate or update the mechanisms expected to lead to delivery of the programme's desired impact. The ToC was </w:t>
      </w:r>
      <w:proofErr w:type="gramStart"/>
      <w:r w:rsidRPr="00051058">
        <w:rPr>
          <w:rFonts w:ascii="Arial" w:hAnsi="Arial" w:cs="Arial"/>
        </w:rPr>
        <w:t>largely validated</w:t>
      </w:r>
      <w:proofErr w:type="gramEnd"/>
      <w:r w:rsidRPr="00051058">
        <w:rPr>
          <w:rFonts w:ascii="Arial" w:hAnsi="Arial" w:cs="Arial"/>
        </w:rPr>
        <w:t xml:space="preserve">, and most changes resulted in simplification. No new causal mechanisms expected to achieve transformational change </w:t>
      </w:r>
      <w:proofErr w:type="gramStart"/>
      <w:r w:rsidRPr="00051058">
        <w:rPr>
          <w:rFonts w:ascii="Arial" w:hAnsi="Arial" w:cs="Arial"/>
        </w:rPr>
        <w:t>were considered</w:t>
      </w:r>
      <w:proofErr w:type="gramEnd"/>
      <w:r w:rsidRPr="00051058">
        <w:rPr>
          <w:rFonts w:ascii="Arial" w:hAnsi="Arial" w:cs="Arial"/>
        </w:rPr>
        <w:t xml:space="preserve"> necessary to introduce. UKCI logframe outcome indicators either directly monitor examples of replication or have a clear rationale for contributing to replication and transformational effects through their achievement. There have been no changes to UKCI’s theory of change since those reported in the previous review.</w:t>
      </w:r>
    </w:p>
    <w:p w14:paraId="43FC98A8" w14:textId="77777777" w:rsidR="007E63FE" w:rsidRDefault="007E63FE">
      <w:pPr>
        <w:rPr>
          <w:i/>
          <w:iCs/>
          <w:color w:val="44546A" w:themeColor="text2"/>
          <w:sz w:val="18"/>
          <w:szCs w:val="18"/>
        </w:rPr>
      </w:pPr>
      <w:r>
        <w:br w:type="page"/>
      </w:r>
    </w:p>
    <w:p w14:paraId="53CCFF94" w14:textId="6CC7B1CB" w:rsidR="009A0B5D" w:rsidRDefault="009A0B5D" w:rsidP="009A0B5D">
      <w:pPr>
        <w:pStyle w:val="Caption"/>
      </w:pPr>
      <w:r>
        <w:lastRenderedPageBreak/>
        <w:t xml:space="preserve">Figure </w:t>
      </w:r>
      <w:r w:rsidR="00C36FD7">
        <w:fldChar w:fldCharType="begin"/>
      </w:r>
      <w:r w:rsidR="00C36FD7">
        <w:instrText xml:space="preserve"> SEQ Figure \* ARABIC </w:instrText>
      </w:r>
      <w:r w:rsidR="00C36FD7">
        <w:fldChar w:fldCharType="separate"/>
      </w:r>
      <w:r>
        <w:rPr>
          <w:noProof/>
        </w:rPr>
        <w:t>1</w:t>
      </w:r>
      <w:r w:rsidR="00C36FD7">
        <w:rPr>
          <w:noProof/>
        </w:rPr>
        <w:fldChar w:fldCharType="end"/>
      </w:r>
      <w:r>
        <w:t>: UKCI Theory of Change</w:t>
      </w:r>
    </w:p>
    <w:p w14:paraId="24B055E8" w14:textId="55329F2E" w:rsidR="00193EB7" w:rsidRDefault="001649C3" w:rsidP="009A0B5D">
      <w:pPr>
        <w:pStyle w:val="Caption"/>
        <w:rPr>
          <w:rFonts w:ascii="Arial" w:hAnsi="Arial" w:cs="Arial"/>
        </w:rPr>
      </w:pPr>
      <w:r>
        <w:rPr>
          <w:noProof/>
        </w:rPr>
        <w:drawing>
          <wp:inline distT="0" distB="0" distL="0" distR="0" wp14:anchorId="12119B8E" wp14:editId="18BEF039">
            <wp:extent cx="5210175" cy="6907874"/>
            <wp:effectExtent l="0" t="0" r="0" b="7620"/>
            <wp:docPr id="2068725516" name="Picture 1" descr="A diagram of a company's company's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725516" name="Picture 1" descr="A diagram of a company's company's company&#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217480" cy="6917559"/>
                    </a:xfrm>
                    <a:prstGeom prst="rect">
                      <a:avLst/>
                    </a:prstGeom>
                  </pic:spPr>
                </pic:pic>
              </a:graphicData>
            </a:graphic>
          </wp:inline>
        </w:drawing>
      </w:r>
      <w:r w:rsidR="009A0B5D">
        <w:br/>
      </w:r>
    </w:p>
    <w:p w14:paraId="05FE23A7" w14:textId="5336C21F" w:rsidR="00E80E17" w:rsidRDefault="00E66F52" w:rsidP="008D1F81">
      <w:pPr>
        <w:rPr>
          <w:rFonts w:ascii="Arial" w:hAnsi="Arial" w:cs="Arial"/>
        </w:rPr>
      </w:pPr>
      <w:r>
        <w:rPr>
          <w:rFonts w:ascii="Arial" w:hAnsi="Arial" w:cs="Arial"/>
        </w:rPr>
        <w:t xml:space="preserve">The results framework is underpinned by the logical framework </w:t>
      </w:r>
      <w:r w:rsidR="00E72D9F">
        <w:rPr>
          <w:rFonts w:ascii="Arial" w:hAnsi="Arial" w:cs="Arial"/>
        </w:rPr>
        <w:t xml:space="preserve">for UKCI and its metrics at the output, </w:t>
      </w:r>
      <w:proofErr w:type="gramStart"/>
      <w:r w:rsidR="00E72D9F">
        <w:rPr>
          <w:rFonts w:ascii="Arial" w:hAnsi="Arial" w:cs="Arial"/>
        </w:rPr>
        <w:t>outcome</w:t>
      </w:r>
      <w:proofErr w:type="gramEnd"/>
      <w:r w:rsidR="00E72D9F">
        <w:rPr>
          <w:rFonts w:ascii="Arial" w:hAnsi="Arial" w:cs="Arial"/>
        </w:rPr>
        <w:t xml:space="preserve"> and impact levels. At each level in turn these metrics are:</w:t>
      </w:r>
    </w:p>
    <w:p w14:paraId="2BEAB123" w14:textId="48596AB5" w:rsidR="00E80E17" w:rsidRDefault="00E80E17" w:rsidP="00E80E17">
      <w:pPr>
        <w:pStyle w:val="ListParagraph"/>
        <w:numPr>
          <w:ilvl w:val="0"/>
          <w:numId w:val="4"/>
        </w:numPr>
        <w:rPr>
          <w:rFonts w:ascii="Arial" w:hAnsi="Arial" w:cs="Arial"/>
        </w:rPr>
      </w:pPr>
      <w:r>
        <w:rPr>
          <w:rFonts w:ascii="Arial" w:hAnsi="Arial" w:cs="Arial"/>
        </w:rPr>
        <w:t>Output 1 – New finance Directly Mobili</w:t>
      </w:r>
      <w:r w:rsidR="00B420CC">
        <w:rPr>
          <w:rFonts w:ascii="Arial" w:hAnsi="Arial" w:cs="Arial"/>
        </w:rPr>
        <w:t>s</w:t>
      </w:r>
      <w:r>
        <w:rPr>
          <w:rFonts w:ascii="Arial" w:hAnsi="Arial" w:cs="Arial"/>
        </w:rPr>
        <w:t>e</w:t>
      </w:r>
      <w:r w:rsidR="00CA350A">
        <w:rPr>
          <w:rFonts w:ascii="Arial" w:hAnsi="Arial" w:cs="Arial"/>
        </w:rPr>
        <w:t>d</w:t>
      </w:r>
      <w:r>
        <w:rPr>
          <w:rFonts w:ascii="Arial" w:hAnsi="Arial" w:cs="Arial"/>
        </w:rPr>
        <w:t xml:space="preserve"> into clean energy </w:t>
      </w:r>
      <w:proofErr w:type="gramStart"/>
      <w:r>
        <w:rPr>
          <w:rFonts w:ascii="Arial" w:hAnsi="Arial" w:cs="Arial"/>
        </w:rPr>
        <w:t>projects</w:t>
      </w:r>
      <w:proofErr w:type="gramEnd"/>
    </w:p>
    <w:p w14:paraId="147759EF" w14:textId="6FC7E503" w:rsidR="00E80E17" w:rsidRDefault="00E80E17" w:rsidP="00E80E17">
      <w:pPr>
        <w:pStyle w:val="ListParagraph"/>
        <w:numPr>
          <w:ilvl w:val="1"/>
          <w:numId w:val="4"/>
        </w:numPr>
        <w:rPr>
          <w:rFonts w:ascii="Arial" w:hAnsi="Arial" w:cs="Arial"/>
        </w:rPr>
      </w:pPr>
      <w:r>
        <w:rPr>
          <w:rFonts w:ascii="Arial" w:hAnsi="Arial" w:cs="Arial"/>
        </w:rPr>
        <w:t>Gross volume of private finance committed to UKCI investments by other financiers (£m, cumulative)</w:t>
      </w:r>
    </w:p>
    <w:p w14:paraId="3277E01B" w14:textId="0C50BE7F" w:rsidR="00E80E17" w:rsidRDefault="00E80E17" w:rsidP="00E80E17">
      <w:pPr>
        <w:pStyle w:val="ListParagraph"/>
        <w:numPr>
          <w:ilvl w:val="1"/>
          <w:numId w:val="4"/>
        </w:numPr>
        <w:rPr>
          <w:rFonts w:ascii="Arial" w:hAnsi="Arial" w:cs="Arial"/>
        </w:rPr>
      </w:pPr>
      <w:r>
        <w:rPr>
          <w:rFonts w:ascii="Arial" w:hAnsi="Arial" w:cs="Arial"/>
        </w:rPr>
        <w:t>Gross volume of public finance committed to UKCI investments by other financiers (£m, cumulative)</w:t>
      </w:r>
    </w:p>
    <w:p w14:paraId="21BA3B71" w14:textId="6A61E2A8" w:rsidR="00E80E17" w:rsidRDefault="00735317" w:rsidP="00735317">
      <w:pPr>
        <w:pStyle w:val="ListParagraph"/>
        <w:numPr>
          <w:ilvl w:val="0"/>
          <w:numId w:val="4"/>
        </w:numPr>
        <w:rPr>
          <w:rFonts w:ascii="Arial" w:hAnsi="Arial" w:cs="Arial"/>
        </w:rPr>
      </w:pPr>
      <w:r>
        <w:rPr>
          <w:rFonts w:ascii="Arial" w:hAnsi="Arial" w:cs="Arial"/>
        </w:rPr>
        <w:lastRenderedPageBreak/>
        <w:t xml:space="preserve">Output 2 – Innovative Renewable Energy and Energy Efficiency measures are installed in priority </w:t>
      </w:r>
      <w:proofErr w:type="gramStart"/>
      <w:r>
        <w:rPr>
          <w:rFonts w:ascii="Arial" w:hAnsi="Arial" w:cs="Arial"/>
        </w:rPr>
        <w:t>markets</w:t>
      </w:r>
      <w:proofErr w:type="gramEnd"/>
    </w:p>
    <w:p w14:paraId="0870FBD7" w14:textId="2E12B85F" w:rsidR="00735317" w:rsidRDefault="00735317" w:rsidP="00735317">
      <w:pPr>
        <w:pStyle w:val="ListParagraph"/>
        <w:numPr>
          <w:ilvl w:val="1"/>
          <w:numId w:val="4"/>
        </w:numPr>
        <w:rPr>
          <w:rFonts w:ascii="Arial" w:hAnsi="Arial" w:cs="Arial"/>
        </w:rPr>
      </w:pPr>
      <w:r>
        <w:rPr>
          <w:rFonts w:ascii="Arial" w:hAnsi="Arial" w:cs="Arial"/>
        </w:rPr>
        <w:t>Number of innovative low-carbon energy projects in India and South Africa (cumulative)</w:t>
      </w:r>
    </w:p>
    <w:p w14:paraId="3DF3D90F" w14:textId="7049D338" w:rsidR="00735317" w:rsidRDefault="00735317" w:rsidP="00735317">
      <w:pPr>
        <w:pStyle w:val="ListParagraph"/>
        <w:numPr>
          <w:ilvl w:val="1"/>
          <w:numId w:val="4"/>
        </w:numPr>
        <w:rPr>
          <w:rFonts w:ascii="Arial" w:hAnsi="Arial" w:cs="Arial"/>
        </w:rPr>
      </w:pPr>
      <w:r>
        <w:rPr>
          <w:rFonts w:ascii="Arial" w:hAnsi="Arial" w:cs="Arial"/>
        </w:rPr>
        <w:t>Number of innovative low-carbon energy projects outside of India and South Africa (cumulative)</w:t>
      </w:r>
    </w:p>
    <w:p w14:paraId="32AE5760" w14:textId="374DD09F" w:rsidR="00735317" w:rsidRDefault="00A478A2" w:rsidP="00735317">
      <w:pPr>
        <w:pStyle w:val="ListParagraph"/>
        <w:numPr>
          <w:ilvl w:val="1"/>
          <w:numId w:val="4"/>
        </w:numPr>
        <w:rPr>
          <w:rFonts w:ascii="Arial" w:hAnsi="Arial" w:cs="Arial"/>
        </w:rPr>
      </w:pPr>
      <w:r>
        <w:rPr>
          <w:rFonts w:ascii="Arial" w:hAnsi="Arial" w:cs="Arial"/>
        </w:rPr>
        <w:t>Total level of clean energy capacity UKCI investments are committed to install (MW, cumulative)</w:t>
      </w:r>
    </w:p>
    <w:p w14:paraId="765D1F2B" w14:textId="283C0CFC" w:rsidR="00A478A2" w:rsidRDefault="00A478A2" w:rsidP="00735317">
      <w:pPr>
        <w:pStyle w:val="ListParagraph"/>
        <w:numPr>
          <w:ilvl w:val="1"/>
          <w:numId w:val="4"/>
        </w:numPr>
        <w:rPr>
          <w:rFonts w:ascii="Arial" w:hAnsi="Arial" w:cs="Arial"/>
        </w:rPr>
      </w:pPr>
      <w:r>
        <w:rPr>
          <w:rFonts w:ascii="Arial" w:hAnsi="Arial" w:cs="Arial"/>
        </w:rPr>
        <w:t xml:space="preserve">Total lifetime GHG emissions expected to </w:t>
      </w:r>
      <w:proofErr w:type="gramStart"/>
      <w:r>
        <w:rPr>
          <w:rFonts w:ascii="Arial" w:hAnsi="Arial" w:cs="Arial"/>
        </w:rPr>
        <w:t>be reduced</w:t>
      </w:r>
      <w:proofErr w:type="gramEnd"/>
      <w:r>
        <w:rPr>
          <w:rFonts w:ascii="Arial" w:hAnsi="Arial" w:cs="Arial"/>
        </w:rPr>
        <w:t xml:space="preserve"> or avoided directly by UKCI’s committed investments (Million tCO2e, cumulative)</w:t>
      </w:r>
    </w:p>
    <w:p w14:paraId="5F5B21CF" w14:textId="7D6E944D" w:rsidR="00A478A2" w:rsidRDefault="00A478A2" w:rsidP="00A478A2">
      <w:pPr>
        <w:pStyle w:val="ListParagraph"/>
        <w:numPr>
          <w:ilvl w:val="0"/>
          <w:numId w:val="4"/>
        </w:numPr>
        <w:rPr>
          <w:rFonts w:ascii="Arial" w:hAnsi="Arial" w:cs="Arial"/>
        </w:rPr>
      </w:pPr>
      <w:r>
        <w:rPr>
          <w:rFonts w:ascii="Arial" w:hAnsi="Arial" w:cs="Arial"/>
        </w:rPr>
        <w:t>Outcome</w:t>
      </w:r>
      <w:r w:rsidR="006F4953">
        <w:rPr>
          <w:rFonts w:ascii="Arial" w:hAnsi="Arial" w:cs="Arial"/>
        </w:rPr>
        <w:t xml:space="preserve"> – </w:t>
      </w:r>
      <w:r w:rsidR="00B660D2" w:rsidRPr="00B660D2">
        <w:rPr>
          <w:rFonts w:ascii="Arial" w:hAnsi="Arial" w:cs="Arial"/>
        </w:rPr>
        <w:t>UKCI demonstrates commercial viability and strengthens RE and EE markets in target geographies, leading to climate change mitigation and wider developmental impacts.</w:t>
      </w:r>
    </w:p>
    <w:p w14:paraId="55877E4E" w14:textId="6CEA2A30" w:rsidR="006F4953" w:rsidRDefault="00B660D2" w:rsidP="006F4953">
      <w:pPr>
        <w:pStyle w:val="ListParagraph"/>
        <w:numPr>
          <w:ilvl w:val="1"/>
          <w:numId w:val="4"/>
        </w:numPr>
        <w:rPr>
          <w:rFonts w:ascii="Arial" w:hAnsi="Arial" w:cs="Arial"/>
        </w:rPr>
      </w:pPr>
      <w:r w:rsidRPr="00B660D2">
        <w:rPr>
          <w:rFonts w:ascii="Arial" w:hAnsi="Arial" w:cs="Arial"/>
        </w:rPr>
        <w:t xml:space="preserve">Gross Change in Greenhouse Gas Emissions – million tonnes of GHG reduced or avoided by projects built by UKCI investments (MtCO2e, cumulative). </w:t>
      </w:r>
    </w:p>
    <w:p w14:paraId="2B02F34F" w14:textId="4819E9E9" w:rsidR="00B660D2" w:rsidRDefault="00764E9E" w:rsidP="006F4953">
      <w:pPr>
        <w:pStyle w:val="ListParagraph"/>
        <w:numPr>
          <w:ilvl w:val="1"/>
          <w:numId w:val="4"/>
        </w:numPr>
        <w:rPr>
          <w:rFonts w:ascii="Arial" w:hAnsi="Arial" w:cs="Arial"/>
        </w:rPr>
      </w:pPr>
      <w:r w:rsidRPr="00764E9E">
        <w:rPr>
          <w:rFonts w:ascii="Arial" w:hAnsi="Arial" w:cs="Arial"/>
        </w:rPr>
        <w:t>Gross level of installed capacity of clean energy from UKCI investments (MW, cumulative).</w:t>
      </w:r>
    </w:p>
    <w:p w14:paraId="294D106F" w14:textId="3A8F7B70" w:rsidR="00764E9E" w:rsidRDefault="00764E9E" w:rsidP="006F4953">
      <w:pPr>
        <w:pStyle w:val="ListParagraph"/>
        <w:numPr>
          <w:ilvl w:val="1"/>
          <w:numId w:val="4"/>
        </w:numPr>
        <w:rPr>
          <w:rFonts w:ascii="Arial" w:hAnsi="Arial" w:cs="Arial"/>
        </w:rPr>
      </w:pPr>
      <w:r w:rsidRPr="00764E9E">
        <w:rPr>
          <w:rFonts w:ascii="Arial" w:hAnsi="Arial" w:cs="Arial"/>
        </w:rPr>
        <w:t>Weighted average (expected) internal rate of return for UKCI investments in GBP (cumulative).</w:t>
      </w:r>
    </w:p>
    <w:p w14:paraId="073107B0" w14:textId="0DC7F2C5" w:rsidR="00764E9E" w:rsidRDefault="00764E9E" w:rsidP="00764E9E">
      <w:pPr>
        <w:pStyle w:val="ListParagraph"/>
        <w:numPr>
          <w:ilvl w:val="0"/>
          <w:numId w:val="4"/>
        </w:numPr>
        <w:rPr>
          <w:rFonts w:ascii="Arial" w:hAnsi="Arial" w:cs="Arial"/>
        </w:rPr>
      </w:pPr>
      <w:r>
        <w:rPr>
          <w:rFonts w:ascii="Arial" w:hAnsi="Arial" w:cs="Arial"/>
        </w:rPr>
        <w:t xml:space="preserve">Impact </w:t>
      </w:r>
      <w:r w:rsidR="00B004CA">
        <w:rPr>
          <w:rFonts w:ascii="Arial" w:hAnsi="Arial" w:cs="Arial"/>
        </w:rPr>
        <w:t>–</w:t>
      </w:r>
      <w:r>
        <w:rPr>
          <w:rFonts w:ascii="Arial" w:hAnsi="Arial" w:cs="Arial"/>
        </w:rPr>
        <w:t xml:space="preserve"> </w:t>
      </w:r>
      <w:r w:rsidR="00B004CA">
        <w:rPr>
          <w:rFonts w:ascii="Arial" w:hAnsi="Arial" w:cs="Arial"/>
        </w:rPr>
        <w:t>UKCI contributes to replication at scale of innovative low-carbon investment models.</w:t>
      </w:r>
    </w:p>
    <w:p w14:paraId="3B1AB353" w14:textId="6A71E754" w:rsidR="00B004CA" w:rsidRDefault="00B004CA" w:rsidP="00B004CA">
      <w:pPr>
        <w:pStyle w:val="ListParagraph"/>
        <w:numPr>
          <w:ilvl w:val="1"/>
          <w:numId w:val="4"/>
        </w:numPr>
        <w:rPr>
          <w:rFonts w:ascii="Arial" w:hAnsi="Arial" w:cs="Arial"/>
        </w:rPr>
      </w:pPr>
      <w:r w:rsidRPr="00B004CA">
        <w:rPr>
          <w:rFonts w:ascii="Arial" w:hAnsi="Arial" w:cs="Arial"/>
        </w:rPr>
        <w:t>Extent to which UKCI contributes to replication at scale of innovative low-carbon investment models</w:t>
      </w:r>
      <w:r>
        <w:rPr>
          <w:rFonts w:ascii="Arial" w:hAnsi="Arial" w:cs="Arial"/>
        </w:rPr>
        <w:t>.</w:t>
      </w:r>
    </w:p>
    <w:p w14:paraId="2D2FF448" w14:textId="08CF7DFB" w:rsidR="00E54650" w:rsidRDefault="00E54650" w:rsidP="00E54650">
      <w:pPr>
        <w:rPr>
          <w:rFonts w:ascii="Arial" w:hAnsi="Arial" w:cs="Arial"/>
        </w:rPr>
      </w:pPr>
      <w:r>
        <w:rPr>
          <w:rFonts w:ascii="Arial" w:hAnsi="Arial" w:cs="Arial"/>
        </w:rPr>
        <w:t xml:space="preserve">During the life of the programme, the decision to invest in YieldCos made effective measurement of the </w:t>
      </w:r>
      <w:r w:rsidR="00E331C9">
        <w:rPr>
          <w:rFonts w:ascii="Arial" w:hAnsi="Arial" w:cs="Arial"/>
        </w:rPr>
        <w:t xml:space="preserve">benefits attributable to UKCI more complex. This is because UKCI </w:t>
      </w:r>
      <w:proofErr w:type="gramStart"/>
      <w:r w:rsidR="00E331C9">
        <w:rPr>
          <w:rFonts w:ascii="Arial" w:hAnsi="Arial" w:cs="Arial"/>
        </w:rPr>
        <w:t>was originally expected</w:t>
      </w:r>
      <w:proofErr w:type="gramEnd"/>
      <w:r w:rsidR="00E331C9">
        <w:rPr>
          <w:rFonts w:ascii="Arial" w:hAnsi="Arial" w:cs="Arial"/>
        </w:rPr>
        <w:t xml:space="preserve"> to invest primarily in </w:t>
      </w:r>
      <w:r w:rsidR="00B52E1D">
        <w:rPr>
          <w:rFonts w:ascii="Arial" w:hAnsi="Arial" w:cs="Arial"/>
        </w:rPr>
        <w:t xml:space="preserve">companies </w:t>
      </w:r>
      <w:r w:rsidR="00BA4810">
        <w:rPr>
          <w:rFonts w:ascii="Arial" w:hAnsi="Arial" w:cs="Arial"/>
        </w:rPr>
        <w:t>creating new</w:t>
      </w:r>
      <w:r w:rsidR="00B52E1D">
        <w:rPr>
          <w:rFonts w:ascii="Arial" w:hAnsi="Arial" w:cs="Arial"/>
        </w:rPr>
        <w:t xml:space="preserve"> productive assets or improving energy efficiency. YieldCos are companies formed to own </w:t>
      </w:r>
      <w:r w:rsidR="00BA4810">
        <w:rPr>
          <w:rFonts w:ascii="Arial" w:hAnsi="Arial" w:cs="Arial"/>
        </w:rPr>
        <w:t>already operating assets. They are beneficial to the development of renewable energy production as they allow</w:t>
      </w:r>
      <w:r w:rsidR="00E357EC">
        <w:rPr>
          <w:rFonts w:ascii="Arial" w:hAnsi="Arial" w:cs="Arial"/>
        </w:rPr>
        <w:t xml:space="preserve"> developers to off-load operational assets and thus free up capital to invest in further productive assets. </w:t>
      </w:r>
      <w:r w:rsidR="00E41A82">
        <w:rPr>
          <w:rFonts w:ascii="Arial" w:hAnsi="Arial" w:cs="Arial"/>
        </w:rPr>
        <w:t xml:space="preserve">Performance indicators had to be updated to </w:t>
      </w:r>
      <w:proofErr w:type="gramStart"/>
      <w:r w:rsidR="00E41A82">
        <w:rPr>
          <w:rFonts w:ascii="Arial" w:hAnsi="Arial" w:cs="Arial"/>
        </w:rPr>
        <w:t>take into account</w:t>
      </w:r>
      <w:proofErr w:type="gramEnd"/>
      <w:r w:rsidR="00E41A82">
        <w:rPr>
          <w:rFonts w:ascii="Arial" w:hAnsi="Arial" w:cs="Arial"/>
        </w:rPr>
        <w:t xml:space="preserve"> UKCI’s investments in YieldCos </w:t>
      </w:r>
      <w:r w:rsidR="009A4625">
        <w:rPr>
          <w:rFonts w:ascii="Arial" w:hAnsi="Arial" w:cs="Arial"/>
        </w:rPr>
        <w:t>and to reflect the positive contributions that these new structures could bring to target geographies.</w:t>
      </w:r>
    </w:p>
    <w:p w14:paraId="54877726" w14:textId="77777777" w:rsidR="009A4625" w:rsidRPr="00E54650" w:rsidRDefault="009A4625" w:rsidP="00E54650">
      <w:pPr>
        <w:rPr>
          <w:rFonts w:ascii="Arial" w:hAnsi="Arial" w:cs="Arial"/>
        </w:rPr>
      </w:pPr>
    </w:p>
    <w:tbl>
      <w:tblPr>
        <w:tblStyle w:val="TableGrid"/>
        <w:tblW w:w="0" w:type="auto"/>
        <w:tblLook w:val="04A0" w:firstRow="1" w:lastRow="0" w:firstColumn="1" w:lastColumn="0" w:noHBand="0" w:noVBand="1"/>
      </w:tblPr>
      <w:tblGrid>
        <w:gridCol w:w="9016"/>
      </w:tblGrid>
      <w:tr w:rsidR="00487914" w:rsidRPr="00462E61" w14:paraId="206BD842" w14:textId="77777777" w:rsidTr="00C16186">
        <w:tc>
          <w:tcPr>
            <w:tcW w:w="9016" w:type="dxa"/>
            <w:shd w:val="clear" w:color="auto" w:fill="DEEAF6" w:themeFill="accent5" w:themeFillTint="33"/>
          </w:tcPr>
          <w:p w14:paraId="1CE53696" w14:textId="7B7DB75F" w:rsidR="00AE723D" w:rsidRPr="00462E61" w:rsidRDefault="00D402B4" w:rsidP="00C16186">
            <w:pPr>
              <w:jc w:val="center"/>
              <w:rPr>
                <w:rFonts w:ascii="Arial" w:hAnsi="Arial" w:cs="Arial"/>
                <w:b/>
                <w:bCs/>
                <w:sz w:val="32"/>
                <w:szCs w:val="32"/>
              </w:rPr>
            </w:pPr>
            <w:bookmarkStart w:id="9" w:name="_Toc162948075"/>
            <w:r w:rsidRPr="00462E61">
              <w:rPr>
                <w:rStyle w:val="Heading1Char"/>
                <w:rFonts w:ascii="Arial" w:hAnsi="Arial" w:cs="Arial"/>
                <w:b/>
                <w:bCs/>
                <w:color w:val="auto"/>
              </w:rPr>
              <w:t xml:space="preserve">Section </w:t>
            </w:r>
            <w:r w:rsidR="00AE723D" w:rsidRPr="00462E61">
              <w:rPr>
                <w:rStyle w:val="Heading1Char"/>
                <w:rFonts w:ascii="Arial" w:hAnsi="Arial" w:cs="Arial"/>
                <w:b/>
                <w:bCs/>
                <w:color w:val="auto"/>
              </w:rPr>
              <w:t>C: Output Assessment</w:t>
            </w:r>
            <w:bookmarkEnd w:id="9"/>
          </w:p>
        </w:tc>
      </w:tr>
    </w:tbl>
    <w:p w14:paraId="5E8B6341" w14:textId="77777777" w:rsidR="00AE723D" w:rsidRPr="00462E61" w:rsidRDefault="00AE723D" w:rsidP="008D1F81">
      <w:pPr>
        <w:rPr>
          <w:rFonts w:ascii="Arial" w:hAnsi="Arial" w:cs="Arial"/>
        </w:rPr>
      </w:pPr>
    </w:p>
    <w:p w14:paraId="1A7F3D51" w14:textId="43A1DC89" w:rsidR="00D402B4" w:rsidRPr="00324E48" w:rsidRDefault="00D402B4" w:rsidP="008D1F81">
      <w:pPr>
        <w:rPr>
          <w:rFonts w:ascii="Arial" w:hAnsi="Arial" w:cs="Arial"/>
          <w:sz w:val="24"/>
          <w:szCs w:val="24"/>
        </w:rPr>
      </w:pPr>
      <w:bookmarkStart w:id="10" w:name="_Toc162948076"/>
      <w:r w:rsidRPr="00324E48">
        <w:rPr>
          <w:rStyle w:val="Heading2Char"/>
          <w:rFonts w:cs="Arial"/>
          <w:sz w:val="24"/>
          <w:szCs w:val="28"/>
        </w:rPr>
        <w:t xml:space="preserve">Output </w:t>
      </w:r>
      <w:proofErr w:type="gramStart"/>
      <w:r w:rsidRPr="00324E48">
        <w:rPr>
          <w:rStyle w:val="Heading2Char"/>
          <w:rFonts w:cs="Arial"/>
          <w:sz w:val="24"/>
          <w:szCs w:val="28"/>
        </w:rPr>
        <w:t>1</w:t>
      </w:r>
      <w:bookmarkEnd w:id="10"/>
      <w:proofErr w:type="gramEnd"/>
    </w:p>
    <w:tbl>
      <w:tblPr>
        <w:tblStyle w:val="TableGrid"/>
        <w:tblW w:w="0" w:type="auto"/>
        <w:tblLook w:val="04A0" w:firstRow="1" w:lastRow="0" w:firstColumn="1" w:lastColumn="0" w:noHBand="0" w:noVBand="1"/>
      </w:tblPr>
      <w:tblGrid>
        <w:gridCol w:w="2254"/>
        <w:gridCol w:w="2254"/>
        <w:gridCol w:w="2254"/>
        <w:gridCol w:w="2254"/>
      </w:tblGrid>
      <w:tr w:rsidR="00487914" w:rsidRPr="00462E61" w14:paraId="145A4409" w14:textId="77777777" w:rsidTr="00420F50">
        <w:tc>
          <w:tcPr>
            <w:tcW w:w="2254" w:type="dxa"/>
            <w:shd w:val="clear" w:color="auto" w:fill="DEEAF6" w:themeFill="accent5" w:themeFillTint="33"/>
          </w:tcPr>
          <w:p w14:paraId="0BFF544A" w14:textId="0296610D" w:rsidR="00B26964" w:rsidRPr="00462E61" w:rsidRDefault="00B26964" w:rsidP="008D1F81">
            <w:pPr>
              <w:rPr>
                <w:rFonts w:ascii="Arial" w:hAnsi="Arial" w:cs="Arial"/>
                <w:b/>
                <w:bCs/>
              </w:rPr>
            </w:pPr>
            <w:r w:rsidRPr="00462E61">
              <w:rPr>
                <w:rFonts w:ascii="Arial" w:hAnsi="Arial" w:cs="Arial"/>
                <w:b/>
                <w:bCs/>
              </w:rPr>
              <w:t>Output Title</w:t>
            </w:r>
          </w:p>
        </w:tc>
        <w:tc>
          <w:tcPr>
            <w:tcW w:w="6762" w:type="dxa"/>
            <w:gridSpan w:val="3"/>
          </w:tcPr>
          <w:p w14:paraId="5D5155ED" w14:textId="2B5AA9D0" w:rsidR="00B26964" w:rsidRPr="00462E61" w:rsidRDefault="006B24B6" w:rsidP="003D1AA3">
            <w:pPr>
              <w:jc w:val="center"/>
              <w:rPr>
                <w:rFonts w:ascii="Arial" w:hAnsi="Arial" w:cs="Arial"/>
              </w:rPr>
            </w:pPr>
            <w:r w:rsidRPr="006B24B6">
              <w:rPr>
                <w:rFonts w:ascii="Arial" w:hAnsi="Arial" w:cs="Arial"/>
              </w:rPr>
              <w:t>New finance directly mobilised into clean energy projects</w:t>
            </w:r>
          </w:p>
        </w:tc>
      </w:tr>
      <w:tr w:rsidR="00487914" w:rsidRPr="00462E61" w14:paraId="3CC734A4" w14:textId="77777777" w:rsidTr="00420F50">
        <w:tc>
          <w:tcPr>
            <w:tcW w:w="2254" w:type="dxa"/>
            <w:shd w:val="clear" w:color="auto" w:fill="DEEAF6" w:themeFill="accent5" w:themeFillTint="33"/>
          </w:tcPr>
          <w:p w14:paraId="1A34B127" w14:textId="0EB3B5E2" w:rsidR="00173839" w:rsidRPr="00462E61" w:rsidRDefault="00173839" w:rsidP="008D1F81">
            <w:pPr>
              <w:rPr>
                <w:rFonts w:ascii="Arial" w:hAnsi="Arial" w:cs="Arial"/>
              </w:rPr>
            </w:pPr>
            <w:r w:rsidRPr="00462E61">
              <w:rPr>
                <w:rFonts w:ascii="Arial" w:hAnsi="Arial" w:cs="Arial"/>
              </w:rPr>
              <w:t>Output Score</w:t>
            </w:r>
          </w:p>
        </w:tc>
        <w:tc>
          <w:tcPr>
            <w:tcW w:w="6762" w:type="dxa"/>
            <w:gridSpan w:val="3"/>
          </w:tcPr>
          <w:p w14:paraId="7C8CB34B" w14:textId="0849BB40" w:rsidR="00173839" w:rsidRPr="00462E61" w:rsidRDefault="00896499" w:rsidP="003D1AA3">
            <w:pPr>
              <w:jc w:val="center"/>
              <w:rPr>
                <w:rFonts w:ascii="Arial" w:hAnsi="Arial" w:cs="Arial"/>
              </w:rPr>
            </w:pPr>
            <w:r>
              <w:rPr>
                <w:rFonts w:ascii="Arial" w:hAnsi="Arial" w:cs="Arial"/>
              </w:rPr>
              <w:t>B</w:t>
            </w:r>
          </w:p>
        </w:tc>
      </w:tr>
      <w:tr w:rsidR="00487914" w:rsidRPr="00462E61" w14:paraId="04FBA237" w14:textId="77777777" w:rsidTr="00420F50">
        <w:tc>
          <w:tcPr>
            <w:tcW w:w="2254" w:type="dxa"/>
            <w:shd w:val="clear" w:color="auto" w:fill="DEEAF6" w:themeFill="accent5" w:themeFillTint="33"/>
          </w:tcPr>
          <w:p w14:paraId="413B3CBD" w14:textId="76784790" w:rsidR="00173839" w:rsidRPr="00462E61" w:rsidRDefault="00173839" w:rsidP="008D1F81">
            <w:pPr>
              <w:rPr>
                <w:rFonts w:ascii="Arial" w:hAnsi="Arial" w:cs="Arial"/>
              </w:rPr>
            </w:pPr>
            <w:r w:rsidRPr="00462E61">
              <w:rPr>
                <w:rFonts w:ascii="Arial" w:hAnsi="Arial" w:cs="Arial"/>
              </w:rPr>
              <w:t>Impact Weighting (%)</w:t>
            </w:r>
          </w:p>
        </w:tc>
        <w:tc>
          <w:tcPr>
            <w:tcW w:w="2254" w:type="dxa"/>
          </w:tcPr>
          <w:p w14:paraId="1895EB3D" w14:textId="08AE1277" w:rsidR="00173839" w:rsidRPr="00462E61" w:rsidRDefault="006B24B6" w:rsidP="008D1F81">
            <w:pPr>
              <w:rPr>
                <w:rFonts w:ascii="Arial" w:hAnsi="Arial" w:cs="Arial"/>
              </w:rPr>
            </w:pPr>
            <w:r>
              <w:rPr>
                <w:rFonts w:ascii="Arial" w:hAnsi="Arial" w:cs="Arial"/>
              </w:rPr>
              <w:t>50%</w:t>
            </w:r>
          </w:p>
        </w:tc>
        <w:tc>
          <w:tcPr>
            <w:tcW w:w="2254" w:type="dxa"/>
            <w:shd w:val="clear" w:color="auto" w:fill="DEEAF6" w:themeFill="accent5" w:themeFillTint="33"/>
          </w:tcPr>
          <w:p w14:paraId="4A6E4F10" w14:textId="3DEC7520" w:rsidR="00173839" w:rsidRPr="00462E61" w:rsidRDefault="00173839" w:rsidP="008D1F81">
            <w:pPr>
              <w:rPr>
                <w:rFonts w:ascii="Arial" w:hAnsi="Arial" w:cs="Arial"/>
              </w:rPr>
            </w:pPr>
            <w:r w:rsidRPr="00462E61">
              <w:rPr>
                <w:rFonts w:ascii="Arial" w:hAnsi="Arial" w:cs="Arial"/>
              </w:rPr>
              <w:t>Revised since last AR?</w:t>
            </w:r>
          </w:p>
        </w:tc>
        <w:tc>
          <w:tcPr>
            <w:tcW w:w="2254" w:type="dxa"/>
          </w:tcPr>
          <w:p w14:paraId="04DBF2BB" w14:textId="40AC378B" w:rsidR="00173839" w:rsidRPr="00462E61" w:rsidRDefault="006B24B6" w:rsidP="008D1F81">
            <w:pPr>
              <w:rPr>
                <w:rFonts w:ascii="Arial" w:hAnsi="Arial" w:cs="Arial"/>
              </w:rPr>
            </w:pPr>
            <w:r>
              <w:rPr>
                <w:rFonts w:ascii="Arial" w:hAnsi="Arial" w:cs="Arial"/>
              </w:rPr>
              <w:t>No</w:t>
            </w:r>
          </w:p>
        </w:tc>
      </w:tr>
      <w:tr w:rsidR="00487914" w:rsidRPr="00462E61" w14:paraId="7A4D2AC8" w14:textId="77777777" w:rsidTr="00420F50">
        <w:tc>
          <w:tcPr>
            <w:tcW w:w="2254" w:type="dxa"/>
            <w:shd w:val="clear" w:color="auto" w:fill="DEEAF6" w:themeFill="accent5" w:themeFillTint="33"/>
          </w:tcPr>
          <w:p w14:paraId="448AC6E3" w14:textId="6DCF2B6B" w:rsidR="00173839" w:rsidRPr="00462E61" w:rsidRDefault="00173839" w:rsidP="008D1F81">
            <w:pPr>
              <w:rPr>
                <w:rFonts w:ascii="Arial" w:hAnsi="Arial" w:cs="Arial"/>
              </w:rPr>
            </w:pPr>
            <w:r w:rsidRPr="00462E61">
              <w:rPr>
                <w:rFonts w:ascii="Arial" w:hAnsi="Arial" w:cs="Arial"/>
              </w:rPr>
              <w:t>Risk Rating</w:t>
            </w:r>
          </w:p>
        </w:tc>
        <w:tc>
          <w:tcPr>
            <w:tcW w:w="2254" w:type="dxa"/>
          </w:tcPr>
          <w:p w14:paraId="1AFCC111" w14:textId="7845CA38" w:rsidR="00173839" w:rsidRPr="00462E61" w:rsidRDefault="006B24B6" w:rsidP="008D1F81">
            <w:pPr>
              <w:rPr>
                <w:rFonts w:ascii="Arial" w:hAnsi="Arial" w:cs="Arial"/>
              </w:rPr>
            </w:pPr>
            <w:r>
              <w:rPr>
                <w:rFonts w:ascii="Arial" w:hAnsi="Arial" w:cs="Arial"/>
              </w:rPr>
              <w:t>Major</w:t>
            </w:r>
          </w:p>
        </w:tc>
        <w:tc>
          <w:tcPr>
            <w:tcW w:w="2254" w:type="dxa"/>
            <w:shd w:val="clear" w:color="auto" w:fill="DEEAF6" w:themeFill="accent5" w:themeFillTint="33"/>
          </w:tcPr>
          <w:p w14:paraId="6D877167" w14:textId="39050AF2" w:rsidR="00173839" w:rsidRPr="00462E61" w:rsidRDefault="00173839" w:rsidP="008D1F81">
            <w:pPr>
              <w:rPr>
                <w:rFonts w:ascii="Arial" w:hAnsi="Arial" w:cs="Arial"/>
              </w:rPr>
            </w:pPr>
            <w:r w:rsidRPr="00462E61">
              <w:rPr>
                <w:rFonts w:ascii="Arial" w:hAnsi="Arial" w:cs="Arial"/>
              </w:rPr>
              <w:t>Revised since last AR?</w:t>
            </w:r>
          </w:p>
        </w:tc>
        <w:tc>
          <w:tcPr>
            <w:tcW w:w="2254" w:type="dxa"/>
          </w:tcPr>
          <w:p w14:paraId="00168085" w14:textId="495E1213" w:rsidR="00173839" w:rsidRPr="00462E61" w:rsidRDefault="006B24B6" w:rsidP="008D1F81">
            <w:pPr>
              <w:rPr>
                <w:rFonts w:ascii="Arial" w:hAnsi="Arial" w:cs="Arial"/>
              </w:rPr>
            </w:pPr>
            <w:r>
              <w:rPr>
                <w:rFonts w:ascii="Arial" w:hAnsi="Arial" w:cs="Arial"/>
              </w:rPr>
              <w:t>No</w:t>
            </w:r>
          </w:p>
        </w:tc>
      </w:tr>
    </w:tbl>
    <w:p w14:paraId="55D216DC" w14:textId="77777777" w:rsidR="00D402B4" w:rsidRPr="00462E61" w:rsidRDefault="00D402B4" w:rsidP="008D1F81">
      <w:pPr>
        <w:rPr>
          <w:rFonts w:ascii="Arial" w:hAnsi="Arial" w:cs="Arial"/>
        </w:rPr>
      </w:pPr>
    </w:p>
    <w:tbl>
      <w:tblPr>
        <w:tblStyle w:val="TableGrid"/>
        <w:tblW w:w="0" w:type="auto"/>
        <w:tblLook w:val="04A0" w:firstRow="1" w:lastRow="0" w:firstColumn="1" w:lastColumn="0" w:noHBand="0" w:noVBand="1"/>
      </w:tblPr>
      <w:tblGrid>
        <w:gridCol w:w="1464"/>
        <w:gridCol w:w="1611"/>
        <w:gridCol w:w="1452"/>
        <w:gridCol w:w="4489"/>
      </w:tblGrid>
      <w:tr w:rsidR="00487914" w:rsidRPr="00462E61" w14:paraId="5F336751" w14:textId="77777777" w:rsidTr="00064BDF">
        <w:tc>
          <w:tcPr>
            <w:tcW w:w="1464" w:type="dxa"/>
            <w:shd w:val="clear" w:color="auto" w:fill="DEEAF6" w:themeFill="accent5" w:themeFillTint="33"/>
          </w:tcPr>
          <w:p w14:paraId="432BB876" w14:textId="50104893" w:rsidR="008906D0" w:rsidRPr="00462E61" w:rsidRDefault="008906D0" w:rsidP="008D1F81">
            <w:pPr>
              <w:rPr>
                <w:rFonts w:ascii="Arial" w:hAnsi="Arial" w:cs="Arial"/>
                <w:b/>
                <w:bCs/>
              </w:rPr>
            </w:pPr>
            <w:r w:rsidRPr="00462E61">
              <w:rPr>
                <w:rFonts w:ascii="Arial" w:hAnsi="Arial" w:cs="Arial"/>
                <w:b/>
                <w:bCs/>
              </w:rPr>
              <w:t xml:space="preserve">Output Indicator </w:t>
            </w:r>
          </w:p>
        </w:tc>
        <w:tc>
          <w:tcPr>
            <w:tcW w:w="1611" w:type="dxa"/>
            <w:shd w:val="clear" w:color="auto" w:fill="DEEAF6" w:themeFill="accent5" w:themeFillTint="33"/>
          </w:tcPr>
          <w:p w14:paraId="7F506CB1" w14:textId="3B5B871E" w:rsidR="008906D0" w:rsidRPr="00462E61" w:rsidRDefault="008C0D97" w:rsidP="008D1F81">
            <w:pPr>
              <w:rPr>
                <w:rFonts w:ascii="Arial" w:hAnsi="Arial" w:cs="Arial"/>
                <w:b/>
                <w:bCs/>
              </w:rPr>
            </w:pPr>
            <w:r w:rsidRPr="00462E61">
              <w:rPr>
                <w:rFonts w:ascii="Arial" w:hAnsi="Arial" w:cs="Arial"/>
                <w:b/>
                <w:bCs/>
              </w:rPr>
              <w:t>Starting Target</w:t>
            </w:r>
          </w:p>
        </w:tc>
        <w:tc>
          <w:tcPr>
            <w:tcW w:w="1452" w:type="dxa"/>
            <w:shd w:val="clear" w:color="auto" w:fill="DEEAF6" w:themeFill="accent5" w:themeFillTint="33"/>
          </w:tcPr>
          <w:p w14:paraId="4B66BCBC" w14:textId="48325967" w:rsidR="008906D0" w:rsidRPr="00462E61" w:rsidRDefault="009C5CF2" w:rsidP="008D1F81">
            <w:pPr>
              <w:rPr>
                <w:rFonts w:ascii="Arial" w:hAnsi="Arial" w:cs="Arial"/>
                <w:b/>
                <w:bCs/>
              </w:rPr>
            </w:pPr>
            <w:r w:rsidRPr="00462E61">
              <w:rPr>
                <w:rFonts w:ascii="Arial" w:hAnsi="Arial" w:cs="Arial"/>
                <w:b/>
                <w:bCs/>
              </w:rPr>
              <w:t>Final Logframe Target</w:t>
            </w:r>
          </w:p>
        </w:tc>
        <w:tc>
          <w:tcPr>
            <w:tcW w:w="4489" w:type="dxa"/>
            <w:shd w:val="clear" w:color="auto" w:fill="DEEAF6" w:themeFill="accent5" w:themeFillTint="33"/>
          </w:tcPr>
          <w:p w14:paraId="3F634AA5" w14:textId="3A8452ED" w:rsidR="008906D0" w:rsidRPr="00462E61" w:rsidRDefault="009C5CF2" w:rsidP="008D1F81">
            <w:pPr>
              <w:rPr>
                <w:rFonts w:ascii="Arial" w:hAnsi="Arial" w:cs="Arial"/>
                <w:b/>
                <w:bCs/>
              </w:rPr>
            </w:pPr>
            <w:proofErr w:type="gramStart"/>
            <w:r w:rsidRPr="00462E61">
              <w:rPr>
                <w:rFonts w:ascii="Arial" w:hAnsi="Arial" w:cs="Arial"/>
                <w:b/>
                <w:bCs/>
              </w:rPr>
              <w:t>Final Result</w:t>
            </w:r>
            <w:proofErr w:type="gramEnd"/>
            <w:r w:rsidRPr="00462E61">
              <w:rPr>
                <w:rFonts w:ascii="Arial" w:hAnsi="Arial" w:cs="Arial"/>
                <w:b/>
                <w:bCs/>
              </w:rPr>
              <w:t xml:space="preserve"> Achieved</w:t>
            </w:r>
            <w:r w:rsidR="0019300C">
              <w:rPr>
                <w:rFonts w:ascii="Arial" w:hAnsi="Arial" w:cs="Arial"/>
                <w:b/>
                <w:bCs/>
              </w:rPr>
              <w:t xml:space="preserve"> (March 2023)</w:t>
            </w:r>
          </w:p>
        </w:tc>
      </w:tr>
      <w:tr w:rsidR="00064BDF" w:rsidRPr="00462E61" w14:paraId="21362F34" w14:textId="77777777" w:rsidTr="00064BDF">
        <w:tc>
          <w:tcPr>
            <w:tcW w:w="1464" w:type="dxa"/>
          </w:tcPr>
          <w:p w14:paraId="0DCF2B0B" w14:textId="1C3F920A" w:rsidR="00064BDF" w:rsidRPr="00462E61" w:rsidRDefault="00064BDF" w:rsidP="00064BDF">
            <w:pPr>
              <w:rPr>
                <w:rFonts w:ascii="Arial" w:hAnsi="Arial" w:cs="Arial"/>
              </w:rPr>
            </w:pPr>
            <w:r w:rsidRPr="00106763">
              <w:rPr>
                <w:rFonts w:ascii="Arial" w:hAnsi="Arial" w:cs="Arial"/>
              </w:rPr>
              <w:lastRenderedPageBreak/>
              <w:t>1.1</w:t>
            </w:r>
            <w:r w:rsidR="001641F1">
              <w:rPr>
                <w:rFonts w:ascii="Arial" w:hAnsi="Arial" w:cs="Arial"/>
              </w:rPr>
              <w:t xml:space="preserve"> </w:t>
            </w:r>
            <w:r w:rsidRPr="00106763">
              <w:rPr>
                <w:rFonts w:ascii="Arial" w:hAnsi="Arial" w:cs="Arial"/>
              </w:rPr>
              <w:t>Gross volume of private finance committed to UKCI investments by other financiers (£m, cumulative).</w:t>
            </w:r>
          </w:p>
        </w:tc>
        <w:tc>
          <w:tcPr>
            <w:tcW w:w="1611" w:type="dxa"/>
          </w:tcPr>
          <w:p w14:paraId="5FB31086" w14:textId="3EA8A3E6" w:rsidR="00064BDF" w:rsidRPr="00462E61" w:rsidRDefault="008D482A" w:rsidP="00064BDF">
            <w:pPr>
              <w:rPr>
                <w:rFonts w:ascii="Arial" w:hAnsi="Arial" w:cs="Arial"/>
              </w:rPr>
            </w:pPr>
            <w:r>
              <w:rPr>
                <w:rFonts w:ascii="Arial" w:hAnsi="Arial" w:cs="Arial"/>
              </w:rPr>
              <w:t>1:2.02 leverage ratio – originally an outcome</w:t>
            </w:r>
            <w:r w:rsidR="00751949">
              <w:rPr>
                <w:rFonts w:ascii="Arial" w:hAnsi="Arial" w:cs="Arial"/>
              </w:rPr>
              <w:t xml:space="preserve"> – implies £360m</w:t>
            </w:r>
            <w:r w:rsidR="00751949">
              <w:rPr>
                <w:rStyle w:val="FootnoteReference"/>
                <w:rFonts w:ascii="Arial" w:hAnsi="Arial" w:cs="Arial"/>
              </w:rPr>
              <w:footnoteReference w:id="3"/>
            </w:r>
          </w:p>
        </w:tc>
        <w:tc>
          <w:tcPr>
            <w:tcW w:w="1452" w:type="dxa"/>
          </w:tcPr>
          <w:p w14:paraId="738DC21D" w14:textId="4CE6597B" w:rsidR="00064BDF" w:rsidRPr="00C56167" w:rsidRDefault="00064BDF" w:rsidP="00064BDF">
            <w:pPr>
              <w:rPr>
                <w:rFonts w:ascii="Arial" w:hAnsi="Arial" w:cs="Arial"/>
              </w:rPr>
            </w:pPr>
            <w:r w:rsidRPr="00C56167">
              <w:t>1,3</w:t>
            </w:r>
            <w:r w:rsidR="009B6F69" w:rsidRPr="00C56167">
              <w:t>1</w:t>
            </w:r>
            <w:r w:rsidRPr="00C56167">
              <w:t>1 – 1,6</w:t>
            </w:r>
            <w:r w:rsidR="009B6F69" w:rsidRPr="00C56167">
              <w:t>03</w:t>
            </w:r>
            <w:r w:rsidRPr="00C56167">
              <w:t xml:space="preserve"> (Gross, Cumulative)</w:t>
            </w:r>
          </w:p>
        </w:tc>
        <w:tc>
          <w:tcPr>
            <w:tcW w:w="4489" w:type="dxa"/>
          </w:tcPr>
          <w:p w14:paraId="5147185B" w14:textId="62D6A038" w:rsidR="000F7F53" w:rsidRPr="00C56167" w:rsidRDefault="00896499" w:rsidP="000F7F53">
            <w:pPr>
              <w:rPr>
                <w:rFonts w:cs="Arial"/>
                <w:i/>
                <w:sz w:val="20"/>
                <w:szCs w:val="20"/>
                <w:u w:val="single"/>
              </w:rPr>
            </w:pPr>
            <w:r w:rsidRPr="00C56167">
              <w:rPr>
                <w:rFonts w:cs="Arial"/>
                <w:i/>
                <w:sz w:val="20"/>
                <w:szCs w:val="20"/>
                <w:u w:val="single"/>
              </w:rPr>
              <w:t>Not a</w:t>
            </w:r>
            <w:r w:rsidR="00F56984" w:rsidRPr="00C56167">
              <w:rPr>
                <w:rFonts w:cs="Arial"/>
                <w:i/>
                <w:sz w:val="20"/>
                <w:szCs w:val="20"/>
                <w:u w:val="single"/>
              </w:rPr>
              <w:t xml:space="preserve">chieved (moderately </w:t>
            </w:r>
            <w:r w:rsidRPr="00C56167">
              <w:rPr>
                <w:rFonts w:cs="Arial"/>
                <w:i/>
                <w:sz w:val="20"/>
                <w:szCs w:val="20"/>
                <w:u w:val="single"/>
              </w:rPr>
              <w:t>did not meet</w:t>
            </w:r>
            <w:r w:rsidR="00F56984" w:rsidRPr="00C56167">
              <w:rPr>
                <w:rFonts w:cs="Arial"/>
                <w:i/>
                <w:sz w:val="20"/>
                <w:szCs w:val="20"/>
                <w:u w:val="single"/>
              </w:rPr>
              <w:t xml:space="preserve"> expectation)</w:t>
            </w:r>
          </w:p>
          <w:p w14:paraId="27D5D487" w14:textId="77777777" w:rsidR="000F7F53" w:rsidRPr="00C56167" w:rsidRDefault="000F7F53" w:rsidP="00020774">
            <w:pPr>
              <w:rPr>
                <w:rFonts w:cs="Arial"/>
                <w:i/>
                <w:sz w:val="20"/>
                <w:szCs w:val="20"/>
                <w:u w:val="single"/>
              </w:rPr>
            </w:pPr>
          </w:p>
          <w:p w14:paraId="21D77E48" w14:textId="5C046EA2" w:rsidR="00020774" w:rsidRPr="00C56167" w:rsidRDefault="00983EF0" w:rsidP="00020774">
            <w:pPr>
              <w:rPr>
                <w:rFonts w:cs="Arial"/>
                <w:color w:val="008000"/>
                <w:sz w:val="20"/>
                <w:szCs w:val="20"/>
              </w:rPr>
            </w:pPr>
            <w:r w:rsidRPr="00C56167">
              <w:rPr>
                <w:rFonts w:cs="Arial"/>
                <w:color w:val="000000" w:themeColor="text1"/>
                <w:sz w:val="20"/>
                <w:szCs w:val="20"/>
              </w:rPr>
              <w:t>994</w:t>
            </w:r>
            <w:r w:rsidR="000F7F53" w:rsidRPr="00C56167">
              <w:rPr>
                <w:rFonts w:cs="Arial"/>
                <w:color w:val="000000" w:themeColor="text1"/>
                <w:sz w:val="20"/>
                <w:szCs w:val="20"/>
              </w:rPr>
              <w:t>-1,</w:t>
            </w:r>
            <w:r w:rsidRPr="00C56167">
              <w:rPr>
                <w:rFonts w:cs="Arial"/>
                <w:color w:val="000000" w:themeColor="text1"/>
                <w:sz w:val="20"/>
                <w:szCs w:val="20"/>
              </w:rPr>
              <w:t>215</w:t>
            </w:r>
            <w:r w:rsidR="00020774" w:rsidRPr="00C56167">
              <w:rPr>
                <w:rFonts w:cs="Arial"/>
                <w:color w:val="000000" w:themeColor="text1"/>
                <w:sz w:val="20"/>
                <w:szCs w:val="20"/>
              </w:rPr>
              <w:t xml:space="preserve"> (Gross, Cumulative)</w:t>
            </w:r>
          </w:p>
          <w:p w14:paraId="63146340" w14:textId="77777777" w:rsidR="00020774" w:rsidRPr="00C56167" w:rsidRDefault="00020774" w:rsidP="00020774">
            <w:pPr>
              <w:rPr>
                <w:rFonts w:cs="Arial"/>
                <w:bCs/>
                <w:iCs/>
                <w:sz w:val="20"/>
                <w:szCs w:val="20"/>
              </w:rPr>
            </w:pPr>
          </w:p>
          <w:tbl>
            <w:tblPr>
              <w:tblStyle w:val="TableGrid"/>
              <w:tblW w:w="0" w:type="auto"/>
              <w:tblLook w:val="04A0" w:firstRow="1" w:lastRow="0" w:firstColumn="1" w:lastColumn="0" w:noHBand="0" w:noVBand="1"/>
            </w:tblPr>
            <w:tblGrid>
              <w:gridCol w:w="2067"/>
              <w:gridCol w:w="2068"/>
            </w:tblGrid>
            <w:tr w:rsidR="00020774" w:rsidRPr="00C56167" w14:paraId="60BB5354" w14:textId="77777777" w:rsidTr="00020774">
              <w:trPr>
                <w:trHeight w:val="452"/>
              </w:trPr>
              <w:tc>
                <w:tcPr>
                  <w:tcW w:w="2067" w:type="dxa"/>
                  <w:tcBorders>
                    <w:top w:val="single" w:sz="4" w:space="0" w:color="auto"/>
                    <w:left w:val="single" w:sz="4" w:space="0" w:color="auto"/>
                    <w:bottom w:val="single" w:sz="4" w:space="0" w:color="auto"/>
                    <w:right w:val="single" w:sz="4" w:space="0" w:color="auto"/>
                  </w:tcBorders>
                  <w:hideMark/>
                </w:tcPr>
                <w:p w14:paraId="203078F3" w14:textId="77777777" w:rsidR="00020774" w:rsidRPr="00C56167" w:rsidRDefault="00020774" w:rsidP="00020774">
                  <w:pPr>
                    <w:rPr>
                      <w:rFonts w:cs="Arial"/>
                      <w:bCs/>
                      <w:iCs/>
                      <w:sz w:val="20"/>
                      <w:szCs w:val="20"/>
                      <w:lang w:eastAsia="en-GB"/>
                    </w:rPr>
                  </w:pPr>
                  <w:r w:rsidRPr="00C56167">
                    <w:rPr>
                      <w:rFonts w:cs="Arial"/>
                      <w:bCs/>
                      <w:iCs/>
                      <w:sz w:val="20"/>
                      <w:szCs w:val="20"/>
                      <w:lang w:eastAsia="en-GB"/>
                    </w:rPr>
                    <w:t>Project</w:t>
                  </w:r>
                </w:p>
              </w:tc>
              <w:tc>
                <w:tcPr>
                  <w:tcW w:w="2068" w:type="dxa"/>
                  <w:tcBorders>
                    <w:top w:val="single" w:sz="4" w:space="0" w:color="auto"/>
                    <w:left w:val="single" w:sz="4" w:space="0" w:color="auto"/>
                    <w:bottom w:val="single" w:sz="4" w:space="0" w:color="auto"/>
                    <w:right w:val="single" w:sz="4" w:space="0" w:color="auto"/>
                  </w:tcBorders>
                  <w:hideMark/>
                </w:tcPr>
                <w:p w14:paraId="7E9CCEED" w14:textId="77777777" w:rsidR="00020774" w:rsidRPr="00C56167" w:rsidRDefault="00020774" w:rsidP="00020774">
                  <w:pPr>
                    <w:rPr>
                      <w:rFonts w:cs="Arial"/>
                      <w:bCs/>
                      <w:iCs/>
                      <w:sz w:val="20"/>
                      <w:szCs w:val="20"/>
                      <w:lang w:eastAsia="en-GB"/>
                    </w:rPr>
                  </w:pPr>
                  <w:r w:rsidRPr="00C56167">
                    <w:rPr>
                      <w:rFonts w:cs="Arial"/>
                      <w:bCs/>
                      <w:iCs/>
                      <w:sz w:val="20"/>
                      <w:szCs w:val="20"/>
                      <w:lang w:eastAsia="en-GB"/>
                    </w:rPr>
                    <w:t>Private finance committed (£m)</w:t>
                  </w:r>
                </w:p>
              </w:tc>
            </w:tr>
            <w:tr w:rsidR="004572D0" w:rsidRPr="00C56167" w14:paraId="2F871695" w14:textId="77777777" w:rsidTr="00020774">
              <w:trPr>
                <w:trHeight w:val="226"/>
              </w:trPr>
              <w:tc>
                <w:tcPr>
                  <w:tcW w:w="2067" w:type="dxa"/>
                  <w:tcBorders>
                    <w:top w:val="single" w:sz="4" w:space="0" w:color="auto"/>
                    <w:left w:val="single" w:sz="4" w:space="0" w:color="auto"/>
                    <w:bottom w:val="single" w:sz="4" w:space="0" w:color="auto"/>
                    <w:right w:val="single" w:sz="4" w:space="0" w:color="auto"/>
                  </w:tcBorders>
                </w:tcPr>
                <w:p w14:paraId="5B2A37E1" w14:textId="24F3564D" w:rsidR="004572D0" w:rsidRPr="00C56167" w:rsidRDefault="004572D0" w:rsidP="00020774">
                  <w:pPr>
                    <w:rPr>
                      <w:rFonts w:cs="Arial"/>
                      <w:bCs/>
                      <w:iCs/>
                      <w:sz w:val="20"/>
                      <w:szCs w:val="20"/>
                      <w:lang w:eastAsia="en-GB"/>
                    </w:rPr>
                  </w:pPr>
                  <w:r w:rsidRPr="00C56167">
                    <w:rPr>
                      <w:rFonts w:cs="Arial"/>
                      <w:bCs/>
                      <w:iCs/>
                      <w:sz w:val="20"/>
                      <w:szCs w:val="20"/>
                      <w:lang w:eastAsia="en-GB"/>
                    </w:rPr>
                    <w:t>Bolt</w:t>
                  </w:r>
                </w:p>
              </w:tc>
              <w:tc>
                <w:tcPr>
                  <w:tcW w:w="2068" w:type="dxa"/>
                  <w:tcBorders>
                    <w:top w:val="single" w:sz="4" w:space="0" w:color="auto"/>
                    <w:left w:val="single" w:sz="4" w:space="0" w:color="auto"/>
                    <w:bottom w:val="single" w:sz="4" w:space="0" w:color="auto"/>
                    <w:right w:val="single" w:sz="4" w:space="0" w:color="auto"/>
                  </w:tcBorders>
                </w:tcPr>
                <w:p w14:paraId="7DAEA1EE" w14:textId="6415DEF2" w:rsidR="004572D0" w:rsidRPr="00C56167" w:rsidRDefault="004572D0" w:rsidP="00020774">
                  <w:pPr>
                    <w:jc w:val="right"/>
                    <w:rPr>
                      <w:rFonts w:cs="Arial"/>
                      <w:bCs/>
                      <w:iCs/>
                      <w:sz w:val="20"/>
                      <w:szCs w:val="20"/>
                      <w:lang w:eastAsia="en-GB"/>
                    </w:rPr>
                  </w:pPr>
                  <w:r w:rsidRPr="00C56167">
                    <w:rPr>
                      <w:rFonts w:cs="Arial"/>
                      <w:bCs/>
                      <w:iCs/>
                      <w:sz w:val="20"/>
                      <w:szCs w:val="20"/>
                      <w:lang w:eastAsia="en-GB"/>
                    </w:rPr>
                    <w:t>33</w:t>
                  </w:r>
                </w:p>
              </w:tc>
            </w:tr>
            <w:tr w:rsidR="004572D0" w:rsidRPr="00C56167" w14:paraId="38E88177" w14:textId="77777777" w:rsidTr="00020774">
              <w:trPr>
                <w:trHeight w:val="226"/>
              </w:trPr>
              <w:tc>
                <w:tcPr>
                  <w:tcW w:w="2067" w:type="dxa"/>
                  <w:tcBorders>
                    <w:top w:val="single" w:sz="4" w:space="0" w:color="auto"/>
                    <w:left w:val="single" w:sz="4" w:space="0" w:color="auto"/>
                    <w:bottom w:val="single" w:sz="4" w:space="0" w:color="auto"/>
                    <w:right w:val="single" w:sz="4" w:space="0" w:color="auto"/>
                  </w:tcBorders>
                </w:tcPr>
                <w:p w14:paraId="03C01AA6" w14:textId="631E0042" w:rsidR="004572D0" w:rsidRPr="00C56167" w:rsidRDefault="004572D0" w:rsidP="00020774">
                  <w:pPr>
                    <w:rPr>
                      <w:rFonts w:cs="Arial"/>
                      <w:bCs/>
                      <w:iCs/>
                      <w:sz w:val="20"/>
                      <w:szCs w:val="20"/>
                      <w:lang w:eastAsia="en-GB"/>
                    </w:rPr>
                  </w:pPr>
                  <w:r w:rsidRPr="00C56167">
                    <w:rPr>
                      <w:rFonts w:cs="Arial"/>
                      <w:bCs/>
                      <w:iCs/>
                      <w:sz w:val="20"/>
                      <w:szCs w:val="20"/>
                      <w:lang w:eastAsia="en-GB"/>
                    </w:rPr>
                    <w:t>Lakeside</w:t>
                  </w:r>
                </w:p>
              </w:tc>
              <w:tc>
                <w:tcPr>
                  <w:tcW w:w="2068" w:type="dxa"/>
                  <w:tcBorders>
                    <w:top w:val="single" w:sz="4" w:space="0" w:color="auto"/>
                    <w:left w:val="single" w:sz="4" w:space="0" w:color="auto"/>
                    <w:bottom w:val="single" w:sz="4" w:space="0" w:color="auto"/>
                    <w:right w:val="single" w:sz="4" w:space="0" w:color="auto"/>
                  </w:tcBorders>
                </w:tcPr>
                <w:p w14:paraId="7BCB14C3" w14:textId="7BA936AB" w:rsidR="004572D0" w:rsidRPr="00C56167" w:rsidRDefault="004572D0" w:rsidP="00020774">
                  <w:pPr>
                    <w:jc w:val="right"/>
                    <w:rPr>
                      <w:rFonts w:cs="Arial"/>
                      <w:bCs/>
                      <w:iCs/>
                      <w:sz w:val="20"/>
                      <w:szCs w:val="20"/>
                      <w:lang w:eastAsia="en-GB"/>
                    </w:rPr>
                  </w:pPr>
                  <w:r w:rsidRPr="00C56167">
                    <w:rPr>
                      <w:rFonts w:cs="Arial"/>
                      <w:bCs/>
                      <w:iCs/>
                      <w:sz w:val="20"/>
                      <w:szCs w:val="20"/>
                      <w:lang w:eastAsia="en-GB"/>
                    </w:rPr>
                    <w:t>101</w:t>
                  </w:r>
                </w:p>
              </w:tc>
            </w:tr>
            <w:tr w:rsidR="00020774" w:rsidRPr="00C56167" w14:paraId="4BACD807" w14:textId="77777777" w:rsidTr="00020774">
              <w:trPr>
                <w:trHeight w:val="226"/>
              </w:trPr>
              <w:tc>
                <w:tcPr>
                  <w:tcW w:w="2067" w:type="dxa"/>
                  <w:tcBorders>
                    <w:top w:val="single" w:sz="4" w:space="0" w:color="auto"/>
                    <w:left w:val="single" w:sz="4" w:space="0" w:color="auto"/>
                    <w:bottom w:val="single" w:sz="4" w:space="0" w:color="auto"/>
                    <w:right w:val="single" w:sz="4" w:space="0" w:color="auto"/>
                  </w:tcBorders>
                  <w:hideMark/>
                </w:tcPr>
                <w:p w14:paraId="0D78B9D3" w14:textId="77777777" w:rsidR="00020774" w:rsidRPr="00C56167" w:rsidRDefault="00020774" w:rsidP="00020774">
                  <w:pPr>
                    <w:rPr>
                      <w:rFonts w:cs="Arial"/>
                      <w:bCs/>
                      <w:iCs/>
                      <w:sz w:val="20"/>
                      <w:szCs w:val="20"/>
                      <w:lang w:eastAsia="en-GB"/>
                    </w:rPr>
                  </w:pPr>
                  <w:r w:rsidRPr="00C56167">
                    <w:rPr>
                      <w:rFonts w:cs="Arial"/>
                      <w:bCs/>
                      <w:iCs/>
                      <w:sz w:val="20"/>
                      <w:szCs w:val="20"/>
                      <w:lang w:eastAsia="en-GB"/>
                    </w:rPr>
                    <w:t>Apollo</w:t>
                  </w:r>
                </w:p>
              </w:tc>
              <w:tc>
                <w:tcPr>
                  <w:tcW w:w="2068" w:type="dxa"/>
                  <w:tcBorders>
                    <w:top w:val="single" w:sz="4" w:space="0" w:color="auto"/>
                    <w:left w:val="single" w:sz="4" w:space="0" w:color="auto"/>
                    <w:bottom w:val="single" w:sz="4" w:space="0" w:color="auto"/>
                    <w:right w:val="single" w:sz="4" w:space="0" w:color="auto"/>
                  </w:tcBorders>
                  <w:hideMark/>
                </w:tcPr>
                <w:p w14:paraId="6B7D943D" w14:textId="7AADAB96" w:rsidR="00020774" w:rsidRPr="00C56167" w:rsidRDefault="00020774" w:rsidP="00020774">
                  <w:pPr>
                    <w:jc w:val="right"/>
                    <w:rPr>
                      <w:rFonts w:cs="Arial"/>
                      <w:bCs/>
                      <w:iCs/>
                      <w:sz w:val="20"/>
                      <w:szCs w:val="20"/>
                      <w:lang w:eastAsia="en-GB"/>
                    </w:rPr>
                  </w:pPr>
                  <w:r w:rsidRPr="00C56167">
                    <w:rPr>
                      <w:rFonts w:cs="Arial"/>
                      <w:bCs/>
                      <w:iCs/>
                      <w:sz w:val="20"/>
                      <w:szCs w:val="20"/>
                      <w:lang w:eastAsia="en-GB"/>
                    </w:rPr>
                    <w:t>2</w:t>
                  </w:r>
                  <w:r w:rsidR="00857CB6" w:rsidRPr="00C56167">
                    <w:rPr>
                      <w:rFonts w:cs="Arial"/>
                      <w:bCs/>
                      <w:iCs/>
                      <w:sz w:val="20"/>
                      <w:szCs w:val="20"/>
                      <w:lang w:eastAsia="en-GB"/>
                    </w:rPr>
                    <w:t>33</w:t>
                  </w:r>
                </w:p>
              </w:tc>
            </w:tr>
            <w:tr w:rsidR="00020774" w:rsidRPr="00C56167" w14:paraId="66078B1A" w14:textId="77777777" w:rsidTr="00020774">
              <w:trPr>
                <w:trHeight w:val="226"/>
              </w:trPr>
              <w:tc>
                <w:tcPr>
                  <w:tcW w:w="2067" w:type="dxa"/>
                  <w:tcBorders>
                    <w:top w:val="single" w:sz="4" w:space="0" w:color="auto"/>
                    <w:left w:val="single" w:sz="4" w:space="0" w:color="auto"/>
                    <w:bottom w:val="single" w:sz="4" w:space="0" w:color="auto"/>
                    <w:right w:val="single" w:sz="4" w:space="0" w:color="auto"/>
                  </w:tcBorders>
                  <w:hideMark/>
                </w:tcPr>
                <w:p w14:paraId="40E865BA" w14:textId="77777777" w:rsidR="00020774" w:rsidRPr="00C56167" w:rsidRDefault="00020774" w:rsidP="00020774">
                  <w:pPr>
                    <w:rPr>
                      <w:rFonts w:cs="Arial"/>
                      <w:bCs/>
                      <w:iCs/>
                      <w:sz w:val="20"/>
                      <w:szCs w:val="20"/>
                      <w:lang w:eastAsia="en-GB"/>
                    </w:rPr>
                  </w:pPr>
                  <w:r w:rsidRPr="00C56167">
                    <w:rPr>
                      <w:rFonts w:cs="Arial"/>
                      <w:bCs/>
                      <w:iCs/>
                      <w:sz w:val="20"/>
                      <w:szCs w:val="20"/>
                      <w:lang w:eastAsia="en-GB"/>
                    </w:rPr>
                    <w:t>Kijani</w:t>
                  </w:r>
                </w:p>
              </w:tc>
              <w:tc>
                <w:tcPr>
                  <w:tcW w:w="2068" w:type="dxa"/>
                  <w:tcBorders>
                    <w:top w:val="single" w:sz="4" w:space="0" w:color="auto"/>
                    <w:left w:val="single" w:sz="4" w:space="0" w:color="auto"/>
                    <w:bottom w:val="single" w:sz="4" w:space="0" w:color="auto"/>
                    <w:right w:val="single" w:sz="4" w:space="0" w:color="auto"/>
                  </w:tcBorders>
                  <w:hideMark/>
                </w:tcPr>
                <w:p w14:paraId="2E935A9A" w14:textId="17FE61EF" w:rsidR="00020774" w:rsidRPr="00C56167" w:rsidRDefault="00857CB6" w:rsidP="00020774">
                  <w:pPr>
                    <w:jc w:val="right"/>
                    <w:rPr>
                      <w:rFonts w:cs="Arial"/>
                      <w:bCs/>
                      <w:iCs/>
                      <w:sz w:val="20"/>
                      <w:szCs w:val="20"/>
                      <w:lang w:eastAsia="en-GB"/>
                    </w:rPr>
                  </w:pPr>
                  <w:r w:rsidRPr="00C56167">
                    <w:rPr>
                      <w:rFonts w:cs="Arial"/>
                      <w:bCs/>
                      <w:iCs/>
                      <w:sz w:val="20"/>
                      <w:szCs w:val="20"/>
                      <w:lang w:eastAsia="en-GB"/>
                    </w:rPr>
                    <w:t>23</w:t>
                  </w:r>
                </w:p>
              </w:tc>
            </w:tr>
            <w:tr w:rsidR="00020774" w:rsidRPr="00C56167" w14:paraId="598CEA90" w14:textId="77777777" w:rsidTr="00020774">
              <w:trPr>
                <w:trHeight w:val="226"/>
              </w:trPr>
              <w:tc>
                <w:tcPr>
                  <w:tcW w:w="2067" w:type="dxa"/>
                  <w:tcBorders>
                    <w:top w:val="single" w:sz="4" w:space="0" w:color="auto"/>
                    <w:left w:val="single" w:sz="4" w:space="0" w:color="auto"/>
                    <w:bottom w:val="single" w:sz="4" w:space="0" w:color="auto"/>
                    <w:right w:val="single" w:sz="4" w:space="0" w:color="auto"/>
                  </w:tcBorders>
                  <w:hideMark/>
                </w:tcPr>
                <w:p w14:paraId="4A705763" w14:textId="77777777" w:rsidR="00020774" w:rsidRPr="00C56167" w:rsidRDefault="00020774" w:rsidP="00020774">
                  <w:pPr>
                    <w:rPr>
                      <w:rFonts w:cs="Arial"/>
                      <w:bCs/>
                      <w:iCs/>
                      <w:sz w:val="20"/>
                      <w:szCs w:val="20"/>
                      <w:lang w:eastAsia="en-GB"/>
                    </w:rPr>
                  </w:pPr>
                  <w:r w:rsidRPr="00C56167">
                    <w:rPr>
                      <w:rFonts w:cs="Arial"/>
                      <w:bCs/>
                      <w:iCs/>
                      <w:sz w:val="20"/>
                      <w:szCs w:val="20"/>
                      <w:lang w:eastAsia="en-GB"/>
                    </w:rPr>
                    <w:t>Etna 2</w:t>
                  </w:r>
                </w:p>
              </w:tc>
              <w:tc>
                <w:tcPr>
                  <w:tcW w:w="2068" w:type="dxa"/>
                  <w:tcBorders>
                    <w:top w:val="single" w:sz="4" w:space="0" w:color="auto"/>
                    <w:left w:val="single" w:sz="4" w:space="0" w:color="auto"/>
                    <w:bottom w:val="single" w:sz="4" w:space="0" w:color="auto"/>
                    <w:right w:val="single" w:sz="4" w:space="0" w:color="auto"/>
                  </w:tcBorders>
                  <w:hideMark/>
                </w:tcPr>
                <w:p w14:paraId="52D53CDE" w14:textId="3C4E8F93" w:rsidR="00020774" w:rsidRPr="00C56167" w:rsidRDefault="00857CB6" w:rsidP="00857CB6">
                  <w:pPr>
                    <w:jc w:val="right"/>
                    <w:rPr>
                      <w:rFonts w:cs="Arial"/>
                      <w:bCs/>
                      <w:iCs/>
                      <w:sz w:val="20"/>
                      <w:szCs w:val="20"/>
                      <w:lang w:eastAsia="en-GB"/>
                    </w:rPr>
                  </w:pPr>
                  <w:r w:rsidRPr="00C56167">
                    <w:rPr>
                      <w:rFonts w:cs="Arial"/>
                      <w:bCs/>
                      <w:iCs/>
                      <w:sz w:val="20"/>
                      <w:szCs w:val="20"/>
                      <w:lang w:eastAsia="en-GB"/>
                    </w:rPr>
                    <w:t>592</w:t>
                  </w:r>
                </w:p>
              </w:tc>
            </w:tr>
            <w:tr w:rsidR="00857CB6" w:rsidRPr="00C56167" w14:paraId="3BCCBF50" w14:textId="77777777" w:rsidTr="00020774">
              <w:trPr>
                <w:trHeight w:val="226"/>
              </w:trPr>
              <w:tc>
                <w:tcPr>
                  <w:tcW w:w="2067" w:type="dxa"/>
                  <w:tcBorders>
                    <w:top w:val="single" w:sz="4" w:space="0" w:color="auto"/>
                    <w:left w:val="single" w:sz="4" w:space="0" w:color="auto"/>
                    <w:bottom w:val="single" w:sz="4" w:space="0" w:color="auto"/>
                    <w:right w:val="single" w:sz="4" w:space="0" w:color="auto"/>
                  </w:tcBorders>
                </w:tcPr>
                <w:p w14:paraId="7CDAF0A2" w14:textId="79DFC822" w:rsidR="00857CB6" w:rsidRPr="00C56167" w:rsidRDefault="00857CB6" w:rsidP="00020774">
                  <w:pPr>
                    <w:rPr>
                      <w:rFonts w:cs="Arial"/>
                      <w:bCs/>
                      <w:iCs/>
                      <w:sz w:val="20"/>
                      <w:szCs w:val="20"/>
                      <w:lang w:eastAsia="en-GB"/>
                    </w:rPr>
                  </w:pPr>
                  <w:r w:rsidRPr="00C56167">
                    <w:rPr>
                      <w:rFonts w:cs="Arial"/>
                      <w:bCs/>
                      <w:iCs/>
                      <w:sz w:val="20"/>
                      <w:szCs w:val="20"/>
                      <w:lang w:eastAsia="en-GB"/>
                    </w:rPr>
                    <w:t>Oslo</w:t>
                  </w:r>
                </w:p>
              </w:tc>
              <w:tc>
                <w:tcPr>
                  <w:tcW w:w="2068" w:type="dxa"/>
                  <w:tcBorders>
                    <w:top w:val="single" w:sz="4" w:space="0" w:color="auto"/>
                    <w:left w:val="single" w:sz="4" w:space="0" w:color="auto"/>
                    <w:bottom w:val="single" w:sz="4" w:space="0" w:color="auto"/>
                    <w:right w:val="single" w:sz="4" w:space="0" w:color="auto"/>
                  </w:tcBorders>
                </w:tcPr>
                <w:p w14:paraId="764E7ADF" w14:textId="0B6E35CB" w:rsidR="00857CB6" w:rsidRPr="00C56167" w:rsidRDefault="00857CB6" w:rsidP="00020774">
                  <w:pPr>
                    <w:jc w:val="right"/>
                    <w:rPr>
                      <w:rFonts w:cs="Arial"/>
                      <w:bCs/>
                      <w:iCs/>
                      <w:sz w:val="20"/>
                      <w:szCs w:val="20"/>
                      <w:lang w:eastAsia="en-GB"/>
                    </w:rPr>
                  </w:pPr>
                  <w:r w:rsidRPr="00C56167">
                    <w:rPr>
                      <w:rFonts w:cs="Arial"/>
                      <w:bCs/>
                      <w:iCs/>
                      <w:sz w:val="20"/>
                      <w:szCs w:val="20"/>
                      <w:lang w:eastAsia="en-GB"/>
                    </w:rPr>
                    <w:t>205</w:t>
                  </w:r>
                </w:p>
              </w:tc>
            </w:tr>
            <w:tr w:rsidR="00020774" w:rsidRPr="00C56167" w14:paraId="5172C83E" w14:textId="77777777" w:rsidTr="00020774">
              <w:trPr>
                <w:trHeight w:val="226"/>
              </w:trPr>
              <w:tc>
                <w:tcPr>
                  <w:tcW w:w="2067" w:type="dxa"/>
                  <w:tcBorders>
                    <w:top w:val="single" w:sz="4" w:space="0" w:color="auto"/>
                    <w:left w:val="single" w:sz="4" w:space="0" w:color="auto"/>
                    <w:bottom w:val="single" w:sz="4" w:space="0" w:color="auto"/>
                    <w:right w:val="single" w:sz="4" w:space="0" w:color="auto"/>
                  </w:tcBorders>
                  <w:hideMark/>
                </w:tcPr>
                <w:p w14:paraId="0E0F6EF5" w14:textId="77777777" w:rsidR="00020774" w:rsidRPr="00C56167" w:rsidRDefault="00020774" w:rsidP="00020774">
                  <w:pPr>
                    <w:rPr>
                      <w:rFonts w:cs="Arial"/>
                      <w:bCs/>
                      <w:iCs/>
                      <w:sz w:val="20"/>
                      <w:szCs w:val="20"/>
                      <w:lang w:eastAsia="en-GB"/>
                    </w:rPr>
                  </w:pPr>
                  <w:r w:rsidRPr="00C56167">
                    <w:rPr>
                      <w:rFonts w:cs="Arial"/>
                      <w:bCs/>
                      <w:iCs/>
                      <w:sz w:val="20"/>
                      <w:szCs w:val="20"/>
                      <w:lang w:eastAsia="en-GB"/>
                    </w:rPr>
                    <w:t xml:space="preserve">Dazzle </w:t>
                  </w:r>
                </w:p>
              </w:tc>
              <w:tc>
                <w:tcPr>
                  <w:tcW w:w="2068" w:type="dxa"/>
                  <w:tcBorders>
                    <w:top w:val="single" w:sz="4" w:space="0" w:color="auto"/>
                    <w:left w:val="single" w:sz="4" w:space="0" w:color="auto"/>
                    <w:bottom w:val="single" w:sz="4" w:space="0" w:color="auto"/>
                    <w:right w:val="single" w:sz="4" w:space="0" w:color="auto"/>
                  </w:tcBorders>
                  <w:hideMark/>
                </w:tcPr>
                <w:p w14:paraId="01205BEA" w14:textId="14AE3E02" w:rsidR="00020774" w:rsidRPr="00C56167" w:rsidRDefault="00857CB6" w:rsidP="00020774">
                  <w:pPr>
                    <w:jc w:val="right"/>
                    <w:rPr>
                      <w:rFonts w:cs="Arial"/>
                      <w:bCs/>
                      <w:iCs/>
                      <w:sz w:val="20"/>
                      <w:szCs w:val="20"/>
                      <w:lang w:eastAsia="en-GB"/>
                    </w:rPr>
                  </w:pPr>
                  <w:r w:rsidRPr="00C56167">
                    <w:rPr>
                      <w:rFonts w:cs="Arial"/>
                      <w:bCs/>
                      <w:iCs/>
                      <w:sz w:val="20"/>
                      <w:szCs w:val="20"/>
                      <w:lang w:eastAsia="en-GB"/>
                    </w:rPr>
                    <w:t>52</w:t>
                  </w:r>
                </w:p>
              </w:tc>
            </w:tr>
            <w:tr w:rsidR="00020774" w:rsidRPr="00C56167" w14:paraId="49ACA204" w14:textId="77777777" w:rsidTr="00020774">
              <w:trPr>
                <w:trHeight w:val="226"/>
              </w:trPr>
              <w:tc>
                <w:tcPr>
                  <w:tcW w:w="2067" w:type="dxa"/>
                  <w:tcBorders>
                    <w:top w:val="single" w:sz="4" w:space="0" w:color="auto"/>
                    <w:left w:val="single" w:sz="4" w:space="0" w:color="auto"/>
                    <w:bottom w:val="single" w:sz="4" w:space="0" w:color="auto"/>
                    <w:right w:val="single" w:sz="4" w:space="0" w:color="auto"/>
                  </w:tcBorders>
                  <w:hideMark/>
                </w:tcPr>
                <w:p w14:paraId="5B8D74CC" w14:textId="77777777" w:rsidR="00020774" w:rsidRPr="00C56167" w:rsidRDefault="00020774" w:rsidP="00020774">
                  <w:pPr>
                    <w:rPr>
                      <w:rFonts w:cs="Arial"/>
                      <w:b/>
                      <w:iCs/>
                      <w:sz w:val="20"/>
                      <w:szCs w:val="20"/>
                      <w:lang w:eastAsia="en-GB"/>
                    </w:rPr>
                  </w:pPr>
                  <w:r w:rsidRPr="00C56167">
                    <w:rPr>
                      <w:rFonts w:cs="Arial"/>
                      <w:b/>
                      <w:iCs/>
                      <w:sz w:val="20"/>
                      <w:szCs w:val="20"/>
                      <w:lang w:eastAsia="en-GB"/>
                    </w:rPr>
                    <w:t>Total (</w:t>
                  </w:r>
                  <w:proofErr w:type="spellStart"/>
                  <w:r w:rsidRPr="00C56167">
                    <w:rPr>
                      <w:rFonts w:cs="Arial"/>
                      <w:b/>
                      <w:iCs/>
                      <w:sz w:val="20"/>
                      <w:szCs w:val="20"/>
                      <w:lang w:eastAsia="en-GB"/>
                    </w:rPr>
                    <w:t>Cumul</w:t>
                  </w:r>
                  <w:proofErr w:type="spellEnd"/>
                  <w:r w:rsidRPr="00C56167">
                    <w:rPr>
                      <w:rFonts w:cs="Arial"/>
                      <w:b/>
                      <w:iCs/>
                      <w:sz w:val="20"/>
                      <w:szCs w:val="20"/>
                      <w:lang w:eastAsia="en-GB"/>
                    </w:rPr>
                    <w:t>.)</w:t>
                  </w:r>
                </w:p>
              </w:tc>
              <w:tc>
                <w:tcPr>
                  <w:tcW w:w="2068" w:type="dxa"/>
                  <w:tcBorders>
                    <w:top w:val="single" w:sz="4" w:space="0" w:color="auto"/>
                    <w:left w:val="single" w:sz="4" w:space="0" w:color="auto"/>
                    <w:bottom w:val="single" w:sz="4" w:space="0" w:color="auto"/>
                    <w:right w:val="single" w:sz="4" w:space="0" w:color="auto"/>
                  </w:tcBorders>
                  <w:hideMark/>
                </w:tcPr>
                <w:p w14:paraId="5CC69771" w14:textId="5FA0E35E" w:rsidR="00020774" w:rsidRPr="00C56167" w:rsidRDefault="00020774" w:rsidP="00020774">
                  <w:pPr>
                    <w:jc w:val="right"/>
                    <w:rPr>
                      <w:rFonts w:cs="Arial"/>
                      <w:b/>
                      <w:iCs/>
                      <w:sz w:val="20"/>
                      <w:szCs w:val="20"/>
                      <w:lang w:eastAsia="en-GB"/>
                    </w:rPr>
                  </w:pPr>
                  <w:r w:rsidRPr="00C56167">
                    <w:rPr>
                      <w:rFonts w:cs="Arial"/>
                      <w:b/>
                      <w:iCs/>
                      <w:sz w:val="20"/>
                      <w:szCs w:val="20"/>
                      <w:lang w:eastAsia="en-GB"/>
                    </w:rPr>
                    <w:t>1,10</w:t>
                  </w:r>
                  <w:r w:rsidR="00983EF0" w:rsidRPr="00C56167">
                    <w:rPr>
                      <w:rFonts w:cs="Arial"/>
                      <w:b/>
                      <w:iCs/>
                      <w:sz w:val="20"/>
                      <w:szCs w:val="20"/>
                      <w:lang w:eastAsia="en-GB"/>
                    </w:rPr>
                    <w:t>5</w:t>
                  </w:r>
                </w:p>
              </w:tc>
            </w:tr>
          </w:tbl>
          <w:p w14:paraId="205CBFC8" w14:textId="75D6F0D5" w:rsidR="00064BDF" w:rsidRPr="00C56167" w:rsidRDefault="00064BDF" w:rsidP="00064BDF">
            <w:pPr>
              <w:rPr>
                <w:rFonts w:ascii="Arial" w:hAnsi="Arial" w:cs="Arial"/>
              </w:rPr>
            </w:pPr>
          </w:p>
        </w:tc>
      </w:tr>
      <w:tr w:rsidR="00AD0B69" w:rsidRPr="00462E61" w14:paraId="5F1F16EE" w14:textId="77777777" w:rsidTr="00064BDF">
        <w:tc>
          <w:tcPr>
            <w:tcW w:w="1464" w:type="dxa"/>
          </w:tcPr>
          <w:p w14:paraId="043C5D0C" w14:textId="192E026D" w:rsidR="00AD0B69" w:rsidRPr="00462E61" w:rsidRDefault="00AD0B69" w:rsidP="00AD0B69">
            <w:pPr>
              <w:rPr>
                <w:rFonts w:ascii="Arial" w:hAnsi="Arial" w:cs="Arial"/>
              </w:rPr>
            </w:pPr>
            <w:r w:rsidRPr="006463B7">
              <w:rPr>
                <w:rFonts w:ascii="Arial" w:hAnsi="Arial" w:cs="Arial"/>
              </w:rPr>
              <w:t>1.2</w:t>
            </w:r>
            <w:r w:rsidR="001641F1">
              <w:rPr>
                <w:rFonts w:ascii="Arial" w:hAnsi="Arial" w:cs="Arial"/>
              </w:rPr>
              <w:t xml:space="preserve"> </w:t>
            </w:r>
            <w:r w:rsidRPr="006463B7">
              <w:rPr>
                <w:rFonts w:ascii="Arial" w:hAnsi="Arial" w:cs="Arial"/>
              </w:rPr>
              <w:t>Gross volume of public finance committed to UKCI investments by other financiers (£m, cumulative)</w:t>
            </w:r>
          </w:p>
        </w:tc>
        <w:tc>
          <w:tcPr>
            <w:tcW w:w="1611" w:type="dxa"/>
          </w:tcPr>
          <w:p w14:paraId="1ACA3CB3" w14:textId="0EB4E63B" w:rsidR="00AD0B69" w:rsidRPr="00462E61" w:rsidRDefault="00EA22BA" w:rsidP="00AD0B69">
            <w:pPr>
              <w:rPr>
                <w:rFonts w:ascii="Arial" w:hAnsi="Arial" w:cs="Arial"/>
              </w:rPr>
            </w:pPr>
            <w:r>
              <w:rPr>
                <w:rFonts w:ascii="Arial" w:hAnsi="Arial" w:cs="Arial"/>
              </w:rPr>
              <w:t>1:0.39 leverage ratio – originally an outcome</w:t>
            </w:r>
            <w:r w:rsidR="001D6FBE">
              <w:rPr>
                <w:rFonts w:ascii="Arial" w:hAnsi="Arial" w:cs="Arial"/>
              </w:rPr>
              <w:t xml:space="preserve"> – implies £</w:t>
            </w:r>
            <w:r w:rsidR="00751949">
              <w:rPr>
                <w:rFonts w:ascii="Arial" w:hAnsi="Arial" w:cs="Arial"/>
              </w:rPr>
              <w:t>69.6m</w:t>
            </w:r>
          </w:p>
        </w:tc>
        <w:tc>
          <w:tcPr>
            <w:tcW w:w="1452" w:type="dxa"/>
          </w:tcPr>
          <w:p w14:paraId="5B87605D" w14:textId="696A3CB7" w:rsidR="00AD0B69" w:rsidRPr="00C56167" w:rsidRDefault="00EC4A0A" w:rsidP="00AD0B69">
            <w:pPr>
              <w:rPr>
                <w:rFonts w:ascii="Arial" w:hAnsi="Arial" w:cs="Arial"/>
              </w:rPr>
            </w:pPr>
            <w:r w:rsidRPr="00C56167">
              <w:rPr>
                <w:rFonts w:ascii="Arial" w:hAnsi="Arial" w:cs="Arial"/>
              </w:rPr>
              <w:t>64-78</w:t>
            </w:r>
            <w:r w:rsidR="007A4793" w:rsidRPr="00C56167">
              <w:rPr>
                <w:rFonts w:ascii="Arial" w:hAnsi="Arial" w:cs="Arial"/>
              </w:rPr>
              <w:t xml:space="preserve"> (Gross, Cumulative)</w:t>
            </w:r>
          </w:p>
        </w:tc>
        <w:tc>
          <w:tcPr>
            <w:tcW w:w="4489" w:type="dxa"/>
          </w:tcPr>
          <w:p w14:paraId="1AB70B16" w14:textId="11596A69" w:rsidR="000F7F53" w:rsidRPr="00C56167" w:rsidRDefault="000F7F53" w:rsidP="000F7F53">
            <w:pPr>
              <w:rPr>
                <w:rFonts w:cs="Arial"/>
                <w:bCs/>
                <w:iCs/>
                <w:sz w:val="20"/>
                <w:szCs w:val="20"/>
                <w:u w:val="single"/>
              </w:rPr>
            </w:pPr>
            <w:r w:rsidRPr="00C56167">
              <w:rPr>
                <w:rFonts w:cs="Arial"/>
                <w:i/>
                <w:sz w:val="20"/>
                <w:szCs w:val="20"/>
                <w:u w:val="single"/>
              </w:rPr>
              <w:t xml:space="preserve">Not achieved (moderately did not </w:t>
            </w:r>
            <w:r w:rsidR="00F56984" w:rsidRPr="00C56167">
              <w:rPr>
                <w:rFonts w:cs="Arial"/>
                <w:i/>
                <w:sz w:val="20"/>
                <w:szCs w:val="20"/>
                <w:u w:val="single"/>
              </w:rPr>
              <w:t>meet</w:t>
            </w:r>
            <w:r w:rsidRPr="00C56167">
              <w:rPr>
                <w:rFonts w:cs="Arial"/>
                <w:i/>
                <w:sz w:val="20"/>
                <w:szCs w:val="20"/>
                <w:u w:val="single"/>
              </w:rPr>
              <w:t xml:space="preserve"> expectation)</w:t>
            </w:r>
          </w:p>
          <w:p w14:paraId="253CA9A0" w14:textId="77777777" w:rsidR="000F7F53" w:rsidRPr="00C56167" w:rsidRDefault="000F7F53" w:rsidP="00A61734">
            <w:pPr>
              <w:rPr>
                <w:rFonts w:cs="Arial"/>
                <w:sz w:val="20"/>
                <w:szCs w:val="20"/>
              </w:rPr>
            </w:pPr>
          </w:p>
          <w:p w14:paraId="3739F94F" w14:textId="7825E63E" w:rsidR="00A61734" w:rsidRPr="00C56167" w:rsidRDefault="00A61734" w:rsidP="00A61734">
            <w:pPr>
              <w:rPr>
                <w:rFonts w:cs="Arial"/>
                <w:sz w:val="20"/>
                <w:szCs w:val="20"/>
              </w:rPr>
            </w:pPr>
            <w:r w:rsidRPr="00C56167">
              <w:rPr>
                <w:rFonts w:cs="Arial"/>
                <w:sz w:val="20"/>
                <w:szCs w:val="20"/>
              </w:rPr>
              <w:t>4</w:t>
            </w:r>
            <w:r w:rsidR="00671ACA" w:rsidRPr="00C56167">
              <w:rPr>
                <w:rFonts w:cs="Arial"/>
                <w:sz w:val="20"/>
                <w:szCs w:val="20"/>
              </w:rPr>
              <w:t>9.7-60.8</w:t>
            </w:r>
            <w:r w:rsidRPr="00C56167">
              <w:rPr>
                <w:rFonts w:cs="Arial"/>
                <w:sz w:val="20"/>
                <w:szCs w:val="20"/>
              </w:rPr>
              <w:t xml:space="preserve"> (Gross, Cumulative)</w:t>
            </w:r>
          </w:p>
          <w:p w14:paraId="461E155B" w14:textId="77777777" w:rsidR="00A61734" w:rsidRPr="00C56167" w:rsidRDefault="00A61734" w:rsidP="00A61734">
            <w:pPr>
              <w:rPr>
                <w:rFonts w:cs="Arial"/>
                <w:sz w:val="20"/>
                <w:szCs w:val="20"/>
              </w:rPr>
            </w:pPr>
          </w:p>
          <w:tbl>
            <w:tblPr>
              <w:tblStyle w:val="TableGrid"/>
              <w:tblW w:w="4263" w:type="dxa"/>
              <w:tblLook w:val="04A0" w:firstRow="1" w:lastRow="0" w:firstColumn="1" w:lastColumn="0" w:noHBand="0" w:noVBand="1"/>
            </w:tblPr>
            <w:tblGrid>
              <w:gridCol w:w="2085"/>
              <w:gridCol w:w="2178"/>
            </w:tblGrid>
            <w:tr w:rsidR="00A61734" w:rsidRPr="00C56167" w14:paraId="62721B7F" w14:textId="77777777" w:rsidTr="00A61734">
              <w:trPr>
                <w:trHeight w:val="227"/>
              </w:trPr>
              <w:tc>
                <w:tcPr>
                  <w:tcW w:w="2085" w:type="dxa"/>
                  <w:tcBorders>
                    <w:top w:val="single" w:sz="4" w:space="0" w:color="auto"/>
                    <w:left w:val="single" w:sz="4" w:space="0" w:color="auto"/>
                    <w:bottom w:val="single" w:sz="4" w:space="0" w:color="auto"/>
                    <w:right w:val="single" w:sz="4" w:space="0" w:color="auto"/>
                  </w:tcBorders>
                  <w:hideMark/>
                </w:tcPr>
                <w:p w14:paraId="0B260CBE" w14:textId="77777777" w:rsidR="00A61734" w:rsidRPr="00C56167" w:rsidRDefault="00A61734" w:rsidP="00A61734">
                  <w:pPr>
                    <w:rPr>
                      <w:rFonts w:cs="Arial"/>
                      <w:sz w:val="20"/>
                      <w:szCs w:val="20"/>
                      <w:lang w:eastAsia="en-GB"/>
                    </w:rPr>
                  </w:pPr>
                  <w:r w:rsidRPr="00C56167">
                    <w:rPr>
                      <w:rFonts w:cs="Arial"/>
                      <w:sz w:val="20"/>
                      <w:szCs w:val="20"/>
                      <w:lang w:eastAsia="en-GB"/>
                    </w:rPr>
                    <w:t>Project</w:t>
                  </w:r>
                </w:p>
              </w:tc>
              <w:tc>
                <w:tcPr>
                  <w:tcW w:w="2178" w:type="dxa"/>
                  <w:tcBorders>
                    <w:top w:val="single" w:sz="4" w:space="0" w:color="auto"/>
                    <w:left w:val="single" w:sz="4" w:space="0" w:color="auto"/>
                    <w:bottom w:val="single" w:sz="4" w:space="0" w:color="auto"/>
                    <w:right w:val="single" w:sz="4" w:space="0" w:color="auto"/>
                  </w:tcBorders>
                  <w:noWrap/>
                  <w:hideMark/>
                </w:tcPr>
                <w:p w14:paraId="4DC38FD7" w14:textId="77777777" w:rsidR="00A61734" w:rsidRPr="00C56167" w:rsidRDefault="00A61734" w:rsidP="00A61734">
                  <w:pPr>
                    <w:rPr>
                      <w:rFonts w:cs="Arial"/>
                      <w:sz w:val="20"/>
                      <w:szCs w:val="20"/>
                      <w:lang w:eastAsia="en-GB"/>
                    </w:rPr>
                  </w:pPr>
                  <w:r w:rsidRPr="00C56167">
                    <w:rPr>
                      <w:rFonts w:cs="Arial"/>
                      <w:sz w:val="20"/>
                      <w:szCs w:val="20"/>
                      <w:lang w:eastAsia="en-GB"/>
                    </w:rPr>
                    <w:t>Public finance committed (£m)</w:t>
                  </w:r>
                </w:p>
              </w:tc>
            </w:tr>
            <w:tr w:rsidR="00A61734" w:rsidRPr="00C56167" w14:paraId="2274B15D" w14:textId="77777777" w:rsidTr="00A61734">
              <w:trPr>
                <w:trHeight w:val="227"/>
              </w:trPr>
              <w:tc>
                <w:tcPr>
                  <w:tcW w:w="2085" w:type="dxa"/>
                  <w:tcBorders>
                    <w:top w:val="single" w:sz="4" w:space="0" w:color="auto"/>
                    <w:left w:val="single" w:sz="4" w:space="0" w:color="auto"/>
                    <w:bottom w:val="single" w:sz="4" w:space="0" w:color="auto"/>
                    <w:right w:val="single" w:sz="4" w:space="0" w:color="auto"/>
                  </w:tcBorders>
                  <w:noWrap/>
                  <w:hideMark/>
                </w:tcPr>
                <w:p w14:paraId="4E95C2A9" w14:textId="77777777" w:rsidR="00A61734" w:rsidRPr="00C56167" w:rsidRDefault="00A61734" w:rsidP="00A61734">
                  <w:pPr>
                    <w:rPr>
                      <w:rFonts w:cs="Arial"/>
                      <w:sz w:val="20"/>
                      <w:szCs w:val="20"/>
                      <w:lang w:eastAsia="en-GB"/>
                    </w:rPr>
                  </w:pPr>
                  <w:r w:rsidRPr="00C56167">
                    <w:rPr>
                      <w:rFonts w:cs="Arial"/>
                      <w:sz w:val="20"/>
                      <w:szCs w:val="20"/>
                      <w:lang w:eastAsia="en-GB"/>
                    </w:rPr>
                    <w:t xml:space="preserve">Etna 2 </w:t>
                  </w:r>
                </w:p>
              </w:tc>
              <w:tc>
                <w:tcPr>
                  <w:tcW w:w="2178" w:type="dxa"/>
                  <w:tcBorders>
                    <w:top w:val="single" w:sz="4" w:space="0" w:color="auto"/>
                    <w:left w:val="single" w:sz="4" w:space="0" w:color="auto"/>
                    <w:bottom w:val="single" w:sz="4" w:space="0" w:color="auto"/>
                    <w:right w:val="single" w:sz="4" w:space="0" w:color="auto"/>
                  </w:tcBorders>
                  <w:noWrap/>
                  <w:hideMark/>
                </w:tcPr>
                <w:p w14:paraId="625999F8" w14:textId="2A2F3BF1" w:rsidR="00A61734" w:rsidRPr="00C56167" w:rsidRDefault="00A61734" w:rsidP="00A61734">
                  <w:pPr>
                    <w:jc w:val="right"/>
                    <w:rPr>
                      <w:rFonts w:cs="Arial"/>
                      <w:sz w:val="20"/>
                      <w:szCs w:val="20"/>
                      <w:lang w:eastAsia="en-GB"/>
                    </w:rPr>
                  </w:pPr>
                  <w:r w:rsidRPr="00C56167">
                    <w:rPr>
                      <w:rFonts w:cs="Arial"/>
                      <w:sz w:val="20"/>
                      <w:szCs w:val="20"/>
                      <w:lang w:eastAsia="en-GB"/>
                    </w:rPr>
                    <w:t>3</w:t>
                  </w:r>
                  <w:r w:rsidR="00671ACA" w:rsidRPr="00C56167">
                    <w:rPr>
                      <w:rFonts w:cs="Arial"/>
                      <w:sz w:val="20"/>
                      <w:szCs w:val="20"/>
                      <w:lang w:eastAsia="en-GB"/>
                    </w:rPr>
                    <w:t>4</w:t>
                  </w:r>
                </w:p>
              </w:tc>
            </w:tr>
            <w:tr w:rsidR="00A61734" w:rsidRPr="00C56167" w14:paraId="6D5C2A24" w14:textId="77777777" w:rsidTr="00A61734">
              <w:trPr>
                <w:trHeight w:val="227"/>
              </w:trPr>
              <w:tc>
                <w:tcPr>
                  <w:tcW w:w="2085" w:type="dxa"/>
                  <w:tcBorders>
                    <w:top w:val="single" w:sz="4" w:space="0" w:color="auto"/>
                    <w:left w:val="single" w:sz="4" w:space="0" w:color="auto"/>
                    <w:bottom w:val="single" w:sz="4" w:space="0" w:color="auto"/>
                    <w:right w:val="single" w:sz="4" w:space="0" w:color="auto"/>
                  </w:tcBorders>
                  <w:hideMark/>
                </w:tcPr>
                <w:p w14:paraId="194274FC" w14:textId="56B7BEC5" w:rsidR="00A61734" w:rsidRPr="00C56167" w:rsidRDefault="00671ACA" w:rsidP="00A61734">
                  <w:pPr>
                    <w:rPr>
                      <w:rFonts w:cs="Arial"/>
                      <w:sz w:val="20"/>
                      <w:szCs w:val="20"/>
                      <w:lang w:eastAsia="en-GB"/>
                    </w:rPr>
                  </w:pPr>
                  <w:r w:rsidRPr="00C56167">
                    <w:rPr>
                      <w:rFonts w:cs="Arial"/>
                      <w:sz w:val="20"/>
                      <w:szCs w:val="20"/>
                      <w:lang w:eastAsia="en-GB"/>
                    </w:rPr>
                    <w:t>Kijani</w:t>
                  </w:r>
                </w:p>
              </w:tc>
              <w:tc>
                <w:tcPr>
                  <w:tcW w:w="2178" w:type="dxa"/>
                  <w:tcBorders>
                    <w:top w:val="single" w:sz="4" w:space="0" w:color="auto"/>
                    <w:left w:val="single" w:sz="4" w:space="0" w:color="auto"/>
                    <w:bottom w:val="single" w:sz="4" w:space="0" w:color="auto"/>
                    <w:right w:val="single" w:sz="4" w:space="0" w:color="auto"/>
                  </w:tcBorders>
                  <w:noWrap/>
                  <w:hideMark/>
                </w:tcPr>
                <w:p w14:paraId="258EABA9" w14:textId="6A314E1D" w:rsidR="00A61734" w:rsidRPr="00C56167" w:rsidRDefault="00671ACA" w:rsidP="00A61734">
                  <w:pPr>
                    <w:jc w:val="right"/>
                    <w:rPr>
                      <w:rFonts w:cs="Arial"/>
                      <w:sz w:val="20"/>
                      <w:szCs w:val="20"/>
                      <w:lang w:eastAsia="en-GB"/>
                    </w:rPr>
                  </w:pPr>
                  <w:r w:rsidRPr="00C56167">
                    <w:rPr>
                      <w:rFonts w:cs="Arial"/>
                      <w:sz w:val="20"/>
                      <w:szCs w:val="20"/>
                      <w:lang w:eastAsia="en-GB"/>
                    </w:rPr>
                    <w:t>21</w:t>
                  </w:r>
                </w:p>
              </w:tc>
            </w:tr>
            <w:tr w:rsidR="00A61734" w:rsidRPr="00C56167" w14:paraId="5D5DEC62" w14:textId="77777777" w:rsidTr="00A61734">
              <w:trPr>
                <w:trHeight w:val="227"/>
              </w:trPr>
              <w:tc>
                <w:tcPr>
                  <w:tcW w:w="2085" w:type="dxa"/>
                  <w:tcBorders>
                    <w:top w:val="single" w:sz="4" w:space="0" w:color="auto"/>
                    <w:left w:val="single" w:sz="4" w:space="0" w:color="auto"/>
                    <w:bottom w:val="single" w:sz="4" w:space="0" w:color="auto"/>
                    <w:right w:val="single" w:sz="4" w:space="0" w:color="auto"/>
                  </w:tcBorders>
                  <w:hideMark/>
                </w:tcPr>
                <w:p w14:paraId="03C98651" w14:textId="77777777" w:rsidR="00A61734" w:rsidRPr="00C56167" w:rsidRDefault="00A61734" w:rsidP="00A61734">
                  <w:pPr>
                    <w:rPr>
                      <w:rFonts w:cs="Arial"/>
                      <w:b/>
                      <w:sz w:val="20"/>
                      <w:szCs w:val="20"/>
                      <w:lang w:eastAsia="en-GB"/>
                    </w:rPr>
                  </w:pPr>
                  <w:r w:rsidRPr="00C56167">
                    <w:rPr>
                      <w:rFonts w:cs="Arial"/>
                      <w:b/>
                      <w:sz w:val="20"/>
                      <w:szCs w:val="20"/>
                      <w:lang w:eastAsia="en-GB"/>
                    </w:rPr>
                    <w:t>Total (</w:t>
                  </w:r>
                  <w:proofErr w:type="spellStart"/>
                  <w:r w:rsidRPr="00C56167">
                    <w:rPr>
                      <w:rFonts w:cs="Arial"/>
                      <w:b/>
                      <w:bCs/>
                      <w:sz w:val="20"/>
                      <w:szCs w:val="20"/>
                      <w:lang w:eastAsia="en-GB"/>
                    </w:rPr>
                    <w:t>Cumul</w:t>
                  </w:r>
                  <w:proofErr w:type="spellEnd"/>
                  <w:r w:rsidRPr="00C56167">
                    <w:rPr>
                      <w:rFonts w:cs="Arial"/>
                      <w:b/>
                      <w:bCs/>
                      <w:sz w:val="20"/>
                      <w:szCs w:val="20"/>
                      <w:lang w:eastAsia="en-GB"/>
                    </w:rPr>
                    <w:t>.)</w:t>
                  </w:r>
                </w:p>
              </w:tc>
              <w:tc>
                <w:tcPr>
                  <w:tcW w:w="2178" w:type="dxa"/>
                  <w:tcBorders>
                    <w:top w:val="single" w:sz="4" w:space="0" w:color="auto"/>
                    <w:left w:val="single" w:sz="4" w:space="0" w:color="auto"/>
                    <w:bottom w:val="single" w:sz="4" w:space="0" w:color="auto"/>
                    <w:right w:val="single" w:sz="4" w:space="0" w:color="auto"/>
                  </w:tcBorders>
                  <w:noWrap/>
                  <w:hideMark/>
                </w:tcPr>
                <w:p w14:paraId="65327FCE" w14:textId="565A95B4" w:rsidR="00A61734" w:rsidRPr="00C56167" w:rsidRDefault="004572D0" w:rsidP="00A61734">
                  <w:pPr>
                    <w:jc w:val="right"/>
                    <w:rPr>
                      <w:rFonts w:cs="Arial"/>
                      <w:b/>
                      <w:sz w:val="20"/>
                      <w:szCs w:val="20"/>
                      <w:lang w:eastAsia="en-GB"/>
                    </w:rPr>
                  </w:pPr>
                  <w:r w:rsidRPr="00C56167">
                    <w:rPr>
                      <w:rFonts w:cs="Arial"/>
                      <w:b/>
                      <w:sz w:val="20"/>
                      <w:szCs w:val="20"/>
                      <w:lang w:eastAsia="en-GB"/>
                    </w:rPr>
                    <w:t>55</w:t>
                  </w:r>
                </w:p>
              </w:tc>
            </w:tr>
          </w:tbl>
          <w:p w14:paraId="7388B89B" w14:textId="77777777" w:rsidR="00AD0B69" w:rsidRPr="00C56167" w:rsidRDefault="00AD0B69" w:rsidP="00AD0B69">
            <w:pPr>
              <w:rPr>
                <w:rFonts w:ascii="Arial" w:hAnsi="Arial" w:cs="Arial"/>
              </w:rPr>
            </w:pPr>
          </w:p>
        </w:tc>
      </w:tr>
    </w:tbl>
    <w:p w14:paraId="1B150CEB" w14:textId="77777777" w:rsidR="008906D0" w:rsidRPr="00462E61" w:rsidRDefault="008906D0" w:rsidP="008D1F81">
      <w:pPr>
        <w:rPr>
          <w:rFonts w:ascii="Arial" w:hAnsi="Arial" w:cs="Arial"/>
        </w:rPr>
      </w:pPr>
    </w:p>
    <w:p w14:paraId="79554833" w14:textId="523F2B42" w:rsidR="00A12781" w:rsidRPr="00324E48" w:rsidRDefault="00A12781" w:rsidP="008D1F81">
      <w:pPr>
        <w:rPr>
          <w:rFonts w:ascii="Arial" w:hAnsi="Arial" w:cs="Arial"/>
          <w:sz w:val="24"/>
          <w:szCs w:val="24"/>
        </w:rPr>
      </w:pPr>
      <w:r w:rsidRPr="00324E48">
        <w:rPr>
          <w:rFonts w:ascii="Arial" w:hAnsi="Arial" w:cs="Arial"/>
          <w:b/>
          <w:bCs/>
          <w:sz w:val="24"/>
          <w:szCs w:val="24"/>
        </w:rPr>
        <w:t xml:space="preserve">Output summary and supporting narrative for the </w:t>
      </w:r>
      <w:proofErr w:type="gramStart"/>
      <w:r w:rsidRPr="00324E48">
        <w:rPr>
          <w:rFonts w:ascii="Arial" w:hAnsi="Arial" w:cs="Arial"/>
          <w:b/>
          <w:bCs/>
          <w:sz w:val="24"/>
          <w:szCs w:val="24"/>
        </w:rPr>
        <w:t>score</w:t>
      </w:r>
      <w:proofErr w:type="gramEnd"/>
    </w:p>
    <w:p w14:paraId="1DEE08AB" w14:textId="329E30F0" w:rsidR="000B01F4" w:rsidRDefault="000564DC" w:rsidP="008D1F81">
      <w:pPr>
        <w:rPr>
          <w:rFonts w:ascii="Arial" w:hAnsi="Arial" w:cs="Arial"/>
        </w:rPr>
      </w:pPr>
      <w:r>
        <w:rPr>
          <w:rFonts w:ascii="Arial" w:hAnsi="Arial" w:cs="Arial"/>
        </w:rPr>
        <w:t>Private finance</w:t>
      </w:r>
      <w:r w:rsidR="00A206F6">
        <w:rPr>
          <w:rFonts w:ascii="Arial" w:hAnsi="Arial" w:cs="Arial"/>
        </w:rPr>
        <w:t xml:space="preserve"> and public finance</w:t>
      </w:r>
      <w:r>
        <w:rPr>
          <w:rFonts w:ascii="Arial" w:hAnsi="Arial" w:cs="Arial"/>
        </w:rPr>
        <w:t xml:space="preserve"> mobilisation figures moderately </w:t>
      </w:r>
      <w:r w:rsidR="00896499">
        <w:rPr>
          <w:rFonts w:ascii="Arial" w:hAnsi="Arial" w:cs="Arial"/>
        </w:rPr>
        <w:t>did not meet</w:t>
      </w:r>
      <w:r>
        <w:rPr>
          <w:rFonts w:ascii="Arial" w:hAnsi="Arial" w:cs="Arial"/>
        </w:rPr>
        <w:t xml:space="preserve"> expectations. </w:t>
      </w:r>
      <w:r w:rsidR="000B01F4">
        <w:rPr>
          <w:rFonts w:ascii="Arial" w:hAnsi="Arial" w:cs="Arial"/>
        </w:rPr>
        <w:t>Investments faced varying market conditions during UKCI’s lifetime</w:t>
      </w:r>
      <w:r w:rsidR="007240A6">
        <w:rPr>
          <w:rFonts w:ascii="Arial" w:hAnsi="Arial" w:cs="Arial"/>
        </w:rPr>
        <w:t xml:space="preserve">. Market conditions for the target markets worsened </w:t>
      </w:r>
      <w:r w:rsidR="00CA003C">
        <w:rPr>
          <w:rFonts w:ascii="Arial" w:hAnsi="Arial" w:cs="Arial"/>
        </w:rPr>
        <w:t>because of</w:t>
      </w:r>
      <w:r w:rsidR="0077523E">
        <w:rPr>
          <w:rFonts w:ascii="Arial" w:hAnsi="Arial" w:cs="Arial"/>
        </w:rPr>
        <w:t xml:space="preserve"> covid’s negative economic shock, periods of heightened inflation, and </w:t>
      </w:r>
      <w:r w:rsidR="00F676B6">
        <w:rPr>
          <w:rFonts w:ascii="Arial" w:hAnsi="Arial" w:cs="Arial"/>
        </w:rPr>
        <w:t>emerging market currency devaluation.</w:t>
      </w:r>
      <w:r w:rsidR="00597A47">
        <w:rPr>
          <w:rStyle w:val="FootnoteReference"/>
          <w:rFonts w:ascii="Arial" w:hAnsi="Arial" w:cs="Arial"/>
        </w:rPr>
        <w:footnoteReference w:id="4"/>
      </w:r>
      <w:r w:rsidR="00F676B6">
        <w:rPr>
          <w:rFonts w:ascii="Arial" w:hAnsi="Arial" w:cs="Arial"/>
        </w:rPr>
        <w:t xml:space="preserve"> </w:t>
      </w:r>
      <w:r w:rsidR="0057197B">
        <w:rPr>
          <w:rFonts w:ascii="Arial" w:hAnsi="Arial" w:cs="Arial"/>
        </w:rPr>
        <w:t xml:space="preserve">International capital tended to become risk averse as a result leading to more difficult fundraising conditions for UKCI’s investees. </w:t>
      </w:r>
      <w:r w:rsidR="00FA0F4B">
        <w:rPr>
          <w:rFonts w:ascii="Arial" w:hAnsi="Arial" w:cs="Arial"/>
        </w:rPr>
        <w:t xml:space="preserve">As a result, MDB financing became more important in the financing mix than initially expected. It can </w:t>
      </w:r>
      <w:proofErr w:type="gramStart"/>
      <w:r w:rsidR="00FA0F4B">
        <w:rPr>
          <w:rFonts w:ascii="Arial" w:hAnsi="Arial" w:cs="Arial"/>
        </w:rPr>
        <w:t>be concluded</w:t>
      </w:r>
      <w:proofErr w:type="gramEnd"/>
      <w:r w:rsidR="00FA0F4B">
        <w:rPr>
          <w:rFonts w:ascii="Arial" w:hAnsi="Arial" w:cs="Arial"/>
        </w:rPr>
        <w:t xml:space="preserve"> therefore that macroeconomic and country risk were primarily responsible </w:t>
      </w:r>
      <w:r w:rsidR="000E2B1C">
        <w:rPr>
          <w:rFonts w:ascii="Arial" w:hAnsi="Arial" w:cs="Arial"/>
        </w:rPr>
        <w:t xml:space="preserve">for missed targets </w:t>
      </w:r>
      <w:r w:rsidR="00774F58">
        <w:rPr>
          <w:rFonts w:ascii="Arial" w:hAnsi="Arial" w:cs="Arial"/>
        </w:rPr>
        <w:t>as opposed to risks to projects and assets.</w:t>
      </w:r>
    </w:p>
    <w:p w14:paraId="7D69534C" w14:textId="71DFBDEA" w:rsidR="000564DC" w:rsidRPr="000564DC" w:rsidRDefault="000564DC" w:rsidP="008D1F81">
      <w:pPr>
        <w:rPr>
          <w:rFonts w:ascii="Arial" w:hAnsi="Arial" w:cs="Arial"/>
        </w:rPr>
      </w:pPr>
      <w:r>
        <w:rPr>
          <w:rFonts w:ascii="Arial" w:hAnsi="Arial" w:cs="Arial"/>
        </w:rPr>
        <w:t xml:space="preserve">As the goal of the programme was to overcome market barriers and demonstrate commercial viability – greater weight </w:t>
      </w:r>
      <w:proofErr w:type="gramStart"/>
      <w:r>
        <w:rPr>
          <w:rFonts w:ascii="Arial" w:hAnsi="Arial" w:cs="Arial"/>
        </w:rPr>
        <w:t>is placed</w:t>
      </w:r>
      <w:proofErr w:type="gramEnd"/>
      <w:r>
        <w:rPr>
          <w:rFonts w:ascii="Arial" w:hAnsi="Arial" w:cs="Arial"/>
        </w:rPr>
        <w:t xml:space="preserve"> on th</w:t>
      </w:r>
      <w:r w:rsidR="00A206F6">
        <w:rPr>
          <w:rFonts w:ascii="Arial" w:hAnsi="Arial" w:cs="Arial"/>
        </w:rPr>
        <w:t>e private finance</w:t>
      </w:r>
      <w:r>
        <w:rPr>
          <w:rFonts w:ascii="Arial" w:hAnsi="Arial" w:cs="Arial"/>
        </w:rPr>
        <w:t xml:space="preserve"> result than the public finance mobilisation scores. The significantly higher private finance mobilisation</w:t>
      </w:r>
      <w:r w:rsidR="00D105D5">
        <w:rPr>
          <w:rFonts w:ascii="Arial" w:hAnsi="Arial" w:cs="Arial"/>
        </w:rPr>
        <w:t xml:space="preserve"> (relative to public financing)</w:t>
      </w:r>
      <w:r>
        <w:rPr>
          <w:rFonts w:ascii="Arial" w:hAnsi="Arial" w:cs="Arial"/>
        </w:rPr>
        <w:t xml:space="preserve"> figures reflect the successful positioning of UKCI – which entered investments on commercial terms under clear additionality criteria. UKCI </w:t>
      </w:r>
      <w:proofErr w:type="gramStart"/>
      <w:r>
        <w:rPr>
          <w:rFonts w:ascii="Arial" w:hAnsi="Arial" w:cs="Arial"/>
        </w:rPr>
        <w:t>was effectively positioned</w:t>
      </w:r>
      <w:proofErr w:type="gramEnd"/>
      <w:r>
        <w:rPr>
          <w:rFonts w:ascii="Arial" w:hAnsi="Arial" w:cs="Arial"/>
        </w:rPr>
        <w:t xml:space="preserve"> at the point at which investments were on the cusp of commercial viability as a means of shifting the dial towards commercial viability for similar deals in the future. A </w:t>
      </w:r>
      <w:proofErr w:type="gramStart"/>
      <w:r>
        <w:rPr>
          <w:rFonts w:ascii="Arial" w:hAnsi="Arial" w:cs="Arial"/>
        </w:rPr>
        <w:t>relatively larger</w:t>
      </w:r>
      <w:proofErr w:type="gramEnd"/>
      <w:r>
        <w:rPr>
          <w:rFonts w:ascii="Arial" w:hAnsi="Arial" w:cs="Arial"/>
        </w:rPr>
        <w:t xml:space="preserve"> public finance mobilisation figure would arguably suggest that UKCI had failed on this objective.</w:t>
      </w:r>
    </w:p>
    <w:p w14:paraId="0AE66526" w14:textId="26768979" w:rsidR="00DE48FA" w:rsidRDefault="00DE48FA" w:rsidP="008D1F81">
      <w:pPr>
        <w:rPr>
          <w:rFonts w:ascii="Arial" w:hAnsi="Arial" w:cs="Arial"/>
        </w:rPr>
      </w:pPr>
      <w:r>
        <w:rPr>
          <w:rFonts w:ascii="Arial" w:hAnsi="Arial" w:cs="Arial"/>
        </w:rPr>
        <w:lastRenderedPageBreak/>
        <w:t xml:space="preserve">We can go beyond the headline figures using the findings of the final independent review of UKCI. </w:t>
      </w:r>
      <w:r w:rsidR="004F1C5F">
        <w:rPr>
          <w:rFonts w:ascii="Arial" w:hAnsi="Arial" w:cs="Arial"/>
        </w:rPr>
        <w:t xml:space="preserve">UKCI contributed to crowding in investors of </w:t>
      </w:r>
      <w:proofErr w:type="gramStart"/>
      <w:r w:rsidR="004F1C5F">
        <w:rPr>
          <w:rFonts w:ascii="Arial" w:hAnsi="Arial" w:cs="Arial"/>
        </w:rPr>
        <w:t>several</w:t>
      </w:r>
      <w:proofErr w:type="gramEnd"/>
      <w:r w:rsidR="004F1C5F">
        <w:rPr>
          <w:rFonts w:ascii="Arial" w:hAnsi="Arial" w:cs="Arial"/>
        </w:rPr>
        <w:t xml:space="preserve"> types: commercial banks (Bolt, Dazzle), institutional investors (Dazzle, Kijani), private equity funds (Apollo, Lakeside), and public DFIs of multilateral funds (Kijani, Apollo, Etna2)</w:t>
      </w:r>
      <w:r w:rsidR="00D21157">
        <w:rPr>
          <w:rFonts w:ascii="Arial" w:hAnsi="Arial" w:cs="Arial"/>
        </w:rPr>
        <w:t>.</w:t>
      </w:r>
      <w:r w:rsidR="00400E4D">
        <w:rPr>
          <w:rFonts w:ascii="Arial" w:hAnsi="Arial" w:cs="Arial"/>
        </w:rPr>
        <w:t xml:space="preserve"> Evidence related to the motivations for these investors putting their money forward is anecdotal and therefore </w:t>
      </w:r>
      <w:r w:rsidR="00F173DC">
        <w:rPr>
          <w:rFonts w:ascii="Arial" w:hAnsi="Arial" w:cs="Arial"/>
        </w:rPr>
        <w:t xml:space="preserve">implications should </w:t>
      </w:r>
      <w:proofErr w:type="gramStart"/>
      <w:r w:rsidR="00F173DC">
        <w:rPr>
          <w:rFonts w:ascii="Arial" w:hAnsi="Arial" w:cs="Arial"/>
        </w:rPr>
        <w:t>be considered</w:t>
      </w:r>
      <w:proofErr w:type="gramEnd"/>
      <w:r w:rsidR="00F173DC">
        <w:rPr>
          <w:rFonts w:ascii="Arial" w:hAnsi="Arial" w:cs="Arial"/>
        </w:rPr>
        <w:t xml:space="preserve"> tentative. The anecdotal evidence available suggests that the following factors contributed to leveraging additional finance:</w:t>
      </w:r>
    </w:p>
    <w:p w14:paraId="774A98CD" w14:textId="296CF1D8" w:rsidR="00F173DC" w:rsidRDefault="00F173DC" w:rsidP="00F173DC">
      <w:pPr>
        <w:pStyle w:val="ListParagraph"/>
        <w:numPr>
          <w:ilvl w:val="0"/>
          <w:numId w:val="4"/>
        </w:numPr>
        <w:rPr>
          <w:rFonts w:ascii="Arial" w:hAnsi="Arial" w:cs="Arial"/>
        </w:rPr>
      </w:pPr>
      <w:r>
        <w:rPr>
          <w:rFonts w:ascii="Arial" w:hAnsi="Arial" w:cs="Arial"/>
        </w:rPr>
        <w:t>Innovative financial structures</w:t>
      </w:r>
      <w:r w:rsidR="0067641B">
        <w:rPr>
          <w:rFonts w:ascii="Arial" w:hAnsi="Arial" w:cs="Arial"/>
        </w:rPr>
        <w:t xml:space="preserve"> (notably yieldco structures that e</w:t>
      </w:r>
      <w:r w:rsidR="00020E08">
        <w:rPr>
          <w:rFonts w:ascii="Arial" w:hAnsi="Arial" w:cs="Arial"/>
        </w:rPr>
        <w:t xml:space="preserve">nabled </w:t>
      </w:r>
      <w:r w:rsidR="006D4CBC">
        <w:rPr>
          <w:rFonts w:ascii="Arial" w:hAnsi="Arial" w:cs="Arial"/>
        </w:rPr>
        <w:t xml:space="preserve">an </w:t>
      </w:r>
      <w:proofErr w:type="gramStart"/>
      <w:r w:rsidR="00020E08">
        <w:rPr>
          <w:rFonts w:ascii="Arial" w:hAnsi="Arial" w:cs="Arial"/>
        </w:rPr>
        <w:t>institutional investors</w:t>
      </w:r>
      <w:proofErr w:type="gramEnd"/>
      <w:r w:rsidR="00020E08">
        <w:rPr>
          <w:rFonts w:ascii="Arial" w:hAnsi="Arial" w:cs="Arial"/>
        </w:rPr>
        <w:t xml:space="preserve"> to invest in renewable energy in South Africa)</w:t>
      </w:r>
      <w:r w:rsidR="00960700">
        <w:rPr>
          <w:rFonts w:ascii="Arial" w:hAnsi="Arial" w:cs="Arial"/>
        </w:rPr>
        <w:t>;</w:t>
      </w:r>
    </w:p>
    <w:p w14:paraId="4A106ED7" w14:textId="5386A58A" w:rsidR="00960700" w:rsidRDefault="00960700" w:rsidP="00F173DC">
      <w:pPr>
        <w:pStyle w:val="ListParagraph"/>
        <w:numPr>
          <w:ilvl w:val="0"/>
          <w:numId w:val="4"/>
        </w:numPr>
        <w:rPr>
          <w:rFonts w:ascii="Arial" w:hAnsi="Arial" w:cs="Arial"/>
        </w:rPr>
      </w:pPr>
      <w:r>
        <w:rPr>
          <w:rFonts w:ascii="Arial" w:hAnsi="Arial" w:cs="Arial"/>
        </w:rPr>
        <w:t xml:space="preserve">Sustainable investments where UKCI taking on more risk than private investors allowed growth which unlocked </w:t>
      </w:r>
      <w:r w:rsidR="006D4CBC">
        <w:rPr>
          <w:rFonts w:ascii="Arial" w:hAnsi="Arial" w:cs="Arial"/>
        </w:rPr>
        <w:t xml:space="preserve">private investment in subsequent </w:t>
      </w:r>
      <w:proofErr w:type="gramStart"/>
      <w:r w:rsidR="006D4CBC">
        <w:rPr>
          <w:rFonts w:ascii="Arial" w:hAnsi="Arial" w:cs="Arial"/>
        </w:rPr>
        <w:t>rounds;</w:t>
      </w:r>
      <w:proofErr w:type="gramEnd"/>
    </w:p>
    <w:p w14:paraId="06A26944" w14:textId="0EB2CD3A" w:rsidR="006D4CBC" w:rsidRPr="00F173DC" w:rsidRDefault="0086145E" w:rsidP="00F173DC">
      <w:pPr>
        <w:pStyle w:val="ListParagraph"/>
        <w:numPr>
          <w:ilvl w:val="0"/>
          <w:numId w:val="4"/>
        </w:numPr>
        <w:rPr>
          <w:rFonts w:ascii="Arial" w:hAnsi="Arial" w:cs="Arial"/>
        </w:rPr>
      </w:pPr>
      <w:r>
        <w:rPr>
          <w:rFonts w:ascii="Arial" w:hAnsi="Arial" w:cs="Arial"/>
        </w:rPr>
        <w:t>Positive influence of UK and Macquarie support which brought positive soft power benefits and the reputation of a commercial investor.</w:t>
      </w:r>
    </w:p>
    <w:p w14:paraId="51937952" w14:textId="39111267" w:rsidR="00EE2947" w:rsidRPr="00324E48" w:rsidRDefault="00EE2947" w:rsidP="00EE2947">
      <w:pPr>
        <w:rPr>
          <w:rFonts w:ascii="Arial" w:hAnsi="Arial" w:cs="Arial"/>
          <w:sz w:val="24"/>
          <w:szCs w:val="24"/>
        </w:rPr>
      </w:pPr>
      <w:r w:rsidRPr="00324E48">
        <w:rPr>
          <w:rFonts w:ascii="Arial" w:hAnsi="Arial" w:cs="Arial"/>
          <w:b/>
          <w:bCs/>
          <w:sz w:val="24"/>
          <w:szCs w:val="24"/>
        </w:rPr>
        <w:t xml:space="preserve">Lessons learned through this output, and recommendations for future </w:t>
      </w:r>
      <w:proofErr w:type="gramStart"/>
      <w:r w:rsidRPr="00324E48">
        <w:rPr>
          <w:rFonts w:ascii="Arial" w:hAnsi="Arial" w:cs="Arial"/>
          <w:b/>
          <w:bCs/>
          <w:sz w:val="24"/>
          <w:szCs w:val="24"/>
        </w:rPr>
        <w:t>programming</w:t>
      </w:r>
      <w:proofErr w:type="gramEnd"/>
    </w:p>
    <w:p w14:paraId="6D01E0B8" w14:textId="24C218F9" w:rsidR="002512A5" w:rsidRDefault="002512A5" w:rsidP="000564DC">
      <w:pPr>
        <w:rPr>
          <w:rFonts w:ascii="Arial" w:hAnsi="Arial" w:cs="Arial"/>
        </w:rPr>
      </w:pPr>
      <w:r>
        <w:rPr>
          <w:rFonts w:ascii="Arial" w:hAnsi="Arial" w:cs="Arial"/>
        </w:rPr>
        <w:t xml:space="preserve">While we cannot say with confidence that UKCI will achieve its transformational change objectives – there is anecdotal evidence of mixed results and headline output figures reflect </w:t>
      </w:r>
      <w:proofErr w:type="gramStart"/>
      <w:r>
        <w:rPr>
          <w:rFonts w:ascii="Arial" w:hAnsi="Arial" w:cs="Arial"/>
        </w:rPr>
        <w:t>good performance</w:t>
      </w:r>
      <w:proofErr w:type="gramEnd"/>
      <w:r>
        <w:rPr>
          <w:rFonts w:ascii="Arial" w:hAnsi="Arial" w:cs="Arial"/>
        </w:rPr>
        <w:t xml:space="preserve">. </w:t>
      </w:r>
    </w:p>
    <w:p w14:paraId="79FE8514" w14:textId="27E9EBFC" w:rsidR="002512A5" w:rsidRDefault="002512A5" w:rsidP="000564DC">
      <w:pPr>
        <w:rPr>
          <w:rFonts w:ascii="Arial" w:hAnsi="Arial" w:cs="Arial"/>
        </w:rPr>
      </w:pPr>
      <w:r>
        <w:rPr>
          <w:rFonts w:ascii="Arial" w:hAnsi="Arial" w:cs="Arial"/>
        </w:rPr>
        <w:t>It would be impossible to fully ascertain the impact of the various changes UKCI faced (significant changes at the delivery partner and COVID-19 in particular) on its ability to meet its objectives against expectations at the start. It is reasonable, however, for those working on similar programmes in the future to expect bumps along the road.</w:t>
      </w:r>
    </w:p>
    <w:p w14:paraId="217645FF" w14:textId="3BA07542" w:rsidR="002512A5" w:rsidRDefault="002512A5" w:rsidP="000564DC">
      <w:pPr>
        <w:rPr>
          <w:rFonts w:ascii="Arial" w:hAnsi="Arial" w:cs="Arial"/>
        </w:rPr>
      </w:pPr>
      <w:r>
        <w:rPr>
          <w:rFonts w:ascii="Arial" w:hAnsi="Arial" w:cs="Arial"/>
        </w:rPr>
        <w:t>We can draw on the findings of the Ipsos Mori final evaluation of UKCI to consider the internal reasons identified for the slower than expected achievement of results:</w:t>
      </w:r>
    </w:p>
    <w:p w14:paraId="0D43DDA0" w14:textId="77777777" w:rsidR="002512A5" w:rsidRPr="00FB4307" w:rsidRDefault="002512A5" w:rsidP="002512A5">
      <w:pPr>
        <w:pStyle w:val="ListParagraph"/>
        <w:numPr>
          <w:ilvl w:val="0"/>
          <w:numId w:val="4"/>
        </w:numPr>
        <w:ind w:left="1440"/>
        <w:rPr>
          <w:rFonts w:ascii="Arial" w:hAnsi="Arial" w:cs="Arial"/>
          <w:i/>
          <w:iCs/>
        </w:rPr>
      </w:pPr>
      <w:proofErr w:type="gramStart"/>
      <w:r w:rsidRPr="00FB4307">
        <w:rPr>
          <w:rFonts w:ascii="Arial" w:hAnsi="Arial" w:cs="Arial"/>
          <w:i/>
          <w:iCs/>
        </w:rPr>
        <w:t>Very specific</w:t>
      </w:r>
      <w:proofErr w:type="gramEnd"/>
      <w:r w:rsidRPr="00FB4307">
        <w:rPr>
          <w:rFonts w:ascii="Arial" w:hAnsi="Arial" w:cs="Arial"/>
          <w:i/>
          <w:iCs/>
        </w:rPr>
        <w:t xml:space="preserve"> additionality and transformational change criteria: These criteria made it difficult for the UKCI team to source deals that would meet all the requirements. While they were mostly useful to ensure additionality of the investments, they slowed down the speed at which UKCI could commit its funds.</w:t>
      </w:r>
    </w:p>
    <w:p w14:paraId="7F99F3C0" w14:textId="77777777" w:rsidR="002512A5" w:rsidRPr="00FB4307" w:rsidRDefault="002512A5" w:rsidP="002512A5">
      <w:pPr>
        <w:pStyle w:val="ListParagraph"/>
        <w:numPr>
          <w:ilvl w:val="0"/>
          <w:numId w:val="4"/>
        </w:numPr>
        <w:ind w:left="1440"/>
        <w:rPr>
          <w:rFonts w:ascii="Arial" w:hAnsi="Arial" w:cs="Arial"/>
          <w:i/>
          <w:iCs/>
        </w:rPr>
      </w:pPr>
      <w:r w:rsidRPr="00FB4307">
        <w:rPr>
          <w:rFonts w:ascii="Arial" w:hAnsi="Arial" w:cs="Arial"/>
          <w:i/>
          <w:iCs/>
        </w:rPr>
        <w:t xml:space="preserve">Low adaptation to changes in context in target geographies: The target geographies were reviewed and expanded after UKCI was launched, but even so, UKCI was delayed partly due to some contextual aspects in its key geographies: In South Africa, the REIPPP was put on hold for several years (2014-2021), limiting investments in renewable energy; and in India, the GBP 30 million threshold for investments per project/firm was relatively low for the market. </w:t>
      </w:r>
    </w:p>
    <w:p w14:paraId="50290888" w14:textId="77777777" w:rsidR="002512A5" w:rsidRPr="00FB4307" w:rsidRDefault="002512A5" w:rsidP="002512A5">
      <w:pPr>
        <w:pStyle w:val="ListParagraph"/>
        <w:numPr>
          <w:ilvl w:val="0"/>
          <w:numId w:val="4"/>
        </w:numPr>
        <w:ind w:left="1440"/>
        <w:rPr>
          <w:rFonts w:ascii="Arial" w:hAnsi="Arial" w:cs="Arial"/>
          <w:i/>
          <w:iCs/>
        </w:rPr>
      </w:pPr>
      <w:r w:rsidRPr="00FB4307">
        <w:rPr>
          <w:rFonts w:ascii="Arial" w:hAnsi="Arial" w:cs="Arial"/>
          <w:i/>
          <w:iCs/>
        </w:rPr>
        <w:t xml:space="preserve">Learning curve: With the move of UKCI to Macquarie, the UKCI team and IC had to get up to speed on concepts that are less familiar to commercial investors (e.g., transformational change), meaning that processes to approve deals took longer at the beginning. </w:t>
      </w:r>
    </w:p>
    <w:p w14:paraId="385418B0" w14:textId="0DCB9F74" w:rsidR="002512A5" w:rsidRDefault="002512A5" w:rsidP="000564DC">
      <w:pPr>
        <w:rPr>
          <w:rFonts w:ascii="Arial" w:hAnsi="Arial" w:cs="Arial"/>
        </w:rPr>
      </w:pPr>
      <w:r>
        <w:rPr>
          <w:rFonts w:ascii="Arial" w:hAnsi="Arial" w:cs="Arial"/>
        </w:rPr>
        <w:t xml:space="preserve">We expect that future programming in related areas would benefit from explicitly considering trade-offs from responding to the above findings. </w:t>
      </w:r>
      <w:proofErr w:type="gramStart"/>
      <w:r>
        <w:rPr>
          <w:rFonts w:ascii="Arial" w:hAnsi="Arial" w:cs="Arial"/>
        </w:rPr>
        <w:t>Arguably it</w:t>
      </w:r>
      <w:proofErr w:type="gramEnd"/>
      <w:r>
        <w:rPr>
          <w:rFonts w:ascii="Arial" w:hAnsi="Arial" w:cs="Arial"/>
        </w:rPr>
        <w:t xml:space="preserve"> is a better use of public funds to ensure additionality and transformational change impacts are achieved and ideally public funds would have greater patience in the timing of delivery to achieve these objectives. There is however a cost in doing so – both in terms of fees paid to delivery partners and greater use of public oversight resources. Future programmes should </w:t>
      </w:r>
      <w:proofErr w:type="gramStart"/>
      <w:r>
        <w:rPr>
          <w:rFonts w:ascii="Arial" w:hAnsi="Arial" w:cs="Arial"/>
        </w:rPr>
        <w:t>take into account</w:t>
      </w:r>
      <w:proofErr w:type="gramEnd"/>
      <w:r>
        <w:rPr>
          <w:rFonts w:ascii="Arial" w:hAnsi="Arial" w:cs="Arial"/>
        </w:rPr>
        <w:t xml:space="preserve"> the </w:t>
      </w:r>
      <w:r>
        <w:rPr>
          <w:rFonts w:ascii="Arial" w:hAnsi="Arial" w:cs="Arial"/>
        </w:rPr>
        <w:lastRenderedPageBreak/>
        <w:t>costs and benefits of more flexible policies on additionality, transformational change, and geography in reducing time to investment and overhead costs, against the potential decreases in impact of the programme.</w:t>
      </w:r>
    </w:p>
    <w:p w14:paraId="34FD47E2" w14:textId="48D07F10" w:rsidR="002512A5" w:rsidRDefault="002512A5" w:rsidP="000564DC">
      <w:pPr>
        <w:rPr>
          <w:rFonts w:ascii="Arial" w:hAnsi="Arial" w:cs="Arial"/>
        </w:rPr>
      </w:pPr>
      <w:r>
        <w:rPr>
          <w:rFonts w:ascii="Arial" w:hAnsi="Arial" w:cs="Arial"/>
        </w:rPr>
        <w:t>To disseminate these findings, we recommend the publication of the Ipsos Mori final report on DevTracker</w:t>
      </w:r>
      <w:r w:rsidR="005D499C">
        <w:rPr>
          <w:rFonts w:ascii="Arial" w:hAnsi="Arial" w:cs="Arial"/>
        </w:rPr>
        <w:t>; socialising the report internally and with relevant external partners;</w:t>
      </w:r>
      <w:r>
        <w:rPr>
          <w:rFonts w:ascii="Arial" w:hAnsi="Arial" w:cs="Arial"/>
        </w:rPr>
        <w:t xml:space="preserve"> and a series of internal workshops outlining the findings of the Ipsos Mori final report and this PCR.</w:t>
      </w:r>
    </w:p>
    <w:p w14:paraId="71B81134" w14:textId="77777777" w:rsidR="007E63FE" w:rsidRDefault="007E63FE" w:rsidP="00420F50">
      <w:pPr>
        <w:rPr>
          <w:rStyle w:val="Heading2Char"/>
          <w:rFonts w:cs="Arial"/>
          <w:sz w:val="24"/>
          <w:szCs w:val="28"/>
        </w:rPr>
      </w:pPr>
    </w:p>
    <w:p w14:paraId="2DC3EED0" w14:textId="4DAC9AB6" w:rsidR="00420F50" w:rsidRPr="00324E48" w:rsidRDefault="007E63FE" w:rsidP="00420F50">
      <w:pPr>
        <w:rPr>
          <w:rFonts w:ascii="Arial" w:hAnsi="Arial" w:cs="Arial"/>
          <w:sz w:val="24"/>
          <w:szCs w:val="24"/>
        </w:rPr>
      </w:pPr>
      <w:bookmarkStart w:id="11" w:name="_Toc162948077"/>
      <w:r>
        <w:rPr>
          <w:rStyle w:val="Heading2Char"/>
          <w:rFonts w:cs="Arial"/>
          <w:sz w:val="24"/>
          <w:szCs w:val="28"/>
        </w:rPr>
        <w:t>O</w:t>
      </w:r>
      <w:r w:rsidR="00420F50" w:rsidRPr="00324E48">
        <w:rPr>
          <w:rStyle w:val="Heading2Char"/>
          <w:rFonts w:cs="Arial"/>
          <w:sz w:val="24"/>
          <w:szCs w:val="28"/>
        </w:rPr>
        <w:t xml:space="preserve">utput </w:t>
      </w:r>
      <w:proofErr w:type="gramStart"/>
      <w:r w:rsidR="00420F50" w:rsidRPr="00324E48">
        <w:rPr>
          <w:rStyle w:val="Heading2Char"/>
          <w:rFonts w:cs="Arial"/>
          <w:sz w:val="24"/>
          <w:szCs w:val="28"/>
        </w:rPr>
        <w:t>2</w:t>
      </w:r>
      <w:bookmarkEnd w:id="11"/>
      <w:proofErr w:type="gramEnd"/>
    </w:p>
    <w:tbl>
      <w:tblPr>
        <w:tblStyle w:val="TableGrid"/>
        <w:tblW w:w="0" w:type="auto"/>
        <w:tblLook w:val="04A0" w:firstRow="1" w:lastRow="0" w:firstColumn="1" w:lastColumn="0" w:noHBand="0" w:noVBand="1"/>
      </w:tblPr>
      <w:tblGrid>
        <w:gridCol w:w="2254"/>
        <w:gridCol w:w="2254"/>
        <w:gridCol w:w="2254"/>
        <w:gridCol w:w="2254"/>
      </w:tblGrid>
      <w:tr w:rsidR="00487914" w:rsidRPr="00462E61" w14:paraId="464262F4" w14:textId="77777777" w:rsidTr="002631E7">
        <w:tc>
          <w:tcPr>
            <w:tcW w:w="2254" w:type="dxa"/>
            <w:shd w:val="clear" w:color="auto" w:fill="DEEAF6" w:themeFill="accent5" w:themeFillTint="33"/>
          </w:tcPr>
          <w:p w14:paraId="6D067991" w14:textId="77777777" w:rsidR="003D1AA3" w:rsidRPr="00462E61" w:rsidRDefault="003D1AA3" w:rsidP="002631E7">
            <w:pPr>
              <w:rPr>
                <w:rFonts w:ascii="Arial" w:hAnsi="Arial" w:cs="Arial"/>
                <w:b/>
                <w:bCs/>
              </w:rPr>
            </w:pPr>
            <w:r w:rsidRPr="00462E61">
              <w:rPr>
                <w:rFonts w:ascii="Arial" w:hAnsi="Arial" w:cs="Arial"/>
                <w:b/>
                <w:bCs/>
              </w:rPr>
              <w:t>Output Title</w:t>
            </w:r>
          </w:p>
        </w:tc>
        <w:tc>
          <w:tcPr>
            <w:tcW w:w="6762" w:type="dxa"/>
            <w:gridSpan w:val="3"/>
          </w:tcPr>
          <w:p w14:paraId="2C72AC22" w14:textId="0B0D5350" w:rsidR="003D1AA3" w:rsidRPr="00462E61" w:rsidRDefault="00AA4CA5" w:rsidP="003D1AA3">
            <w:pPr>
              <w:jc w:val="center"/>
              <w:rPr>
                <w:rFonts w:ascii="Arial" w:hAnsi="Arial" w:cs="Arial"/>
              </w:rPr>
            </w:pPr>
            <w:r w:rsidRPr="00AA4CA5">
              <w:rPr>
                <w:rFonts w:ascii="Arial" w:hAnsi="Arial" w:cs="Arial"/>
              </w:rPr>
              <w:t xml:space="preserve">Innovative Renewable Energy and Energy Efficiency measures </w:t>
            </w:r>
            <w:proofErr w:type="gramStart"/>
            <w:r w:rsidRPr="00AA4CA5">
              <w:rPr>
                <w:rFonts w:ascii="Arial" w:hAnsi="Arial" w:cs="Arial"/>
              </w:rPr>
              <w:t>are installed</w:t>
            </w:r>
            <w:proofErr w:type="gramEnd"/>
            <w:r w:rsidRPr="00AA4CA5">
              <w:rPr>
                <w:rFonts w:ascii="Arial" w:hAnsi="Arial" w:cs="Arial"/>
              </w:rPr>
              <w:t xml:space="preserve"> in priority markets.</w:t>
            </w:r>
          </w:p>
        </w:tc>
      </w:tr>
      <w:tr w:rsidR="00487914" w:rsidRPr="00462E61" w14:paraId="4B3BAC37" w14:textId="77777777" w:rsidTr="002631E7">
        <w:tc>
          <w:tcPr>
            <w:tcW w:w="2254" w:type="dxa"/>
            <w:shd w:val="clear" w:color="auto" w:fill="DEEAF6" w:themeFill="accent5" w:themeFillTint="33"/>
          </w:tcPr>
          <w:p w14:paraId="7BDAF2DE" w14:textId="77777777" w:rsidR="003D1AA3" w:rsidRPr="00462E61" w:rsidRDefault="003D1AA3" w:rsidP="002631E7">
            <w:pPr>
              <w:rPr>
                <w:rFonts w:ascii="Arial" w:hAnsi="Arial" w:cs="Arial"/>
              </w:rPr>
            </w:pPr>
            <w:r w:rsidRPr="00462E61">
              <w:rPr>
                <w:rFonts w:ascii="Arial" w:hAnsi="Arial" w:cs="Arial"/>
              </w:rPr>
              <w:t>Output Score</w:t>
            </w:r>
          </w:p>
        </w:tc>
        <w:tc>
          <w:tcPr>
            <w:tcW w:w="6762" w:type="dxa"/>
            <w:gridSpan w:val="3"/>
          </w:tcPr>
          <w:p w14:paraId="19A432C0" w14:textId="0FA13070" w:rsidR="003D1AA3" w:rsidRPr="00462E61" w:rsidRDefault="00F56984" w:rsidP="003D1AA3">
            <w:pPr>
              <w:jc w:val="center"/>
              <w:rPr>
                <w:rFonts w:ascii="Arial" w:hAnsi="Arial" w:cs="Arial"/>
              </w:rPr>
            </w:pPr>
            <w:r>
              <w:rPr>
                <w:rFonts w:ascii="Arial" w:hAnsi="Arial" w:cs="Arial"/>
              </w:rPr>
              <w:t>A</w:t>
            </w:r>
            <w:r w:rsidR="00896499">
              <w:rPr>
                <w:rFonts w:ascii="Arial" w:hAnsi="Arial" w:cs="Arial"/>
              </w:rPr>
              <w:t>+</w:t>
            </w:r>
          </w:p>
        </w:tc>
      </w:tr>
      <w:tr w:rsidR="00487914" w:rsidRPr="00462E61" w14:paraId="6ACC0678" w14:textId="77777777" w:rsidTr="002631E7">
        <w:tc>
          <w:tcPr>
            <w:tcW w:w="2254" w:type="dxa"/>
            <w:shd w:val="clear" w:color="auto" w:fill="DEEAF6" w:themeFill="accent5" w:themeFillTint="33"/>
          </w:tcPr>
          <w:p w14:paraId="4B4AAA39" w14:textId="77777777" w:rsidR="003D1AA3" w:rsidRPr="00462E61" w:rsidRDefault="003D1AA3" w:rsidP="002631E7">
            <w:pPr>
              <w:rPr>
                <w:rFonts w:ascii="Arial" w:hAnsi="Arial" w:cs="Arial"/>
              </w:rPr>
            </w:pPr>
            <w:r w:rsidRPr="00462E61">
              <w:rPr>
                <w:rFonts w:ascii="Arial" w:hAnsi="Arial" w:cs="Arial"/>
              </w:rPr>
              <w:t>Impact Weighting (%)</w:t>
            </w:r>
          </w:p>
        </w:tc>
        <w:tc>
          <w:tcPr>
            <w:tcW w:w="2254" w:type="dxa"/>
          </w:tcPr>
          <w:p w14:paraId="0A712A4C" w14:textId="5F212506" w:rsidR="003D1AA3" w:rsidRPr="00462E61" w:rsidRDefault="00AC7EE7" w:rsidP="002631E7">
            <w:pPr>
              <w:rPr>
                <w:rFonts w:ascii="Arial" w:hAnsi="Arial" w:cs="Arial"/>
              </w:rPr>
            </w:pPr>
            <w:r>
              <w:rPr>
                <w:rFonts w:ascii="Arial" w:hAnsi="Arial" w:cs="Arial"/>
              </w:rPr>
              <w:t>50%</w:t>
            </w:r>
          </w:p>
        </w:tc>
        <w:tc>
          <w:tcPr>
            <w:tcW w:w="2254" w:type="dxa"/>
            <w:shd w:val="clear" w:color="auto" w:fill="DEEAF6" w:themeFill="accent5" w:themeFillTint="33"/>
          </w:tcPr>
          <w:p w14:paraId="32705411" w14:textId="77777777" w:rsidR="003D1AA3" w:rsidRPr="00462E61" w:rsidRDefault="003D1AA3" w:rsidP="002631E7">
            <w:pPr>
              <w:rPr>
                <w:rFonts w:ascii="Arial" w:hAnsi="Arial" w:cs="Arial"/>
              </w:rPr>
            </w:pPr>
            <w:r w:rsidRPr="00462E61">
              <w:rPr>
                <w:rFonts w:ascii="Arial" w:hAnsi="Arial" w:cs="Arial"/>
              </w:rPr>
              <w:t>Revised since last AR?</w:t>
            </w:r>
          </w:p>
        </w:tc>
        <w:tc>
          <w:tcPr>
            <w:tcW w:w="2254" w:type="dxa"/>
          </w:tcPr>
          <w:p w14:paraId="1A55DB55" w14:textId="4358F1F3" w:rsidR="003D1AA3" w:rsidRPr="00462E61" w:rsidRDefault="00AC7EE7" w:rsidP="002631E7">
            <w:pPr>
              <w:rPr>
                <w:rFonts w:ascii="Arial" w:hAnsi="Arial" w:cs="Arial"/>
              </w:rPr>
            </w:pPr>
            <w:r>
              <w:rPr>
                <w:rFonts w:ascii="Arial" w:hAnsi="Arial" w:cs="Arial"/>
              </w:rPr>
              <w:t>No</w:t>
            </w:r>
          </w:p>
        </w:tc>
      </w:tr>
      <w:tr w:rsidR="00487914" w:rsidRPr="00462E61" w14:paraId="17D75491" w14:textId="77777777" w:rsidTr="002631E7">
        <w:tc>
          <w:tcPr>
            <w:tcW w:w="2254" w:type="dxa"/>
            <w:shd w:val="clear" w:color="auto" w:fill="DEEAF6" w:themeFill="accent5" w:themeFillTint="33"/>
          </w:tcPr>
          <w:p w14:paraId="30212B72" w14:textId="77777777" w:rsidR="003D1AA3" w:rsidRPr="00462E61" w:rsidRDefault="003D1AA3" w:rsidP="002631E7">
            <w:pPr>
              <w:rPr>
                <w:rFonts w:ascii="Arial" w:hAnsi="Arial" w:cs="Arial"/>
              </w:rPr>
            </w:pPr>
            <w:r w:rsidRPr="00462E61">
              <w:rPr>
                <w:rFonts w:ascii="Arial" w:hAnsi="Arial" w:cs="Arial"/>
              </w:rPr>
              <w:t>Risk Rating</w:t>
            </w:r>
          </w:p>
        </w:tc>
        <w:tc>
          <w:tcPr>
            <w:tcW w:w="2254" w:type="dxa"/>
          </w:tcPr>
          <w:p w14:paraId="038C8604" w14:textId="7A22D527" w:rsidR="003D1AA3" w:rsidRPr="00462E61" w:rsidRDefault="00AC7EE7" w:rsidP="002631E7">
            <w:pPr>
              <w:rPr>
                <w:rFonts w:ascii="Arial" w:hAnsi="Arial" w:cs="Arial"/>
              </w:rPr>
            </w:pPr>
            <w:r>
              <w:rPr>
                <w:rFonts w:ascii="Arial" w:hAnsi="Arial" w:cs="Arial"/>
              </w:rPr>
              <w:t>Major</w:t>
            </w:r>
          </w:p>
        </w:tc>
        <w:tc>
          <w:tcPr>
            <w:tcW w:w="2254" w:type="dxa"/>
            <w:shd w:val="clear" w:color="auto" w:fill="DEEAF6" w:themeFill="accent5" w:themeFillTint="33"/>
          </w:tcPr>
          <w:p w14:paraId="40FDF383" w14:textId="77777777" w:rsidR="003D1AA3" w:rsidRPr="00462E61" w:rsidRDefault="003D1AA3" w:rsidP="002631E7">
            <w:pPr>
              <w:rPr>
                <w:rFonts w:ascii="Arial" w:hAnsi="Arial" w:cs="Arial"/>
              </w:rPr>
            </w:pPr>
            <w:r w:rsidRPr="00462E61">
              <w:rPr>
                <w:rFonts w:ascii="Arial" w:hAnsi="Arial" w:cs="Arial"/>
              </w:rPr>
              <w:t>Revised since last AR?</w:t>
            </w:r>
          </w:p>
        </w:tc>
        <w:tc>
          <w:tcPr>
            <w:tcW w:w="2254" w:type="dxa"/>
          </w:tcPr>
          <w:p w14:paraId="6973BAEF" w14:textId="22E2FF54" w:rsidR="003D1AA3" w:rsidRPr="00462E61" w:rsidRDefault="00AC7EE7" w:rsidP="002631E7">
            <w:pPr>
              <w:rPr>
                <w:rFonts w:ascii="Arial" w:hAnsi="Arial" w:cs="Arial"/>
              </w:rPr>
            </w:pPr>
            <w:r>
              <w:rPr>
                <w:rFonts w:ascii="Arial" w:hAnsi="Arial" w:cs="Arial"/>
              </w:rPr>
              <w:t>No</w:t>
            </w:r>
          </w:p>
        </w:tc>
      </w:tr>
    </w:tbl>
    <w:p w14:paraId="3AD40E2D" w14:textId="77777777" w:rsidR="003D1AA3" w:rsidRPr="00462E61" w:rsidRDefault="003D1AA3" w:rsidP="003D1AA3">
      <w:pPr>
        <w:rPr>
          <w:rFonts w:ascii="Arial" w:hAnsi="Arial" w:cs="Arial"/>
        </w:rPr>
      </w:pPr>
    </w:p>
    <w:tbl>
      <w:tblPr>
        <w:tblStyle w:val="TableGrid"/>
        <w:tblW w:w="0" w:type="auto"/>
        <w:tblLook w:val="04A0" w:firstRow="1" w:lastRow="0" w:firstColumn="1" w:lastColumn="0" w:noHBand="0" w:noVBand="1"/>
      </w:tblPr>
      <w:tblGrid>
        <w:gridCol w:w="2254"/>
        <w:gridCol w:w="2254"/>
        <w:gridCol w:w="2254"/>
        <w:gridCol w:w="2254"/>
      </w:tblGrid>
      <w:tr w:rsidR="00487914" w:rsidRPr="00462E61" w14:paraId="2A95F003" w14:textId="77777777" w:rsidTr="002631E7">
        <w:tc>
          <w:tcPr>
            <w:tcW w:w="2254" w:type="dxa"/>
            <w:shd w:val="clear" w:color="auto" w:fill="DEEAF6" w:themeFill="accent5" w:themeFillTint="33"/>
          </w:tcPr>
          <w:p w14:paraId="7430A378" w14:textId="77777777" w:rsidR="003D1AA3" w:rsidRPr="00462E61" w:rsidRDefault="003D1AA3" w:rsidP="002631E7">
            <w:pPr>
              <w:rPr>
                <w:rFonts w:ascii="Arial" w:hAnsi="Arial" w:cs="Arial"/>
                <w:b/>
                <w:bCs/>
              </w:rPr>
            </w:pPr>
            <w:r w:rsidRPr="00462E61">
              <w:rPr>
                <w:rFonts w:ascii="Arial" w:hAnsi="Arial" w:cs="Arial"/>
                <w:b/>
                <w:bCs/>
              </w:rPr>
              <w:t xml:space="preserve">Output Indicator </w:t>
            </w:r>
          </w:p>
        </w:tc>
        <w:tc>
          <w:tcPr>
            <w:tcW w:w="2254" w:type="dxa"/>
            <w:shd w:val="clear" w:color="auto" w:fill="DEEAF6" w:themeFill="accent5" w:themeFillTint="33"/>
          </w:tcPr>
          <w:p w14:paraId="08FC2B9B" w14:textId="77777777" w:rsidR="003D1AA3" w:rsidRPr="00462E61" w:rsidRDefault="003D1AA3" w:rsidP="002631E7">
            <w:pPr>
              <w:rPr>
                <w:rFonts w:ascii="Arial" w:hAnsi="Arial" w:cs="Arial"/>
                <w:b/>
                <w:bCs/>
              </w:rPr>
            </w:pPr>
            <w:r w:rsidRPr="00462E61">
              <w:rPr>
                <w:rFonts w:ascii="Arial" w:hAnsi="Arial" w:cs="Arial"/>
                <w:b/>
                <w:bCs/>
              </w:rPr>
              <w:t>Starting Target</w:t>
            </w:r>
          </w:p>
        </w:tc>
        <w:tc>
          <w:tcPr>
            <w:tcW w:w="2254" w:type="dxa"/>
            <w:shd w:val="clear" w:color="auto" w:fill="DEEAF6" w:themeFill="accent5" w:themeFillTint="33"/>
          </w:tcPr>
          <w:p w14:paraId="4D219A45" w14:textId="77777777" w:rsidR="003D1AA3" w:rsidRPr="00462E61" w:rsidRDefault="003D1AA3" w:rsidP="002631E7">
            <w:pPr>
              <w:rPr>
                <w:rFonts w:ascii="Arial" w:hAnsi="Arial" w:cs="Arial"/>
                <w:b/>
                <w:bCs/>
              </w:rPr>
            </w:pPr>
            <w:r w:rsidRPr="00462E61">
              <w:rPr>
                <w:rFonts w:ascii="Arial" w:hAnsi="Arial" w:cs="Arial"/>
                <w:b/>
                <w:bCs/>
              </w:rPr>
              <w:t>Final Logframe Target</w:t>
            </w:r>
          </w:p>
        </w:tc>
        <w:tc>
          <w:tcPr>
            <w:tcW w:w="2254" w:type="dxa"/>
            <w:shd w:val="clear" w:color="auto" w:fill="DEEAF6" w:themeFill="accent5" w:themeFillTint="33"/>
          </w:tcPr>
          <w:p w14:paraId="1D28356A" w14:textId="709ACDDB" w:rsidR="003D1AA3" w:rsidRPr="00462E61" w:rsidRDefault="003D1AA3" w:rsidP="002631E7">
            <w:pPr>
              <w:rPr>
                <w:rFonts w:ascii="Arial" w:hAnsi="Arial" w:cs="Arial"/>
                <w:b/>
                <w:bCs/>
              </w:rPr>
            </w:pPr>
            <w:proofErr w:type="gramStart"/>
            <w:r w:rsidRPr="00462E61">
              <w:rPr>
                <w:rFonts w:ascii="Arial" w:hAnsi="Arial" w:cs="Arial"/>
                <w:b/>
                <w:bCs/>
              </w:rPr>
              <w:t>Final Result</w:t>
            </w:r>
            <w:proofErr w:type="gramEnd"/>
            <w:r w:rsidRPr="00462E61">
              <w:rPr>
                <w:rFonts w:ascii="Arial" w:hAnsi="Arial" w:cs="Arial"/>
                <w:b/>
                <w:bCs/>
              </w:rPr>
              <w:t xml:space="preserve"> Achieved</w:t>
            </w:r>
            <w:r w:rsidR="00251679">
              <w:rPr>
                <w:rFonts w:ascii="Arial" w:hAnsi="Arial" w:cs="Arial"/>
                <w:b/>
                <w:bCs/>
              </w:rPr>
              <w:t xml:space="preserve"> (March 2023)</w:t>
            </w:r>
          </w:p>
        </w:tc>
      </w:tr>
      <w:tr w:rsidR="003077F6" w:rsidRPr="00462E61" w14:paraId="5E063065" w14:textId="77777777" w:rsidTr="002631E7">
        <w:tc>
          <w:tcPr>
            <w:tcW w:w="2254" w:type="dxa"/>
          </w:tcPr>
          <w:p w14:paraId="55256806" w14:textId="608990AE" w:rsidR="003077F6" w:rsidRPr="00462E61" w:rsidRDefault="003077F6" w:rsidP="003077F6">
            <w:pPr>
              <w:rPr>
                <w:rFonts w:ascii="Arial" w:hAnsi="Arial" w:cs="Arial"/>
              </w:rPr>
            </w:pPr>
            <w:r w:rsidRPr="00084463">
              <w:t>2.1 Number of innovative low-carbon energy projects in India and South Africa (cumulative).</w:t>
            </w:r>
          </w:p>
        </w:tc>
        <w:tc>
          <w:tcPr>
            <w:tcW w:w="2254" w:type="dxa"/>
          </w:tcPr>
          <w:p w14:paraId="518133AD" w14:textId="179F82C2" w:rsidR="003077F6" w:rsidRPr="00462E61" w:rsidRDefault="00D20988" w:rsidP="003077F6">
            <w:pPr>
              <w:rPr>
                <w:rFonts w:ascii="Arial" w:hAnsi="Arial" w:cs="Arial"/>
              </w:rPr>
            </w:pPr>
            <w:r>
              <w:rPr>
                <w:rFonts w:ascii="Arial" w:hAnsi="Arial" w:cs="Arial"/>
              </w:rPr>
              <w:t>10</w:t>
            </w:r>
          </w:p>
        </w:tc>
        <w:tc>
          <w:tcPr>
            <w:tcW w:w="2254" w:type="dxa"/>
          </w:tcPr>
          <w:p w14:paraId="64A8570D" w14:textId="44068E2F" w:rsidR="003077F6" w:rsidRPr="00462E61" w:rsidRDefault="003077F6" w:rsidP="003077F6">
            <w:pPr>
              <w:rPr>
                <w:rFonts w:ascii="Arial" w:hAnsi="Arial" w:cs="Arial"/>
              </w:rPr>
            </w:pPr>
            <w:r w:rsidRPr="006B1BDF">
              <w:t>6</w:t>
            </w:r>
          </w:p>
        </w:tc>
        <w:tc>
          <w:tcPr>
            <w:tcW w:w="2254" w:type="dxa"/>
          </w:tcPr>
          <w:p w14:paraId="29207A72" w14:textId="2775ADFA" w:rsidR="003077F6" w:rsidRPr="002E144C" w:rsidRDefault="003077F6" w:rsidP="003077F6">
            <w:pPr>
              <w:spacing w:after="160" w:line="259" w:lineRule="auto"/>
              <w:rPr>
                <w:rFonts w:cs="Arial"/>
                <w:i/>
                <w:sz w:val="20"/>
                <w:szCs w:val="20"/>
                <w:u w:val="single"/>
              </w:rPr>
            </w:pPr>
            <w:r>
              <w:rPr>
                <w:rFonts w:cs="Arial"/>
                <w:i/>
                <w:sz w:val="20"/>
                <w:szCs w:val="20"/>
                <w:u w:val="single"/>
              </w:rPr>
              <w:t>Achieved</w:t>
            </w:r>
            <w:r w:rsidR="00F56984">
              <w:rPr>
                <w:rFonts w:cs="Arial"/>
                <w:i/>
                <w:sz w:val="20"/>
                <w:szCs w:val="20"/>
                <w:u w:val="single"/>
              </w:rPr>
              <w:t xml:space="preserve"> (met expectation)</w:t>
            </w:r>
            <w:r>
              <w:rPr>
                <w:sz w:val="20"/>
                <w:szCs w:val="20"/>
              </w:rPr>
              <w:br/>
            </w:r>
            <w:proofErr w:type="gramStart"/>
            <w:r>
              <w:rPr>
                <w:sz w:val="20"/>
                <w:szCs w:val="20"/>
              </w:rPr>
              <w:t>6</w:t>
            </w:r>
            <w:proofErr w:type="gramEnd"/>
          </w:p>
        </w:tc>
      </w:tr>
      <w:tr w:rsidR="003077F6" w:rsidRPr="00462E61" w14:paraId="3A5F4C62" w14:textId="77777777" w:rsidTr="002631E7">
        <w:tc>
          <w:tcPr>
            <w:tcW w:w="2254" w:type="dxa"/>
          </w:tcPr>
          <w:p w14:paraId="2E7B6963" w14:textId="188059C0" w:rsidR="003077F6" w:rsidRPr="00462E61" w:rsidRDefault="003077F6" w:rsidP="003077F6">
            <w:pPr>
              <w:rPr>
                <w:rFonts w:ascii="Arial" w:hAnsi="Arial" w:cs="Arial"/>
              </w:rPr>
            </w:pPr>
            <w:r w:rsidRPr="00084463">
              <w:t>2.2 Number of innovative low-carbon energy projects outside of India and South Africa (cumulative).</w:t>
            </w:r>
          </w:p>
        </w:tc>
        <w:tc>
          <w:tcPr>
            <w:tcW w:w="2254" w:type="dxa"/>
          </w:tcPr>
          <w:p w14:paraId="4F86B482" w14:textId="225F1392" w:rsidR="003077F6" w:rsidRPr="00462E61" w:rsidRDefault="00E607AB" w:rsidP="003077F6">
            <w:pPr>
              <w:rPr>
                <w:rFonts w:ascii="Arial" w:hAnsi="Arial" w:cs="Arial"/>
              </w:rPr>
            </w:pPr>
            <w:r>
              <w:rPr>
                <w:rFonts w:ascii="Arial" w:hAnsi="Arial" w:cs="Arial"/>
              </w:rPr>
              <w:t>N/A</w:t>
            </w:r>
          </w:p>
        </w:tc>
        <w:tc>
          <w:tcPr>
            <w:tcW w:w="2254" w:type="dxa"/>
          </w:tcPr>
          <w:p w14:paraId="7DC7CC3E" w14:textId="4A896961" w:rsidR="003077F6" w:rsidRPr="00462E61" w:rsidRDefault="003077F6" w:rsidP="003077F6">
            <w:pPr>
              <w:rPr>
                <w:rFonts w:ascii="Arial" w:hAnsi="Arial" w:cs="Arial"/>
              </w:rPr>
            </w:pPr>
            <w:r w:rsidRPr="006B1BDF">
              <w:t>1</w:t>
            </w:r>
          </w:p>
        </w:tc>
        <w:tc>
          <w:tcPr>
            <w:tcW w:w="2254" w:type="dxa"/>
          </w:tcPr>
          <w:p w14:paraId="5C80CD58" w14:textId="6D369DC8" w:rsidR="003077F6" w:rsidRDefault="003077F6" w:rsidP="003077F6">
            <w:pPr>
              <w:spacing w:after="160" w:line="259" w:lineRule="auto"/>
              <w:rPr>
                <w:rFonts w:cs="Arial"/>
                <w:i/>
                <w:sz w:val="20"/>
                <w:szCs w:val="20"/>
                <w:u w:val="single"/>
              </w:rPr>
            </w:pPr>
            <w:r>
              <w:rPr>
                <w:rFonts w:cs="Arial"/>
                <w:i/>
                <w:sz w:val="20"/>
                <w:szCs w:val="20"/>
                <w:u w:val="single"/>
              </w:rPr>
              <w:t>Achieved</w:t>
            </w:r>
            <w:r w:rsidR="00F56984">
              <w:rPr>
                <w:rFonts w:cs="Arial"/>
                <w:i/>
                <w:sz w:val="20"/>
                <w:szCs w:val="20"/>
                <w:u w:val="single"/>
              </w:rPr>
              <w:t xml:space="preserve"> (met expectation)</w:t>
            </w:r>
          </w:p>
          <w:p w14:paraId="74F371BD" w14:textId="4F968533" w:rsidR="003077F6" w:rsidRPr="00F107DF" w:rsidRDefault="003077F6" w:rsidP="003077F6">
            <w:pPr>
              <w:spacing w:after="160" w:line="259" w:lineRule="auto"/>
              <w:rPr>
                <w:rFonts w:cs="Arial"/>
                <w:i/>
                <w:sz w:val="20"/>
                <w:szCs w:val="20"/>
                <w:u w:val="single"/>
              </w:rPr>
            </w:pPr>
            <w:r>
              <w:rPr>
                <w:sz w:val="20"/>
                <w:szCs w:val="20"/>
              </w:rPr>
              <w:t>1</w:t>
            </w:r>
          </w:p>
        </w:tc>
      </w:tr>
      <w:tr w:rsidR="003077F6" w:rsidRPr="00462E61" w14:paraId="0C2C713D" w14:textId="77777777" w:rsidTr="002631E7">
        <w:tc>
          <w:tcPr>
            <w:tcW w:w="2254" w:type="dxa"/>
          </w:tcPr>
          <w:p w14:paraId="7051EBE8" w14:textId="0EFFDBDE" w:rsidR="003077F6" w:rsidRPr="00462E61" w:rsidRDefault="003077F6" w:rsidP="003077F6">
            <w:pPr>
              <w:rPr>
                <w:rFonts w:ascii="Arial" w:hAnsi="Arial" w:cs="Arial"/>
              </w:rPr>
            </w:pPr>
            <w:r w:rsidRPr="00084463">
              <w:t xml:space="preserve">2.3 Total level of clean energy capacity UKCI investments are committed to install (MW, Cumulative) </w:t>
            </w:r>
          </w:p>
        </w:tc>
        <w:tc>
          <w:tcPr>
            <w:tcW w:w="2254" w:type="dxa"/>
          </w:tcPr>
          <w:p w14:paraId="11D42164" w14:textId="038FE313" w:rsidR="003077F6" w:rsidRPr="00462E61" w:rsidRDefault="00E607AB" w:rsidP="003077F6">
            <w:pPr>
              <w:rPr>
                <w:rFonts w:ascii="Arial" w:hAnsi="Arial" w:cs="Arial"/>
              </w:rPr>
            </w:pPr>
            <w:r>
              <w:rPr>
                <w:rFonts w:ascii="Arial" w:hAnsi="Arial" w:cs="Arial"/>
              </w:rPr>
              <w:t>333</w:t>
            </w:r>
          </w:p>
        </w:tc>
        <w:tc>
          <w:tcPr>
            <w:tcW w:w="2254" w:type="dxa"/>
          </w:tcPr>
          <w:p w14:paraId="1211A16B" w14:textId="149C92F2" w:rsidR="003077F6" w:rsidRPr="00462E61" w:rsidRDefault="003077F6" w:rsidP="003077F6">
            <w:pPr>
              <w:rPr>
                <w:rFonts w:ascii="Arial" w:hAnsi="Arial" w:cs="Arial"/>
              </w:rPr>
            </w:pPr>
            <w:r w:rsidRPr="006B1BDF">
              <w:t>1,026 – 1,129</w:t>
            </w:r>
          </w:p>
        </w:tc>
        <w:tc>
          <w:tcPr>
            <w:tcW w:w="2254" w:type="dxa"/>
          </w:tcPr>
          <w:p w14:paraId="449F1338" w14:textId="77777777" w:rsidR="003077F6" w:rsidRDefault="003077F6" w:rsidP="003077F6">
            <w:pPr>
              <w:rPr>
                <w:rFonts w:cs="Arial"/>
                <w:i/>
                <w:color w:val="000000" w:themeColor="text1"/>
                <w:sz w:val="20"/>
                <w:szCs w:val="20"/>
                <w:u w:val="single"/>
              </w:rPr>
            </w:pPr>
            <w:r>
              <w:rPr>
                <w:rFonts w:cs="Arial"/>
                <w:i/>
                <w:color w:val="000000" w:themeColor="text1"/>
                <w:sz w:val="20"/>
                <w:szCs w:val="20"/>
                <w:u w:val="single"/>
              </w:rPr>
              <w:t>Achieved (moderately exceeded expectations)</w:t>
            </w:r>
          </w:p>
          <w:p w14:paraId="25B12BAA" w14:textId="44980FDD" w:rsidR="003077F6" w:rsidRPr="009D6D88" w:rsidRDefault="003077F6" w:rsidP="003077F6">
            <w:pPr>
              <w:rPr>
                <w:rFonts w:cs="Arial"/>
                <w:color w:val="000000" w:themeColor="text1"/>
                <w:sz w:val="20"/>
                <w:szCs w:val="20"/>
              </w:rPr>
            </w:pPr>
            <w:r w:rsidRPr="009D6D88">
              <w:rPr>
                <w:rFonts w:cs="Arial"/>
                <w:color w:val="000000" w:themeColor="text1"/>
                <w:sz w:val="20"/>
                <w:szCs w:val="20"/>
              </w:rPr>
              <w:t>1,</w:t>
            </w:r>
            <w:r w:rsidR="0051038C" w:rsidRPr="009D6D88">
              <w:rPr>
                <w:rFonts w:cs="Arial"/>
                <w:color w:val="000000" w:themeColor="text1"/>
                <w:sz w:val="20"/>
                <w:szCs w:val="20"/>
              </w:rPr>
              <w:t>403</w:t>
            </w:r>
          </w:p>
          <w:p w14:paraId="18E4F286" w14:textId="77777777" w:rsidR="003077F6" w:rsidRPr="009D6D88" w:rsidRDefault="003077F6" w:rsidP="003077F6">
            <w:pPr>
              <w:rPr>
                <w:rFonts w:cs="Arial"/>
                <w:bCs/>
                <w:iCs/>
                <w:sz w:val="20"/>
                <w:szCs w:val="20"/>
              </w:rPr>
            </w:pPr>
          </w:p>
          <w:tbl>
            <w:tblPr>
              <w:tblStyle w:val="TableGrid"/>
              <w:tblW w:w="0" w:type="auto"/>
              <w:tblLook w:val="04A0" w:firstRow="1" w:lastRow="0" w:firstColumn="1" w:lastColumn="0" w:noHBand="0" w:noVBand="1"/>
            </w:tblPr>
            <w:tblGrid>
              <w:gridCol w:w="928"/>
              <w:gridCol w:w="1100"/>
            </w:tblGrid>
            <w:tr w:rsidR="003077F6" w:rsidRPr="009D6D88" w14:paraId="4CFC3063" w14:textId="77777777" w:rsidTr="008E64D9">
              <w:tc>
                <w:tcPr>
                  <w:tcW w:w="928" w:type="dxa"/>
                  <w:tcBorders>
                    <w:top w:val="single" w:sz="4" w:space="0" w:color="auto"/>
                    <w:left w:val="single" w:sz="4" w:space="0" w:color="auto"/>
                    <w:bottom w:val="single" w:sz="4" w:space="0" w:color="auto"/>
                    <w:right w:val="single" w:sz="4" w:space="0" w:color="auto"/>
                  </w:tcBorders>
                  <w:hideMark/>
                </w:tcPr>
                <w:p w14:paraId="2238C963" w14:textId="77777777" w:rsidR="003077F6" w:rsidRPr="009D6D88" w:rsidRDefault="003077F6" w:rsidP="003077F6">
                  <w:pPr>
                    <w:rPr>
                      <w:rFonts w:cs="Arial"/>
                      <w:bCs/>
                      <w:iCs/>
                      <w:sz w:val="20"/>
                      <w:szCs w:val="20"/>
                      <w:lang w:eastAsia="en-GB"/>
                    </w:rPr>
                  </w:pPr>
                  <w:r w:rsidRPr="009D6D88">
                    <w:rPr>
                      <w:rFonts w:cs="Arial"/>
                      <w:bCs/>
                      <w:iCs/>
                      <w:sz w:val="20"/>
                      <w:szCs w:val="20"/>
                      <w:lang w:eastAsia="en-GB"/>
                    </w:rPr>
                    <w:t>Project</w:t>
                  </w:r>
                </w:p>
              </w:tc>
              <w:tc>
                <w:tcPr>
                  <w:tcW w:w="1100" w:type="dxa"/>
                  <w:tcBorders>
                    <w:top w:val="single" w:sz="4" w:space="0" w:color="auto"/>
                    <w:left w:val="single" w:sz="4" w:space="0" w:color="auto"/>
                    <w:bottom w:val="single" w:sz="4" w:space="0" w:color="auto"/>
                    <w:right w:val="single" w:sz="4" w:space="0" w:color="auto"/>
                  </w:tcBorders>
                  <w:hideMark/>
                </w:tcPr>
                <w:p w14:paraId="7792921C" w14:textId="77777777" w:rsidR="003077F6" w:rsidRPr="009D6D88" w:rsidRDefault="003077F6" w:rsidP="003077F6">
                  <w:pPr>
                    <w:rPr>
                      <w:rFonts w:cs="Arial"/>
                      <w:bCs/>
                      <w:iCs/>
                      <w:sz w:val="20"/>
                      <w:szCs w:val="20"/>
                      <w:lang w:eastAsia="en-GB"/>
                    </w:rPr>
                  </w:pPr>
                  <w:r w:rsidRPr="009D6D88">
                    <w:rPr>
                      <w:rFonts w:cs="Arial"/>
                      <w:bCs/>
                      <w:iCs/>
                      <w:sz w:val="20"/>
                      <w:szCs w:val="20"/>
                      <w:lang w:eastAsia="en-GB"/>
                    </w:rPr>
                    <w:t xml:space="preserve">Total clean energy capacity committed to install (MW, </w:t>
                  </w:r>
                  <w:proofErr w:type="spellStart"/>
                  <w:r w:rsidRPr="009D6D88">
                    <w:rPr>
                      <w:rFonts w:cs="Arial"/>
                      <w:bCs/>
                      <w:iCs/>
                      <w:sz w:val="20"/>
                      <w:szCs w:val="20"/>
                      <w:lang w:eastAsia="en-GB"/>
                    </w:rPr>
                    <w:t>cumul</w:t>
                  </w:r>
                  <w:proofErr w:type="spellEnd"/>
                  <w:r w:rsidRPr="009D6D88">
                    <w:rPr>
                      <w:rFonts w:cs="Arial"/>
                      <w:bCs/>
                      <w:iCs/>
                      <w:sz w:val="20"/>
                      <w:szCs w:val="20"/>
                      <w:lang w:eastAsia="en-GB"/>
                    </w:rPr>
                    <w:t>.)</w:t>
                  </w:r>
                </w:p>
              </w:tc>
            </w:tr>
            <w:tr w:rsidR="008E64D9" w:rsidRPr="009D6D88" w14:paraId="522490BC" w14:textId="77777777" w:rsidTr="008E64D9">
              <w:tc>
                <w:tcPr>
                  <w:tcW w:w="928" w:type="dxa"/>
                  <w:tcBorders>
                    <w:top w:val="single" w:sz="4" w:space="0" w:color="auto"/>
                    <w:left w:val="single" w:sz="4" w:space="0" w:color="auto"/>
                    <w:bottom w:val="single" w:sz="4" w:space="0" w:color="auto"/>
                    <w:right w:val="single" w:sz="4" w:space="0" w:color="auto"/>
                  </w:tcBorders>
                </w:tcPr>
                <w:p w14:paraId="67AA664A" w14:textId="74B143F1" w:rsidR="008E64D9" w:rsidRPr="009D6D88" w:rsidRDefault="008E64D9" w:rsidP="003077F6">
                  <w:pPr>
                    <w:rPr>
                      <w:rFonts w:cs="Arial"/>
                      <w:bCs/>
                      <w:iCs/>
                      <w:sz w:val="20"/>
                      <w:szCs w:val="20"/>
                      <w:lang w:eastAsia="en-GB"/>
                    </w:rPr>
                  </w:pPr>
                  <w:r w:rsidRPr="009D6D88">
                    <w:rPr>
                      <w:rFonts w:cs="Arial"/>
                      <w:bCs/>
                      <w:iCs/>
                      <w:sz w:val="20"/>
                      <w:szCs w:val="20"/>
                      <w:lang w:eastAsia="en-GB"/>
                    </w:rPr>
                    <w:t>Bolt</w:t>
                  </w:r>
                </w:p>
              </w:tc>
              <w:tc>
                <w:tcPr>
                  <w:tcW w:w="1100" w:type="dxa"/>
                  <w:tcBorders>
                    <w:top w:val="single" w:sz="4" w:space="0" w:color="auto"/>
                    <w:left w:val="single" w:sz="4" w:space="0" w:color="auto"/>
                    <w:bottom w:val="single" w:sz="4" w:space="0" w:color="auto"/>
                    <w:right w:val="single" w:sz="4" w:space="0" w:color="auto"/>
                  </w:tcBorders>
                </w:tcPr>
                <w:p w14:paraId="0F2323E4" w14:textId="3E927D47" w:rsidR="008E64D9" w:rsidRPr="009D6D88" w:rsidRDefault="008E64D9" w:rsidP="003077F6">
                  <w:pPr>
                    <w:jc w:val="right"/>
                    <w:rPr>
                      <w:rFonts w:cs="Arial"/>
                      <w:bCs/>
                      <w:iCs/>
                      <w:sz w:val="20"/>
                      <w:szCs w:val="20"/>
                      <w:lang w:eastAsia="en-GB"/>
                    </w:rPr>
                  </w:pPr>
                  <w:r w:rsidRPr="009D6D88">
                    <w:rPr>
                      <w:rFonts w:cs="Arial"/>
                      <w:bCs/>
                      <w:iCs/>
                      <w:sz w:val="20"/>
                      <w:szCs w:val="20"/>
                      <w:lang w:eastAsia="en-GB"/>
                    </w:rPr>
                    <w:t>50</w:t>
                  </w:r>
                </w:p>
              </w:tc>
            </w:tr>
            <w:tr w:rsidR="003077F6" w:rsidRPr="009D6D88" w14:paraId="07F9B2EE" w14:textId="77777777" w:rsidTr="008E64D9">
              <w:tc>
                <w:tcPr>
                  <w:tcW w:w="928" w:type="dxa"/>
                  <w:tcBorders>
                    <w:top w:val="single" w:sz="4" w:space="0" w:color="auto"/>
                    <w:left w:val="single" w:sz="4" w:space="0" w:color="auto"/>
                    <w:bottom w:val="single" w:sz="4" w:space="0" w:color="auto"/>
                    <w:right w:val="single" w:sz="4" w:space="0" w:color="auto"/>
                  </w:tcBorders>
                  <w:hideMark/>
                </w:tcPr>
                <w:p w14:paraId="01D91551" w14:textId="77777777" w:rsidR="003077F6" w:rsidRPr="009D6D88" w:rsidRDefault="003077F6" w:rsidP="003077F6">
                  <w:pPr>
                    <w:rPr>
                      <w:rFonts w:cs="Arial"/>
                      <w:bCs/>
                      <w:iCs/>
                      <w:sz w:val="20"/>
                      <w:szCs w:val="20"/>
                      <w:lang w:eastAsia="en-GB"/>
                    </w:rPr>
                  </w:pPr>
                  <w:r w:rsidRPr="009D6D88">
                    <w:rPr>
                      <w:rFonts w:cs="Arial"/>
                      <w:bCs/>
                      <w:iCs/>
                      <w:sz w:val="20"/>
                      <w:szCs w:val="20"/>
                      <w:lang w:eastAsia="en-GB"/>
                    </w:rPr>
                    <w:t>Apollo</w:t>
                  </w:r>
                </w:p>
              </w:tc>
              <w:tc>
                <w:tcPr>
                  <w:tcW w:w="1100" w:type="dxa"/>
                  <w:tcBorders>
                    <w:top w:val="single" w:sz="4" w:space="0" w:color="auto"/>
                    <w:left w:val="single" w:sz="4" w:space="0" w:color="auto"/>
                    <w:bottom w:val="single" w:sz="4" w:space="0" w:color="auto"/>
                    <w:right w:val="single" w:sz="4" w:space="0" w:color="auto"/>
                  </w:tcBorders>
                  <w:hideMark/>
                </w:tcPr>
                <w:p w14:paraId="0013859E" w14:textId="1E7F6142" w:rsidR="003077F6" w:rsidRPr="009D6D88" w:rsidRDefault="008E64D9" w:rsidP="003077F6">
                  <w:pPr>
                    <w:jc w:val="right"/>
                    <w:rPr>
                      <w:rFonts w:cs="Arial"/>
                      <w:bCs/>
                      <w:iCs/>
                      <w:sz w:val="20"/>
                      <w:szCs w:val="20"/>
                      <w:lang w:eastAsia="en-GB"/>
                    </w:rPr>
                  </w:pPr>
                  <w:r w:rsidRPr="009D6D88">
                    <w:rPr>
                      <w:rFonts w:cs="Arial"/>
                      <w:bCs/>
                      <w:iCs/>
                      <w:sz w:val="20"/>
                      <w:szCs w:val="20"/>
                      <w:lang w:eastAsia="en-GB"/>
                    </w:rPr>
                    <w:t>402</w:t>
                  </w:r>
                </w:p>
              </w:tc>
            </w:tr>
            <w:tr w:rsidR="003077F6" w:rsidRPr="009D6D88" w14:paraId="10F743C2" w14:textId="77777777" w:rsidTr="008E64D9">
              <w:tc>
                <w:tcPr>
                  <w:tcW w:w="928" w:type="dxa"/>
                  <w:tcBorders>
                    <w:top w:val="single" w:sz="4" w:space="0" w:color="auto"/>
                    <w:left w:val="single" w:sz="4" w:space="0" w:color="auto"/>
                    <w:bottom w:val="single" w:sz="4" w:space="0" w:color="auto"/>
                    <w:right w:val="single" w:sz="4" w:space="0" w:color="auto"/>
                  </w:tcBorders>
                  <w:hideMark/>
                </w:tcPr>
                <w:p w14:paraId="1152053D" w14:textId="77777777" w:rsidR="003077F6" w:rsidRPr="009D6D88" w:rsidRDefault="003077F6" w:rsidP="003077F6">
                  <w:pPr>
                    <w:rPr>
                      <w:rFonts w:cs="Arial"/>
                      <w:bCs/>
                      <w:iCs/>
                      <w:sz w:val="20"/>
                      <w:szCs w:val="20"/>
                      <w:lang w:eastAsia="en-GB"/>
                    </w:rPr>
                  </w:pPr>
                  <w:r w:rsidRPr="009D6D88">
                    <w:rPr>
                      <w:rFonts w:cs="Arial"/>
                      <w:bCs/>
                      <w:iCs/>
                      <w:sz w:val="20"/>
                      <w:szCs w:val="20"/>
                      <w:lang w:eastAsia="en-GB"/>
                    </w:rPr>
                    <w:t>Oslo</w:t>
                  </w:r>
                </w:p>
              </w:tc>
              <w:tc>
                <w:tcPr>
                  <w:tcW w:w="1100" w:type="dxa"/>
                  <w:tcBorders>
                    <w:top w:val="single" w:sz="4" w:space="0" w:color="auto"/>
                    <w:left w:val="single" w:sz="4" w:space="0" w:color="auto"/>
                    <w:bottom w:val="single" w:sz="4" w:space="0" w:color="auto"/>
                    <w:right w:val="single" w:sz="4" w:space="0" w:color="auto"/>
                  </w:tcBorders>
                  <w:hideMark/>
                </w:tcPr>
                <w:p w14:paraId="129FA12F" w14:textId="57C55298" w:rsidR="003077F6" w:rsidRPr="009D6D88" w:rsidRDefault="008E64D9" w:rsidP="003077F6">
                  <w:pPr>
                    <w:jc w:val="right"/>
                    <w:rPr>
                      <w:rFonts w:cs="Arial"/>
                      <w:bCs/>
                      <w:iCs/>
                      <w:sz w:val="20"/>
                      <w:szCs w:val="20"/>
                      <w:lang w:eastAsia="en-GB"/>
                    </w:rPr>
                  </w:pPr>
                  <w:r w:rsidRPr="009D6D88">
                    <w:rPr>
                      <w:rFonts w:cs="Arial"/>
                      <w:bCs/>
                      <w:iCs/>
                      <w:sz w:val="20"/>
                      <w:szCs w:val="20"/>
                      <w:lang w:eastAsia="en-GB"/>
                    </w:rPr>
                    <w:t>251</w:t>
                  </w:r>
                </w:p>
              </w:tc>
            </w:tr>
            <w:tr w:rsidR="003077F6" w:rsidRPr="009D6D88" w14:paraId="2BE2DBAC" w14:textId="77777777" w:rsidTr="008E64D9">
              <w:tc>
                <w:tcPr>
                  <w:tcW w:w="928" w:type="dxa"/>
                  <w:tcBorders>
                    <w:top w:val="single" w:sz="4" w:space="0" w:color="auto"/>
                    <w:left w:val="single" w:sz="4" w:space="0" w:color="auto"/>
                    <w:bottom w:val="single" w:sz="4" w:space="0" w:color="auto"/>
                    <w:right w:val="single" w:sz="4" w:space="0" w:color="auto"/>
                  </w:tcBorders>
                  <w:hideMark/>
                </w:tcPr>
                <w:p w14:paraId="78EF23BB" w14:textId="77777777" w:rsidR="003077F6" w:rsidRPr="009D6D88" w:rsidRDefault="003077F6" w:rsidP="003077F6">
                  <w:pPr>
                    <w:rPr>
                      <w:rFonts w:cs="Arial"/>
                      <w:bCs/>
                      <w:iCs/>
                      <w:sz w:val="20"/>
                      <w:szCs w:val="20"/>
                      <w:lang w:eastAsia="en-GB"/>
                    </w:rPr>
                  </w:pPr>
                  <w:r w:rsidRPr="009D6D88">
                    <w:rPr>
                      <w:rFonts w:cs="Arial"/>
                      <w:bCs/>
                      <w:iCs/>
                      <w:sz w:val="20"/>
                      <w:szCs w:val="20"/>
                      <w:lang w:eastAsia="en-GB"/>
                    </w:rPr>
                    <w:t>Etna2</w:t>
                  </w:r>
                </w:p>
              </w:tc>
              <w:tc>
                <w:tcPr>
                  <w:tcW w:w="1100" w:type="dxa"/>
                  <w:tcBorders>
                    <w:top w:val="single" w:sz="4" w:space="0" w:color="auto"/>
                    <w:left w:val="single" w:sz="4" w:space="0" w:color="auto"/>
                    <w:bottom w:val="single" w:sz="4" w:space="0" w:color="auto"/>
                    <w:right w:val="single" w:sz="4" w:space="0" w:color="auto"/>
                  </w:tcBorders>
                  <w:hideMark/>
                </w:tcPr>
                <w:p w14:paraId="093AB29D" w14:textId="70199EA1" w:rsidR="003077F6" w:rsidRPr="009D6D88" w:rsidRDefault="003077F6" w:rsidP="003077F6">
                  <w:pPr>
                    <w:jc w:val="right"/>
                    <w:rPr>
                      <w:rFonts w:cs="Arial"/>
                      <w:bCs/>
                      <w:iCs/>
                      <w:sz w:val="20"/>
                      <w:szCs w:val="20"/>
                      <w:lang w:eastAsia="en-GB"/>
                    </w:rPr>
                  </w:pPr>
                  <w:r w:rsidRPr="009D6D88">
                    <w:rPr>
                      <w:rFonts w:cs="Arial"/>
                      <w:bCs/>
                      <w:iCs/>
                      <w:sz w:val="20"/>
                      <w:szCs w:val="20"/>
                      <w:lang w:eastAsia="en-GB"/>
                    </w:rPr>
                    <w:t>7</w:t>
                  </w:r>
                  <w:r w:rsidR="008E64D9" w:rsidRPr="009D6D88">
                    <w:rPr>
                      <w:rFonts w:cs="Arial"/>
                      <w:bCs/>
                      <w:iCs/>
                      <w:sz w:val="20"/>
                      <w:szCs w:val="20"/>
                      <w:lang w:eastAsia="en-GB"/>
                    </w:rPr>
                    <w:t>00</w:t>
                  </w:r>
                </w:p>
              </w:tc>
            </w:tr>
            <w:tr w:rsidR="003077F6" w14:paraId="31C747EA" w14:textId="77777777" w:rsidTr="008E64D9">
              <w:tc>
                <w:tcPr>
                  <w:tcW w:w="928" w:type="dxa"/>
                  <w:tcBorders>
                    <w:top w:val="single" w:sz="4" w:space="0" w:color="auto"/>
                    <w:left w:val="single" w:sz="4" w:space="0" w:color="auto"/>
                    <w:bottom w:val="single" w:sz="4" w:space="0" w:color="auto"/>
                    <w:right w:val="single" w:sz="4" w:space="0" w:color="auto"/>
                  </w:tcBorders>
                  <w:hideMark/>
                </w:tcPr>
                <w:p w14:paraId="099E0E1F" w14:textId="77777777" w:rsidR="003077F6" w:rsidRPr="009D6D88" w:rsidRDefault="003077F6" w:rsidP="003077F6">
                  <w:pPr>
                    <w:rPr>
                      <w:rFonts w:cs="Arial"/>
                      <w:b/>
                      <w:sz w:val="20"/>
                      <w:szCs w:val="20"/>
                      <w:lang w:eastAsia="en-GB"/>
                    </w:rPr>
                  </w:pPr>
                  <w:r w:rsidRPr="009D6D88">
                    <w:rPr>
                      <w:rFonts w:cs="Arial"/>
                      <w:b/>
                      <w:sz w:val="20"/>
                      <w:szCs w:val="20"/>
                      <w:lang w:eastAsia="en-GB"/>
                    </w:rPr>
                    <w:t>Total (</w:t>
                  </w:r>
                  <w:proofErr w:type="spellStart"/>
                  <w:r w:rsidRPr="009D6D88">
                    <w:rPr>
                      <w:rFonts w:cs="Arial"/>
                      <w:b/>
                      <w:sz w:val="20"/>
                      <w:szCs w:val="20"/>
                      <w:lang w:eastAsia="en-GB"/>
                    </w:rPr>
                    <w:t>Cumul</w:t>
                  </w:r>
                  <w:proofErr w:type="spellEnd"/>
                  <w:r w:rsidRPr="009D6D88">
                    <w:rPr>
                      <w:rFonts w:cs="Arial"/>
                      <w:b/>
                      <w:iCs/>
                      <w:sz w:val="20"/>
                      <w:szCs w:val="20"/>
                      <w:lang w:eastAsia="en-GB"/>
                    </w:rPr>
                    <w:t>.)</w:t>
                  </w:r>
                </w:p>
              </w:tc>
              <w:tc>
                <w:tcPr>
                  <w:tcW w:w="1100" w:type="dxa"/>
                  <w:tcBorders>
                    <w:top w:val="single" w:sz="4" w:space="0" w:color="auto"/>
                    <w:left w:val="single" w:sz="4" w:space="0" w:color="auto"/>
                    <w:bottom w:val="single" w:sz="4" w:space="0" w:color="auto"/>
                    <w:right w:val="single" w:sz="4" w:space="0" w:color="auto"/>
                  </w:tcBorders>
                  <w:hideMark/>
                </w:tcPr>
                <w:p w14:paraId="0F9066E0" w14:textId="3EC5903C" w:rsidR="003077F6" w:rsidRPr="009D6D88" w:rsidRDefault="003077F6" w:rsidP="003077F6">
                  <w:pPr>
                    <w:jc w:val="right"/>
                    <w:rPr>
                      <w:rFonts w:cs="Arial"/>
                      <w:b/>
                      <w:iCs/>
                      <w:sz w:val="20"/>
                      <w:szCs w:val="20"/>
                      <w:lang w:eastAsia="en-GB"/>
                    </w:rPr>
                  </w:pPr>
                  <w:r w:rsidRPr="009D6D88">
                    <w:rPr>
                      <w:rFonts w:cs="Arial"/>
                      <w:b/>
                      <w:iCs/>
                      <w:sz w:val="20"/>
                      <w:szCs w:val="20"/>
                      <w:lang w:eastAsia="en-GB"/>
                    </w:rPr>
                    <w:t>1,</w:t>
                  </w:r>
                  <w:r w:rsidR="008E64D9" w:rsidRPr="009D6D88">
                    <w:rPr>
                      <w:rFonts w:cs="Arial"/>
                      <w:b/>
                      <w:iCs/>
                      <w:sz w:val="20"/>
                      <w:szCs w:val="20"/>
                      <w:lang w:eastAsia="en-GB"/>
                    </w:rPr>
                    <w:t>403</w:t>
                  </w:r>
                </w:p>
              </w:tc>
            </w:tr>
          </w:tbl>
          <w:p w14:paraId="496A402A" w14:textId="77777777" w:rsidR="003077F6" w:rsidRPr="00462E61" w:rsidRDefault="003077F6" w:rsidP="003077F6">
            <w:pPr>
              <w:rPr>
                <w:rFonts w:ascii="Arial" w:hAnsi="Arial" w:cs="Arial"/>
              </w:rPr>
            </w:pPr>
          </w:p>
        </w:tc>
      </w:tr>
      <w:tr w:rsidR="003077F6" w:rsidRPr="00462E61" w14:paraId="1D683FFF" w14:textId="77777777" w:rsidTr="002631E7">
        <w:tc>
          <w:tcPr>
            <w:tcW w:w="2254" w:type="dxa"/>
          </w:tcPr>
          <w:p w14:paraId="2000ECCE" w14:textId="08A28135" w:rsidR="003077F6" w:rsidRPr="00462E61" w:rsidRDefault="003077F6" w:rsidP="003077F6">
            <w:pPr>
              <w:rPr>
                <w:rFonts w:ascii="Arial" w:hAnsi="Arial" w:cs="Arial"/>
              </w:rPr>
            </w:pPr>
            <w:r w:rsidRPr="00084463">
              <w:t xml:space="preserve">2.4 Total lifetime GHG emissions expected to </w:t>
            </w:r>
            <w:proofErr w:type="gramStart"/>
            <w:r w:rsidRPr="00084463">
              <w:t>be reduced</w:t>
            </w:r>
            <w:proofErr w:type="gramEnd"/>
            <w:r w:rsidRPr="00084463">
              <w:t xml:space="preserve"> or avoided </w:t>
            </w:r>
            <w:r w:rsidRPr="00084463">
              <w:lastRenderedPageBreak/>
              <w:t>directly by UKCI's committed investments (Million tCO2e, cumulative)</w:t>
            </w:r>
          </w:p>
        </w:tc>
        <w:tc>
          <w:tcPr>
            <w:tcW w:w="2254" w:type="dxa"/>
          </w:tcPr>
          <w:p w14:paraId="5E8964CA" w14:textId="2B42B528" w:rsidR="003077F6" w:rsidRPr="00462E61" w:rsidRDefault="000C1D1A" w:rsidP="003077F6">
            <w:pPr>
              <w:rPr>
                <w:rFonts w:ascii="Arial" w:hAnsi="Arial" w:cs="Arial"/>
              </w:rPr>
            </w:pPr>
            <w:r w:rsidRPr="000C1D1A">
              <w:rPr>
                <w:rFonts w:ascii="Arial" w:hAnsi="Arial" w:cs="Arial"/>
              </w:rPr>
              <w:lastRenderedPageBreak/>
              <w:t>31.9 MTCO2e (By 2050)</w:t>
            </w:r>
            <w:r w:rsidR="008D482A">
              <w:rPr>
                <w:rFonts w:ascii="Arial" w:hAnsi="Arial" w:cs="Arial"/>
              </w:rPr>
              <w:t xml:space="preserve"> – originally an outcome</w:t>
            </w:r>
          </w:p>
        </w:tc>
        <w:tc>
          <w:tcPr>
            <w:tcW w:w="2254" w:type="dxa"/>
          </w:tcPr>
          <w:p w14:paraId="57EC7DEF" w14:textId="66A3DE62" w:rsidR="003077F6" w:rsidRPr="00462E61" w:rsidRDefault="00F738C6" w:rsidP="003077F6">
            <w:pPr>
              <w:rPr>
                <w:rFonts w:ascii="Arial" w:hAnsi="Arial" w:cs="Arial"/>
              </w:rPr>
            </w:pPr>
            <w:r>
              <w:rPr>
                <w:rFonts w:ascii="Arial" w:hAnsi="Arial" w:cs="Arial"/>
              </w:rPr>
              <w:t>42.6-52.1</w:t>
            </w:r>
          </w:p>
        </w:tc>
        <w:tc>
          <w:tcPr>
            <w:tcW w:w="2254" w:type="dxa"/>
          </w:tcPr>
          <w:p w14:paraId="6CE09EF7" w14:textId="77777777" w:rsidR="003077F6" w:rsidRPr="009D6D88" w:rsidRDefault="003077F6" w:rsidP="003077F6">
            <w:pPr>
              <w:rPr>
                <w:rFonts w:cs="Arial"/>
                <w:i/>
                <w:color w:val="000000" w:themeColor="text1"/>
                <w:sz w:val="20"/>
                <w:szCs w:val="20"/>
                <w:u w:val="single"/>
              </w:rPr>
            </w:pPr>
            <w:r w:rsidRPr="009D6D88">
              <w:rPr>
                <w:rFonts w:cs="Arial"/>
                <w:i/>
                <w:color w:val="000000" w:themeColor="text1"/>
                <w:sz w:val="20"/>
                <w:szCs w:val="20"/>
                <w:u w:val="single"/>
              </w:rPr>
              <w:t>Achieved (moderately exceeded expectations)</w:t>
            </w:r>
          </w:p>
          <w:p w14:paraId="003F4D9D" w14:textId="7E460B06" w:rsidR="003077F6" w:rsidRPr="009D6D88" w:rsidRDefault="003077F6" w:rsidP="003077F6">
            <w:pPr>
              <w:rPr>
                <w:rFonts w:cs="Arial"/>
                <w:color w:val="000000" w:themeColor="text1"/>
                <w:sz w:val="20"/>
                <w:szCs w:val="20"/>
              </w:rPr>
            </w:pPr>
            <w:r w:rsidRPr="009D6D88">
              <w:rPr>
                <w:rFonts w:cs="Arial"/>
                <w:color w:val="000000" w:themeColor="text1"/>
                <w:sz w:val="20"/>
                <w:szCs w:val="20"/>
              </w:rPr>
              <w:t>5</w:t>
            </w:r>
            <w:r w:rsidR="00D534D4" w:rsidRPr="009D6D88">
              <w:rPr>
                <w:rFonts w:cs="Arial"/>
                <w:color w:val="000000" w:themeColor="text1"/>
                <w:sz w:val="20"/>
                <w:szCs w:val="20"/>
              </w:rPr>
              <w:t>7</w:t>
            </w:r>
            <w:r w:rsidR="000F7F53" w:rsidRPr="009D6D88">
              <w:rPr>
                <w:rFonts w:cs="Arial"/>
                <w:color w:val="000000" w:themeColor="text1"/>
                <w:sz w:val="20"/>
                <w:szCs w:val="20"/>
              </w:rPr>
              <w:t>.2-6</w:t>
            </w:r>
            <w:r w:rsidR="00D534D4" w:rsidRPr="009D6D88">
              <w:rPr>
                <w:rFonts w:cs="Arial"/>
                <w:color w:val="000000" w:themeColor="text1"/>
                <w:sz w:val="20"/>
                <w:szCs w:val="20"/>
              </w:rPr>
              <w:t>9</w:t>
            </w:r>
            <w:r w:rsidR="000F7F53" w:rsidRPr="009D6D88">
              <w:rPr>
                <w:rFonts w:cs="Arial"/>
                <w:color w:val="000000" w:themeColor="text1"/>
                <w:sz w:val="20"/>
                <w:szCs w:val="20"/>
              </w:rPr>
              <w:t>.</w:t>
            </w:r>
            <w:r w:rsidR="00D534D4" w:rsidRPr="009D6D88">
              <w:rPr>
                <w:rFonts w:cs="Arial"/>
                <w:color w:val="000000" w:themeColor="text1"/>
                <w:sz w:val="20"/>
                <w:szCs w:val="20"/>
              </w:rPr>
              <w:t>9</w:t>
            </w:r>
          </w:p>
          <w:p w14:paraId="17913875" w14:textId="77777777" w:rsidR="003077F6" w:rsidRPr="009D6D88" w:rsidRDefault="003077F6" w:rsidP="003077F6">
            <w:pPr>
              <w:rPr>
                <w:rFonts w:cs="Arial"/>
                <w:b/>
                <w:bCs/>
                <w:color w:val="000000" w:themeColor="text1"/>
                <w:sz w:val="20"/>
                <w:szCs w:val="20"/>
              </w:rPr>
            </w:pPr>
          </w:p>
          <w:tbl>
            <w:tblPr>
              <w:tblStyle w:val="TableGrid"/>
              <w:tblW w:w="0" w:type="auto"/>
              <w:tblLook w:val="04A0" w:firstRow="1" w:lastRow="0" w:firstColumn="1" w:lastColumn="0" w:noHBand="0" w:noVBand="1"/>
            </w:tblPr>
            <w:tblGrid>
              <w:gridCol w:w="985"/>
              <w:gridCol w:w="1043"/>
            </w:tblGrid>
            <w:tr w:rsidR="003077F6" w:rsidRPr="009D6D88" w14:paraId="310E71C3" w14:textId="77777777" w:rsidTr="00951D37">
              <w:trPr>
                <w:trHeight w:val="409"/>
              </w:trPr>
              <w:tc>
                <w:tcPr>
                  <w:tcW w:w="985" w:type="dxa"/>
                  <w:tcBorders>
                    <w:top w:val="single" w:sz="4" w:space="0" w:color="auto"/>
                    <w:left w:val="single" w:sz="4" w:space="0" w:color="auto"/>
                    <w:bottom w:val="single" w:sz="4" w:space="0" w:color="auto"/>
                    <w:right w:val="single" w:sz="4" w:space="0" w:color="auto"/>
                  </w:tcBorders>
                  <w:hideMark/>
                </w:tcPr>
                <w:p w14:paraId="392FB1BA" w14:textId="77777777" w:rsidR="003077F6" w:rsidRPr="009D6D88" w:rsidRDefault="003077F6" w:rsidP="003077F6">
                  <w:pPr>
                    <w:rPr>
                      <w:rFonts w:cs="Arial"/>
                      <w:bCs/>
                      <w:iCs/>
                      <w:sz w:val="20"/>
                      <w:szCs w:val="20"/>
                      <w:lang w:eastAsia="en-GB"/>
                    </w:rPr>
                  </w:pPr>
                  <w:r w:rsidRPr="009D6D88">
                    <w:rPr>
                      <w:rFonts w:cs="Arial"/>
                      <w:bCs/>
                      <w:iCs/>
                      <w:sz w:val="20"/>
                      <w:szCs w:val="20"/>
                      <w:lang w:eastAsia="en-GB"/>
                    </w:rPr>
                    <w:t>Project</w:t>
                  </w:r>
                </w:p>
              </w:tc>
              <w:tc>
                <w:tcPr>
                  <w:tcW w:w="1043" w:type="dxa"/>
                  <w:tcBorders>
                    <w:top w:val="single" w:sz="4" w:space="0" w:color="auto"/>
                    <w:left w:val="single" w:sz="4" w:space="0" w:color="auto"/>
                    <w:bottom w:val="single" w:sz="4" w:space="0" w:color="auto"/>
                    <w:right w:val="single" w:sz="4" w:space="0" w:color="auto"/>
                  </w:tcBorders>
                  <w:hideMark/>
                </w:tcPr>
                <w:p w14:paraId="75C210E1" w14:textId="77777777" w:rsidR="003077F6" w:rsidRPr="009D6D88" w:rsidRDefault="003077F6" w:rsidP="003077F6">
                  <w:pPr>
                    <w:rPr>
                      <w:rFonts w:cs="Arial"/>
                      <w:bCs/>
                      <w:iCs/>
                      <w:sz w:val="20"/>
                      <w:szCs w:val="20"/>
                      <w:lang w:eastAsia="en-GB"/>
                    </w:rPr>
                  </w:pPr>
                  <w:r w:rsidRPr="009D6D88">
                    <w:rPr>
                      <w:rFonts w:cs="Arial"/>
                      <w:bCs/>
                      <w:iCs/>
                      <w:sz w:val="20"/>
                      <w:szCs w:val="20"/>
                      <w:lang w:eastAsia="en-GB"/>
                    </w:rPr>
                    <w:t>Lifetime GHG avoided (Million tCO2e)</w:t>
                  </w:r>
                </w:p>
              </w:tc>
            </w:tr>
            <w:tr w:rsidR="00140479" w:rsidRPr="009D6D88" w14:paraId="5FB688EC" w14:textId="77777777" w:rsidTr="00951D37">
              <w:trPr>
                <w:trHeight w:val="247"/>
              </w:trPr>
              <w:tc>
                <w:tcPr>
                  <w:tcW w:w="985" w:type="dxa"/>
                  <w:tcBorders>
                    <w:top w:val="single" w:sz="4" w:space="0" w:color="auto"/>
                    <w:left w:val="single" w:sz="4" w:space="0" w:color="auto"/>
                    <w:bottom w:val="single" w:sz="4" w:space="0" w:color="auto"/>
                    <w:right w:val="single" w:sz="4" w:space="0" w:color="auto"/>
                  </w:tcBorders>
                </w:tcPr>
                <w:p w14:paraId="09700A84" w14:textId="48456FAA" w:rsidR="00140479" w:rsidRPr="009D6D88" w:rsidRDefault="00140479" w:rsidP="003077F6">
                  <w:pPr>
                    <w:rPr>
                      <w:rFonts w:cs="Arial"/>
                      <w:sz w:val="20"/>
                      <w:szCs w:val="20"/>
                      <w:lang w:eastAsia="en-GB"/>
                    </w:rPr>
                  </w:pPr>
                  <w:r w:rsidRPr="009D6D88">
                    <w:rPr>
                      <w:rFonts w:cs="Arial"/>
                      <w:sz w:val="20"/>
                      <w:szCs w:val="20"/>
                      <w:lang w:eastAsia="en-GB"/>
                    </w:rPr>
                    <w:t>Bolt</w:t>
                  </w:r>
                </w:p>
              </w:tc>
              <w:tc>
                <w:tcPr>
                  <w:tcW w:w="1043" w:type="dxa"/>
                  <w:tcBorders>
                    <w:top w:val="single" w:sz="4" w:space="0" w:color="auto"/>
                    <w:left w:val="single" w:sz="4" w:space="0" w:color="auto"/>
                    <w:bottom w:val="single" w:sz="4" w:space="0" w:color="auto"/>
                    <w:right w:val="single" w:sz="4" w:space="0" w:color="auto"/>
                  </w:tcBorders>
                </w:tcPr>
                <w:p w14:paraId="2A50255F" w14:textId="6EDF8EED" w:rsidR="00140479" w:rsidRPr="009D6D88" w:rsidRDefault="00951D37" w:rsidP="003077F6">
                  <w:pPr>
                    <w:jc w:val="right"/>
                    <w:rPr>
                      <w:rFonts w:cs="Arial"/>
                      <w:color w:val="000000" w:themeColor="text1"/>
                      <w:sz w:val="20"/>
                      <w:szCs w:val="20"/>
                      <w:lang w:eastAsia="en-GB"/>
                    </w:rPr>
                  </w:pPr>
                  <w:r w:rsidRPr="009D6D88">
                    <w:rPr>
                      <w:rFonts w:cs="Arial"/>
                      <w:color w:val="000000" w:themeColor="text1"/>
                      <w:sz w:val="20"/>
                      <w:szCs w:val="20"/>
                      <w:lang w:eastAsia="en-GB"/>
                    </w:rPr>
                    <w:t>2</w:t>
                  </w:r>
                </w:p>
              </w:tc>
            </w:tr>
            <w:tr w:rsidR="003077F6" w:rsidRPr="009D6D88" w14:paraId="1B56D92E" w14:textId="77777777" w:rsidTr="00951D37">
              <w:trPr>
                <w:trHeight w:val="247"/>
              </w:trPr>
              <w:tc>
                <w:tcPr>
                  <w:tcW w:w="985" w:type="dxa"/>
                  <w:tcBorders>
                    <w:top w:val="single" w:sz="4" w:space="0" w:color="auto"/>
                    <w:left w:val="single" w:sz="4" w:space="0" w:color="auto"/>
                    <w:bottom w:val="single" w:sz="4" w:space="0" w:color="auto"/>
                    <w:right w:val="single" w:sz="4" w:space="0" w:color="auto"/>
                  </w:tcBorders>
                  <w:hideMark/>
                </w:tcPr>
                <w:p w14:paraId="122F2095" w14:textId="77777777" w:rsidR="003077F6" w:rsidRPr="009D6D88" w:rsidRDefault="003077F6" w:rsidP="003077F6">
                  <w:pPr>
                    <w:rPr>
                      <w:rFonts w:cs="Arial"/>
                      <w:bCs/>
                      <w:iCs/>
                      <w:sz w:val="20"/>
                      <w:szCs w:val="20"/>
                      <w:lang w:eastAsia="en-GB"/>
                    </w:rPr>
                  </w:pPr>
                  <w:r w:rsidRPr="009D6D88">
                    <w:rPr>
                      <w:rFonts w:cs="Arial"/>
                      <w:sz w:val="20"/>
                      <w:szCs w:val="20"/>
                      <w:lang w:eastAsia="en-GB"/>
                    </w:rPr>
                    <w:t>Apollo  </w:t>
                  </w:r>
                </w:p>
              </w:tc>
              <w:tc>
                <w:tcPr>
                  <w:tcW w:w="1043" w:type="dxa"/>
                  <w:tcBorders>
                    <w:top w:val="single" w:sz="4" w:space="0" w:color="auto"/>
                    <w:left w:val="single" w:sz="4" w:space="0" w:color="auto"/>
                    <w:bottom w:val="single" w:sz="4" w:space="0" w:color="auto"/>
                    <w:right w:val="single" w:sz="4" w:space="0" w:color="auto"/>
                  </w:tcBorders>
                  <w:hideMark/>
                </w:tcPr>
                <w:p w14:paraId="3501A655" w14:textId="2A0688D9" w:rsidR="003077F6" w:rsidRPr="009D6D88" w:rsidRDefault="00951D37" w:rsidP="003077F6">
                  <w:pPr>
                    <w:jc w:val="right"/>
                    <w:rPr>
                      <w:rFonts w:cs="Arial"/>
                      <w:bCs/>
                      <w:iCs/>
                      <w:sz w:val="20"/>
                      <w:szCs w:val="20"/>
                      <w:lang w:eastAsia="en-GB"/>
                    </w:rPr>
                  </w:pPr>
                  <w:r w:rsidRPr="009D6D88">
                    <w:rPr>
                      <w:rFonts w:cs="Arial"/>
                      <w:bCs/>
                      <w:iCs/>
                      <w:sz w:val="20"/>
                      <w:szCs w:val="20"/>
                      <w:lang w:eastAsia="en-GB"/>
                    </w:rPr>
                    <w:t>11</w:t>
                  </w:r>
                </w:p>
              </w:tc>
            </w:tr>
            <w:tr w:rsidR="003077F6" w:rsidRPr="009D6D88" w14:paraId="694F340A" w14:textId="77777777" w:rsidTr="00951D37">
              <w:trPr>
                <w:trHeight w:val="204"/>
              </w:trPr>
              <w:tc>
                <w:tcPr>
                  <w:tcW w:w="985" w:type="dxa"/>
                  <w:tcBorders>
                    <w:top w:val="single" w:sz="4" w:space="0" w:color="auto"/>
                    <w:left w:val="single" w:sz="4" w:space="0" w:color="auto"/>
                    <w:bottom w:val="single" w:sz="4" w:space="0" w:color="auto"/>
                    <w:right w:val="single" w:sz="4" w:space="0" w:color="auto"/>
                  </w:tcBorders>
                  <w:hideMark/>
                </w:tcPr>
                <w:p w14:paraId="6DD68C6E" w14:textId="52223364" w:rsidR="003077F6" w:rsidRPr="009D6D88" w:rsidRDefault="00951D37" w:rsidP="003077F6">
                  <w:pPr>
                    <w:rPr>
                      <w:rFonts w:cs="Arial"/>
                      <w:bCs/>
                      <w:iCs/>
                      <w:sz w:val="20"/>
                      <w:szCs w:val="20"/>
                      <w:lang w:eastAsia="en-GB"/>
                    </w:rPr>
                  </w:pPr>
                  <w:r w:rsidRPr="009D6D88">
                    <w:rPr>
                      <w:rFonts w:cs="Arial"/>
                      <w:sz w:val="20"/>
                      <w:szCs w:val="20"/>
                      <w:lang w:eastAsia="en-GB"/>
                    </w:rPr>
                    <w:t>Oslo</w:t>
                  </w:r>
                  <w:r w:rsidR="003077F6" w:rsidRPr="009D6D88">
                    <w:rPr>
                      <w:rFonts w:cs="Arial"/>
                      <w:sz w:val="20"/>
                      <w:szCs w:val="20"/>
                      <w:lang w:eastAsia="en-GB"/>
                    </w:rPr>
                    <w:t> </w:t>
                  </w:r>
                </w:p>
              </w:tc>
              <w:tc>
                <w:tcPr>
                  <w:tcW w:w="1043" w:type="dxa"/>
                  <w:tcBorders>
                    <w:top w:val="single" w:sz="4" w:space="0" w:color="auto"/>
                    <w:left w:val="single" w:sz="4" w:space="0" w:color="auto"/>
                    <w:bottom w:val="single" w:sz="4" w:space="0" w:color="auto"/>
                    <w:right w:val="single" w:sz="4" w:space="0" w:color="auto"/>
                  </w:tcBorders>
                  <w:hideMark/>
                </w:tcPr>
                <w:p w14:paraId="5AD6462E" w14:textId="5FC9D771" w:rsidR="003077F6" w:rsidRPr="009D6D88" w:rsidRDefault="00951D37" w:rsidP="003077F6">
                  <w:pPr>
                    <w:jc w:val="right"/>
                    <w:rPr>
                      <w:rFonts w:cs="Arial"/>
                      <w:bCs/>
                      <w:iCs/>
                      <w:sz w:val="20"/>
                      <w:szCs w:val="20"/>
                      <w:lang w:eastAsia="en-GB"/>
                    </w:rPr>
                  </w:pPr>
                  <w:r w:rsidRPr="009D6D88">
                    <w:rPr>
                      <w:rFonts w:cs="Arial"/>
                      <w:bCs/>
                      <w:iCs/>
                      <w:sz w:val="20"/>
                      <w:szCs w:val="20"/>
                      <w:lang w:eastAsia="en-GB"/>
                    </w:rPr>
                    <w:t>13</w:t>
                  </w:r>
                </w:p>
              </w:tc>
            </w:tr>
            <w:tr w:rsidR="003077F6" w:rsidRPr="009D6D88" w14:paraId="5D8D96A1" w14:textId="77777777" w:rsidTr="00951D37">
              <w:trPr>
                <w:trHeight w:val="204"/>
              </w:trPr>
              <w:tc>
                <w:tcPr>
                  <w:tcW w:w="985" w:type="dxa"/>
                  <w:tcBorders>
                    <w:top w:val="single" w:sz="4" w:space="0" w:color="auto"/>
                    <w:left w:val="single" w:sz="4" w:space="0" w:color="auto"/>
                    <w:bottom w:val="single" w:sz="4" w:space="0" w:color="auto"/>
                    <w:right w:val="single" w:sz="4" w:space="0" w:color="auto"/>
                  </w:tcBorders>
                  <w:hideMark/>
                </w:tcPr>
                <w:p w14:paraId="1E8C61F7" w14:textId="77777777" w:rsidR="003077F6" w:rsidRPr="009D6D88" w:rsidRDefault="003077F6" w:rsidP="003077F6">
                  <w:pPr>
                    <w:rPr>
                      <w:rFonts w:cs="Arial"/>
                      <w:bCs/>
                      <w:iCs/>
                      <w:sz w:val="20"/>
                      <w:szCs w:val="20"/>
                      <w:lang w:eastAsia="en-GB"/>
                    </w:rPr>
                  </w:pPr>
                  <w:r w:rsidRPr="009D6D88">
                    <w:rPr>
                      <w:rFonts w:cs="Arial"/>
                      <w:sz w:val="20"/>
                      <w:szCs w:val="20"/>
                      <w:lang w:eastAsia="en-GB"/>
                    </w:rPr>
                    <w:t>Etna2</w:t>
                  </w:r>
                </w:p>
              </w:tc>
              <w:tc>
                <w:tcPr>
                  <w:tcW w:w="1043" w:type="dxa"/>
                  <w:tcBorders>
                    <w:top w:val="single" w:sz="4" w:space="0" w:color="auto"/>
                    <w:left w:val="single" w:sz="4" w:space="0" w:color="auto"/>
                    <w:bottom w:val="single" w:sz="4" w:space="0" w:color="auto"/>
                    <w:right w:val="single" w:sz="4" w:space="0" w:color="auto"/>
                  </w:tcBorders>
                  <w:hideMark/>
                </w:tcPr>
                <w:p w14:paraId="0A96FDA7" w14:textId="03416F5E" w:rsidR="003077F6" w:rsidRPr="009D6D88" w:rsidRDefault="003077F6" w:rsidP="003077F6">
                  <w:pPr>
                    <w:jc w:val="right"/>
                    <w:rPr>
                      <w:rFonts w:cs="Arial"/>
                      <w:bCs/>
                      <w:iCs/>
                      <w:sz w:val="20"/>
                      <w:szCs w:val="20"/>
                      <w:lang w:eastAsia="en-GB"/>
                    </w:rPr>
                  </w:pPr>
                  <w:r w:rsidRPr="009D6D88">
                    <w:rPr>
                      <w:rFonts w:cs="Arial"/>
                      <w:bCs/>
                      <w:iCs/>
                      <w:sz w:val="20"/>
                      <w:szCs w:val="20"/>
                      <w:lang w:eastAsia="en-GB"/>
                    </w:rPr>
                    <w:t>3</w:t>
                  </w:r>
                  <w:r w:rsidR="00951D37" w:rsidRPr="009D6D88">
                    <w:rPr>
                      <w:rFonts w:cs="Arial"/>
                      <w:bCs/>
                      <w:iCs/>
                      <w:sz w:val="20"/>
                      <w:szCs w:val="20"/>
                      <w:lang w:eastAsia="en-GB"/>
                    </w:rPr>
                    <w:t>8</w:t>
                  </w:r>
                </w:p>
              </w:tc>
            </w:tr>
            <w:tr w:rsidR="003077F6" w:rsidRPr="009D6D88" w14:paraId="5E1D0176" w14:textId="77777777" w:rsidTr="00951D37">
              <w:trPr>
                <w:trHeight w:val="204"/>
              </w:trPr>
              <w:tc>
                <w:tcPr>
                  <w:tcW w:w="985" w:type="dxa"/>
                  <w:tcBorders>
                    <w:top w:val="single" w:sz="4" w:space="0" w:color="auto"/>
                    <w:left w:val="single" w:sz="4" w:space="0" w:color="auto"/>
                    <w:bottom w:val="single" w:sz="4" w:space="0" w:color="auto"/>
                    <w:right w:val="single" w:sz="4" w:space="0" w:color="auto"/>
                  </w:tcBorders>
                  <w:hideMark/>
                </w:tcPr>
                <w:p w14:paraId="1BD889B7" w14:textId="77777777" w:rsidR="003077F6" w:rsidRPr="009D6D88" w:rsidRDefault="003077F6" w:rsidP="003077F6">
                  <w:pPr>
                    <w:rPr>
                      <w:rFonts w:cs="Arial"/>
                      <w:bCs/>
                      <w:iCs/>
                      <w:sz w:val="20"/>
                      <w:szCs w:val="20"/>
                      <w:lang w:eastAsia="en-GB"/>
                    </w:rPr>
                  </w:pPr>
                  <w:r w:rsidRPr="009D6D88">
                    <w:rPr>
                      <w:rFonts w:cs="Arial"/>
                      <w:bCs/>
                      <w:iCs/>
                      <w:sz w:val="20"/>
                      <w:szCs w:val="20"/>
                      <w:lang w:eastAsia="en-GB"/>
                    </w:rPr>
                    <w:t>Kijani</w:t>
                  </w:r>
                </w:p>
              </w:tc>
              <w:tc>
                <w:tcPr>
                  <w:tcW w:w="1043" w:type="dxa"/>
                  <w:tcBorders>
                    <w:top w:val="single" w:sz="4" w:space="0" w:color="auto"/>
                    <w:left w:val="single" w:sz="4" w:space="0" w:color="auto"/>
                    <w:bottom w:val="single" w:sz="4" w:space="0" w:color="auto"/>
                    <w:right w:val="single" w:sz="4" w:space="0" w:color="auto"/>
                  </w:tcBorders>
                  <w:hideMark/>
                </w:tcPr>
                <w:p w14:paraId="5D27E22F" w14:textId="1402D3D6" w:rsidR="003077F6" w:rsidRPr="009D6D88" w:rsidRDefault="003077F6" w:rsidP="003077F6">
                  <w:pPr>
                    <w:jc w:val="right"/>
                    <w:rPr>
                      <w:rFonts w:cs="Arial"/>
                      <w:bCs/>
                      <w:iCs/>
                      <w:sz w:val="20"/>
                      <w:szCs w:val="20"/>
                      <w:lang w:eastAsia="en-GB"/>
                    </w:rPr>
                  </w:pPr>
                  <w:r w:rsidRPr="009D6D88">
                    <w:rPr>
                      <w:rFonts w:cs="Arial"/>
                      <w:bCs/>
                      <w:iCs/>
                      <w:sz w:val="20"/>
                      <w:szCs w:val="20"/>
                      <w:lang w:eastAsia="en-GB"/>
                    </w:rPr>
                    <w:t>0.0</w:t>
                  </w:r>
                  <w:r w:rsidR="00D534D4" w:rsidRPr="009D6D88">
                    <w:rPr>
                      <w:rFonts w:cs="Arial"/>
                      <w:bCs/>
                      <w:iCs/>
                      <w:sz w:val="20"/>
                      <w:szCs w:val="20"/>
                      <w:lang w:eastAsia="en-GB"/>
                    </w:rPr>
                    <w:t>5</w:t>
                  </w:r>
                </w:p>
              </w:tc>
            </w:tr>
            <w:tr w:rsidR="003077F6" w:rsidRPr="009D6D88" w14:paraId="2C19925A" w14:textId="77777777" w:rsidTr="00951D37">
              <w:trPr>
                <w:trHeight w:val="204"/>
              </w:trPr>
              <w:tc>
                <w:tcPr>
                  <w:tcW w:w="985" w:type="dxa"/>
                  <w:tcBorders>
                    <w:top w:val="single" w:sz="4" w:space="0" w:color="auto"/>
                    <w:left w:val="single" w:sz="4" w:space="0" w:color="auto"/>
                    <w:bottom w:val="single" w:sz="4" w:space="0" w:color="auto"/>
                    <w:right w:val="single" w:sz="4" w:space="0" w:color="auto"/>
                  </w:tcBorders>
                  <w:hideMark/>
                </w:tcPr>
                <w:p w14:paraId="442D2C48" w14:textId="77777777" w:rsidR="003077F6" w:rsidRPr="009D6D88" w:rsidRDefault="003077F6" w:rsidP="003077F6">
                  <w:pPr>
                    <w:rPr>
                      <w:rFonts w:cs="Arial"/>
                      <w:b/>
                      <w:sz w:val="20"/>
                      <w:szCs w:val="20"/>
                      <w:lang w:eastAsia="en-GB"/>
                    </w:rPr>
                  </w:pPr>
                  <w:r w:rsidRPr="009D6D88">
                    <w:rPr>
                      <w:rFonts w:cs="Arial"/>
                      <w:b/>
                      <w:sz w:val="20"/>
                      <w:szCs w:val="20"/>
                      <w:lang w:eastAsia="en-GB"/>
                    </w:rPr>
                    <w:t>Total (</w:t>
                  </w:r>
                  <w:proofErr w:type="spellStart"/>
                  <w:r w:rsidRPr="009D6D88">
                    <w:rPr>
                      <w:rFonts w:cs="Arial"/>
                      <w:b/>
                      <w:sz w:val="20"/>
                      <w:szCs w:val="20"/>
                      <w:lang w:eastAsia="en-GB"/>
                    </w:rPr>
                    <w:t>Cumul</w:t>
                  </w:r>
                  <w:proofErr w:type="spellEnd"/>
                  <w:r w:rsidRPr="009D6D88">
                    <w:rPr>
                      <w:rFonts w:cs="Arial"/>
                      <w:b/>
                      <w:iCs/>
                      <w:sz w:val="20"/>
                      <w:szCs w:val="20"/>
                      <w:lang w:eastAsia="en-GB"/>
                    </w:rPr>
                    <w:t>.)</w:t>
                  </w:r>
                </w:p>
              </w:tc>
              <w:tc>
                <w:tcPr>
                  <w:tcW w:w="1043" w:type="dxa"/>
                  <w:tcBorders>
                    <w:top w:val="single" w:sz="4" w:space="0" w:color="auto"/>
                    <w:left w:val="single" w:sz="4" w:space="0" w:color="auto"/>
                    <w:bottom w:val="single" w:sz="4" w:space="0" w:color="auto"/>
                    <w:right w:val="single" w:sz="4" w:space="0" w:color="auto"/>
                  </w:tcBorders>
                  <w:hideMark/>
                </w:tcPr>
                <w:p w14:paraId="1408AE76" w14:textId="47FA843D" w:rsidR="003077F6" w:rsidRPr="009D6D88" w:rsidRDefault="00DF7574" w:rsidP="003077F6">
                  <w:pPr>
                    <w:jc w:val="right"/>
                    <w:rPr>
                      <w:rFonts w:cs="Arial"/>
                      <w:b/>
                      <w:iCs/>
                      <w:sz w:val="20"/>
                      <w:szCs w:val="20"/>
                      <w:lang w:eastAsia="en-GB"/>
                    </w:rPr>
                  </w:pPr>
                  <w:r w:rsidRPr="009D6D88">
                    <w:rPr>
                      <w:rFonts w:cs="Arial"/>
                      <w:b/>
                      <w:iCs/>
                      <w:sz w:val="20"/>
                      <w:szCs w:val="20"/>
                      <w:lang w:eastAsia="en-GB"/>
                    </w:rPr>
                    <w:t>64</w:t>
                  </w:r>
                </w:p>
              </w:tc>
            </w:tr>
          </w:tbl>
          <w:p w14:paraId="26A830E3" w14:textId="77777777" w:rsidR="003077F6" w:rsidRPr="009D6D88" w:rsidRDefault="003077F6" w:rsidP="003077F6">
            <w:pPr>
              <w:rPr>
                <w:rFonts w:ascii="Arial" w:hAnsi="Arial" w:cs="Arial"/>
              </w:rPr>
            </w:pPr>
          </w:p>
        </w:tc>
      </w:tr>
    </w:tbl>
    <w:p w14:paraId="3498155D" w14:textId="77777777" w:rsidR="004371C6" w:rsidRDefault="004371C6" w:rsidP="00420F50">
      <w:pPr>
        <w:rPr>
          <w:rFonts w:ascii="Arial" w:hAnsi="Arial" w:cs="Arial"/>
        </w:rPr>
      </w:pPr>
    </w:p>
    <w:p w14:paraId="4E16A683" w14:textId="77777777" w:rsidR="005D499C" w:rsidRPr="00324E48" w:rsidRDefault="005D499C" w:rsidP="005D499C">
      <w:pPr>
        <w:rPr>
          <w:rFonts w:ascii="Arial" w:hAnsi="Arial" w:cs="Arial"/>
          <w:sz w:val="24"/>
          <w:szCs w:val="24"/>
        </w:rPr>
      </w:pPr>
      <w:r w:rsidRPr="00324E48">
        <w:rPr>
          <w:rFonts w:ascii="Arial" w:hAnsi="Arial" w:cs="Arial"/>
          <w:b/>
          <w:bCs/>
          <w:sz w:val="24"/>
          <w:szCs w:val="24"/>
        </w:rPr>
        <w:t xml:space="preserve">Output summary and supporting narrative for the </w:t>
      </w:r>
      <w:proofErr w:type="gramStart"/>
      <w:r w:rsidRPr="00324E48">
        <w:rPr>
          <w:rFonts w:ascii="Arial" w:hAnsi="Arial" w:cs="Arial"/>
          <w:b/>
          <w:bCs/>
          <w:sz w:val="24"/>
          <w:szCs w:val="24"/>
        </w:rPr>
        <w:t>score</w:t>
      </w:r>
      <w:proofErr w:type="gramEnd"/>
    </w:p>
    <w:p w14:paraId="0AFF6F2F" w14:textId="44BA377E" w:rsidR="005D499C" w:rsidRDefault="00E06BEF" w:rsidP="005D499C">
      <w:pPr>
        <w:rPr>
          <w:rFonts w:ascii="Arial" w:hAnsi="Arial" w:cs="Arial"/>
        </w:rPr>
      </w:pPr>
      <w:r>
        <w:rPr>
          <w:rFonts w:ascii="Arial" w:hAnsi="Arial" w:cs="Arial"/>
        </w:rPr>
        <w:t xml:space="preserve">Over the course of the programme, decisions </w:t>
      </w:r>
      <w:proofErr w:type="gramStart"/>
      <w:r>
        <w:rPr>
          <w:rFonts w:ascii="Arial" w:hAnsi="Arial" w:cs="Arial"/>
        </w:rPr>
        <w:t>were made</w:t>
      </w:r>
      <w:proofErr w:type="gramEnd"/>
      <w:r>
        <w:rPr>
          <w:rFonts w:ascii="Arial" w:hAnsi="Arial" w:cs="Arial"/>
        </w:rPr>
        <w:t xml:space="preserve"> to decrease the total number of investments and to ensure a spread of investments beyond India and South Africa. The original set of geographies for UKCI consisted of India, South Africa, Kenya, </w:t>
      </w:r>
      <w:proofErr w:type="gramStart"/>
      <w:r>
        <w:rPr>
          <w:rFonts w:ascii="Arial" w:hAnsi="Arial" w:cs="Arial"/>
        </w:rPr>
        <w:t>Tanzania</w:t>
      </w:r>
      <w:proofErr w:type="gramEnd"/>
      <w:r>
        <w:rPr>
          <w:rFonts w:ascii="Arial" w:hAnsi="Arial" w:cs="Arial"/>
        </w:rPr>
        <w:t xml:space="preserve"> and Rwanda. In practice, investments </w:t>
      </w:r>
      <w:proofErr w:type="gramStart"/>
      <w:r>
        <w:rPr>
          <w:rFonts w:ascii="Arial" w:hAnsi="Arial" w:cs="Arial"/>
        </w:rPr>
        <w:t>were concentrated</w:t>
      </w:r>
      <w:proofErr w:type="gramEnd"/>
      <w:r>
        <w:rPr>
          <w:rFonts w:ascii="Arial" w:hAnsi="Arial" w:cs="Arial"/>
        </w:rPr>
        <w:t xml:space="preserve"> in India and South Africa</w:t>
      </w:r>
      <w:r w:rsidR="007137EF">
        <w:rPr>
          <w:rFonts w:ascii="Arial" w:hAnsi="Arial" w:cs="Arial"/>
        </w:rPr>
        <w:t xml:space="preserve"> with </w:t>
      </w:r>
      <w:r w:rsidR="001523F4">
        <w:rPr>
          <w:rFonts w:ascii="Arial" w:hAnsi="Arial" w:cs="Arial"/>
        </w:rPr>
        <w:t xml:space="preserve">only </w:t>
      </w:r>
      <w:r w:rsidR="007137EF">
        <w:rPr>
          <w:rFonts w:ascii="Arial" w:hAnsi="Arial" w:cs="Arial"/>
        </w:rPr>
        <w:t xml:space="preserve">one in </w:t>
      </w:r>
      <w:r w:rsidR="001523F4">
        <w:rPr>
          <w:rFonts w:ascii="Arial" w:hAnsi="Arial" w:cs="Arial"/>
        </w:rPr>
        <w:t xml:space="preserve">another geography - </w:t>
      </w:r>
      <w:r w:rsidR="007137EF">
        <w:rPr>
          <w:rFonts w:ascii="Arial" w:hAnsi="Arial" w:cs="Arial"/>
        </w:rPr>
        <w:t>Kenya.</w:t>
      </w:r>
    </w:p>
    <w:p w14:paraId="29A926B0" w14:textId="1E9B04A5" w:rsidR="00E06BEF" w:rsidRDefault="00E06BEF" w:rsidP="005D499C">
      <w:pPr>
        <w:rPr>
          <w:rFonts w:ascii="Arial" w:hAnsi="Arial" w:cs="Arial"/>
        </w:rPr>
      </w:pPr>
      <w:r>
        <w:rPr>
          <w:rFonts w:ascii="Arial" w:hAnsi="Arial" w:cs="Arial"/>
        </w:rPr>
        <w:t xml:space="preserve">The Ipsos Mori interim report (2018) found that UKCI was operating in markets with </w:t>
      </w:r>
      <w:proofErr w:type="gramStart"/>
      <w:r>
        <w:rPr>
          <w:rFonts w:ascii="Arial" w:hAnsi="Arial" w:cs="Arial"/>
        </w:rPr>
        <w:t>high levels</w:t>
      </w:r>
      <w:proofErr w:type="gramEnd"/>
      <w:r>
        <w:rPr>
          <w:rFonts w:ascii="Arial" w:hAnsi="Arial" w:cs="Arial"/>
        </w:rPr>
        <w:t xml:space="preserve"> of attractiveness and thus competition. A question </w:t>
      </w:r>
      <w:proofErr w:type="gramStart"/>
      <w:r>
        <w:rPr>
          <w:rFonts w:ascii="Arial" w:hAnsi="Arial" w:cs="Arial"/>
        </w:rPr>
        <w:t>was raised</w:t>
      </w:r>
      <w:proofErr w:type="gramEnd"/>
      <w:r>
        <w:rPr>
          <w:rFonts w:ascii="Arial" w:hAnsi="Arial" w:cs="Arial"/>
        </w:rPr>
        <w:t xml:space="preserve"> as to decisions to broaden the set of target geographies or to focus on novel technologies. </w:t>
      </w:r>
    </w:p>
    <w:p w14:paraId="7B7F4693" w14:textId="60196ACD" w:rsidR="00E06BEF" w:rsidRDefault="00E06BEF" w:rsidP="005D499C">
      <w:pPr>
        <w:rPr>
          <w:rFonts w:ascii="Arial" w:hAnsi="Arial" w:cs="Arial"/>
        </w:rPr>
      </w:pPr>
      <w:r>
        <w:rPr>
          <w:rFonts w:ascii="Arial" w:hAnsi="Arial" w:cs="Arial"/>
        </w:rPr>
        <w:t xml:space="preserve">BEIS did broaden the geographic </w:t>
      </w:r>
      <w:proofErr w:type="gramStart"/>
      <w:r>
        <w:rPr>
          <w:rFonts w:ascii="Arial" w:hAnsi="Arial" w:cs="Arial"/>
        </w:rPr>
        <w:t>mandate</w:t>
      </w:r>
      <w:proofErr w:type="gramEnd"/>
      <w:r>
        <w:rPr>
          <w:rFonts w:ascii="Arial" w:hAnsi="Arial" w:cs="Arial"/>
        </w:rPr>
        <w:t xml:space="preserve"> but this failed to bear fruit </w:t>
      </w:r>
      <w:r w:rsidR="00080125">
        <w:rPr>
          <w:rFonts w:ascii="Arial" w:hAnsi="Arial" w:cs="Arial"/>
        </w:rPr>
        <w:t>and</w:t>
      </w:r>
      <w:r>
        <w:rPr>
          <w:rFonts w:ascii="Arial" w:hAnsi="Arial" w:cs="Arial"/>
        </w:rPr>
        <w:t xml:space="preserve"> see investments outside of the original five target countries of the programme.</w:t>
      </w:r>
    </w:p>
    <w:p w14:paraId="3A4E48AA" w14:textId="68467DC5" w:rsidR="00E06BEF" w:rsidRDefault="00E06BEF" w:rsidP="005D499C">
      <w:pPr>
        <w:rPr>
          <w:rFonts w:ascii="Arial" w:hAnsi="Arial" w:cs="Arial"/>
        </w:rPr>
      </w:pPr>
      <w:r>
        <w:rPr>
          <w:rFonts w:ascii="Arial" w:hAnsi="Arial" w:cs="Arial"/>
        </w:rPr>
        <w:t xml:space="preserve">Additionality criteria did allow however for a move towards more innovative technologies and business models – as evidenced by the support to YieldCos. </w:t>
      </w:r>
    </w:p>
    <w:p w14:paraId="708C8BD4" w14:textId="4CDAEB59" w:rsidR="00E06BEF" w:rsidRPr="005D499C" w:rsidRDefault="00E06BEF" w:rsidP="005D499C">
      <w:pPr>
        <w:rPr>
          <w:rFonts w:ascii="Arial" w:hAnsi="Arial" w:cs="Arial"/>
        </w:rPr>
      </w:pPr>
      <w:r>
        <w:rPr>
          <w:rFonts w:ascii="Arial" w:hAnsi="Arial" w:cs="Arial"/>
        </w:rPr>
        <w:t>It is important to note that the overall cost of renewable energy and energy efficiency technologies significantly declined over UKCI’s lifetime. This cost decrease can help to explain the uptick in targets related to energy capacity and GHG reductions from the original expectations.</w:t>
      </w:r>
    </w:p>
    <w:p w14:paraId="6837A2DC" w14:textId="77777777" w:rsidR="005D499C" w:rsidRPr="00324E48" w:rsidRDefault="005D499C" w:rsidP="005D499C">
      <w:pPr>
        <w:rPr>
          <w:rFonts w:ascii="Arial" w:hAnsi="Arial" w:cs="Arial"/>
          <w:sz w:val="24"/>
          <w:szCs w:val="24"/>
        </w:rPr>
      </w:pPr>
      <w:r w:rsidRPr="00324E48">
        <w:rPr>
          <w:rFonts w:ascii="Arial" w:hAnsi="Arial" w:cs="Arial"/>
          <w:b/>
          <w:bCs/>
          <w:sz w:val="24"/>
          <w:szCs w:val="24"/>
        </w:rPr>
        <w:t xml:space="preserve">Lessons learned through this output, and recommendations for future </w:t>
      </w:r>
      <w:proofErr w:type="gramStart"/>
      <w:r w:rsidRPr="00324E48">
        <w:rPr>
          <w:rFonts w:ascii="Arial" w:hAnsi="Arial" w:cs="Arial"/>
          <w:b/>
          <w:bCs/>
          <w:sz w:val="24"/>
          <w:szCs w:val="24"/>
        </w:rPr>
        <w:t>programming</w:t>
      </w:r>
      <w:proofErr w:type="gramEnd"/>
    </w:p>
    <w:p w14:paraId="1553E220" w14:textId="08FBCE65" w:rsidR="005D499C" w:rsidRDefault="00E06BEF" w:rsidP="00420F50">
      <w:pPr>
        <w:rPr>
          <w:rFonts w:ascii="Arial" w:hAnsi="Arial" w:cs="Arial"/>
        </w:rPr>
      </w:pPr>
      <w:r>
        <w:rPr>
          <w:rFonts w:ascii="Arial" w:hAnsi="Arial" w:cs="Arial"/>
        </w:rPr>
        <w:t xml:space="preserve">In designing future programming, it will be important to remember that there are </w:t>
      </w:r>
      <w:r w:rsidR="005523CC">
        <w:rPr>
          <w:rFonts w:ascii="Arial" w:hAnsi="Arial" w:cs="Arial"/>
        </w:rPr>
        <w:t>trade-offs</w:t>
      </w:r>
      <w:r>
        <w:rPr>
          <w:rFonts w:ascii="Arial" w:hAnsi="Arial" w:cs="Arial"/>
        </w:rPr>
        <w:t xml:space="preserve"> in </w:t>
      </w:r>
      <w:proofErr w:type="gramStart"/>
      <w:r w:rsidR="005523CC">
        <w:rPr>
          <w:rFonts w:ascii="Arial" w:hAnsi="Arial" w:cs="Arial"/>
        </w:rPr>
        <w:t>several</w:t>
      </w:r>
      <w:proofErr w:type="gramEnd"/>
      <w:r>
        <w:rPr>
          <w:rFonts w:ascii="Arial" w:hAnsi="Arial" w:cs="Arial"/>
        </w:rPr>
        <w:t xml:space="preserve"> areas.</w:t>
      </w:r>
    </w:p>
    <w:p w14:paraId="4809B4CB" w14:textId="54F8E8A0" w:rsidR="00E06BEF" w:rsidRDefault="00E06BEF" w:rsidP="00420F50">
      <w:pPr>
        <w:rPr>
          <w:rFonts w:ascii="Arial" w:hAnsi="Arial" w:cs="Arial"/>
        </w:rPr>
      </w:pPr>
      <w:r>
        <w:rPr>
          <w:rFonts w:ascii="Arial" w:hAnsi="Arial" w:cs="Arial"/>
        </w:rPr>
        <w:t xml:space="preserve">Countries with more attractive investment climates will </w:t>
      </w:r>
      <w:proofErr w:type="gramStart"/>
      <w:r>
        <w:rPr>
          <w:rFonts w:ascii="Arial" w:hAnsi="Arial" w:cs="Arial"/>
        </w:rPr>
        <w:t>likely be</w:t>
      </w:r>
      <w:proofErr w:type="gramEnd"/>
      <w:r>
        <w:rPr>
          <w:rFonts w:ascii="Arial" w:hAnsi="Arial" w:cs="Arial"/>
        </w:rPr>
        <w:t xml:space="preserve"> easier for interventions like UKCI to be implemented and to attract private capital.</w:t>
      </w:r>
      <w:r w:rsidR="000B2715">
        <w:rPr>
          <w:rFonts w:ascii="Arial" w:hAnsi="Arial" w:cs="Arial"/>
        </w:rPr>
        <w:t xml:space="preserve"> This is because UKCI operates on commercial terms alongside other investors – and this is more likely in countries with </w:t>
      </w:r>
      <w:proofErr w:type="gramStart"/>
      <w:r w:rsidR="000B2715">
        <w:rPr>
          <w:rFonts w:ascii="Arial" w:hAnsi="Arial" w:cs="Arial"/>
        </w:rPr>
        <w:t>good investment</w:t>
      </w:r>
      <w:proofErr w:type="gramEnd"/>
      <w:r w:rsidR="000B2715">
        <w:rPr>
          <w:rFonts w:ascii="Arial" w:hAnsi="Arial" w:cs="Arial"/>
        </w:rPr>
        <w:t xml:space="preserve"> climates.</w:t>
      </w:r>
      <w:r>
        <w:rPr>
          <w:rFonts w:ascii="Arial" w:hAnsi="Arial" w:cs="Arial"/>
        </w:rPr>
        <w:t xml:space="preserve"> As such, it is important to ensure that additionality and innovation criteria (and related oversight) are sufficiently robust to ensure investments are in fact at the cusp of commercial viability.</w:t>
      </w:r>
    </w:p>
    <w:p w14:paraId="1647CC27" w14:textId="2D22075A" w:rsidR="00E06BEF" w:rsidRDefault="00E06BEF" w:rsidP="00420F50">
      <w:pPr>
        <w:rPr>
          <w:rFonts w:ascii="Arial" w:hAnsi="Arial" w:cs="Arial"/>
        </w:rPr>
      </w:pPr>
      <w:r>
        <w:rPr>
          <w:rFonts w:ascii="Arial" w:hAnsi="Arial" w:cs="Arial"/>
        </w:rPr>
        <w:t xml:space="preserve">At the same time, if future programming wishes to have a wider geographic </w:t>
      </w:r>
      <w:proofErr w:type="gramStart"/>
      <w:r>
        <w:rPr>
          <w:rFonts w:ascii="Arial" w:hAnsi="Arial" w:cs="Arial"/>
        </w:rPr>
        <w:t>impact</w:t>
      </w:r>
      <w:proofErr w:type="gramEnd"/>
      <w:r>
        <w:rPr>
          <w:rFonts w:ascii="Arial" w:hAnsi="Arial" w:cs="Arial"/>
        </w:rPr>
        <w:t xml:space="preserve"> then the additionality and innovation criteria (and related oversight mechanisms) need to be responsive to local contexts. What is innovative and additional in one economy may already </w:t>
      </w:r>
      <w:proofErr w:type="gramStart"/>
      <w:r>
        <w:rPr>
          <w:rFonts w:ascii="Arial" w:hAnsi="Arial" w:cs="Arial"/>
        </w:rPr>
        <w:t>be fully established</w:t>
      </w:r>
      <w:proofErr w:type="gramEnd"/>
      <w:r>
        <w:rPr>
          <w:rFonts w:ascii="Arial" w:hAnsi="Arial" w:cs="Arial"/>
        </w:rPr>
        <w:t xml:space="preserve"> as commercially viable in another.</w:t>
      </w:r>
    </w:p>
    <w:p w14:paraId="23F19B19" w14:textId="1D70DBE0" w:rsidR="00E06BEF" w:rsidRDefault="00663CF4" w:rsidP="00420F50">
      <w:pPr>
        <w:rPr>
          <w:rFonts w:ascii="Arial" w:hAnsi="Arial" w:cs="Arial"/>
        </w:rPr>
      </w:pPr>
      <w:r>
        <w:rPr>
          <w:rFonts w:ascii="Arial" w:hAnsi="Arial" w:cs="Arial"/>
        </w:rPr>
        <w:lastRenderedPageBreak/>
        <w:t>Programmes in climate should also be mindful of trends in reductions of costs of climate technology and project forward expected future movements to determine climate impacts in a more reliable manner.</w:t>
      </w:r>
    </w:p>
    <w:p w14:paraId="3B049D67" w14:textId="7715886D" w:rsidR="005D499C" w:rsidRDefault="00663CF4" w:rsidP="00420F50">
      <w:pPr>
        <w:rPr>
          <w:rFonts w:ascii="Arial" w:hAnsi="Arial" w:cs="Arial"/>
        </w:rPr>
      </w:pPr>
      <w:r>
        <w:rPr>
          <w:rFonts w:ascii="Arial" w:hAnsi="Arial" w:cs="Arial"/>
        </w:rPr>
        <w:t>Dissemination of these findings will follow the same path as for Output 1 described above.</w:t>
      </w:r>
    </w:p>
    <w:p w14:paraId="32360C21" w14:textId="77777777" w:rsidR="00663CF4" w:rsidRPr="00462E61" w:rsidRDefault="00663CF4" w:rsidP="00420F50">
      <w:pPr>
        <w:rPr>
          <w:rFonts w:ascii="Arial" w:hAnsi="Arial" w:cs="Arial"/>
        </w:rPr>
      </w:pPr>
    </w:p>
    <w:tbl>
      <w:tblPr>
        <w:tblStyle w:val="TableGrid"/>
        <w:tblW w:w="0" w:type="auto"/>
        <w:tblLook w:val="04A0" w:firstRow="1" w:lastRow="0" w:firstColumn="1" w:lastColumn="0" w:noHBand="0" w:noVBand="1"/>
      </w:tblPr>
      <w:tblGrid>
        <w:gridCol w:w="9016"/>
      </w:tblGrid>
      <w:tr w:rsidR="00487914" w:rsidRPr="00462E61" w14:paraId="312DBDED" w14:textId="77777777" w:rsidTr="007C7182">
        <w:tc>
          <w:tcPr>
            <w:tcW w:w="9016" w:type="dxa"/>
            <w:shd w:val="clear" w:color="auto" w:fill="DEEAF6" w:themeFill="accent5" w:themeFillTint="33"/>
          </w:tcPr>
          <w:p w14:paraId="044DA132" w14:textId="30918826" w:rsidR="004371C6" w:rsidRPr="00462E61" w:rsidRDefault="004371C6" w:rsidP="007C7182">
            <w:pPr>
              <w:jc w:val="center"/>
              <w:rPr>
                <w:rFonts w:ascii="Arial" w:hAnsi="Arial" w:cs="Arial"/>
                <w:b/>
                <w:bCs/>
              </w:rPr>
            </w:pPr>
            <w:bookmarkStart w:id="12" w:name="_Toc162948078"/>
            <w:r w:rsidRPr="00462E61">
              <w:rPr>
                <w:rStyle w:val="Heading1Char"/>
                <w:rFonts w:ascii="Arial" w:hAnsi="Arial" w:cs="Arial"/>
                <w:b/>
                <w:bCs/>
                <w:color w:val="auto"/>
              </w:rPr>
              <w:t>Section D: Performance not captured by ou</w:t>
            </w:r>
            <w:r w:rsidR="001403E3" w:rsidRPr="00462E61">
              <w:rPr>
                <w:rStyle w:val="Heading1Char"/>
                <w:rFonts w:ascii="Arial" w:hAnsi="Arial" w:cs="Arial"/>
                <w:b/>
                <w:bCs/>
                <w:color w:val="auto"/>
              </w:rPr>
              <w:t>t</w:t>
            </w:r>
            <w:r w:rsidRPr="00462E61">
              <w:rPr>
                <w:rStyle w:val="Heading1Char"/>
                <w:rFonts w:ascii="Arial" w:hAnsi="Arial" w:cs="Arial"/>
                <w:b/>
                <w:bCs/>
                <w:color w:val="auto"/>
              </w:rPr>
              <w:t>puts</w:t>
            </w:r>
            <w:bookmarkEnd w:id="12"/>
          </w:p>
        </w:tc>
      </w:tr>
    </w:tbl>
    <w:p w14:paraId="3B1DBF82" w14:textId="77777777" w:rsidR="007C7182" w:rsidRPr="00462E61" w:rsidRDefault="007C7182" w:rsidP="00F41EA8">
      <w:pPr>
        <w:rPr>
          <w:rFonts w:ascii="Arial" w:hAnsi="Arial" w:cs="Arial"/>
        </w:rPr>
      </w:pPr>
    </w:p>
    <w:p w14:paraId="0355A60C" w14:textId="2C4D5BFD" w:rsidR="0031222F" w:rsidRDefault="00AC3D90" w:rsidP="00F41EA8">
      <w:pPr>
        <w:rPr>
          <w:rFonts w:ascii="Arial" w:hAnsi="Arial" w:cs="Arial"/>
        </w:rPr>
      </w:pPr>
      <w:r>
        <w:rPr>
          <w:rFonts w:ascii="Arial" w:hAnsi="Arial" w:cs="Arial"/>
        </w:rPr>
        <w:t xml:space="preserve">UKCI’s performance cannot be </w:t>
      </w:r>
      <w:proofErr w:type="gramStart"/>
      <w:r>
        <w:rPr>
          <w:rFonts w:ascii="Arial" w:hAnsi="Arial" w:cs="Arial"/>
        </w:rPr>
        <w:t>wholly captured</w:t>
      </w:r>
      <w:proofErr w:type="gramEnd"/>
      <w:r>
        <w:rPr>
          <w:rFonts w:ascii="Arial" w:hAnsi="Arial" w:cs="Arial"/>
        </w:rPr>
        <w:t xml:space="preserve"> by the outputs recorded in this report; considering the following metrics provides a more robust understanding of the programme: </w:t>
      </w:r>
      <w:r w:rsidR="00CD35D4">
        <w:rPr>
          <w:rFonts w:ascii="Arial" w:hAnsi="Arial" w:cs="Arial"/>
        </w:rPr>
        <w:t>addressing market barrier</w:t>
      </w:r>
      <w:r w:rsidR="00217D8B">
        <w:rPr>
          <w:rFonts w:ascii="Arial" w:hAnsi="Arial" w:cs="Arial"/>
        </w:rPr>
        <w:t>s</w:t>
      </w:r>
      <w:r w:rsidR="00AD51F0">
        <w:rPr>
          <w:rFonts w:ascii="Arial" w:hAnsi="Arial" w:cs="Arial"/>
        </w:rPr>
        <w:t xml:space="preserve">, </w:t>
      </w:r>
      <w:r w:rsidR="00217D8B">
        <w:rPr>
          <w:rFonts w:ascii="Arial" w:hAnsi="Arial" w:cs="Arial"/>
        </w:rPr>
        <w:t>additionalit</w:t>
      </w:r>
      <w:r w:rsidR="00E40AB5">
        <w:rPr>
          <w:rFonts w:ascii="Arial" w:hAnsi="Arial" w:cs="Arial"/>
        </w:rPr>
        <w:t>y</w:t>
      </w:r>
      <w:r w:rsidR="00AD51F0">
        <w:rPr>
          <w:rFonts w:ascii="Arial" w:hAnsi="Arial" w:cs="Arial"/>
        </w:rPr>
        <w:t>, and support to HMG’s wider climate finance work</w:t>
      </w:r>
      <w:r w:rsidR="007B3623">
        <w:rPr>
          <w:rFonts w:ascii="Arial" w:hAnsi="Arial" w:cs="Arial"/>
        </w:rPr>
        <w:t>.</w:t>
      </w:r>
    </w:p>
    <w:p w14:paraId="610E4FE8" w14:textId="76448B08" w:rsidR="00CD35D4" w:rsidRDefault="00CD35D4" w:rsidP="00F41EA8">
      <w:pPr>
        <w:rPr>
          <w:rFonts w:ascii="Arial" w:hAnsi="Arial" w:cs="Arial"/>
        </w:rPr>
      </w:pPr>
      <w:r>
        <w:rPr>
          <w:rFonts w:ascii="Arial" w:hAnsi="Arial" w:cs="Arial"/>
        </w:rPr>
        <w:t xml:space="preserve">Independent analysis of UKCI has found that UKCI contributed to addressing some key market barriers </w:t>
      </w:r>
      <w:proofErr w:type="gramStart"/>
      <w:r>
        <w:rPr>
          <w:rFonts w:ascii="Arial" w:hAnsi="Arial" w:cs="Arial"/>
        </w:rPr>
        <w:t>as a result of</w:t>
      </w:r>
      <w:proofErr w:type="gramEnd"/>
      <w:r>
        <w:rPr>
          <w:rFonts w:ascii="Arial" w:hAnsi="Arial" w:cs="Arial"/>
        </w:rPr>
        <w:t xml:space="preserve"> i) </w:t>
      </w:r>
      <w:r w:rsidR="001605AB">
        <w:rPr>
          <w:rFonts w:ascii="Arial" w:hAnsi="Arial" w:cs="Arial"/>
        </w:rPr>
        <w:t>investment consideration against additionality and transformational change criteria, ii) UKCI’s ability to take on risk</w:t>
      </w:r>
      <w:r w:rsidR="00FA687D">
        <w:rPr>
          <w:rFonts w:ascii="Arial" w:hAnsi="Arial" w:cs="Arial"/>
        </w:rPr>
        <w:t xml:space="preserve">, and iii) the team’s expertise in structuring complex transactions. </w:t>
      </w:r>
      <w:r w:rsidR="001D2049">
        <w:rPr>
          <w:rFonts w:ascii="Arial" w:hAnsi="Arial" w:cs="Arial"/>
        </w:rPr>
        <w:t>Notable market barriers addressed include:</w:t>
      </w:r>
    </w:p>
    <w:p w14:paraId="34A94006" w14:textId="77BA3A3E" w:rsidR="001D2049" w:rsidRDefault="001D2049" w:rsidP="001D2049">
      <w:pPr>
        <w:pStyle w:val="ListParagraph"/>
        <w:numPr>
          <w:ilvl w:val="0"/>
          <w:numId w:val="4"/>
        </w:numPr>
        <w:rPr>
          <w:rFonts w:ascii="Arial" w:hAnsi="Arial" w:cs="Arial"/>
        </w:rPr>
      </w:pPr>
      <w:r>
        <w:rPr>
          <w:rFonts w:ascii="Arial" w:hAnsi="Arial" w:cs="Arial"/>
        </w:rPr>
        <w:t xml:space="preserve">India: reduction of perceived risk of investing in the C&amp;I sector; investment in the first yieldco in </w:t>
      </w:r>
      <w:proofErr w:type="gramStart"/>
      <w:r>
        <w:rPr>
          <w:rFonts w:ascii="Arial" w:hAnsi="Arial" w:cs="Arial"/>
        </w:rPr>
        <w:t>India</w:t>
      </w:r>
      <w:r w:rsidR="00867EC7">
        <w:rPr>
          <w:rFonts w:ascii="Arial" w:hAnsi="Arial" w:cs="Arial"/>
        </w:rPr>
        <w:t>;</w:t>
      </w:r>
      <w:proofErr w:type="gramEnd"/>
    </w:p>
    <w:p w14:paraId="1A1F9472" w14:textId="3C3927D7" w:rsidR="001D2049" w:rsidRDefault="001D2049" w:rsidP="001D2049">
      <w:pPr>
        <w:pStyle w:val="ListParagraph"/>
        <w:numPr>
          <w:ilvl w:val="0"/>
          <w:numId w:val="4"/>
        </w:numPr>
        <w:rPr>
          <w:rFonts w:ascii="Arial" w:hAnsi="Arial" w:cs="Arial"/>
        </w:rPr>
      </w:pPr>
      <w:r>
        <w:rPr>
          <w:rFonts w:ascii="Arial" w:hAnsi="Arial" w:cs="Arial"/>
        </w:rPr>
        <w:t>South Africa</w:t>
      </w:r>
      <w:r w:rsidR="00867EC7">
        <w:rPr>
          <w:rFonts w:ascii="Arial" w:hAnsi="Arial" w:cs="Arial"/>
        </w:rPr>
        <w:t xml:space="preserve">: investing in the first yieldco in South Africa; improvement of Black Economic Empowerment parties’ access to </w:t>
      </w:r>
      <w:proofErr w:type="gramStart"/>
      <w:r w:rsidR="00867EC7">
        <w:rPr>
          <w:rFonts w:ascii="Arial" w:hAnsi="Arial" w:cs="Arial"/>
        </w:rPr>
        <w:t>finance;</w:t>
      </w:r>
      <w:proofErr w:type="gramEnd"/>
    </w:p>
    <w:p w14:paraId="06B42CF9" w14:textId="6AF8F256" w:rsidR="00867EC7" w:rsidRDefault="00867EC7" w:rsidP="001D2049">
      <w:pPr>
        <w:pStyle w:val="ListParagraph"/>
        <w:numPr>
          <w:ilvl w:val="0"/>
          <w:numId w:val="4"/>
        </w:numPr>
        <w:rPr>
          <w:rFonts w:ascii="Arial" w:hAnsi="Arial" w:cs="Arial"/>
        </w:rPr>
      </w:pPr>
      <w:r>
        <w:rPr>
          <w:rFonts w:ascii="Arial" w:hAnsi="Arial" w:cs="Arial"/>
        </w:rPr>
        <w:t xml:space="preserve">Kenya: </w:t>
      </w:r>
      <w:r w:rsidR="00423AE1">
        <w:rPr>
          <w:rFonts w:ascii="Arial" w:hAnsi="Arial" w:cs="Arial"/>
        </w:rPr>
        <w:t>new route for institutional investors to invest in green infrastructure.</w:t>
      </w:r>
    </w:p>
    <w:p w14:paraId="1ECADD72" w14:textId="6E967DE1" w:rsidR="00423AE1" w:rsidRDefault="0067565C" w:rsidP="00423AE1">
      <w:pPr>
        <w:rPr>
          <w:rFonts w:ascii="Arial" w:hAnsi="Arial" w:cs="Arial"/>
        </w:rPr>
      </w:pPr>
      <w:r>
        <w:rPr>
          <w:rFonts w:ascii="Arial" w:hAnsi="Arial" w:cs="Arial"/>
        </w:rPr>
        <w:t xml:space="preserve">Investments needed to demonstrate additionality as well as innovation as recorded in the output. Independent analysis found that </w:t>
      </w:r>
      <w:r w:rsidR="00BB176A">
        <w:rPr>
          <w:rFonts w:ascii="Arial" w:hAnsi="Arial" w:cs="Arial"/>
        </w:rPr>
        <w:t>most investments made would not have proceeded at the size or against the timelines achieved without UKCI support.</w:t>
      </w:r>
      <w:r w:rsidR="00E607A9">
        <w:rPr>
          <w:rFonts w:ascii="Arial" w:hAnsi="Arial" w:cs="Arial"/>
        </w:rPr>
        <w:t xml:space="preserve"> Investments were overall niche or new </w:t>
      </w:r>
      <w:r w:rsidR="001E5A29">
        <w:rPr>
          <w:rFonts w:ascii="Arial" w:hAnsi="Arial" w:cs="Arial"/>
        </w:rPr>
        <w:t>areas where private investors were reluctant to invest.</w:t>
      </w:r>
      <w:r w:rsidR="00BB176A">
        <w:rPr>
          <w:rFonts w:ascii="Arial" w:hAnsi="Arial" w:cs="Arial"/>
        </w:rPr>
        <w:t xml:space="preserve"> </w:t>
      </w:r>
      <w:r w:rsidR="00E607A9">
        <w:rPr>
          <w:rFonts w:ascii="Arial" w:hAnsi="Arial" w:cs="Arial"/>
        </w:rPr>
        <w:t xml:space="preserve">Deals </w:t>
      </w:r>
      <w:proofErr w:type="gramStart"/>
      <w:r w:rsidR="00E607A9">
        <w:rPr>
          <w:rFonts w:ascii="Arial" w:hAnsi="Arial" w:cs="Arial"/>
        </w:rPr>
        <w:t>were considered</w:t>
      </w:r>
      <w:proofErr w:type="gramEnd"/>
      <w:r w:rsidR="00E607A9">
        <w:rPr>
          <w:rFonts w:ascii="Arial" w:hAnsi="Arial" w:cs="Arial"/>
        </w:rPr>
        <w:t xml:space="preserve"> against a set of additionality criteria</w:t>
      </w:r>
      <w:r w:rsidR="001E5A29">
        <w:rPr>
          <w:rFonts w:ascii="Arial" w:hAnsi="Arial" w:cs="Arial"/>
        </w:rPr>
        <w:t xml:space="preserve"> as follows:</w:t>
      </w:r>
    </w:p>
    <w:p w14:paraId="1C2EEA71" w14:textId="6CF6DB61" w:rsidR="001E5A29" w:rsidRDefault="001E5A29" w:rsidP="001E5A29">
      <w:pPr>
        <w:pStyle w:val="ListParagraph"/>
        <w:numPr>
          <w:ilvl w:val="0"/>
          <w:numId w:val="4"/>
        </w:numPr>
        <w:rPr>
          <w:rFonts w:ascii="Arial" w:hAnsi="Arial" w:cs="Arial"/>
        </w:rPr>
      </w:pPr>
      <w:r>
        <w:rPr>
          <w:rFonts w:ascii="Arial" w:hAnsi="Arial" w:cs="Arial"/>
        </w:rPr>
        <w:t xml:space="preserve">Other investors were not crowded </w:t>
      </w:r>
      <w:proofErr w:type="gramStart"/>
      <w:r>
        <w:rPr>
          <w:rFonts w:ascii="Arial" w:hAnsi="Arial" w:cs="Arial"/>
        </w:rPr>
        <w:t>out;</w:t>
      </w:r>
      <w:proofErr w:type="gramEnd"/>
    </w:p>
    <w:p w14:paraId="39BF5DC9" w14:textId="47EBCE71" w:rsidR="001E5A29" w:rsidRDefault="001E5A29" w:rsidP="001E5A29">
      <w:pPr>
        <w:pStyle w:val="ListParagraph"/>
        <w:numPr>
          <w:ilvl w:val="0"/>
          <w:numId w:val="4"/>
        </w:numPr>
        <w:rPr>
          <w:rFonts w:ascii="Arial" w:hAnsi="Arial" w:cs="Arial"/>
        </w:rPr>
      </w:pPr>
      <w:r>
        <w:rPr>
          <w:rFonts w:ascii="Arial" w:hAnsi="Arial" w:cs="Arial"/>
        </w:rPr>
        <w:t>Project had not yet reached commercial operations (excepting yieldcos</w:t>
      </w:r>
      <w:proofErr w:type="gramStart"/>
      <w:r>
        <w:rPr>
          <w:rFonts w:ascii="Arial" w:hAnsi="Arial" w:cs="Arial"/>
        </w:rPr>
        <w:t>);</w:t>
      </w:r>
      <w:proofErr w:type="gramEnd"/>
    </w:p>
    <w:p w14:paraId="595D5564" w14:textId="1C3EE375" w:rsidR="001E5A29" w:rsidRDefault="001E5A29" w:rsidP="001E5A29">
      <w:pPr>
        <w:pStyle w:val="ListParagraph"/>
        <w:numPr>
          <w:ilvl w:val="0"/>
          <w:numId w:val="4"/>
        </w:numPr>
        <w:rPr>
          <w:rFonts w:ascii="Arial" w:hAnsi="Arial" w:cs="Arial"/>
        </w:rPr>
      </w:pPr>
      <w:r>
        <w:rPr>
          <w:rFonts w:ascii="Arial" w:hAnsi="Arial" w:cs="Arial"/>
        </w:rPr>
        <w:t>Investments were on arm’s length commercial terms; and</w:t>
      </w:r>
    </w:p>
    <w:p w14:paraId="03E36D8E" w14:textId="3780167F" w:rsidR="001E5A29" w:rsidRPr="001E5A29" w:rsidRDefault="001E5A29" w:rsidP="001E5A29">
      <w:pPr>
        <w:pStyle w:val="ListParagraph"/>
        <w:numPr>
          <w:ilvl w:val="0"/>
          <w:numId w:val="4"/>
        </w:numPr>
        <w:rPr>
          <w:rFonts w:ascii="Arial" w:hAnsi="Arial" w:cs="Arial"/>
        </w:rPr>
      </w:pPr>
      <w:r>
        <w:rPr>
          <w:rFonts w:ascii="Arial" w:hAnsi="Arial" w:cs="Arial"/>
        </w:rPr>
        <w:t>Investments contributed to a reduction of poverty and were classifiable as ODA.</w:t>
      </w:r>
    </w:p>
    <w:p w14:paraId="1112CA2C" w14:textId="048607EB" w:rsidR="00895F16" w:rsidRDefault="007B3623" w:rsidP="00F41EA8">
      <w:pPr>
        <w:rPr>
          <w:rFonts w:ascii="Arial" w:hAnsi="Arial" w:cs="Arial"/>
        </w:rPr>
      </w:pPr>
      <w:r>
        <w:rPr>
          <w:rFonts w:ascii="Arial" w:hAnsi="Arial" w:cs="Arial"/>
        </w:rPr>
        <w:t xml:space="preserve">UKCI actively supported and engaged in HMG’s wider work in climate finance notably in India and South Africa. </w:t>
      </w:r>
      <w:r w:rsidR="0082065E">
        <w:rPr>
          <w:rFonts w:ascii="Arial" w:hAnsi="Arial" w:cs="Arial"/>
        </w:rPr>
        <w:t>The programme was in close contact with High Commission teams in both countries and</w:t>
      </w:r>
      <w:r w:rsidR="00BD269D">
        <w:rPr>
          <w:rFonts w:ascii="Arial" w:hAnsi="Arial" w:cs="Arial"/>
        </w:rPr>
        <w:t xml:space="preserve"> had a mutually beneficial relationship resulting from this contact. In India, UKCI notably engaged with </w:t>
      </w:r>
      <w:r w:rsidR="00BA6D0F" w:rsidRPr="00BA6D0F">
        <w:rPr>
          <w:rFonts w:ascii="Arial" w:hAnsi="Arial" w:cs="Arial"/>
        </w:rPr>
        <w:t>the International Solar Alliance and the UK-India Financial Partnership</w:t>
      </w:r>
      <w:r w:rsidR="00F71C8B">
        <w:rPr>
          <w:rFonts w:ascii="Arial" w:hAnsi="Arial" w:cs="Arial"/>
        </w:rPr>
        <w:t xml:space="preserve">. </w:t>
      </w:r>
      <w:r w:rsidR="005545AE" w:rsidRPr="005545AE">
        <w:rPr>
          <w:rFonts w:ascii="Arial" w:hAnsi="Arial" w:cs="Arial"/>
        </w:rPr>
        <w:t xml:space="preserve">Macquarie </w:t>
      </w:r>
      <w:r w:rsidR="005545AE">
        <w:rPr>
          <w:rFonts w:ascii="Arial" w:hAnsi="Arial" w:cs="Arial"/>
        </w:rPr>
        <w:t xml:space="preserve">also </w:t>
      </w:r>
      <w:r w:rsidR="005545AE" w:rsidRPr="005545AE">
        <w:rPr>
          <w:rFonts w:ascii="Arial" w:hAnsi="Arial" w:cs="Arial"/>
        </w:rPr>
        <w:t>took on a leading role in the inaugural Climate Finance Leadership Initiative (CFLI) country pilot in India which convenes leading companies to mobilize and scale private capital for climate solutions</w:t>
      </w:r>
      <w:r w:rsidR="005545AE">
        <w:rPr>
          <w:rFonts w:ascii="Arial" w:hAnsi="Arial" w:cs="Arial"/>
        </w:rPr>
        <w:t>.</w:t>
      </w:r>
    </w:p>
    <w:p w14:paraId="53E29E8B" w14:textId="77777777" w:rsidR="005545AE" w:rsidRPr="00462E61" w:rsidRDefault="005545AE" w:rsidP="00F41EA8">
      <w:pPr>
        <w:rPr>
          <w:rFonts w:ascii="Arial" w:hAnsi="Arial" w:cs="Arial"/>
        </w:rPr>
      </w:pPr>
    </w:p>
    <w:tbl>
      <w:tblPr>
        <w:tblStyle w:val="TableGrid"/>
        <w:tblW w:w="0" w:type="auto"/>
        <w:tblLook w:val="04A0" w:firstRow="1" w:lastRow="0" w:firstColumn="1" w:lastColumn="0" w:noHBand="0" w:noVBand="1"/>
      </w:tblPr>
      <w:tblGrid>
        <w:gridCol w:w="9016"/>
      </w:tblGrid>
      <w:tr w:rsidR="00487914" w:rsidRPr="00462E61" w14:paraId="2868C00B" w14:textId="77777777" w:rsidTr="007C7182">
        <w:tc>
          <w:tcPr>
            <w:tcW w:w="9016" w:type="dxa"/>
            <w:shd w:val="clear" w:color="auto" w:fill="DEEAF6" w:themeFill="accent5" w:themeFillTint="33"/>
          </w:tcPr>
          <w:p w14:paraId="692415E4" w14:textId="00EC1DA1" w:rsidR="00895F16" w:rsidRPr="00462E61" w:rsidRDefault="00895F16" w:rsidP="007C7182">
            <w:pPr>
              <w:jc w:val="center"/>
              <w:rPr>
                <w:rFonts w:ascii="Arial" w:hAnsi="Arial" w:cs="Arial"/>
              </w:rPr>
            </w:pPr>
            <w:bookmarkStart w:id="13" w:name="_Toc162948079"/>
            <w:r w:rsidRPr="00462E61">
              <w:rPr>
                <w:rStyle w:val="Heading1Char"/>
                <w:rFonts w:ascii="Arial" w:hAnsi="Arial" w:cs="Arial"/>
                <w:b/>
                <w:bCs/>
                <w:color w:val="auto"/>
              </w:rPr>
              <w:t>Section E: Value for Money</w:t>
            </w:r>
            <w:bookmarkEnd w:id="13"/>
          </w:p>
        </w:tc>
      </w:tr>
    </w:tbl>
    <w:p w14:paraId="4EB4908B" w14:textId="77777777" w:rsidR="00895F16" w:rsidRPr="00462E61" w:rsidRDefault="00895F16" w:rsidP="00F41EA8">
      <w:pPr>
        <w:rPr>
          <w:rFonts w:ascii="Arial" w:hAnsi="Arial" w:cs="Arial"/>
        </w:rPr>
      </w:pPr>
    </w:p>
    <w:p w14:paraId="07B437D3" w14:textId="25B3A329" w:rsidR="003B7955" w:rsidRPr="00324E48" w:rsidRDefault="003B7955" w:rsidP="003B7955">
      <w:pPr>
        <w:rPr>
          <w:rFonts w:ascii="Arial" w:hAnsi="Arial" w:cs="Arial"/>
          <w:sz w:val="24"/>
          <w:szCs w:val="24"/>
        </w:rPr>
      </w:pPr>
      <w:bookmarkStart w:id="14" w:name="_Toc162948080"/>
      <w:r w:rsidRPr="00324E48">
        <w:rPr>
          <w:rStyle w:val="Heading2Char"/>
          <w:rFonts w:cs="Arial"/>
          <w:sz w:val="24"/>
          <w:szCs w:val="24"/>
        </w:rPr>
        <w:t xml:space="preserve">VfM </w:t>
      </w:r>
      <w:r w:rsidR="00EF1F0B" w:rsidRPr="00324E48">
        <w:rPr>
          <w:rStyle w:val="Heading2Char"/>
          <w:rFonts w:cs="Arial"/>
          <w:sz w:val="24"/>
          <w:szCs w:val="24"/>
        </w:rPr>
        <w:t xml:space="preserve">assessment and </w:t>
      </w:r>
      <w:r w:rsidRPr="00324E48">
        <w:rPr>
          <w:rStyle w:val="Heading2Char"/>
          <w:rFonts w:cs="Arial"/>
          <w:sz w:val="24"/>
          <w:szCs w:val="24"/>
        </w:rPr>
        <w:t xml:space="preserve">performance compared to the original VfM proposition in the business </w:t>
      </w:r>
      <w:proofErr w:type="gramStart"/>
      <w:r w:rsidRPr="00324E48">
        <w:rPr>
          <w:rStyle w:val="Heading2Char"/>
          <w:rFonts w:cs="Arial"/>
          <w:sz w:val="24"/>
          <w:szCs w:val="24"/>
        </w:rPr>
        <w:t>case</w:t>
      </w:r>
      <w:bookmarkEnd w:id="14"/>
      <w:proofErr w:type="gramEnd"/>
    </w:p>
    <w:p w14:paraId="4F41CAD6" w14:textId="54503B5B" w:rsidR="00E9138A" w:rsidRDefault="00E9138A" w:rsidP="003B7955">
      <w:pPr>
        <w:rPr>
          <w:rFonts w:ascii="Arial" w:hAnsi="Arial" w:cs="Arial"/>
          <w:b/>
          <w:bCs/>
        </w:rPr>
      </w:pPr>
      <w:r w:rsidRPr="007F67DB">
        <w:rPr>
          <w:rFonts w:ascii="Arial" w:hAnsi="Arial" w:cs="Arial"/>
          <w:b/>
          <w:bCs/>
        </w:rPr>
        <w:t>Economy</w:t>
      </w:r>
    </w:p>
    <w:p w14:paraId="2FAE20C7" w14:textId="40D2E148" w:rsidR="00D9035F" w:rsidRDefault="008877B1" w:rsidP="00260D64">
      <w:pPr>
        <w:rPr>
          <w:rFonts w:ascii="Arial" w:hAnsi="Arial" w:cs="Arial"/>
        </w:rPr>
      </w:pPr>
      <w:r>
        <w:rPr>
          <w:rFonts w:ascii="Arial" w:hAnsi="Arial" w:cs="Arial"/>
        </w:rPr>
        <w:lastRenderedPageBreak/>
        <w:t xml:space="preserve">UKCI’s business case predated commercial </w:t>
      </w:r>
      <w:r w:rsidR="00E052E3">
        <w:rPr>
          <w:rFonts w:ascii="Arial" w:hAnsi="Arial" w:cs="Arial"/>
        </w:rPr>
        <w:t xml:space="preserve">negotiations for the fund. In considering economy factors in VfM the business case therefore established a range of comparable costs for </w:t>
      </w:r>
      <w:r w:rsidR="00C57F26">
        <w:rPr>
          <w:rFonts w:ascii="Arial" w:hAnsi="Arial" w:cs="Arial"/>
        </w:rPr>
        <w:t>managing costs and</w:t>
      </w:r>
      <w:r w:rsidR="00554832">
        <w:rPr>
          <w:rFonts w:ascii="Arial" w:hAnsi="Arial" w:cs="Arial"/>
        </w:rPr>
        <w:t xml:space="preserve"> hurdle rates /</w:t>
      </w:r>
      <w:r w:rsidR="00C57F26">
        <w:rPr>
          <w:rFonts w:ascii="Arial" w:hAnsi="Arial" w:cs="Arial"/>
        </w:rPr>
        <w:t xml:space="preserve"> carry (a share of the returns on investments to the fund manager).</w:t>
      </w:r>
      <w:r w:rsidR="00B760C0">
        <w:rPr>
          <w:rFonts w:ascii="Arial" w:hAnsi="Arial" w:cs="Arial"/>
        </w:rPr>
        <w:t xml:space="preserve"> </w:t>
      </w:r>
      <w:r w:rsidR="0045318C">
        <w:rPr>
          <w:rFonts w:ascii="Arial" w:hAnsi="Arial" w:cs="Arial"/>
        </w:rPr>
        <w:t xml:space="preserve">The costs negotiated for UKCI were within the ranges established by this comparables analysis and therefore </w:t>
      </w:r>
      <w:r w:rsidR="000B0AA8">
        <w:rPr>
          <w:rFonts w:ascii="Arial" w:hAnsi="Arial" w:cs="Arial"/>
        </w:rPr>
        <w:t xml:space="preserve">were considered to </w:t>
      </w:r>
      <w:r w:rsidR="0045318C">
        <w:rPr>
          <w:rFonts w:ascii="Arial" w:hAnsi="Arial" w:cs="Arial"/>
        </w:rPr>
        <w:t xml:space="preserve">represent </w:t>
      </w:r>
      <w:proofErr w:type="gramStart"/>
      <w:r w:rsidR="0045318C">
        <w:rPr>
          <w:rFonts w:ascii="Arial" w:hAnsi="Arial" w:cs="Arial"/>
        </w:rPr>
        <w:t>good value</w:t>
      </w:r>
      <w:proofErr w:type="gramEnd"/>
      <w:r w:rsidR="0045318C">
        <w:rPr>
          <w:rFonts w:ascii="Arial" w:hAnsi="Arial" w:cs="Arial"/>
        </w:rPr>
        <w:t xml:space="preserve"> for money. This </w:t>
      </w:r>
      <w:proofErr w:type="gramStart"/>
      <w:r w:rsidR="0045318C">
        <w:rPr>
          <w:rFonts w:ascii="Arial" w:hAnsi="Arial" w:cs="Arial"/>
        </w:rPr>
        <w:t>was achieved</w:t>
      </w:r>
      <w:proofErr w:type="gramEnd"/>
      <w:r w:rsidR="0045318C">
        <w:rPr>
          <w:rFonts w:ascii="Arial" w:hAnsi="Arial" w:cs="Arial"/>
        </w:rPr>
        <w:t xml:space="preserve"> in the context of </w:t>
      </w:r>
      <w:r w:rsidR="00260D64">
        <w:rPr>
          <w:rFonts w:ascii="Arial" w:hAnsi="Arial" w:cs="Arial"/>
        </w:rPr>
        <w:t>upward pressure on costs due to set up costs for the GIB in entering new markets via the fund.</w:t>
      </w:r>
    </w:p>
    <w:p w14:paraId="1500E460" w14:textId="0233EB9E" w:rsidR="00B567B3" w:rsidRPr="008877B1" w:rsidRDefault="00167493" w:rsidP="003B7955">
      <w:pPr>
        <w:rPr>
          <w:rFonts w:ascii="Arial" w:hAnsi="Arial" w:cs="Arial"/>
        </w:rPr>
      </w:pPr>
      <w:r>
        <w:rPr>
          <w:rFonts w:ascii="Arial" w:hAnsi="Arial" w:cs="Arial"/>
        </w:rPr>
        <w:t xml:space="preserve">The terms remained in place when the GIB </w:t>
      </w:r>
      <w:proofErr w:type="gramStart"/>
      <w:r>
        <w:rPr>
          <w:rFonts w:ascii="Arial" w:hAnsi="Arial" w:cs="Arial"/>
        </w:rPr>
        <w:t xml:space="preserve">was </w:t>
      </w:r>
      <w:r w:rsidR="005523CC">
        <w:rPr>
          <w:rFonts w:ascii="Arial" w:hAnsi="Arial" w:cs="Arial"/>
        </w:rPr>
        <w:t>privatised</w:t>
      </w:r>
      <w:proofErr w:type="gramEnd"/>
      <w:r w:rsidR="005523CC">
        <w:rPr>
          <w:rFonts w:ascii="Arial" w:hAnsi="Arial" w:cs="Arial"/>
        </w:rPr>
        <w:t>,</w:t>
      </w:r>
      <w:r>
        <w:rPr>
          <w:rFonts w:ascii="Arial" w:hAnsi="Arial" w:cs="Arial"/>
        </w:rPr>
        <w:t xml:space="preserve"> and Macquarie took control of UKCI.</w:t>
      </w:r>
    </w:p>
    <w:p w14:paraId="527D3738" w14:textId="46A3FD37" w:rsidR="007F67DB" w:rsidRDefault="007F67DB" w:rsidP="003B7955">
      <w:pPr>
        <w:rPr>
          <w:rFonts w:ascii="Arial" w:hAnsi="Arial" w:cs="Arial"/>
          <w:b/>
          <w:bCs/>
        </w:rPr>
      </w:pPr>
      <w:r>
        <w:rPr>
          <w:rFonts w:ascii="Arial" w:hAnsi="Arial" w:cs="Arial"/>
          <w:b/>
          <w:bCs/>
        </w:rPr>
        <w:t>Efficiency</w:t>
      </w:r>
    </w:p>
    <w:p w14:paraId="75AADA24" w14:textId="03756B53" w:rsidR="003711F9" w:rsidRDefault="003711F9" w:rsidP="003B7955">
      <w:pPr>
        <w:rPr>
          <w:rFonts w:ascii="Arial" w:hAnsi="Arial" w:cs="Arial"/>
        </w:rPr>
      </w:pPr>
      <w:r>
        <w:rPr>
          <w:rFonts w:ascii="Arial" w:hAnsi="Arial" w:cs="Arial"/>
        </w:rPr>
        <w:t xml:space="preserve">At the writing of the business case, GIB had no </w:t>
      </w:r>
      <w:proofErr w:type="gramStart"/>
      <w:r>
        <w:rPr>
          <w:rFonts w:ascii="Arial" w:hAnsi="Arial" w:cs="Arial"/>
        </w:rPr>
        <w:t>track record</w:t>
      </w:r>
      <w:proofErr w:type="gramEnd"/>
      <w:r>
        <w:rPr>
          <w:rFonts w:ascii="Arial" w:hAnsi="Arial" w:cs="Arial"/>
        </w:rPr>
        <w:t xml:space="preserve"> in investing outside of the UK or </w:t>
      </w:r>
      <w:r w:rsidR="007971AD">
        <w:rPr>
          <w:rFonts w:ascii="Arial" w:hAnsi="Arial" w:cs="Arial"/>
        </w:rPr>
        <w:t xml:space="preserve">against ICF transformational change criteria. The business case highlighted GIB’s early successes but flagged that </w:t>
      </w:r>
      <w:r w:rsidR="00B567B3">
        <w:rPr>
          <w:rFonts w:ascii="Arial" w:hAnsi="Arial" w:cs="Arial"/>
        </w:rPr>
        <w:t xml:space="preserve">the processes established for UK-based investments would need to </w:t>
      </w:r>
      <w:proofErr w:type="gramStart"/>
      <w:r w:rsidR="00B567B3">
        <w:rPr>
          <w:rFonts w:ascii="Arial" w:hAnsi="Arial" w:cs="Arial"/>
        </w:rPr>
        <w:t>be amended</w:t>
      </w:r>
      <w:proofErr w:type="gramEnd"/>
      <w:r w:rsidR="00B567B3">
        <w:rPr>
          <w:rFonts w:ascii="Arial" w:hAnsi="Arial" w:cs="Arial"/>
        </w:rPr>
        <w:t xml:space="preserve">. To incentivise cost control by GIB, the business plan established that the target hurdle rate would </w:t>
      </w:r>
      <w:proofErr w:type="gramStart"/>
      <w:r w:rsidR="00B567B3">
        <w:rPr>
          <w:rFonts w:ascii="Arial" w:hAnsi="Arial" w:cs="Arial"/>
        </w:rPr>
        <w:t>be calculated</w:t>
      </w:r>
      <w:proofErr w:type="gramEnd"/>
      <w:r w:rsidR="00B567B3">
        <w:rPr>
          <w:rFonts w:ascii="Arial" w:hAnsi="Arial" w:cs="Arial"/>
        </w:rPr>
        <w:t xml:space="preserve"> on profits net of management costs. </w:t>
      </w:r>
    </w:p>
    <w:p w14:paraId="6C047C82" w14:textId="731EA1B6" w:rsidR="00B567B3" w:rsidRPr="003711F9" w:rsidRDefault="00DC7258" w:rsidP="003B7955">
      <w:pPr>
        <w:rPr>
          <w:rFonts w:ascii="Arial" w:hAnsi="Arial" w:cs="Arial"/>
        </w:rPr>
      </w:pPr>
      <w:r>
        <w:rPr>
          <w:rFonts w:ascii="Arial" w:hAnsi="Arial" w:cs="Arial"/>
        </w:rPr>
        <w:t xml:space="preserve">A report into UKCI following its investment period by Ipsos Mori found that </w:t>
      </w:r>
      <w:proofErr w:type="gramStart"/>
      <w:r>
        <w:rPr>
          <w:rFonts w:ascii="Arial" w:hAnsi="Arial" w:cs="Arial"/>
        </w:rPr>
        <w:t>overall</w:t>
      </w:r>
      <w:proofErr w:type="gramEnd"/>
      <w:r>
        <w:rPr>
          <w:rFonts w:ascii="Arial" w:hAnsi="Arial" w:cs="Arial"/>
        </w:rPr>
        <w:t xml:space="preserve"> the LLP model of UKCI worked well. </w:t>
      </w:r>
      <w:r w:rsidR="00AC7207">
        <w:rPr>
          <w:rFonts w:ascii="Arial" w:hAnsi="Arial" w:cs="Arial"/>
        </w:rPr>
        <w:t xml:space="preserve">There was a shared understanding of the investment mandate and governance mechanisms functioned well. </w:t>
      </w:r>
      <w:r w:rsidR="00336056">
        <w:rPr>
          <w:rFonts w:ascii="Arial" w:hAnsi="Arial" w:cs="Arial"/>
        </w:rPr>
        <w:t xml:space="preserve">While delivery by Macquarie was not envisaged in the original business case; </w:t>
      </w:r>
      <w:r w:rsidR="00C541CE">
        <w:rPr>
          <w:rFonts w:ascii="Arial" w:hAnsi="Arial" w:cs="Arial"/>
        </w:rPr>
        <w:t xml:space="preserve">this delivery mechanism utilising a commercial investor was found to work well due to the broader resources of the financial services firm; solid understanding by the fund manager of </w:t>
      </w:r>
      <w:r w:rsidR="00A47CD1">
        <w:rPr>
          <w:rFonts w:ascii="Arial" w:hAnsi="Arial" w:cs="Arial"/>
        </w:rPr>
        <w:t xml:space="preserve">infrastructure investment, asset management, </w:t>
      </w:r>
      <w:r w:rsidR="00C541CE">
        <w:rPr>
          <w:rFonts w:ascii="Arial" w:hAnsi="Arial" w:cs="Arial"/>
        </w:rPr>
        <w:t xml:space="preserve">operating contexts and </w:t>
      </w:r>
      <w:r w:rsidR="00A47CD1">
        <w:rPr>
          <w:rFonts w:ascii="Arial" w:hAnsi="Arial" w:cs="Arial"/>
        </w:rPr>
        <w:t xml:space="preserve">target </w:t>
      </w:r>
      <w:r w:rsidR="00C541CE">
        <w:rPr>
          <w:rFonts w:ascii="Arial" w:hAnsi="Arial" w:cs="Arial"/>
        </w:rPr>
        <w:t>geogr</w:t>
      </w:r>
      <w:r w:rsidR="00A47CD1">
        <w:rPr>
          <w:rFonts w:ascii="Arial" w:hAnsi="Arial" w:cs="Arial"/>
        </w:rPr>
        <w:t>aphies; and a good understanding by the fund manager of how to work with HMG.</w:t>
      </w:r>
      <w:r w:rsidR="00860C75">
        <w:rPr>
          <w:rFonts w:ascii="Arial" w:hAnsi="Arial" w:cs="Arial"/>
        </w:rPr>
        <w:t xml:space="preserve"> At the same time, the mandate’s inflexibility and Macquarie’s </w:t>
      </w:r>
      <w:r w:rsidR="007E17AF">
        <w:rPr>
          <w:rFonts w:ascii="Arial" w:hAnsi="Arial" w:cs="Arial"/>
        </w:rPr>
        <w:t>learning curve on ODA compliance were challenges.</w:t>
      </w:r>
    </w:p>
    <w:p w14:paraId="5F430487" w14:textId="32861E6A" w:rsidR="007F67DB" w:rsidRDefault="007F67DB" w:rsidP="003B7955">
      <w:pPr>
        <w:rPr>
          <w:rFonts w:ascii="Arial" w:hAnsi="Arial" w:cs="Arial"/>
          <w:b/>
          <w:bCs/>
        </w:rPr>
      </w:pPr>
      <w:r>
        <w:rPr>
          <w:rFonts w:ascii="Arial" w:hAnsi="Arial" w:cs="Arial"/>
          <w:b/>
          <w:bCs/>
        </w:rPr>
        <w:t>Effectiveness</w:t>
      </w:r>
    </w:p>
    <w:p w14:paraId="46542E9C" w14:textId="6F41B6E8" w:rsidR="00C22B75" w:rsidRDefault="006F19FE" w:rsidP="003B7955">
      <w:pPr>
        <w:rPr>
          <w:rFonts w:ascii="Arial" w:hAnsi="Arial" w:cs="Arial"/>
        </w:rPr>
      </w:pPr>
      <w:r>
        <w:rPr>
          <w:rFonts w:ascii="Arial" w:hAnsi="Arial" w:cs="Arial"/>
        </w:rPr>
        <w:t>UKCI’s business case determined potential effectiveness of the UKCI pilot against the results f</w:t>
      </w:r>
      <w:r w:rsidR="001D3F34">
        <w:rPr>
          <w:rFonts w:ascii="Arial" w:hAnsi="Arial" w:cs="Arial"/>
        </w:rPr>
        <w:t xml:space="preserve">or an expected portfolio of investments. In practice it was unknown if the portfolio would change over time as market conditions evolved and projects advanced. </w:t>
      </w:r>
      <w:r w:rsidR="00C22B75">
        <w:rPr>
          <w:rFonts w:ascii="Arial" w:hAnsi="Arial" w:cs="Arial"/>
        </w:rPr>
        <w:t>The model assumed 2% management fees and 100% attribution</w:t>
      </w:r>
      <w:r w:rsidR="007F27C9">
        <w:rPr>
          <w:rFonts w:ascii="Arial" w:hAnsi="Arial" w:cs="Arial"/>
        </w:rPr>
        <w:t xml:space="preserve"> for investments made on the basis that UKCI </w:t>
      </w:r>
      <w:proofErr w:type="gramStart"/>
      <w:r w:rsidR="007F27C9">
        <w:rPr>
          <w:rFonts w:ascii="Arial" w:hAnsi="Arial" w:cs="Arial"/>
        </w:rPr>
        <w:t>was designed</w:t>
      </w:r>
      <w:proofErr w:type="gramEnd"/>
      <w:r w:rsidR="007F27C9">
        <w:rPr>
          <w:rFonts w:ascii="Arial" w:hAnsi="Arial" w:cs="Arial"/>
        </w:rPr>
        <w:t xml:space="preserve"> to invest only in projects that without UKCI money would not be undertaken. </w:t>
      </w:r>
    </w:p>
    <w:p w14:paraId="370F48D5" w14:textId="276388A5" w:rsidR="00F04089" w:rsidRDefault="00F04089" w:rsidP="003B7955">
      <w:pPr>
        <w:rPr>
          <w:rFonts w:ascii="Arial" w:hAnsi="Arial" w:cs="Arial"/>
        </w:rPr>
      </w:pPr>
      <w:r>
        <w:rPr>
          <w:rFonts w:ascii="Arial" w:hAnsi="Arial" w:cs="Arial"/>
        </w:rPr>
        <w:t>Key results from the model included:</w:t>
      </w:r>
    </w:p>
    <w:p w14:paraId="194C97C7" w14:textId="6FE62E87" w:rsidR="00F04089" w:rsidRDefault="008F090A" w:rsidP="00F04089">
      <w:pPr>
        <w:pStyle w:val="ListParagraph"/>
        <w:numPr>
          <w:ilvl w:val="0"/>
          <w:numId w:val="4"/>
        </w:numPr>
        <w:rPr>
          <w:rFonts w:ascii="Arial" w:hAnsi="Arial" w:cs="Arial"/>
        </w:rPr>
      </w:pPr>
      <w:r>
        <w:rPr>
          <w:rFonts w:ascii="Arial" w:hAnsi="Arial" w:cs="Arial"/>
        </w:rPr>
        <w:t>T</w:t>
      </w:r>
      <w:r w:rsidRPr="008F090A">
        <w:rPr>
          <w:rFonts w:ascii="Arial" w:hAnsi="Arial" w:cs="Arial"/>
        </w:rPr>
        <w:t xml:space="preserve">otal leverage of other finance </w:t>
      </w:r>
      <w:r w:rsidR="00C82E6D">
        <w:rPr>
          <w:rFonts w:ascii="Arial" w:hAnsi="Arial" w:cs="Arial"/>
        </w:rPr>
        <w:t>wa</w:t>
      </w:r>
      <w:r w:rsidRPr="008F090A">
        <w:rPr>
          <w:rFonts w:ascii="Arial" w:hAnsi="Arial" w:cs="Arial"/>
        </w:rPr>
        <w:t>s £</w:t>
      </w:r>
      <w:proofErr w:type="gramStart"/>
      <w:r w:rsidRPr="008F090A">
        <w:rPr>
          <w:rFonts w:ascii="Arial" w:hAnsi="Arial" w:cs="Arial"/>
        </w:rPr>
        <w:t>1:£</w:t>
      </w:r>
      <w:proofErr w:type="gramEnd"/>
      <w:r w:rsidRPr="008F090A">
        <w:rPr>
          <w:rFonts w:ascii="Arial" w:hAnsi="Arial" w:cs="Arial"/>
        </w:rPr>
        <w:t>2.4</w:t>
      </w:r>
      <w:r>
        <w:rPr>
          <w:rFonts w:ascii="Arial" w:hAnsi="Arial" w:cs="Arial"/>
        </w:rPr>
        <w:t xml:space="preserve"> (0.39 for public and 2.02 for private)</w:t>
      </w:r>
      <w:r w:rsidR="00983194">
        <w:rPr>
          <w:rFonts w:ascii="Arial" w:hAnsi="Arial" w:cs="Arial"/>
        </w:rPr>
        <w:t>; seen as favourable against GIB market analysis (established range of 4-6.7) and the ICF portfolio at the time (</w:t>
      </w:r>
      <w:r w:rsidR="00D81DD0">
        <w:rPr>
          <w:rFonts w:ascii="Arial" w:hAnsi="Arial" w:cs="Arial"/>
        </w:rPr>
        <w:t>£1:£0.2 to £1:£10).</w:t>
      </w:r>
    </w:p>
    <w:p w14:paraId="7A5D8E3B" w14:textId="71D9FD1C" w:rsidR="00D81DD0" w:rsidRDefault="00D81DD0" w:rsidP="00F04089">
      <w:pPr>
        <w:pStyle w:val="ListParagraph"/>
        <w:numPr>
          <w:ilvl w:val="0"/>
          <w:numId w:val="4"/>
        </w:numPr>
        <w:rPr>
          <w:rFonts w:ascii="Arial" w:hAnsi="Arial" w:cs="Arial"/>
        </w:rPr>
      </w:pPr>
      <w:r>
        <w:rPr>
          <w:rFonts w:ascii="Arial" w:hAnsi="Arial" w:cs="Arial"/>
        </w:rPr>
        <w:t xml:space="preserve">Cost per tonne of CO2e </w:t>
      </w:r>
      <w:r w:rsidR="00C82E6D">
        <w:rPr>
          <w:rFonts w:ascii="Arial" w:hAnsi="Arial" w:cs="Arial"/>
        </w:rPr>
        <w:t>wa</w:t>
      </w:r>
      <w:r>
        <w:rPr>
          <w:rFonts w:ascii="Arial" w:hAnsi="Arial" w:cs="Arial"/>
        </w:rPr>
        <w:t xml:space="preserve">s </w:t>
      </w:r>
      <w:r w:rsidR="002E640E" w:rsidRPr="002E640E">
        <w:rPr>
          <w:rFonts w:ascii="Arial" w:hAnsi="Arial" w:cs="Arial"/>
        </w:rPr>
        <w:t>£5.65/tCO2e</w:t>
      </w:r>
      <w:r w:rsidR="002E640E">
        <w:rPr>
          <w:rFonts w:ascii="Arial" w:hAnsi="Arial" w:cs="Arial"/>
        </w:rPr>
        <w:t>; seen as favourable against the DECC ICF portfolio at the time (</w:t>
      </w:r>
      <w:r w:rsidR="009D30F1" w:rsidRPr="009D30F1">
        <w:rPr>
          <w:rFonts w:ascii="Arial" w:hAnsi="Arial" w:cs="Arial"/>
        </w:rPr>
        <w:t xml:space="preserve">£4 - £16 </w:t>
      </w:r>
      <w:r w:rsidR="009D30F1">
        <w:rPr>
          <w:rFonts w:ascii="Arial" w:hAnsi="Arial" w:cs="Arial"/>
        </w:rPr>
        <w:t xml:space="preserve">with </w:t>
      </w:r>
      <w:r w:rsidR="009D30F1" w:rsidRPr="009D30F1">
        <w:rPr>
          <w:rFonts w:ascii="Arial" w:hAnsi="Arial" w:cs="Arial"/>
        </w:rPr>
        <w:t>spend weighted average attributed cost per tonne of £6.4</w:t>
      </w:r>
      <w:r w:rsidR="009D30F1">
        <w:rPr>
          <w:rFonts w:ascii="Arial" w:hAnsi="Arial" w:cs="Arial"/>
        </w:rPr>
        <w:t>)</w:t>
      </w:r>
    </w:p>
    <w:p w14:paraId="5F284B6F" w14:textId="1C28EF0A" w:rsidR="00C82E6D" w:rsidRDefault="00C82E6D" w:rsidP="00F04089">
      <w:pPr>
        <w:pStyle w:val="ListParagraph"/>
        <w:numPr>
          <w:ilvl w:val="0"/>
          <w:numId w:val="4"/>
        </w:numPr>
        <w:rPr>
          <w:rFonts w:ascii="Arial" w:hAnsi="Arial" w:cs="Arial"/>
        </w:rPr>
      </w:pPr>
      <w:r>
        <w:rPr>
          <w:rFonts w:ascii="Arial" w:hAnsi="Arial" w:cs="Arial"/>
        </w:rPr>
        <w:t xml:space="preserve">Cost per MW installed was </w:t>
      </w:r>
      <w:r w:rsidR="00316D25" w:rsidRPr="00316D25">
        <w:rPr>
          <w:rFonts w:ascii="Arial" w:hAnsi="Arial" w:cs="Arial"/>
        </w:rPr>
        <w:t>£495,000</w:t>
      </w:r>
      <w:r w:rsidR="00316D25">
        <w:rPr>
          <w:rFonts w:ascii="Arial" w:hAnsi="Arial" w:cs="Arial"/>
        </w:rPr>
        <w:t>, seen as well within the expected range of unit costs.</w:t>
      </w:r>
    </w:p>
    <w:p w14:paraId="2CB3CD5D" w14:textId="5752ACD3" w:rsidR="00F82A2A" w:rsidRDefault="00ED0611" w:rsidP="00F82A2A">
      <w:pPr>
        <w:rPr>
          <w:rFonts w:ascii="Arial" w:hAnsi="Arial" w:cs="Arial"/>
        </w:rPr>
      </w:pPr>
      <w:r>
        <w:rPr>
          <w:rFonts w:ascii="Arial" w:hAnsi="Arial" w:cs="Arial"/>
        </w:rPr>
        <w:t xml:space="preserve">A report into UKCI following its investment period by Ipsos Mori highlighted that effectiveness </w:t>
      </w:r>
      <w:proofErr w:type="gramStart"/>
      <w:r>
        <w:rPr>
          <w:rFonts w:ascii="Arial" w:hAnsi="Arial" w:cs="Arial"/>
        </w:rPr>
        <w:t>was impacted</w:t>
      </w:r>
      <w:proofErr w:type="gramEnd"/>
      <w:r w:rsidR="00182D39">
        <w:rPr>
          <w:rFonts w:ascii="Arial" w:hAnsi="Arial" w:cs="Arial"/>
        </w:rPr>
        <w:t xml:space="preserve"> by external factors (notably the privatisation of GIB and the COVID-19 pandemic</w:t>
      </w:r>
      <w:r w:rsidR="003663C1">
        <w:rPr>
          <w:rFonts w:ascii="Arial" w:hAnsi="Arial" w:cs="Arial"/>
        </w:rPr>
        <w:t>) and the following internal factors:</w:t>
      </w:r>
    </w:p>
    <w:p w14:paraId="053806B1" w14:textId="4A852348" w:rsidR="003663C1" w:rsidRDefault="003663C1" w:rsidP="003663C1">
      <w:pPr>
        <w:pStyle w:val="ListParagraph"/>
        <w:numPr>
          <w:ilvl w:val="0"/>
          <w:numId w:val="4"/>
        </w:numPr>
        <w:rPr>
          <w:rFonts w:ascii="Arial" w:hAnsi="Arial" w:cs="Arial"/>
        </w:rPr>
      </w:pPr>
      <w:r>
        <w:rPr>
          <w:rFonts w:ascii="Arial" w:hAnsi="Arial" w:cs="Arial"/>
        </w:rPr>
        <w:t xml:space="preserve">Very specific additionality and transformational change criteria which made deal sourcing </w:t>
      </w:r>
      <w:proofErr w:type="gramStart"/>
      <w:r>
        <w:rPr>
          <w:rFonts w:ascii="Arial" w:hAnsi="Arial" w:cs="Arial"/>
        </w:rPr>
        <w:t>difficult;</w:t>
      </w:r>
      <w:proofErr w:type="gramEnd"/>
    </w:p>
    <w:p w14:paraId="62689721" w14:textId="692D1A7E" w:rsidR="003663C1" w:rsidRDefault="003663C1" w:rsidP="003663C1">
      <w:pPr>
        <w:pStyle w:val="ListParagraph"/>
        <w:numPr>
          <w:ilvl w:val="0"/>
          <w:numId w:val="4"/>
        </w:numPr>
        <w:rPr>
          <w:rFonts w:ascii="Arial" w:hAnsi="Arial" w:cs="Arial"/>
        </w:rPr>
      </w:pPr>
      <w:r>
        <w:rPr>
          <w:rFonts w:ascii="Arial" w:hAnsi="Arial" w:cs="Arial"/>
        </w:rPr>
        <w:lastRenderedPageBreak/>
        <w:t>Low adaptation to changes in context in target geographies</w:t>
      </w:r>
      <w:r w:rsidR="00923239">
        <w:rPr>
          <w:rFonts w:ascii="Arial" w:hAnsi="Arial" w:cs="Arial"/>
        </w:rPr>
        <w:t xml:space="preserve">, which were reviewed and expanded after </w:t>
      </w:r>
      <w:proofErr w:type="gramStart"/>
      <w:r w:rsidR="00923239">
        <w:rPr>
          <w:rFonts w:ascii="Arial" w:hAnsi="Arial" w:cs="Arial"/>
        </w:rPr>
        <w:t>launch</w:t>
      </w:r>
      <w:proofErr w:type="gramEnd"/>
      <w:r w:rsidR="00923239">
        <w:rPr>
          <w:rFonts w:ascii="Arial" w:hAnsi="Arial" w:cs="Arial"/>
        </w:rPr>
        <w:t xml:space="preserve"> and which saw contextual changes which delayed and changed pipelines in unexpected ways;</w:t>
      </w:r>
    </w:p>
    <w:p w14:paraId="769D7CF0" w14:textId="6FA4BFCE" w:rsidR="00923239" w:rsidRPr="003663C1" w:rsidRDefault="002C1D6F" w:rsidP="003663C1">
      <w:pPr>
        <w:pStyle w:val="ListParagraph"/>
        <w:numPr>
          <w:ilvl w:val="0"/>
          <w:numId w:val="4"/>
        </w:numPr>
        <w:rPr>
          <w:rFonts w:ascii="Arial" w:hAnsi="Arial" w:cs="Arial"/>
        </w:rPr>
      </w:pPr>
      <w:r>
        <w:rPr>
          <w:rFonts w:ascii="Arial" w:hAnsi="Arial" w:cs="Arial"/>
        </w:rPr>
        <w:t>Learning curve given the shift from GIB to Macquarie and thus the transfer of responsibility to a new team.</w:t>
      </w:r>
    </w:p>
    <w:p w14:paraId="2DF220BE" w14:textId="6C9733FD" w:rsidR="00FA5BF8" w:rsidRDefault="007F67DB" w:rsidP="003B7955">
      <w:pPr>
        <w:rPr>
          <w:rFonts w:ascii="Arial" w:hAnsi="Arial" w:cs="Arial"/>
          <w:b/>
          <w:bCs/>
        </w:rPr>
      </w:pPr>
      <w:r>
        <w:rPr>
          <w:rFonts w:ascii="Arial" w:hAnsi="Arial" w:cs="Arial"/>
          <w:b/>
          <w:bCs/>
        </w:rPr>
        <w:t>Equity</w:t>
      </w:r>
    </w:p>
    <w:p w14:paraId="7954522E" w14:textId="4022976C" w:rsidR="00101919" w:rsidRDefault="00101919" w:rsidP="003B7955">
      <w:pPr>
        <w:rPr>
          <w:rFonts w:ascii="Arial" w:hAnsi="Arial" w:cs="Arial"/>
        </w:rPr>
      </w:pPr>
      <w:r>
        <w:rPr>
          <w:rFonts w:ascii="Arial" w:hAnsi="Arial" w:cs="Arial"/>
        </w:rPr>
        <w:t xml:space="preserve">Considerations related to equity </w:t>
      </w:r>
      <w:proofErr w:type="gramStart"/>
      <w:r>
        <w:rPr>
          <w:rFonts w:ascii="Arial" w:hAnsi="Arial" w:cs="Arial"/>
        </w:rPr>
        <w:t>were not analysed</w:t>
      </w:r>
      <w:proofErr w:type="gramEnd"/>
      <w:r>
        <w:rPr>
          <w:rFonts w:ascii="Arial" w:hAnsi="Arial" w:cs="Arial"/>
        </w:rPr>
        <w:t xml:space="preserve"> as part of the VfM analysis in the original business case. It </w:t>
      </w:r>
      <w:proofErr w:type="gramStart"/>
      <w:r>
        <w:rPr>
          <w:rFonts w:ascii="Arial" w:hAnsi="Arial" w:cs="Arial"/>
        </w:rPr>
        <w:t xml:space="preserve">is </w:t>
      </w:r>
      <w:r w:rsidR="00F45597">
        <w:rPr>
          <w:rFonts w:ascii="Arial" w:hAnsi="Arial" w:cs="Arial"/>
        </w:rPr>
        <w:t>understood</w:t>
      </w:r>
      <w:proofErr w:type="gramEnd"/>
      <w:r>
        <w:rPr>
          <w:rFonts w:ascii="Arial" w:hAnsi="Arial" w:cs="Arial"/>
        </w:rPr>
        <w:t xml:space="preserve"> that such consideration was not required by DECC at the time.</w:t>
      </w:r>
    </w:p>
    <w:p w14:paraId="01262CE9" w14:textId="451E6530" w:rsidR="00CF2DFC" w:rsidRDefault="00822653" w:rsidP="003B7955">
      <w:pPr>
        <w:rPr>
          <w:rFonts w:ascii="Arial" w:hAnsi="Arial" w:cs="Arial"/>
        </w:rPr>
      </w:pPr>
      <w:r>
        <w:rPr>
          <w:rFonts w:ascii="Arial" w:hAnsi="Arial" w:cs="Arial"/>
        </w:rPr>
        <w:t>A report into UKCI following its investment period by Ipsos Mori acknowledged the lack of a GESI strategy or systematic approach to mainstreaming GESI in UKCI</w:t>
      </w:r>
      <w:r w:rsidR="007F4F0A">
        <w:rPr>
          <w:rFonts w:ascii="Arial" w:hAnsi="Arial" w:cs="Arial"/>
        </w:rPr>
        <w:t xml:space="preserve"> and went on to assess the contributions made albeit in a consequential rather than sought after way. </w:t>
      </w:r>
    </w:p>
    <w:p w14:paraId="6241953B" w14:textId="7AF599C7" w:rsidR="00892278" w:rsidRDefault="00CF2DFC" w:rsidP="00CF2DFC">
      <w:pPr>
        <w:pStyle w:val="ListParagraph"/>
        <w:numPr>
          <w:ilvl w:val="0"/>
          <w:numId w:val="4"/>
        </w:numPr>
        <w:rPr>
          <w:rFonts w:ascii="Arial" w:hAnsi="Arial" w:cs="Arial"/>
        </w:rPr>
      </w:pPr>
      <w:r w:rsidRPr="00CF2DFC">
        <w:rPr>
          <w:rFonts w:ascii="Arial" w:hAnsi="Arial" w:cs="Arial"/>
        </w:rPr>
        <w:t xml:space="preserve">Four of the UKCI investments directly sought to achieve GESI objectives: Oslo, Etna2 and (to a lesser extent) Dazzle, as they support </w:t>
      </w:r>
      <w:r w:rsidR="005A640E">
        <w:rPr>
          <w:rFonts w:ascii="Arial" w:hAnsi="Arial" w:cs="Arial"/>
        </w:rPr>
        <w:t>Black Economic Empowerment (</w:t>
      </w:r>
      <w:r w:rsidRPr="00CF2DFC">
        <w:rPr>
          <w:rFonts w:ascii="Arial" w:hAnsi="Arial" w:cs="Arial"/>
        </w:rPr>
        <w:t>BEE</w:t>
      </w:r>
      <w:r w:rsidR="005A640E">
        <w:rPr>
          <w:rFonts w:ascii="Arial" w:hAnsi="Arial" w:cs="Arial"/>
        </w:rPr>
        <w:t>)</w:t>
      </w:r>
      <w:r w:rsidRPr="00CF2DFC">
        <w:rPr>
          <w:rFonts w:ascii="Arial" w:hAnsi="Arial" w:cs="Arial"/>
        </w:rPr>
        <w:t xml:space="preserve"> parties</w:t>
      </w:r>
      <w:r w:rsidR="005A640E">
        <w:rPr>
          <w:rFonts w:ascii="Arial" w:hAnsi="Arial" w:cs="Arial"/>
        </w:rPr>
        <w:t xml:space="preserve"> in South Africa</w:t>
      </w:r>
      <w:r w:rsidRPr="00CF2DFC">
        <w:rPr>
          <w:rFonts w:ascii="Arial" w:hAnsi="Arial" w:cs="Arial"/>
        </w:rPr>
        <w:t xml:space="preserve"> to access funding, and Kijani, as it invests in green affordable housing</w:t>
      </w:r>
      <w:r w:rsidR="00314BF9">
        <w:rPr>
          <w:rFonts w:ascii="Arial" w:hAnsi="Arial" w:cs="Arial"/>
        </w:rPr>
        <w:t xml:space="preserve"> in a country where </w:t>
      </w:r>
      <w:r w:rsidR="00314BF9" w:rsidRPr="00314BF9">
        <w:rPr>
          <w:rFonts w:ascii="Arial" w:hAnsi="Arial" w:cs="Arial"/>
        </w:rPr>
        <w:t>around half of urban households live in slums</w:t>
      </w:r>
      <w:r w:rsidR="005C61C8">
        <w:rPr>
          <w:rFonts w:ascii="Arial" w:hAnsi="Arial" w:cs="Arial"/>
        </w:rPr>
        <w:t>.</w:t>
      </w:r>
    </w:p>
    <w:p w14:paraId="5603A325" w14:textId="35831940" w:rsidR="005C61C8" w:rsidRDefault="005C61C8" w:rsidP="00CF2DFC">
      <w:pPr>
        <w:pStyle w:val="ListParagraph"/>
        <w:numPr>
          <w:ilvl w:val="0"/>
          <w:numId w:val="4"/>
        </w:numPr>
        <w:rPr>
          <w:rFonts w:ascii="Arial" w:hAnsi="Arial" w:cs="Arial"/>
        </w:rPr>
      </w:pPr>
      <w:r w:rsidRPr="005C61C8">
        <w:rPr>
          <w:rFonts w:ascii="Arial" w:hAnsi="Arial" w:cs="Arial"/>
        </w:rPr>
        <w:t>Macquarie promoted the development of diversity and inclusion (D&amp;I) policies among their invested companies, including the UKCI portfolio. All companies have initiatives or policies to promote D&amp;I, such as supporting broader diversity at board level focusing on the promotion of the diversity attributes of gender, race, culture, age, field of knowledge (</w:t>
      </w:r>
      <w:proofErr w:type="spellStart"/>
      <w:r w:rsidRPr="005C61C8">
        <w:rPr>
          <w:rFonts w:ascii="Arial" w:hAnsi="Arial" w:cs="Arial"/>
        </w:rPr>
        <w:t>Revego</w:t>
      </w:r>
      <w:proofErr w:type="spellEnd"/>
      <w:r w:rsidRPr="005C61C8">
        <w:rPr>
          <w:rFonts w:ascii="Arial" w:hAnsi="Arial" w:cs="Arial"/>
        </w:rPr>
        <w:t>), and bringing in more women in the workforce (non-EPC roles) (Apollo).</w:t>
      </w:r>
    </w:p>
    <w:p w14:paraId="70A8735F" w14:textId="0707EFD9" w:rsidR="00B14442" w:rsidRDefault="00B14442" w:rsidP="00CF2DFC">
      <w:pPr>
        <w:pStyle w:val="ListParagraph"/>
        <w:numPr>
          <w:ilvl w:val="0"/>
          <w:numId w:val="4"/>
        </w:numPr>
        <w:rPr>
          <w:rFonts w:ascii="Arial" w:hAnsi="Arial" w:cs="Arial"/>
        </w:rPr>
      </w:pPr>
      <w:r>
        <w:rPr>
          <w:rFonts w:ascii="Arial" w:hAnsi="Arial" w:cs="Arial"/>
        </w:rPr>
        <w:t>Invested companies undertook ESG activities which provided positive social benefit beyond climate change mitigation.</w:t>
      </w:r>
    </w:p>
    <w:p w14:paraId="6488E5DA" w14:textId="677BFD23" w:rsidR="00101919" w:rsidRDefault="00B0028F" w:rsidP="003B7955">
      <w:pPr>
        <w:rPr>
          <w:rFonts w:ascii="Arial" w:hAnsi="Arial" w:cs="Arial"/>
        </w:rPr>
      </w:pPr>
      <w:r>
        <w:rPr>
          <w:rFonts w:ascii="Arial" w:hAnsi="Arial" w:cs="Arial"/>
        </w:rPr>
        <w:t xml:space="preserve">While these positive benefits accrued, given there was no formal strategy in place UKCI cannot </w:t>
      </w:r>
      <w:r w:rsidR="001A120A">
        <w:rPr>
          <w:rFonts w:ascii="Arial" w:hAnsi="Arial" w:cs="Arial"/>
        </w:rPr>
        <w:t>claim accountability. Mainstreaming GESI in the programme could have ensured better returns.</w:t>
      </w:r>
    </w:p>
    <w:p w14:paraId="1B0647DA" w14:textId="77777777" w:rsidR="0066672A" w:rsidRDefault="0066672A" w:rsidP="003B7955">
      <w:pPr>
        <w:rPr>
          <w:rFonts w:ascii="Arial" w:hAnsi="Arial" w:cs="Arial"/>
        </w:rPr>
      </w:pPr>
    </w:p>
    <w:p w14:paraId="42A9B097" w14:textId="33A05397" w:rsidR="0066672A" w:rsidRPr="00101919" w:rsidRDefault="00A45BF9" w:rsidP="003B7955">
      <w:pPr>
        <w:rPr>
          <w:rFonts w:ascii="Arial" w:hAnsi="Arial" w:cs="Arial"/>
        </w:rPr>
      </w:pPr>
      <w:r>
        <w:rPr>
          <w:rFonts w:ascii="Arial" w:hAnsi="Arial" w:cs="Arial"/>
        </w:rPr>
        <w:t xml:space="preserve">The policy decision underpinning FCDO’s desire to transfer UKCI to management by BII was underpinned by views that such a move would improve the </w:t>
      </w:r>
      <w:r w:rsidR="006B1EFE">
        <w:rPr>
          <w:rFonts w:ascii="Arial" w:hAnsi="Arial" w:cs="Arial"/>
        </w:rPr>
        <w:t xml:space="preserve">programme’s </w:t>
      </w:r>
      <w:r>
        <w:rPr>
          <w:rFonts w:ascii="Arial" w:hAnsi="Arial" w:cs="Arial"/>
        </w:rPr>
        <w:t xml:space="preserve">economy, </w:t>
      </w:r>
      <w:proofErr w:type="gramStart"/>
      <w:r>
        <w:rPr>
          <w:rFonts w:ascii="Arial" w:hAnsi="Arial" w:cs="Arial"/>
        </w:rPr>
        <w:t>efficiency</w:t>
      </w:r>
      <w:proofErr w:type="gramEnd"/>
      <w:r>
        <w:rPr>
          <w:rFonts w:ascii="Arial" w:hAnsi="Arial" w:cs="Arial"/>
        </w:rPr>
        <w:t xml:space="preserve"> and </w:t>
      </w:r>
      <w:r w:rsidR="006B1EFE">
        <w:rPr>
          <w:rFonts w:ascii="Arial" w:hAnsi="Arial" w:cs="Arial"/>
        </w:rPr>
        <w:t xml:space="preserve">effectiveness in consideration of its maturity. BII has systems and procedures in place for managing assets </w:t>
      </w:r>
      <w:proofErr w:type="gramStart"/>
      <w:r w:rsidR="006B1EFE">
        <w:rPr>
          <w:rFonts w:ascii="Arial" w:hAnsi="Arial" w:cs="Arial"/>
        </w:rPr>
        <w:t>similar to</w:t>
      </w:r>
      <w:proofErr w:type="gramEnd"/>
      <w:r w:rsidR="006B1EFE">
        <w:rPr>
          <w:rFonts w:ascii="Arial" w:hAnsi="Arial" w:cs="Arial"/>
        </w:rPr>
        <w:t xml:space="preserve"> those held by UKCI and therefore </w:t>
      </w:r>
      <w:r w:rsidR="00180E96">
        <w:rPr>
          <w:rFonts w:ascii="Arial" w:hAnsi="Arial" w:cs="Arial"/>
        </w:rPr>
        <w:t>was seen as better able to manage the assets as part of their normal course of business</w:t>
      </w:r>
      <w:r w:rsidR="007266C3">
        <w:rPr>
          <w:rFonts w:ascii="Arial" w:hAnsi="Arial" w:cs="Arial"/>
        </w:rPr>
        <w:t xml:space="preserve"> than HMG. As the investment period had ended </w:t>
      </w:r>
      <w:r w:rsidR="00032F0B">
        <w:rPr>
          <w:rFonts w:ascii="Arial" w:hAnsi="Arial" w:cs="Arial"/>
        </w:rPr>
        <w:t xml:space="preserve">before the decision to transfer to BII </w:t>
      </w:r>
      <w:proofErr w:type="gramStart"/>
      <w:r w:rsidR="00032F0B">
        <w:rPr>
          <w:rFonts w:ascii="Arial" w:hAnsi="Arial" w:cs="Arial"/>
        </w:rPr>
        <w:t>was made</w:t>
      </w:r>
      <w:proofErr w:type="gramEnd"/>
      <w:r w:rsidR="00032F0B">
        <w:rPr>
          <w:rFonts w:ascii="Arial" w:hAnsi="Arial" w:cs="Arial"/>
        </w:rPr>
        <w:t xml:space="preserve">, there was no further scope to influence investment strategies to meet </w:t>
      </w:r>
      <w:r w:rsidR="0089460B">
        <w:rPr>
          <w:rFonts w:ascii="Arial" w:hAnsi="Arial" w:cs="Arial"/>
        </w:rPr>
        <w:t xml:space="preserve">HMG policy objectives. Continued management within HMG would necessitate prolonging oversight and </w:t>
      </w:r>
      <w:proofErr w:type="gramStart"/>
      <w:r w:rsidR="0089460B">
        <w:rPr>
          <w:rFonts w:ascii="Arial" w:hAnsi="Arial" w:cs="Arial"/>
        </w:rPr>
        <w:t>financial management</w:t>
      </w:r>
      <w:proofErr w:type="gramEnd"/>
      <w:r w:rsidR="0089460B">
        <w:rPr>
          <w:rFonts w:ascii="Arial" w:hAnsi="Arial" w:cs="Arial"/>
        </w:rPr>
        <w:t>, the latter of which had historically proved cumbersome within HMG systems.</w:t>
      </w:r>
    </w:p>
    <w:tbl>
      <w:tblPr>
        <w:tblStyle w:val="TableGrid"/>
        <w:tblW w:w="0" w:type="auto"/>
        <w:tblLook w:val="04A0" w:firstRow="1" w:lastRow="0" w:firstColumn="1" w:lastColumn="0" w:noHBand="0" w:noVBand="1"/>
      </w:tblPr>
      <w:tblGrid>
        <w:gridCol w:w="9016"/>
      </w:tblGrid>
      <w:tr w:rsidR="00487914" w:rsidRPr="00462E61" w14:paraId="6AF9479D" w14:textId="77777777" w:rsidTr="007C7182">
        <w:tc>
          <w:tcPr>
            <w:tcW w:w="9016" w:type="dxa"/>
            <w:shd w:val="clear" w:color="auto" w:fill="DEEAF6" w:themeFill="accent5" w:themeFillTint="33"/>
          </w:tcPr>
          <w:p w14:paraId="0C77CCD2" w14:textId="58C1D906" w:rsidR="001B04E1" w:rsidRPr="00462E61" w:rsidRDefault="001B04E1" w:rsidP="007C7182">
            <w:pPr>
              <w:jc w:val="center"/>
              <w:rPr>
                <w:rFonts w:ascii="Arial" w:hAnsi="Arial" w:cs="Arial"/>
                <w:b/>
                <w:bCs/>
                <w:sz w:val="32"/>
                <w:szCs w:val="32"/>
              </w:rPr>
            </w:pPr>
            <w:bookmarkStart w:id="15" w:name="_Toc162948081"/>
            <w:r w:rsidRPr="00462E61">
              <w:rPr>
                <w:rStyle w:val="Heading1Char"/>
                <w:rFonts w:ascii="Arial" w:hAnsi="Arial" w:cs="Arial"/>
                <w:b/>
                <w:bCs/>
                <w:color w:val="auto"/>
              </w:rPr>
              <w:t xml:space="preserve">Section </w:t>
            </w:r>
            <w:r w:rsidR="009A3ABD" w:rsidRPr="00462E61">
              <w:rPr>
                <w:rStyle w:val="Heading1Char"/>
                <w:rFonts w:ascii="Arial" w:hAnsi="Arial" w:cs="Arial"/>
                <w:b/>
                <w:bCs/>
                <w:color w:val="auto"/>
              </w:rPr>
              <w:t>F</w:t>
            </w:r>
            <w:r w:rsidRPr="00462E61">
              <w:rPr>
                <w:rStyle w:val="Heading1Char"/>
                <w:rFonts w:ascii="Arial" w:hAnsi="Arial" w:cs="Arial"/>
                <w:b/>
                <w:bCs/>
                <w:color w:val="auto"/>
              </w:rPr>
              <w:t>: Risk</w:t>
            </w:r>
            <w:bookmarkEnd w:id="15"/>
          </w:p>
        </w:tc>
      </w:tr>
    </w:tbl>
    <w:p w14:paraId="3994AC72" w14:textId="77777777" w:rsidR="00F0179F" w:rsidRPr="00462E61" w:rsidRDefault="00F0179F" w:rsidP="003B7955">
      <w:pPr>
        <w:rPr>
          <w:rFonts w:ascii="Arial" w:hAnsi="Arial" w:cs="Arial"/>
        </w:rPr>
      </w:pPr>
    </w:p>
    <w:p w14:paraId="7F612B89" w14:textId="2571CB50" w:rsidR="00743AE2" w:rsidRPr="00324E48" w:rsidRDefault="00743AE2" w:rsidP="00743AE2">
      <w:pPr>
        <w:rPr>
          <w:rFonts w:ascii="Arial" w:hAnsi="Arial" w:cs="Arial"/>
          <w:sz w:val="24"/>
          <w:szCs w:val="24"/>
        </w:rPr>
      </w:pPr>
      <w:bookmarkStart w:id="16" w:name="_Toc162948082"/>
      <w:r w:rsidRPr="00324E48">
        <w:rPr>
          <w:rStyle w:val="Heading2Char"/>
          <w:rFonts w:cs="Arial"/>
          <w:sz w:val="24"/>
          <w:szCs w:val="28"/>
        </w:rPr>
        <w:t>Overall Risk Rating</w:t>
      </w:r>
      <w:bookmarkEnd w:id="16"/>
    </w:p>
    <w:p w14:paraId="56E945A6" w14:textId="1A8F1379" w:rsidR="00A82222" w:rsidRPr="00510FD1" w:rsidRDefault="00386A43" w:rsidP="00743AE2">
      <w:pPr>
        <w:rPr>
          <w:rFonts w:ascii="Arial" w:hAnsi="Arial" w:cs="Arial"/>
        </w:rPr>
      </w:pPr>
      <w:r>
        <w:rPr>
          <w:rFonts w:ascii="Arial" w:hAnsi="Arial" w:cs="Arial"/>
        </w:rPr>
        <w:t>Major from June 2015 to November 2020.</w:t>
      </w:r>
      <w:r w:rsidR="00460524" w:rsidRPr="00460524">
        <w:rPr>
          <w:rFonts w:ascii="Arial" w:hAnsi="Arial" w:cs="Arial"/>
        </w:rPr>
        <w:t xml:space="preserve"> </w:t>
      </w:r>
      <w:r w:rsidR="00460524">
        <w:rPr>
          <w:rFonts w:ascii="Arial" w:hAnsi="Arial" w:cs="Arial"/>
        </w:rPr>
        <w:t>Minor from December 2020.</w:t>
      </w:r>
    </w:p>
    <w:p w14:paraId="30DE54DC" w14:textId="535983CE" w:rsidR="005C2534" w:rsidRPr="00324E48" w:rsidRDefault="005C2534" w:rsidP="005C2534">
      <w:pPr>
        <w:rPr>
          <w:rFonts w:ascii="Arial" w:hAnsi="Arial" w:cs="Arial"/>
          <w:sz w:val="24"/>
          <w:szCs w:val="24"/>
        </w:rPr>
      </w:pPr>
      <w:bookmarkStart w:id="17" w:name="_Toc162948083"/>
      <w:r w:rsidRPr="00324E48">
        <w:rPr>
          <w:rStyle w:val="Heading2Char"/>
          <w:rFonts w:cs="Arial"/>
          <w:sz w:val="24"/>
          <w:szCs w:val="28"/>
        </w:rPr>
        <w:t>Overview of programme risk during the past year and over the life of the programme</w:t>
      </w:r>
      <w:bookmarkEnd w:id="17"/>
      <w:r w:rsidRPr="00324E48">
        <w:rPr>
          <w:rFonts w:ascii="Arial" w:hAnsi="Arial" w:cs="Arial"/>
          <w:sz w:val="24"/>
          <w:szCs w:val="24"/>
        </w:rPr>
        <w:t xml:space="preserve"> </w:t>
      </w:r>
    </w:p>
    <w:p w14:paraId="708C4F96" w14:textId="0AAED6A1" w:rsidR="00844F08" w:rsidRPr="00F6299F" w:rsidRDefault="00F6299F" w:rsidP="005C2534">
      <w:pPr>
        <w:rPr>
          <w:rFonts w:ascii="Arial" w:hAnsi="Arial" w:cs="Arial"/>
        </w:rPr>
      </w:pPr>
      <w:r>
        <w:rPr>
          <w:rFonts w:ascii="Arial" w:hAnsi="Arial" w:cs="Arial"/>
        </w:rPr>
        <w:lastRenderedPageBreak/>
        <w:t>The following description of risks reflects those present at the time of the signing of the Transfer Agreement between BEIS, BII</w:t>
      </w:r>
      <w:r w:rsidR="00FC1E54">
        <w:rPr>
          <w:rFonts w:ascii="Arial" w:hAnsi="Arial" w:cs="Arial"/>
        </w:rPr>
        <w:t xml:space="preserve"> and FCDO which saw economic and financial risk transfer to BII. Due to procedural issues, legal transfer could not occur until October 2023. </w:t>
      </w:r>
      <w:proofErr w:type="gramStart"/>
      <w:r w:rsidR="00FC1E54">
        <w:rPr>
          <w:rFonts w:ascii="Arial" w:hAnsi="Arial" w:cs="Arial"/>
        </w:rPr>
        <w:t>Nevertheless</w:t>
      </w:r>
      <w:proofErr w:type="gramEnd"/>
      <w:r w:rsidR="00FC1E54">
        <w:rPr>
          <w:rFonts w:ascii="Arial" w:hAnsi="Arial" w:cs="Arial"/>
        </w:rPr>
        <w:t xml:space="preserve"> with the mechanisms underpinning the Transfer Agreement UKCI risks transferred effectively to BII as of 31 March 2023.</w:t>
      </w:r>
    </w:p>
    <w:tbl>
      <w:tblPr>
        <w:tblStyle w:val="TableGrid"/>
        <w:tblW w:w="0" w:type="auto"/>
        <w:tblLook w:val="04A0" w:firstRow="1" w:lastRow="0" w:firstColumn="1" w:lastColumn="0" w:noHBand="0" w:noVBand="1"/>
      </w:tblPr>
      <w:tblGrid>
        <w:gridCol w:w="3212"/>
        <w:gridCol w:w="3090"/>
        <w:gridCol w:w="2714"/>
      </w:tblGrid>
      <w:tr w:rsidR="00487914" w:rsidRPr="00462E61" w14:paraId="3109A479" w14:textId="77777777" w:rsidTr="008E6908">
        <w:tc>
          <w:tcPr>
            <w:tcW w:w="3005" w:type="dxa"/>
            <w:shd w:val="clear" w:color="auto" w:fill="DEEAF6" w:themeFill="accent5" w:themeFillTint="33"/>
          </w:tcPr>
          <w:p w14:paraId="38989399" w14:textId="52B62FD4" w:rsidR="008E6908" w:rsidRPr="00462E61" w:rsidRDefault="008E6908" w:rsidP="005C2534">
            <w:pPr>
              <w:rPr>
                <w:rFonts w:ascii="Arial" w:hAnsi="Arial" w:cs="Arial"/>
                <w:b/>
                <w:bCs/>
              </w:rPr>
            </w:pPr>
            <w:r w:rsidRPr="00462E61">
              <w:rPr>
                <w:rFonts w:ascii="Arial" w:hAnsi="Arial" w:cs="Arial"/>
                <w:b/>
                <w:bCs/>
              </w:rPr>
              <w:t xml:space="preserve">Risk Description </w:t>
            </w:r>
          </w:p>
        </w:tc>
        <w:tc>
          <w:tcPr>
            <w:tcW w:w="3005" w:type="dxa"/>
            <w:shd w:val="clear" w:color="auto" w:fill="DEEAF6" w:themeFill="accent5" w:themeFillTint="33"/>
          </w:tcPr>
          <w:p w14:paraId="506317F1" w14:textId="68E9D629" w:rsidR="008E6908" w:rsidRPr="00462E61" w:rsidRDefault="008E6908" w:rsidP="005C2534">
            <w:pPr>
              <w:rPr>
                <w:rFonts w:ascii="Arial" w:hAnsi="Arial" w:cs="Arial"/>
                <w:b/>
                <w:bCs/>
              </w:rPr>
            </w:pPr>
            <w:r w:rsidRPr="00462E61">
              <w:rPr>
                <w:rFonts w:ascii="Arial" w:hAnsi="Arial" w:cs="Arial"/>
                <w:b/>
                <w:bCs/>
              </w:rPr>
              <w:t>Mitigation Strategy</w:t>
            </w:r>
          </w:p>
        </w:tc>
        <w:tc>
          <w:tcPr>
            <w:tcW w:w="3006" w:type="dxa"/>
            <w:shd w:val="clear" w:color="auto" w:fill="DEEAF6" w:themeFill="accent5" w:themeFillTint="33"/>
          </w:tcPr>
          <w:p w14:paraId="049A5DB5" w14:textId="3864D8C5" w:rsidR="008E6908" w:rsidRPr="00462E61" w:rsidRDefault="008E6908" w:rsidP="005C2534">
            <w:pPr>
              <w:rPr>
                <w:rFonts w:ascii="Arial" w:hAnsi="Arial" w:cs="Arial"/>
                <w:b/>
                <w:bCs/>
              </w:rPr>
            </w:pPr>
            <w:r w:rsidRPr="00462E61">
              <w:rPr>
                <w:rFonts w:ascii="Arial" w:hAnsi="Arial" w:cs="Arial"/>
                <w:b/>
                <w:bCs/>
              </w:rPr>
              <w:t>Residual Risk Rating</w:t>
            </w:r>
          </w:p>
        </w:tc>
      </w:tr>
      <w:tr w:rsidR="00487914" w:rsidRPr="00462E61" w14:paraId="0D052275" w14:textId="77777777" w:rsidTr="008E6908">
        <w:tc>
          <w:tcPr>
            <w:tcW w:w="3005" w:type="dxa"/>
          </w:tcPr>
          <w:p w14:paraId="4DA28813" w14:textId="77777777" w:rsidR="00752FA9" w:rsidRPr="00752FA9" w:rsidRDefault="00752FA9" w:rsidP="00752FA9">
            <w:pPr>
              <w:rPr>
                <w:rFonts w:ascii="Arial" w:hAnsi="Arial" w:cs="Arial"/>
              </w:rPr>
            </w:pPr>
            <w:r w:rsidRPr="00752FA9">
              <w:rPr>
                <w:rFonts w:ascii="Arial" w:hAnsi="Arial" w:cs="Arial"/>
              </w:rPr>
              <w:t>Economic: Investment Risk</w:t>
            </w:r>
          </w:p>
          <w:p w14:paraId="6F4B0F80" w14:textId="77777777" w:rsidR="00752FA9" w:rsidRPr="00752FA9" w:rsidRDefault="00752FA9" w:rsidP="00752FA9">
            <w:pPr>
              <w:rPr>
                <w:rFonts w:ascii="Arial" w:hAnsi="Arial" w:cs="Arial"/>
              </w:rPr>
            </w:pPr>
            <w:r w:rsidRPr="00752FA9">
              <w:rPr>
                <w:rFonts w:ascii="Arial" w:hAnsi="Arial" w:cs="Arial"/>
              </w:rPr>
              <w:t>UKCI has fully committed the entire programme budget by November 2021. However</w:t>
            </w:r>
          </w:p>
          <w:p w14:paraId="59F786E1" w14:textId="2D9E9018" w:rsidR="008E6908" w:rsidRPr="00462E61" w:rsidRDefault="00752FA9" w:rsidP="00752FA9">
            <w:pPr>
              <w:rPr>
                <w:rFonts w:ascii="Arial" w:hAnsi="Arial" w:cs="Arial"/>
              </w:rPr>
            </w:pPr>
            <w:r w:rsidRPr="00752FA9">
              <w:rPr>
                <w:rFonts w:ascii="Arial" w:hAnsi="Arial" w:cs="Arial"/>
              </w:rPr>
              <w:t xml:space="preserve">There is an inherent risk that the projects committed to fails to </w:t>
            </w:r>
            <w:proofErr w:type="gramStart"/>
            <w:r w:rsidRPr="00752FA9">
              <w:rPr>
                <w:rFonts w:ascii="Arial" w:hAnsi="Arial" w:cs="Arial"/>
              </w:rPr>
              <w:t>utilise</w:t>
            </w:r>
            <w:proofErr w:type="gramEnd"/>
            <w:r w:rsidRPr="00752FA9">
              <w:rPr>
                <w:rFonts w:ascii="Arial" w:hAnsi="Arial" w:cs="Arial"/>
              </w:rPr>
              <w:t xml:space="preserve"> the programmes cash resources (200m investment). Through project failure or missing the November 2023 deadline. Resulting in BEIS underspend.</w:t>
            </w:r>
          </w:p>
        </w:tc>
        <w:tc>
          <w:tcPr>
            <w:tcW w:w="3005" w:type="dxa"/>
          </w:tcPr>
          <w:p w14:paraId="3657779A" w14:textId="77777777" w:rsidR="005C5699" w:rsidRPr="005C5699" w:rsidRDefault="005C5699" w:rsidP="005C5699">
            <w:pPr>
              <w:rPr>
                <w:rFonts w:ascii="Arial" w:hAnsi="Arial" w:cs="Arial"/>
              </w:rPr>
            </w:pPr>
            <w:r w:rsidRPr="005C5699">
              <w:rPr>
                <w:rFonts w:ascii="Arial" w:hAnsi="Arial" w:cs="Arial"/>
              </w:rPr>
              <w:t>The programme team cannot reduce the likelihood of realising this risk.</w:t>
            </w:r>
          </w:p>
          <w:p w14:paraId="54941095" w14:textId="77777777" w:rsidR="005C5699" w:rsidRPr="005C5699" w:rsidRDefault="005C5699" w:rsidP="005C5699">
            <w:pPr>
              <w:rPr>
                <w:rFonts w:ascii="Arial" w:hAnsi="Arial" w:cs="Arial"/>
              </w:rPr>
            </w:pPr>
          </w:p>
          <w:p w14:paraId="07FE462D" w14:textId="4F4D0277" w:rsidR="008E6908" w:rsidRPr="00462E61" w:rsidRDefault="005C5699" w:rsidP="005C5699">
            <w:pPr>
              <w:rPr>
                <w:rFonts w:ascii="Arial" w:hAnsi="Arial" w:cs="Arial"/>
              </w:rPr>
            </w:pPr>
            <w:r w:rsidRPr="005C5699">
              <w:rPr>
                <w:rFonts w:ascii="Arial" w:hAnsi="Arial" w:cs="Arial"/>
              </w:rPr>
              <w:t xml:space="preserve">The Programme team will receive regular cash management updates from Macquarie, increasing the sight and time BEIS corporate </w:t>
            </w:r>
            <w:proofErr w:type="gramStart"/>
            <w:r w:rsidRPr="005C5699">
              <w:rPr>
                <w:rFonts w:ascii="Arial" w:hAnsi="Arial" w:cs="Arial"/>
              </w:rPr>
              <w:t>have to</w:t>
            </w:r>
            <w:proofErr w:type="gramEnd"/>
            <w:r w:rsidRPr="005C5699">
              <w:rPr>
                <w:rFonts w:ascii="Arial" w:hAnsi="Arial" w:cs="Arial"/>
              </w:rPr>
              <w:t xml:space="preserve"> meet or distribute the programmes cash spend, in line with ODA and SR spending targets.</w:t>
            </w:r>
          </w:p>
        </w:tc>
        <w:tc>
          <w:tcPr>
            <w:tcW w:w="3006" w:type="dxa"/>
          </w:tcPr>
          <w:p w14:paraId="40D6D70F" w14:textId="60ACE1FC" w:rsidR="008E6908" w:rsidRPr="00462E61" w:rsidRDefault="005C5699" w:rsidP="005C2534">
            <w:pPr>
              <w:rPr>
                <w:rFonts w:ascii="Arial" w:hAnsi="Arial" w:cs="Arial"/>
              </w:rPr>
            </w:pPr>
            <w:r>
              <w:rPr>
                <w:rFonts w:ascii="Arial" w:hAnsi="Arial" w:cs="Arial"/>
              </w:rPr>
              <w:t>Minor</w:t>
            </w:r>
          </w:p>
        </w:tc>
      </w:tr>
      <w:tr w:rsidR="00487914" w:rsidRPr="00462E61" w14:paraId="4E558B4A" w14:textId="77777777" w:rsidTr="008E6908">
        <w:tc>
          <w:tcPr>
            <w:tcW w:w="3005" w:type="dxa"/>
          </w:tcPr>
          <w:p w14:paraId="5AF2D717" w14:textId="77777777" w:rsidR="003047E9" w:rsidRPr="003047E9" w:rsidRDefault="003047E9" w:rsidP="003047E9">
            <w:pPr>
              <w:rPr>
                <w:rFonts w:ascii="Arial" w:hAnsi="Arial" w:cs="Arial"/>
              </w:rPr>
            </w:pPr>
            <w:r w:rsidRPr="003047E9">
              <w:rPr>
                <w:rFonts w:ascii="Arial" w:hAnsi="Arial" w:cs="Arial"/>
              </w:rPr>
              <w:t>Environmental/Developmental: Delivering transformational change (Theory of Change)</w:t>
            </w:r>
          </w:p>
          <w:p w14:paraId="1907AB56" w14:textId="313278A8" w:rsidR="008E6908" w:rsidRPr="00462E61" w:rsidRDefault="003047E9" w:rsidP="003047E9">
            <w:pPr>
              <w:rPr>
                <w:rFonts w:ascii="Arial" w:hAnsi="Arial" w:cs="Arial"/>
              </w:rPr>
            </w:pPr>
            <w:r w:rsidRPr="003047E9">
              <w:rPr>
                <w:rFonts w:ascii="Arial" w:hAnsi="Arial" w:cs="Arial"/>
              </w:rPr>
              <w:t xml:space="preserve">Headline results </w:t>
            </w:r>
            <w:proofErr w:type="gramStart"/>
            <w:r w:rsidRPr="003047E9">
              <w:rPr>
                <w:rFonts w:ascii="Arial" w:hAnsi="Arial" w:cs="Arial"/>
              </w:rPr>
              <w:t>are not delivered</w:t>
            </w:r>
            <w:proofErr w:type="gramEnd"/>
            <w:r w:rsidRPr="003047E9">
              <w:rPr>
                <w:rFonts w:ascii="Arial" w:hAnsi="Arial" w:cs="Arial"/>
              </w:rPr>
              <w:t xml:space="preserve"> due to internal project factors. UKCI’s investments do not deliver intended results (as laid out in the investment cases at the IC)</w:t>
            </w:r>
          </w:p>
        </w:tc>
        <w:tc>
          <w:tcPr>
            <w:tcW w:w="3005" w:type="dxa"/>
          </w:tcPr>
          <w:p w14:paraId="5644CAFF" w14:textId="48E4F38A" w:rsidR="008E6908" w:rsidRPr="00462E61" w:rsidRDefault="00C85004" w:rsidP="005C2534">
            <w:pPr>
              <w:rPr>
                <w:rFonts w:ascii="Arial" w:hAnsi="Arial" w:cs="Arial"/>
              </w:rPr>
            </w:pPr>
            <w:r w:rsidRPr="00C85004">
              <w:rPr>
                <w:rFonts w:ascii="Arial" w:hAnsi="Arial" w:cs="Arial"/>
              </w:rPr>
              <w:t xml:space="preserve">All commitments have </w:t>
            </w:r>
            <w:proofErr w:type="gramStart"/>
            <w:r w:rsidRPr="00C85004">
              <w:rPr>
                <w:rFonts w:ascii="Arial" w:hAnsi="Arial" w:cs="Arial"/>
              </w:rPr>
              <w:t>been made</w:t>
            </w:r>
            <w:proofErr w:type="gramEnd"/>
            <w:r w:rsidRPr="00C85004">
              <w:rPr>
                <w:rFonts w:ascii="Arial" w:hAnsi="Arial" w:cs="Arial"/>
              </w:rPr>
              <w:t xml:space="preserve"> so minimal opportunities for additional developmental gains can be made. However, Macquarie have </w:t>
            </w:r>
            <w:r w:rsidR="000C2F0A">
              <w:rPr>
                <w:rFonts w:ascii="Arial" w:hAnsi="Arial" w:cs="Arial"/>
              </w:rPr>
              <w:t>a</w:t>
            </w:r>
            <w:r w:rsidRPr="00C85004">
              <w:rPr>
                <w:rFonts w:ascii="Arial" w:hAnsi="Arial" w:cs="Arial"/>
              </w:rPr>
              <w:t xml:space="preserve"> place on various Boards and Committees of downstream projects – they can exert influence to ensure the intended developmental/environmental outcomes </w:t>
            </w:r>
            <w:proofErr w:type="gramStart"/>
            <w:r w:rsidRPr="00C85004">
              <w:rPr>
                <w:rFonts w:ascii="Arial" w:hAnsi="Arial" w:cs="Arial"/>
              </w:rPr>
              <w:t>are secured</w:t>
            </w:r>
            <w:proofErr w:type="gramEnd"/>
            <w:r w:rsidRPr="00C85004">
              <w:rPr>
                <w:rFonts w:ascii="Arial" w:hAnsi="Arial" w:cs="Arial"/>
              </w:rPr>
              <w:t>.</w:t>
            </w:r>
          </w:p>
        </w:tc>
        <w:tc>
          <w:tcPr>
            <w:tcW w:w="3006" w:type="dxa"/>
          </w:tcPr>
          <w:p w14:paraId="282C80CA" w14:textId="370930B0" w:rsidR="008E6908" w:rsidRPr="00462E61" w:rsidRDefault="00C85004" w:rsidP="005C2534">
            <w:pPr>
              <w:rPr>
                <w:rFonts w:ascii="Arial" w:hAnsi="Arial" w:cs="Arial"/>
              </w:rPr>
            </w:pPr>
            <w:r>
              <w:rPr>
                <w:rFonts w:ascii="Arial" w:hAnsi="Arial" w:cs="Arial"/>
              </w:rPr>
              <w:t>Moderate</w:t>
            </w:r>
          </w:p>
        </w:tc>
      </w:tr>
      <w:tr w:rsidR="00487914" w:rsidRPr="00462E61" w14:paraId="7FCB7314" w14:textId="77777777" w:rsidTr="008E6908">
        <w:tc>
          <w:tcPr>
            <w:tcW w:w="3005" w:type="dxa"/>
          </w:tcPr>
          <w:p w14:paraId="42CD81C8" w14:textId="1359EDE6" w:rsidR="008E6908" w:rsidRPr="00462E61" w:rsidRDefault="00CF6EF0" w:rsidP="00CF6EF0">
            <w:pPr>
              <w:rPr>
                <w:rFonts w:ascii="Arial" w:hAnsi="Arial" w:cs="Arial"/>
              </w:rPr>
            </w:pPr>
            <w:r w:rsidRPr="00CF6EF0">
              <w:rPr>
                <w:rFonts w:ascii="Arial" w:hAnsi="Arial" w:cs="Arial"/>
              </w:rPr>
              <w:t>Political (and Macro-economic risks):</w:t>
            </w:r>
            <w:r>
              <w:rPr>
                <w:rFonts w:ascii="Arial" w:hAnsi="Arial" w:cs="Arial"/>
              </w:rPr>
              <w:t xml:space="preserve"> </w:t>
            </w:r>
            <w:r w:rsidRPr="00CF6EF0">
              <w:rPr>
                <w:rFonts w:ascii="Arial" w:hAnsi="Arial" w:cs="Arial"/>
              </w:rPr>
              <w:t>Political and economic risks, manifesting through market conditions, could have a negative impact on the ability of UKCI’s investments to deliver against targets for construction and operation, resulting in incomplete project delivery and therefore impact UKCI results and BEIS departmental spending targets.</w:t>
            </w:r>
          </w:p>
        </w:tc>
        <w:tc>
          <w:tcPr>
            <w:tcW w:w="3005" w:type="dxa"/>
          </w:tcPr>
          <w:p w14:paraId="016CD2BE" w14:textId="011AA017" w:rsidR="00742671" w:rsidRPr="00742671" w:rsidRDefault="00742671" w:rsidP="00742671">
            <w:pPr>
              <w:rPr>
                <w:rFonts w:ascii="Arial" w:hAnsi="Arial" w:cs="Arial"/>
              </w:rPr>
            </w:pPr>
            <w:r w:rsidRPr="00742671">
              <w:rPr>
                <w:rFonts w:ascii="Arial" w:hAnsi="Arial" w:cs="Arial"/>
              </w:rPr>
              <w:t xml:space="preserve">UKCI’s output results are </w:t>
            </w:r>
            <w:proofErr w:type="gramStart"/>
            <w:r w:rsidRPr="00742671">
              <w:rPr>
                <w:rFonts w:ascii="Arial" w:hAnsi="Arial" w:cs="Arial"/>
              </w:rPr>
              <w:t>largely achieved</w:t>
            </w:r>
            <w:proofErr w:type="gramEnd"/>
            <w:r w:rsidRPr="00742671">
              <w:rPr>
                <w:rFonts w:ascii="Arial" w:hAnsi="Arial" w:cs="Arial"/>
              </w:rPr>
              <w:t xml:space="preserve"> through the programme making investment commitments. As UKCI is now fully committed, the risk to output results is </w:t>
            </w:r>
            <w:proofErr w:type="gramStart"/>
            <w:r w:rsidRPr="00742671">
              <w:rPr>
                <w:rFonts w:ascii="Arial" w:hAnsi="Arial" w:cs="Arial"/>
              </w:rPr>
              <w:t>largely minimal</w:t>
            </w:r>
            <w:proofErr w:type="gramEnd"/>
            <w:r w:rsidRPr="00742671">
              <w:rPr>
                <w:rFonts w:ascii="Arial" w:hAnsi="Arial" w:cs="Arial"/>
              </w:rPr>
              <w:t xml:space="preserve"> – although outcome and impact results could be affected. </w:t>
            </w:r>
            <w:r w:rsidR="00EC0C96">
              <w:rPr>
                <w:rFonts w:ascii="Arial" w:hAnsi="Arial" w:cs="Arial"/>
              </w:rPr>
              <w:br/>
            </w:r>
          </w:p>
          <w:p w14:paraId="46DD6E1B" w14:textId="018FBAEF" w:rsidR="00742671" w:rsidRPr="00742671" w:rsidRDefault="00742671" w:rsidP="00742671">
            <w:pPr>
              <w:rPr>
                <w:rFonts w:ascii="Arial" w:hAnsi="Arial" w:cs="Arial"/>
              </w:rPr>
            </w:pPr>
            <w:r w:rsidRPr="00742671">
              <w:rPr>
                <w:rFonts w:ascii="Arial" w:hAnsi="Arial" w:cs="Arial"/>
              </w:rPr>
              <w:t xml:space="preserve">UKCI is legally obligated to meet investment’s cash requirements as required by downstream projects. </w:t>
            </w:r>
          </w:p>
          <w:p w14:paraId="37D5ECA9" w14:textId="77777777" w:rsidR="00742671" w:rsidRPr="00742671" w:rsidRDefault="00742671" w:rsidP="00742671">
            <w:pPr>
              <w:rPr>
                <w:rFonts w:ascii="Arial" w:hAnsi="Arial" w:cs="Arial"/>
              </w:rPr>
            </w:pPr>
            <w:r w:rsidRPr="00742671">
              <w:rPr>
                <w:rFonts w:ascii="Arial" w:hAnsi="Arial" w:cs="Arial"/>
              </w:rPr>
              <w:t>Monitoring can reduce impact on BEIS results and departmental spend, through:</w:t>
            </w:r>
          </w:p>
          <w:p w14:paraId="24E4CF16" w14:textId="77777777" w:rsidR="00742671" w:rsidRPr="00742671" w:rsidRDefault="00742671" w:rsidP="00742671">
            <w:pPr>
              <w:rPr>
                <w:rFonts w:ascii="Arial" w:hAnsi="Arial" w:cs="Arial"/>
              </w:rPr>
            </w:pPr>
            <w:r w:rsidRPr="00742671">
              <w:rPr>
                <w:rFonts w:ascii="Arial" w:hAnsi="Arial" w:cs="Arial"/>
              </w:rPr>
              <w:t xml:space="preserve">- Macquarie routinely monitors market and wider contextual conditions and </w:t>
            </w:r>
            <w:r w:rsidRPr="00742671">
              <w:rPr>
                <w:rFonts w:ascii="Arial" w:hAnsi="Arial" w:cs="Arial"/>
              </w:rPr>
              <w:lastRenderedPageBreak/>
              <w:t xml:space="preserve">works with BEIS to adapt its strategy accordingly. </w:t>
            </w:r>
          </w:p>
          <w:p w14:paraId="60F89EB6" w14:textId="27869D25" w:rsidR="008E6908" w:rsidRPr="00462E61" w:rsidRDefault="00742671" w:rsidP="00742671">
            <w:pPr>
              <w:rPr>
                <w:rFonts w:ascii="Arial" w:hAnsi="Arial" w:cs="Arial"/>
              </w:rPr>
            </w:pPr>
            <w:r w:rsidRPr="00742671">
              <w:rPr>
                <w:rFonts w:ascii="Arial" w:hAnsi="Arial" w:cs="Arial"/>
              </w:rPr>
              <w:t>- BEIS routinely receives political economy updates from FCDO colleagues in-country to corroborate with Macquarie's market intelligence</w:t>
            </w:r>
          </w:p>
        </w:tc>
        <w:tc>
          <w:tcPr>
            <w:tcW w:w="3006" w:type="dxa"/>
          </w:tcPr>
          <w:p w14:paraId="3CED89C7" w14:textId="46DEE8F2" w:rsidR="008E6908" w:rsidRPr="00462E61" w:rsidRDefault="00742671" w:rsidP="005C2534">
            <w:pPr>
              <w:rPr>
                <w:rFonts w:ascii="Arial" w:hAnsi="Arial" w:cs="Arial"/>
              </w:rPr>
            </w:pPr>
            <w:r>
              <w:rPr>
                <w:rFonts w:ascii="Arial" w:hAnsi="Arial" w:cs="Arial"/>
              </w:rPr>
              <w:lastRenderedPageBreak/>
              <w:t>Minor</w:t>
            </w:r>
          </w:p>
        </w:tc>
      </w:tr>
      <w:tr w:rsidR="005B750D" w:rsidRPr="00462E61" w14:paraId="38C54FF5" w14:textId="77777777" w:rsidTr="008E6908">
        <w:tc>
          <w:tcPr>
            <w:tcW w:w="3005" w:type="dxa"/>
          </w:tcPr>
          <w:p w14:paraId="6F966523" w14:textId="77777777" w:rsidR="00D21A49" w:rsidRPr="00D21A49" w:rsidRDefault="00D21A49" w:rsidP="00D21A49">
            <w:pPr>
              <w:rPr>
                <w:rFonts w:ascii="Arial" w:hAnsi="Arial" w:cs="Arial"/>
              </w:rPr>
            </w:pPr>
            <w:r w:rsidRPr="00D21A49">
              <w:rPr>
                <w:rFonts w:ascii="Arial" w:hAnsi="Arial" w:cs="Arial"/>
              </w:rPr>
              <w:t>Financial (Spend forecasting):</w:t>
            </w:r>
          </w:p>
          <w:p w14:paraId="6B4214E8" w14:textId="77B2D876" w:rsidR="005B750D" w:rsidRPr="00462E61" w:rsidRDefault="00D21A49" w:rsidP="00D21A49">
            <w:pPr>
              <w:rPr>
                <w:rFonts w:ascii="Arial" w:hAnsi="Arial" w:cs="Arial"/>
              </w:rPr>
            </w:pPr>
            <w:r w:rsidRPr="00D21A49">
              <w:rPr>
                <w:rFonts w:ascii="Arial" w:hAnsi="Arial" w:cs="Arial"/>
              </w:rPr>
              <w:t>Inaccurate financial forecasting by Macquarie means there is a risk that BEIS is unable to disburse funds between the months of January and March of every year when required. This could affect deal completion and have negative financial and reputational impacts for UKCI programme and BEIS ICF delivery.</w:t>
            </w:r>
          </w:p>
        </w:tc>
        <w:tc>
          <w:tcPr>
            <w:tcW w:w="3005" w:type="dxa"/>
          </w:tcPr>
          <w:p w14:paraId="61290303" w14:textId="22798918" w:rsidR="005B750D" w:rsidRPr="00462E61" w:rsidRDefault="007C4817" w:rsidP="005C2534">
            <w:pPr>
              <w:rPr>
                <w:rFonts w:ascii="Arial" w:hAnsi="Arial" w:cs="Arial"/>
              </w:rPr>
            </w:pPr>
            <w:r w:rsidRPr="007C4817">
              <w:rPr>
                <w:rFonts w:ascii="Arial" w:hAnsi="Arial" w:cs="Arial"/>
              </w:rPr>
              <w:t xml:space="preserve">BEIS frequently monitors the status of expected disbursements through bi-monthly calls with Macquarie whilst working closely with BEIS Finance to ensure disbursement needs are </w:t>
            </w:r>
            <w:proofErr w:type="gramStart"/>
            <w:r w:rsidRPr="007C4817">
              <w:rPr>
                <w:rFonts w:ascii="Arial" w:hAnsi="Arial" w:cs="Arial"/>
              </w:rPr>
              <w:t>being accounted</w:t>
            </w:r>
            <w:proofErr w:type="gramEnd"/>
            <w:r w:rsidRPr="007C4817">
              <w:rPr>
                <w:rFonts w:ascii="Arial" w:hAnsi="Arial" w:cs="Arial"/>
              </w:rPr>
              <w:t xml:space="preserve"> for in monthly BEIS Cash Management forecasts.</w:t>
            </w:r>
          </w:p>
        </w:tc>
        <w:tc>
          <w:tcPr>
            <w:tcW w:w="3006" w:type="dxa"/>
          </w:tcPr>
          <w:p w14:paraId="7D65784E" w14:textId="7A2DD3FE" w:rsidR="005B750D" w:rsidRPr="00462E61" w:rsidRDefault="007C4817" w:rsidP="005C2534">
            <w:pPr>
              <w:rPr>
                <w:rFonts w:ascii="Arial" w:hAnsi="Arial" w:cs="Arial"/>
              </w:rPr>
            </w:pPr>
            <w:r>
              <w:rPr>
                <w:rFonts w:ascii="Arial" w:hAnsi="Arial" w:cs="Arial"/>
              </w:rPr>
              <w:t>Major</w:t>
            </w:r>
          </w:p>
        </w:tc>
      </w:tr>
      <w:tr w:rsidR="005B750D" w:rsidRPr="00462E61" w14:paraId="3FBB166C" w14:textId="77777777" w:rsidTr="008E6908">
        <w:tc>
          <w:tcPr>
            <w:tcW w:w="3005" w:type="dxa"/>
          </w:tcPr>
          <w:p w14:paraId="4C56C8F1" w14:textId="77777777" w:rsidR="00100BDD" w:rsidRPr="00100BDD" w:rsidRDefault="00100BDD" w:rsidP="00100BDD">
            <w:pPr>
              <w:rPr>
                <w:rFonts w:ascii="Arial" w:hAnsi="Arial" w:cs="Arial"/>
              </w:rPr>
            </w:pPr>
            <w:r w:rsidRPr="00100BDD">
              <w:rPr>
                <w:rFonts w:ascii="Arial" w:hAnsi="Arial" w:cs="Arial"/>
              </w:rPr>
              <w:t>Economic: Financial Returns/Sustainability:</w:t>
            </w:r>
          </w:p>
          <w:p w14:paraId="369FF74D" w14:textId="3867A695" w:rsidR="005B750D" w:rsidRPr="00462E61" w:rsidRDefault="00100BDD" w:rsidP="00100BDD">
            <w:pPr>
              <w:rPr>
                <w:rFonts w:ascii="Arial" w:hAnsi="Arial" w:cs="Arial"/>
              </w:rPr>
            </w:pPr>
            <w:r w:rsidRPr="00100BDD">
              <w:rPr>
                <w:rFonts w:ascii="Arial" w:hAnsi="Arial" w:cs="Arial"/>
              </w:rPr>
              <w:t>Investments may not generate enough returns during certain periods within the lifetime of the LLP to pay for Macquarie’s ongoing asset management fees and operation costs.</w:t>
            </w:r>
          </w:p>
        </w:tc>
        <w:tc>
          <w:tcPr>
            <w:tcW w:w="3005" w:type="dxa"/>
          </w:tcPr>
          <w:p w14:paraId="7F94C020" w14:textId="77777777" w:rsidR="002C626B" w:rsidRPr="002C626B" w:rsidRDefault="002C626B" w:rsidP="002C626B">
            <w:pPr>
              <w:rPr>
                <w:rFonts w:ascii="Arial" w:hAnsi="Arial" w:cs="Arial"/>
              </w:rPr>
            </w:pPr>
            <w:r w:rsidRPr="002C626B">
              <w:rPr>
                <w:rFonts w:ascii="Arial" w:hAnsi="Arial" w:cs="Arial"/>
              </w:rPr>
              <w:t xml:space="preserve">- UKCI IC will monitor asset performance to ensure commercial viability of overall portfolio including </w:t>
            </w:r>
            <w:proofErr w:type="gramStart"/>
            <w:r w:rsidRPr="002C626B">
              <w:rPr>
                <w:rFonts w:ascii="Arial" w:hAnsi="Arial" w:cs="Arial"/>
              </w:rPr>
              <w:t>possible asset</w:t>
            </w:r>
            <w:proofErr w:type="gramEnd"/>
            <w:r w:rsidRPr="002C626B">
              <w:rPr>
                <w:rFonts w:ascii="Arial" w:hAnsi="Arial" w:cs="Arial"/>
              </w:rPr>
              <w:t xml:space="preserve"> sales that would generate sufficient revenue to cover operations. </w:t>
            </w:r>
          </w:p>
          <w:p w14:paraId="31DF033D" w14:textId="0EBC1D8D" w:rsidR="005B750D" w:rsidRPr="00462E61" w:rsidRDefault="002C626B" w:rsidP="002C626B">
            <w:pPr>
              <w:rPr>
                <w:rFonts w:ascii="Arial" w:hAnsi="Arial" w:cs="Arial"/>
              </w:rPr>
            </w:pPr>
            <w:r w:rsidRPr="002C626B">
              <w:rPr>
                <w:rFonts w:ascii="Arial" w:hAnsi="Arial" w:cs="Arial"/>
              </w:rPr>
              <w:t xml:space="preserve">- Returns from to 2025 may only partially cover </w:t>
            </w:r>
            <w:r w:rsidR="0002634F">
              <w:rPr>
                <w:rFonts w:ascii="Arial" w:hAnsi="Arial" w:cs="Arial"/>
              </w:rPr>
              <w:t>UKCI</w:t>
            </w:r>
            <w:r w:rsidRPr="002C626B">
              <w:rPr>
                <w:rFonts w:ascii="Arial" w:hAnsi="Arial" w:cs="Arial"/>
              </w:rPr>
              <w:t xml:space="preserve"> operating costs due to time needed for investments to mature/financial underperformance. </w:t>
            </w:r>
            <w:r w:rsidR="0002634F">
              <w:rPr>
                <w:rFonts w:ascii="Arial" w:hAnsi="Arial" w:cs="Arial"/>
              </w:rPr>
              <w:br/>
            </w:r>
            <w:r w:rsidR="0002634F">
              <w:rPr>
                <w:rFonts w:ascii="Arial" w:hAnsi="Arial" w:cs="Arial"/>
              </w:rPr>
              <w:br/>
            </w:r>
            <w:r w:rsidRPr="002C626B">
              <w:rPr>
                <w:rFonts w:ascii="Arial" w:hAnsi="Arial" w:cs="Arial"/>
              </w:rPr>
              <w:t xml:space="preserve">Contingency buffer (worst-case £12m) from uncommitted funds or Macquarie or BEIS loan could </w:t>
            </w:r>
            <w:proofErr w:type="gramStart"/>
            <w:r w:rsidRPr="002C626B">
              <w:rPr>
                <w:rFonts w:ascii="Arial" w:hAnsi="Arial" w:cs="Arial"/>
              </w:rPr>
              <w:t>be put</w:t>
            </w:r>
            <w:proofErr w:type="gramEnd"/>
            <w:r w:rsidRPr="002C626B">
              <w:rPr>
                <w:rFonts w:ascii="Arial" w:hAnsi="Arial" w:cs="Arial"/>
              </w:rPr>
              <w:t xml:space="preserve"> aside to manage this shortfall.</w:t>
            </w:r>
          </w:p>
        </w:tc>
        <w:tc>
          <w:tcPr>
            <w:tcW w:w="3006" w:type="dxa"/>
          </w:tcPr>
          <w:p w14:paraId="538C12D3" w14:textId="361B6C63" w:rsidR="005B750D" w:rsidRPr="00462E61" w:rsidRDefault="002C626B" w:rsidP="005C2534">
            <w:pPr>
              <w:rPr>
                <w:rFonts w:ascii="Arial" w:hAnsi="Arial" w:cs="Arial"/>
              </w:rPr>
            </w:pPr>
            <w:r>
              <w:rPr>
                <w:rFonts w:ascii="Arial" w:hAnsi="Arial" w:cs="Arial"/>
              </w:rPr>
              <w:t>Minor</w:t>
            </w:r>
          </w:p>
        </w:tc>
      </w:tr>
      <w:tr w:rsidR="005B750D" w:rsidRPr="00462E61" w14:paraId="27E1D1B8" w14:textId="77777777" w:rsidTr="008E6908">
        <w:tc>
          <w:tcPr>
            <w:tcW w:w="3005" w:type="dxa"/>
          </w:tcPr>
          <w:p w14:paraId="66A14EBE" w14:textId="77777777" w:rsidR="004B039F" w:rsidRPr="004B039F" w:rsidRDefault="004B039F" w:rsidP="004B039F">
            <w:pPr>
              <w:rPr>
                <w:rFonts w:ascii="Arial" w:hAnsi="Arial" w:cs="Arial"/>
              </w:rPr>
            </w:pPr>
            <w:r w:rsidRPr="004B039F">
              <w:rPr>
                <w:rFonts w:ascii="Arial" w:hAnsi="Arial" w:cs="Arial"/>
              </w:rPr>
              <w:t>Environmental/Development:</w:t>
            </w:r>
          </w:p>
          <w:p w14:paraId="07580B0C" w14:textId="5556ACD5" w:rsidR="005B750D" w:rsidRPr="00462E61" w:rsidRDefault="004B039F" w:rsidP="004B039F">
            <w:pPr>
              <w:rPr>
                <w:rFonts w:ascii="Arial" w:hAnsi="Arial" w:cs="Arial"/>
              </w:rPr>
            </w:pPr>
            <w:r w:rsidRPr="004B039F">
              <w:rPr>
                <w:rFonts w:ascii="Arial" w:hAnsi="Arial" w:cs="Arial"/>
              </w:rPr>
              <w:t>Downstream projects of our investments, due to poorly managed due diligence or delivery chain risks miss the minimum compliance to 'Do no harm' for people or environment</w:t>
            </w:r>
          </w:p>
        </w:tc>
        <w:tc>
          <w:tcPr>
            <w:tcW w:w="3005" w:type="dxa"/>
          </w:tcPr>
          <w:p w14:paraId="051A45F4" w14:textId="77777777" w:rsidR="00A87BB4" w:rsidRPr="00A87BB4" w:rsidRDefault="00A87BB4" w:rsidP="00A87BB4">
            <w:pPr>
              <w:rPr>
                <w:rFonts w:ascii="Arial" w:hAnsi="Arial" w:cs="Arial"/>
              </w:rPr>
            </w:pPr>
            <w:r w:rsidRPr="00A87BB4">
              <w:rPr>
                <w:rFonts w:ascii="Arial" w:hAnsi="Arial" w:cs="Arial"/>
              </w:rPr>
              <w:t xml:space="preserve">Macquarie to </w:t>
            </w:r>
            <w:proofErr w:type="gramStart"/>
            <w:r w:rsidRPr="00A87BB4">
              <w:rPr>
                <w:rFonts w:ascii="Arial" w:hAnsi="Arial" w:cs="Arial"/>
              </w:rPr>
              <w:t>utilise</w:t>
            </w:r>
            <w:proofErr w:type="gramEnd"/>
            <w:r w:rsidRPr="00A87BB4">
              <w:rPr>
                <w:rFonts w:ascii="Arial" w:hAnsi="Arial" w:cs="Arial"/>
              </w:rPr>
              <w:t xml:space="preserve"> investment frameworks that screen projects (IFC impact principles, MQ internal risk management systems - utilising the wider MQ group) and delivery chain partners that could increase this risk for people or environment.</w:t>
            </w:r>
          </w:p>
          <w:p w14:paraId="57AC8EB8" w14:textId="5BFA47B4" w:rsidR="005B750D" w:rsidRPr="00462E61" w:rsidRDefault="00A87BB4" w:rsidP="00A87BB4">
            <w:pPr>
              <w:rPr>
                <w:rFonts w:ascii="Arial" w:hAnsi="Arial" w:cs="Arial"/>
              </w:rPr>
            </w:pPr>
            <w:r w:rsidRPr="00A87BB4">
              <w:rPr>
                <w:rFonts w:ascii="Arial" w:hAnsi="Arial" w:cs="Arial"/>
              </w:rPr>
              <w:t xml:space="preserve">MQ to communicate to BEIS on any conflicts with the 'do no harm' principles, regularly </w:t>
            </w:r>
            <w:r w:rsidRPr="00A87BB4">
              <w:rPr>
                <w:rFonts w:ascii="Arial" w:hAnsi="Arial" w:cs="Arial"/>
              </w:rPr>
              <w:lastRenderedPageBreak/>
              <w:t xml:space="preserve">at board meetings or in ad hoc </w:t>
            </w:r>
            <w:proofErr w:type="gramStart"/>
            <w:r w:rsidRPr="00A87BB4">
              <w:rPr>
                <w:rFonts w:ascii="Arial" w:hAnsi="Arial" w:cs="Arial"/>
              </w:rPr>
              <w:t>catch-ups</w:t>
            </w:r>
            <w:proofErr w:type="gramEnd"/>
            <w:r w:rsidRPr="00A87BB4">
              <w:rPr>
                <w:rFonts w:ascii="Arial" w:hAnsi="Arial" w:cs="Arial"/>
              </w:rPr>
              <w:t>.</w:t>
            </w:r>
          </w:p>
        </w:tc>
        <w:tc>
          <w:tcPr>
            <w:tcW w:w="3006" w:type="dxa"/>
          </w:tcPr>
          <w:p w14:paraId="11EC0E00" w14:textId="2EC4EE7B" w:rsidR="005B750D" w:rsidRPr="00462E61" w:rsidRDefault="00A87BB4" w:rsidP="005C2534">
            <w:pPr>
              <w:rPr>
                <w:rFonts w:ascii="Arial" w:hAnsi="Arial" w:cs="Arial"/>
              </w:rPr>
            </w:pPr>
            <w:r>
              <w:rPr>
                <w:rFonts w:ascii="Arial" w:hAnsi="Arial" w:cs="Arial"/>
              </w:rPr>
              <w:lastRenderedPageBreak/>
              <w:t>Moderate</w:t>
            </w:r>
          </w:p>
        </w:tc>
      </w:tr>
    </w:tbl>
    <w:p w14:paraId="738BEB29" w14:textId="77777777" w:rsidR="008E6908" w:rsidRDefault="008E6908" w:rsidP="005C2534">
      <w:pPr>
        <w:rPr>
          <w:rFonts w:ascii="Arial" w:hAnsi="Arial" w:cs="Arial"/>
        </w:rPr>
      </w:pPr>
    </w:p>
    <w:p w14:paraId="65E06772" w14:textId="4424EA48" w:rsidR="001A697B" w:rsidRDefault="001A697B" w:rsidP="005C2534">
      <w:pPr>
        <w:rPr>
          <w:rFonts w:ascii="Arial" w:hAnsi="Arial" w:cs="Arial"/>
        </w:rPr>
      </w:pPr>
      <w:proofErr w:type="gramStart"/>
      <w:r>
        <w:rPr>
          <w:rFonts w:ascii="Arial" w:hAnsi="Arial" w:cs="Arial"/>
        </w:rPr>
        <w:t>Overall</w:t>
      </w:r>
      <w:proofErr w:type="gramEnd"/>
      <w:r>
        <w:rPr>
          <w:rFonts w:ascii="Arial" w:hAnsi="Arial" w:cs="Arial"/>
        </w:rPr>
        <w:t xml:space="preserve"> the risk rating profile of UKCI was stable in its final year and within tolerance thresholds. The stability of the risk profile reflects the maturity of the programme which had fully committed its funds.</w:t>
      </w:r>
    </w:p>
    <w:p w14:paraId="7200F4B4" w14:textId="56BCC6C0" w:rsidR="001A697B" w:rsidRDefault="001A697B" w:rsidP="001A697B">
      <w:pPr>
        <w:rPr>
          <w:rFonts w:ascii="Arial" w:hAnsi="Arial" w:cs="Arial"/>
        </w:rPr>
      </w:pPr>
      <w:r>
        <w:rPr>
          <w:rFonts w:ascii="Arial" w:hAnsi="Arial" w:cs="Arial"/>
        </w:rPr>
        <w:t xml:space="preserve">UKCI overall had a Major risk rating throughout its commitment phase before moving to minor risk after investments had </w:t>
      </w:r>
      <w:proofErr w:type="gramStart"/>
      <w:r>
        <w:rPr>
          <w:rFonts w:ascii="Arial" w:hAnsi="Arial" w:cs="Arial"/>
        </w:rPr>
        <w:t>been agreed</w:t>
      </w:r>
      <w:proofErr w:type="gramEnd"/>
      <w:r>
        <w:rPr>
          <w:rFonts w:ascii="Arial" w:hAnsi="Arial" w:cs="Arial"/>
        </w:rPr>
        <w:t>. This shift is understandable in the context of an investment portfolio where delivery of the objectives set depends on the successful entering into a series of appropriate investments against countervailing pressures of market change and evolving external context. Investing is inherently uncertain and influenced significantly by factors beyond the control of the programme or the delivery partner.</w:t>
      </w:r>
    </w:p>
    <w:p w14:paraId="29B89235" w14:textId="77777777" w:rsidR="001A697B" w:rsidRDefault="001A697B" w:rsidP="001A697B">
      <w:pPr>
        <w:rPr>
          <w:rFonts w:ascii="Arial" w:hAnsi="Arial" w:cs="Arial"/>
        </w:rPr>
      </w:pPr>
      <w:r>
        <w:rPr>
          <w:rFonts w:ascii="Arial" w:hAnsi="Arial" w:cs="Arial"/>
        </w:rPr>
        <w:t xml:space="preserve">The two reported drivers for the shift in the 2021 Annual Review were: </w:t>
      </w:r>
    </w:p>
    <w:p w14:paraId="28CDB5A0" w14:textId="42D47264" w:rsidR="001A697B" w:rsidRPr="00CD70B9" w:rsidRDefault="001A697B" w:rsidP="001A697B">
      <w:pPr>
        <w:pStyle w:val="ListParagraph"/>
        <w:numPr>
          <w:ilvl w:val="0"/>
          <w:numId w:val="4"/>
        </w:numPr>
        <w:rPr>
          <w:rFonts w:ascii="Arial" w:hAnsi="Arial" w:cs="Arial"/>
        </w:rPr>
      </w:pPr>
      <w:r w:rsidRPr="00CD70B9">
        <w:rPr>
          <w:rFonts w:ascii="Arial" w:hAnsi="Arial" w:cs="Arial"/>
        </w:rPr>
        <w:t>The UKCI programme fully committ</w:t>
      </w:r>
      <w:r>
        <w:rPr>
          <w:rFonts w:ascii="Arial" w:hAnsi="Arial" w:cs="Arial"/>
        </w:rPr>
        <w:t>ing</w:t>
      </w:r>
      <w:r w:rsidRPr="00CD70B9">
        <w:rPr>
          <w:rFonts w:ascii="Arial" w:hAnsi="Arial" w:cs="Arial"/>
        </w:rPr>
        <w:t xml:space="preserve"> the £200m budget so risks associated with meeting the deadline</w:t>
      </w:r>
      <w:r w:rsidR="006E2D15">
        <w:rPr>
          <w:rFonts w:ascii="Arial" w:hAnsi="Arial" w:cs="Arial"/>
        </w:rPr>
        <w:t xml:space="preserve"> </w:t>
      </w:r>
      <w:r w:rsidRPr="00CD70B9">
        <w:rPr>
          <w:rFonts w:ascii="Arial" w:hAnsi="Arial" w:cs="Arial"/>
        </w:rPr>
        <w:t>for new commitments ha</w:t>
      </w:r>
      <w:r>
        <w:rPr>
          <w:rFonts w:ascii="Arial" w:hAnsi="Arial" w:cs="Arial"/>
        </w:rPr>
        <w:t>d</w:t>
      </w:r>
      <w:r w:rsidRPr="00CD70B9">
        <w:rPr>
          <w:rFonts w:ascii="Arial" w:hAnsi="Arial" w:cs="Arial"/>
        </w:rPr>
        <w:t xml:space="preserve"> subsided.</w:t>
      </w:r>
    </w:p>
    <w:p w14:paraId="76BD81B4" w14:textId="711E7A91" w:rsidR="001A697B" w:rsidRDefault="001A697B" w:rsidP="001A697B">
      <w:pPr>
        <w:pStyle w:val="ListParagraph"/>
        <w:numPr>
          <w:ilvl w:val="0"/>
          <w:numId w:val="4"/>
        </w:numPr>
        <w:rPr>
          <w:rFonts w:ascii="Arial" w:hAnsi="Arial" w:cs="Arial"/>
        </w:rPr>
      </w:pPr>
      <w:r w:rsidRPr="00CD70B9">
        <w:rPr>
          <w:rFonts w:ascii="Arial" w:hAnsi="Arial" w:cs="Arial"/>
        </w:rPr>
        <w:t>Risks associated with BEIS meeting the funding requests for the projects (the cash spend)</w:t>
      </w:r>
      <w:r w:rsidR="006E2D15">
        <w:rPr>
          <w:rFonts w:ascii="Arial" w:hAnsi="Arial" w:cs="Arial"/>
        </w:rPr>
        <w:t xml:space="preserve"> reducing</w:t>
      </w:r>
      <w:r w:rsidRPr="00CD70B9">
        <w:rPr>
          <w:rFonts w:ascii="Arial" w:hAnsi="Arial" w:cs="Arial"/>
        </w:rPr>
        <w:t>. The spending period last</w:t>
      </w:r>
      <w:r>
        <w:rPr>
          <w:rFonts w:ascii="Arial" w:hAnsi="Arial" w:cs="Arial"/>
        </w:rPr>
        <w:t>ed</w:t>
      </w:r>
      <w:r w:rsidRPr="00CD70B9">
        <w:rPr>
          <w:rFonts w:ascii="Arial" w:hAnsi="Arial" w:cs="Arial"/>
        </w:rPr>
        <w:t xml:space="preserve"> two years to November 2023 for most assets, with Project Kijani extending out to 2026.</w:t>
      </w:r>
    </w:p>
    <w:p w14:paraId="5997E495" w14:textId="7273E76C" w:rsidR="001A697B" w:rsidRDefault="00763CE5" w:rsidP="005C2534">
      <w:pPr>
        <w:rPr>
          <w:rFonts w:ascii="Arial" w:hAnsi="Arial" w:cs="Arial"/>
        </w:rPr>
      </w:pPr>
      <w:r>
        <w:rPr>
          <w:rFonts w:ascii="Arial" w:hAnsi="Arial" w:cs="Arial"/>
        </w:rPr>
        <w:t xml:space="preserve">UKCI’s risk profile was within BEIS’ risk appetite throughout the programme. As a programme representing Major risk </w:t>
      </w:r>
      <w:r w:rsidR="006E62DE">
        <w:rPr>
          <w:rFonts w:ascii="Arial" w:hAnsi="Arial" w:cs="Arial"/>
        </w:rPr>
        <w:t xml:space="preserve">until the commitment phase had ended, UKCI received close oversight by the programme team and by BEIS ICF senior management. </w:t>
      </w:r>
      <w:proofErr w:type="gramStart"/>
      <w:r w:rsidR="00870DED">
        <w:rPr>
          <w:rFonts w:ascii="Arial" w:hAnsi="Arial" w:cs="Arial"/>
        </w:rPr>
        <w:t>Financial management</w:t>
      </w:r>
      <w:proofErr w:type="gramEnd"/>
      <w:r w:rsidR="00870DED">
        <w:rPr>
          <w:rFonts w:ascii="Arial" w:hAnsi="Arial" w:cs="Arial"/>
        </w:rPr>
        <w:t xml:space="preserve"> of the programme was </w:t>
      </w:r>
      <w:r w:rsidR="006E2D15">
        <w:rPr>
          <w:rFonts w:ascii="Arial" w:hAnsi="Arial" w:cs="Arial"/>
        </w:rPr>
        <w:t>difficult</w:t>
      </w:r>
      <w:r w:rsidR="00870DED">
        <w:rPr>
          <w:rFonts w:ascii="Arial" w:hAnsi="Arial" w:cs="Arial"/>
        </w:rPr>
        <w:t xml:space="preserve"> as a result of the mismatch between ODA budgeting practice in the UK and the uncertain</w:t>
      </w:r>
      <w:r w:rsidR="001442BF">
        <w:rPr>
          <w:rFonts w:ascii="Arial" w:hAnsi="Arial" w:cs="Arial"/>
        </w:rPr>
        <w:t>ty of investment timelines in commercial transactions which are heavily influenced by external factors and thus difficult to control. Consideration as to the means to mitigate uncertainty and volatility of ODA spend on future investment programmes undertaken by the UK is necessary to minimise such risk in the future.</w:t>
      </w:r>
    </w:p>
    <w:p w14:paraId="1B4BC22F" w14:textId="77777777" w:rsidR="0068413A" w:rsidRPr="00462E61" w:rsidRDefault="0068413A" w:rsidP="005C2534">
      <w:pPr>
        <w:rPr>
          <w:rFonts w:ascii="Arial" w:hAnsi="Arial" w:cs="Arial"/>
        </w:rPr>
      </w:pPr>
    </w:p>
    <w:tbl>
      <w:tblPr>
        <w:tblStyle w:val="TableGrid"/>
        <w:tblW w:w="0" w:type="auto"/>
        <w:tblLook w:val="04A0" w:firstRow="1" w:lastRow="0" w:firstColumn="1" w:lastColumn="0" w:noHBand="0" w:noVBand="1"/>
      </w:tblPr>
      <w:tblGrid>
        <w:gridCol w:w="9016"/>
      </w:tblGrid>
      <w:tr w:rsidR="00487914" w:rsidRPr="00462E61" w14:paraId="5AFB725B" w14:textId="77777777" w:rsidTr="5FDB7563">
        <w:tc>
          <w:tcPr>
            <w:tcW w:w="9016" w:type="dxa"/>
            <w:shd w:val="clear" w:color="auto" w:fill="DEEAF6" w:themeFill="accent5" w:themeFillTint="33"/>
          </w:tcPr>
          <w:p w14:paraId="6CDC5024" w14:textId="0E1E17A0" w:rsidR="009A3ABD" w:rsidRPr="00462E61" w:rsidRDefault="009A3ABD" w:rsidP="00462E61">
            <w:pPr>
              <w:jc w:val="center"/>
              <w:rPr>
                <w:rFonts w:ascii="Arial" w:hAnsi="Arial" w:cs="Arial"/>
              </w:rPr>
            </w:pPr>
            <w:bookmarkStart w:id="18" w:name="_Toc162948084"/>
            <w:r w:rsidRPr="5FDB7563">
              <w:rPr>
                <w:rStyle w:val="Heading1Char"/>
                <w:rFonts w:ascii="Arial" w:hAnsi="Arial" w:cs="Arial"/>
                <w:b/>
                <w:bCs/>
                <w:color w:val="auto"/>
              </w:rPr>
              <w:t xml:space="preserve">Section </w:t>
            </w:r>
            <w:r w:rsidR="29E5BDE7" w:rsidRPr="5FDB7563">
              <w:rPr>
                <w:rStyle w:val="Heading1Char"/>
                <w:rFonts w:ascii="Arial" w:hAnsi="Arial" w:cs="Arial"/>
                <w:b/>
                <w:bCs/>
                <w:color w:val="auto"/>
              </w:rPr>
              <w:t>G</w:t>
            </w:r>
            <w:r w:rsidRPr="5FDB7563">
              <w:rPr>
                <w:rStyle w:val="Heading1Char"/>
                <w:rFonts w:ascii="Arial" w:hAnsi="Arial" w:cs="Arial"/>
                <w:b/>
                <w:bCs/>
                <w:color w:val="auto"/>
              </w:rPr>
              <w:t>: Programme Management: Commercial and Financial Performance</w:t>
            </w:r>
            <w:bookmarkEnd w:id="18"/>
          </w:p>
        </w:tc>
      </w:tr>
    </w:tbl>
    <w:p w14:paraId="1504678A" w14:textId="098892C8" w:rsidR="00895F16" w:rsidRPr="00462E61" w:rsidRDefault="00895F16" w:rsidP="003B7955">
      <w:pPr>
        <w:rPr>
          <w:rFonts w:ascii="Arial" w:hAnsi="Arial" w:cs="Arial"/>
        </w:rPr>
      </w:pPr>
    </w:p>
    <w:p w14:paraId="3619608C" w14:textId="253B6D8D" w:rsidR="00FF7720" w:rsidRPr="00324E48" w:rsidRDefault="00FF7720" w:rsidP="00FF7720">
      <w:pPr>
        <w:rPr>
          <w:rFonts w:ascii="Arial" w:hAnsi="Arial" w:cs="Arial"/>
          <w:sz w:val="24"/>
          <w:szCs w:val="24"/>
        </w:rPr>
      </w:pPr>
      <w:bookmarkStart w:id="19" w:name="_Toc162948085"/>
      <w:r w:rsidRPr="00324E48">
        <w:rPr>
          <w:rStyle w:val="Heading2Char"/>
          <w:rFonts w:cs="Arial"/>
          <w:sz w:val="24"/>
          <w:szCs w:val="28"/>
        </w:rPr>
        <w:t>Performance of partners and DESNZ, notably on commercial and financial issues</w:t>
      </w:r>
      <w:bookmarkEnd w:id="19"/>
    </w:p>
    <w:p w14:paraId="2957C9BE" w14:textId="49EE7A8F" w:rsidR="00AE30DD" w:rsidRDefault="007E63FE" w:rsidP="00FF7720">
      <w:pPr>
        <w:rPr>
          <w:rFonts w:ascii="Arial" w:hAnsi="Arial" w:cs="Arial"/>
        </w:rPr>
      </w:pPr>
      <w:r>
        <w:rPr>
          <w:rFonts w:ascii="Arial" w:hAnsi="Arial" w:cs="Arial"/>
        </w:rPr>
        <w:t>I</w:t>
      </w:r>
      <w:r w:rsidR="00AE30DD">
        <w:rPr>
          <w:rFonts w:ascii="Arial" w:hAnsi="Arial" w:cs="Arial"/>
        </w:rPr>
        <w:t xml:space="preserve">tems related to </w:t>
      </w:r>
      <w:r w:rsidR="000E5B71">
        <w:rPr>
          <w:rFonts w:ascii="Arial" w:hAnsi="Arial" w:cs="Arial"/>
        </w:rPr>
        <w:t xml:space="preserve">accounting, </w:t>
      </w:r>
      <w:r w:rsidR="00AE30DD">
        <w:rPr>
          <w:rFonts w:ascii="Arial" w:hAnsi="Arial" w:cs="Arial"/>
        </w:rPr>
        <w:t xml:space="preserve">reporting, </w:t>
      </w:r>
      <w:r w:rsidR="001704E9">
        <w:rPr>
          <w:rFonts w:ascii="Arial" w:hAnsi="Arial" w:cs="Arial"/>
        </w:rPr>
        <w:t xml:space="preserve">financial statements, </w:t>
      </w:r>
      <w:r w:rsidR="00B17AFA">
        <w:rPr>
          <w:rFonts w:ascii="Arial" w:hAnsi="Arial" w:cs="Arial"/>
        </w:rPr>
        <w:t xml:space="preserve">anti-bribery, anti-corruption, compliance with regulations, compliance with economic sanctions, </w:t>
      </w:r>
      <w:r w:rsidR="001E33A2">
        <w:rPr>
          <w:rFonts w:ascii="Arial" w:hAnsi="Arial" w:cs="Arial"/>
        </w:rPr>
        <w:t>governance and investment selection</w:t>
      </w:r>
      <w:r w:rsidR="001704E9">
        <w:rPr>
          <w:rFonts w:ascii="Arial" w:hAnsi="Arial" w:cs="Arial"/>
        </w:rPr>
        <w:t xml:space="preserve"> </w:t>
      </w:r>
      <w:proofErr w:type="gramStart"/>
      <w:r w:rsidR="00332899">
        <w:rPr>
          <w:rFonts w:ascii="Arial" w:hAnsi="Arial" w:cs="Arial"/>
        </w:rPr>
        <w:t>we</w:t>
      </w:r>
      <w:r w:rsidR="001704E9">
        <w:rPr>
          <w:rFonts w:ascii="Arial" w:hAnsi="Arial" w:cs="Arial"/>
        </w:rPr>
        <w:t>re effectively contracted</w:t>
      </w:r>
      <w:proofErr w:type="gramEnd"/>
      <w:r w:rsidR="001704E9">
        <w:rPr>
          <w:rFonts w:ascii="Arial" w:hAnsi="Arial" w:cs="Arial"/>
        </w:rPr>
        <w:t xml:space="preserve"> to Macquarie under the terms of the LLP Agreement for UKCI.</w:t>
      </w:r>
    </w:p>
    <w:p w14:paraId="723433CE" w14:textId="68E4AD61" w:rsidR="001704E9" w:rsidRDefault="00BA5400" w:rsidP="00FF7720">
      <w:pPr>
        <w:rPr>
          <w:rFonts w:ascii="Arial" w:hAnsi="Arial" w:cs="Arial"/>
        </w:rPr>
      </w:pPr>
      <w:r>
        <w:rPr>
          <w:rFonts w:ascii="Arial" w:hAnsi="Arial" w:cs="Arial"/>
        </w:rPr>
        <w:t xml:space="preserve">It </w:t>
      </w:r>
      <w:r w:rsidR="00332899">
        <w:rPr>
          <w:rFonts w:ascii="Arial" w:hAnsi="Arial" w:cs="Arial"/>
        </w:rPr>
        <w:t>wa</w:t>
      </w:r>
      <w:r>
        <w:rPr>
          <w:rFonts w:ascii="Arial" w:hAnsi="Arial" w:cs="Arial"/>
        </w:rPr>
        <w:t>s the responsibility of the delivery partner under the LLP Agreement to ensure a</w:t>
      </w:r>
      <w:r w:rsidR="000E5B71">
        <w:rPr>
          <w:rFonts w:ascii="Arial" w:hAnsi="Arial" w:cs="Arial"/>
        </w:rPr>
        <w:t xml:space="preserve">ccounting, reporting and financial statements (included </w:t>
      </w:r>
      <w:r>
        <w:rPr>
          <w:rFonts w:ascii="Arial" w:hAnsi="Arial" w:cs="Arial"/>
        </w:rPr>
        <w:t>their audit</w:t>
      </w:r>
      <w:r w:rsidR="000E5B71">
        <w:rPr>
          <w:rFonts w:ascii="Arial" w:hAnsi="Arial" w:cs="Arial"/>
        </w:rPr>
        <w:t xml:space="preserve">) </w:t>
      </w:r>
      <w:r w:rsidR="00345666">
        <w:rPr>
          <w:rFonts w:ascii="Arial" w:hAnsi="Arial" w:cs="Arial"/>
        </w:rPr>
        <w:t>is accurate, regular, and responds to regulatory requirements.</w:t>
      </w:r>
      <w:r w:rsidR="00F70A20">
        <w:rPr>
          <w:rFonts w:ascii="Arial" w:hAnsi="Arial" w:cs="Arial"/>
        </w:rPr>
        <w:t xml:space="preserve"> Accounts </w:t>
      </w:r>
      <w:proofErr w:type="gramStart"/>
      <w:r w:rsidR="00332899">
        <w:rPr>
          <w:rFonts w:ascii="Arial" w:hAnsi="Arial" w:cs="Arial"/>
        </w:rPr>
        <w:t>we</w:t>
      </w:r>
      <w:r w:rsidR="00F70A20">
        <w:rPr>
          <w:rFonts w:ascii="Arial" w:hAnsi="Arial" w:cs="Arial"/>
        </w:rPr>
        <w:t>re required</w:t>
      </w:r>
      <w:proofErr w:type="gramEnd"/>
      <w:r w:rsidR="00F70A20">
        <w:rPr>
          <w:rFonts w:ascii="Arial" w:hAnsi="Arial" w:cs="Arial"/>
        </w:rPr>
        <w:t xml:space="preserve"> on an annual basis at minimum.</w:t>
      </w:r>
    </w:p>
    <w:p w14:paraId="64343984" w14:textId="6FB59851" w:rsidR="008B03FC" w:rsidRDefault="008B03FC" w:rsidP="00FF7720">
      <w:pPr>
        <w:rPr>
          <w:rFonts w:ascii="Arial" w:hAnsi="Arial" w:cs="Arial"/>
        </w:rPr>
      </w:pPr>
      <w:r>
        <w:rPr>
          <w:rFonts w:ascii="Arial" w:hAnsi="Arial" w:cs="Arial"/>
        </w:rPr>
        <w:lastRenderedPageBreak/>
        <w:t xml:space="preserve">The delivery partner </w:t>
      </w:r>
      <w:r w:rsidR="00332899">
        <w:rPr>
          <w:rFonts w:ascii="Arial" w:hAnsi="Arial" w:cs="Arial"/>
        </w:rPr>
        <w:t>wa</w:t>
      </w:r>
      <w:r>
        <w:rPr>
          <w:rFonts w:ascii="Arial" w:hAnsi="Arial" w:cs="Arial"/>
        </w:rPr>
        <w:t xml:space="preserve">s also responsible for prompt notifications of any incidents which </w:t>
      </w:r>
      <w:r w:rsidR="00332899">
        <w:rPr>
          <w:rFonts w:ascii="Arial" w:hAnsi="Arial" w:cs="Arial"/>
        </w:rPr>
        <w:t>could</w:t>
      </w:r>
      <w:r>
        <w:rPr>
          <w:rFonts w:ascii="Arial" w:hAnsi="Arial" w:cs="Arial"/>
        </w:rPr>
        <w:t xml:space="preserve"> have </w:t>
      </w:r>
      <w:r w:rsidR="00814338">
        <w:rPr>
          <w:rFonts w:ascii="Arial" w:hAnsi="Arial" w:cs="Arial"/>
        </w:rPr>
        <w:t xml:space="preserve">material adverse effect on any investment made by UKCI. </w:t>
      </w:r>
      <w:r w:rsidR="00ED6CA3">
        <w:rPr>
          <w:rFonts w:ascii="Arial" w:hAnsi="Arial" w:cs="Arial"/>
        </w:rPr>
        <w:t xml:space="preserve">Notification </w:t>
      </w:r>
      <w:proofErr w:type="gramStart"/>
      <w:r w:rsidR="003D4659">
        <w:rPr>
          <w:rFonts w:ascii="Arial" w:hAnsi="Arial" w:cs="Arial"/>
        </w:rPr>
        <w:t>was also required</w:t>
      </w:r>
      <w:proofErr w:type="gramEnd"/>
      <w:r w:rsidR="00ED6CA3">
        <w:rPr>
          <w:rFonts w:ascii="Arial" w:hAnsi="Arial" w:cs="Arial"/>
        </w:rPr>
        <w:t xml:space="preserve"> of any material allegation of illegal activities or corruption.</w:t>
      </w:r>
    </w:p>
    <w:p w14:paraId="7C271967" w14:textId="1F7726EA" w:rsidR="004A2EDE" w:rsidRDefault="004A2EDE" w:rsidP="00FF7720">
      <w:pPr>
        <w:rPr>
          <w:rFonts w:ascii="Arial" w:hAnsi="Arial" w:cs="Arial"/>
        </w:rPr>
      </w:pPr>
      <w:r>
        <w:rPr>
          <w:rFonts w:ascii="Arial" w:hAnsi="Arial" w:cs="Arial"/>
        </w:rPr>
        <w:t>Meetings of the Board of Directors occur</w:t>
      </w:r>
      <w:r w:rsidR="006E2D15">
        <w:rPr>
          <w:rFonts w:ascii="Arial" w:hAnsi="Arial" w:cs="Arial"/>
        </w:rPr>
        <w:t>red</w:t>
      </w:r>
      <w:r>
        <w:rPr>
          <w:rFonts w:ascii="Arial" w:hAnsi="Arial" w:cs="Arial"/>
        </w:rPr>
        <w:t xml:space="preserve"> quarterly at minimum and provide</w:t>
      </w:r>
      <w:r w:rsidR="006E2D15">
        <w:rPr>
          <w:rFonts w:ascii="Arial" w:hAnsi="Arial" w:cs="Arial"/>
        </w:rPr>
        <w:t>d</w:t>
      </w:r>
      <w:r>
        <w:rPr>
          <w:rFonts w:ascii="Arial" w:hAnsi="Arial" w:cs="Arial"/>
        </w:rPr>
        <w:t xml:space="preserve"> significant useful information to HMG to facilitate its oversight of the programme. </w:t>
      </w:r>
      <w:r w:rsidR="00E812C8">
        <w:rPr>
          <w:rFonts w:ascii="Arial" w:hAnsi="Arial" w:cs="Arial"/>
        </w:rPr>
        <w:t>HMG ha</w:t>
      </w:r>
      <w:r w:rsidR="006E2D15">
        <w:rPr>
          <w:rFonts w:ascii="Arial" w:hAnsi="Arial" w:cs="Arial"/>
        </w:rPr>
        <w:t>d</w:t>
      </w:r>
      <w:r w:rsidR="00E812C8">
        <w:rPr>
          <w:rFonts w:ascii="Arial" w:hAnsi="Arial" w:cs="Arial"/>
        </w:rPr>
        <w:t xml:space="preserve"> the right to appoint up to two of the four members of the Board of Directors including the Chairperson. Board meetings include reporting and discussions related to </w:t>
      </w:r>
      <w:r w:rsidR="00C97A02">
        <w:rPr>
          <w:rFonts w:ascii="Arial" w:hAnsi="Arial" w:cs="Arial"/>
        </w:rPr>
        <w:t>the strategic direction of the fund, risk, finance, and governance.</w:t>
      </w:r>
    </w:p>
    <w:p w14:paraId="3E0FF354" w14:textId="5D3981C0" w:rsidR="001809DC" w:rsidRDefault="00133D2C" w:rsidP="00FF7720">
      <w:pPr>
        <w:rPr>
          <w:rFonts w:ascii="Arial" w:hAnsi="Arial" w:cs="Arial"/>
        </w:rPr>
      </w:pPr>
      <w:r>
        <w:rPr>
          <w:rFonts w:ascii="Arial" w:hAnsi="Arial" w:cs="Arial"/>
        </w:rPr>
        <w:t xml:space="preserve">HMG as member </w:t>
      </w:r>
      <w:r w:rsidR="00E812C8">
        <w:rPr>
          <w:rFonts w:ascii="Arial" w:hAnsi="Arial" w:cs="Arial"/>
        </w:rPr>
        <w:t xml:space="preserve">also </w:t>
      </w:r>
      <w:r>
        <w:rPr>
          <w:rFonts w:ascii="Arial" w:hAnsi="Arial" w:cs="Arial"/>
        </w:rPr>
        <w:t>ha</w:t>
      </w:r>
      <w:r w:rsidR="006E2D15">
        <w:rPr>
          <w:rFonts w:ascii="Arial" w:hAnsi="Arial" w:cs="Arial"/>
        </w:rPr>
        <w:t>d</w:t>
      </w:r>
      <w:r>
        <w:rPr>
          <w:rFonts w:ascii="Arial" w:hAnsi="Arial" w:cs="Arial"/>
        </w:rPr>
        <w:t xml:space="preserve"> the right to call for a meeting for any purpose as it relate</w:t>
      </w:r>
      <w:r w:rsidR="003D4659">
        <w:rPr>
          <w:rFonts w:ascii="Arial" w:hAnsi="Arial" w:cs="Arial"/>
        </w:rPr>
        <w:t>d</w:t>
      </w:r>
      <w:r>
        <w:rPr>
          <w:rFonts w:ascii="Arial" w:hAnsi="Arial" w:cs="Arial"/>
        </w:rPr>
        <w:t xml:space="preserve"> to UKC</w:t>
      </w:r>
      <w:r w:rsidR="00E812C8">
        <w:rPr>
          <w:rFonts w:ascii="Arial" w:hAnsi="Arial" w:cs="Arial"/>
        </w:rPr>
        <w:t>I.</w:t>
      </w:r>
    </w:p>
    <w:p w14:paraId="2A3DB0F2" w14:textId="5FF03345" w:rsidR="00645A0B" w:rsidRDefault="00645A0B" w:rsidP="00FF7720">
      <w:pPr>
        <w:rPr>
          <w:rFonts w:ascii="Arial" w:hAnsi="Arial" w:cs="Arial"/>
        </w:rPr>
      </w:pPr>
      <w:r>
        <w:rPr>
          <w:rFonts w:ascii="Arial" w:hAnsi="Arial" w:cs="Arial"/>
        </w:rPr>
        <w:t xml:space="preserve">Investments </w:t>
      </w:r>
      <w:r w:rsidR="006E2D15">
        <w:rPr>
          <w:rFonts w:ascii="Arial" w:hAnsi="Arial" w:cs="Arial"/>
        </w:rPr>
        <w:t>we</w:t>
      </w:r>
      <w:r>
        <w:rPr>
          <w:rFonts w:ascii="Arial" w:hAnsi="Arial" w:cs="Arial"/>
        </w:rPr>
        <w:t xml:space="preserve">re subject to conformity with the investment mandate and approved by the Investment Committee on which HMG </w:t>
      </w:r>
      <w:proofErr w:type="gramStart"/>
      <w:r w:rsidR="006E2D15">
        <w:rPr>
          <w:rFonts w:ascii="Arial" w:hAnsi="Arial" w:cs="Arial"/>
        </w:rPr>
        <w:t>wa</w:t>
      </w:r>
      <w:r>
        <w:rPr>
          <w:rFonts w:ascii="Arial" w:hAnsi="Arial" w:cs="Arial"/>
        </w:rPr>
        <w:t>s represented</w:t>
      </w:r>
      <w:proofErr w:type="gramEnd"/>
      <w:r>
        <w:rPr>
          <w:rFonts w:ascii="Arial" w:hAnsi="Arial" w:cs="Arial"/>
        </w:rPr>
        <w:t xml:space="preserve">. </w:t>
      </w:r>
      <w:r w:rsidR="00567F32">
        <w:rPr>
          <w:rFonts w:ascii="Arial" w:hAnsi="Arial" w:cs="Arial"/>
        </w:rPr>
        <w:t xml:space="preserve">The </w:t>
      </w:r>
      <w:r w:rsidR="00965BD5">
        <w:rPr>
          <w:rFonts w:ascii="Arial" w:hAnsi="Arial" w:cs="Arial"/>
        </w:rPr>
        <w:t xml:space="preserve">Investment Committee </w:t>
      </w:r>
      <w:r w:rsidR="006E2D15">
        <w:rPr>
          <w:rFonts w:ascii="Arial" w:hAnsi="Arial" w:cs="Arial"/>
        </w:rPr>
        <w:t>wa</w:t>
      </w:r>
      <w:r w:rsidR="00965BD5">
        <w:rPr>
          <w:rFonts w:ascii="Arial" w:hAnsi="Arial" w:cs="Arial"/>
        </w:rPr>
        <w:t xml:space="preserve">s responsible also for approving divestments and other relevant items related to the financing arranged by UKCI. </w:t>
      </w:r>
      <w:r w:rsidR="00F71458">
        <w:rPr>
          <w:rFonts w:ascii="Arial" w:hAnsi="Arial" w:cs="Arial"/>
        </w:rPr>
        <w:t>Members of the Board of Directors ha</w:t>
      </w:r>
      <w:r w:rsidR="006E2D15">
        <w:rPr>
          <w:rFonts w:ascii="Arial" w:hAnsi="Arial" w:cs="Arial"/>
        </w:rPr>
        <w:t>d</w:t>
      </w:r>
      <w:r w:rsidR="00F71458">
        <w:rPr>
          <w:rFonts w:ascii="Arial" w:hAnsi="Arial" w:cs="Arial"/>
        </w:rPr>
        <w:t xml:space="preserve"> the right to be informed promptly of Investment Committee decisions </w:t>
      </w:r>
      <w:proofErr w:type="gramStart"/>
      <w:r w:rsidR="00F71458">
        <w:rPr>
          <w:rFonts w:ascii="Arial" w:hAnsi="Arial" w:cs="Arial"/>
        </w:rPr>
        <w:t>and also</w:t>
      </w:r>
      <w:proofErr w:type="gramEnd"/>
      <w:r w:rsidR="00F71458">
        <w:rPr>
          <w:rFonts w:ascii="Arial" w:hAnsi="Arial" w:cs="Arial"/>
        </w:rPr>
        <w:t xml:space="preserve"> to veto such decisions. </w:t>
      </w:r>
      <w:r w:rsidR="004F6D93">
        <w:rPr>
          <w:rFonts w:ascii="Arial" w:hAnsi="Arial" w:cs="Arial"/>
        </w:rPr>
        <w:t xml:space="preserve">As a result, HMG </w:t>
      </w:r>
      <w:proofErr w:type="gramStart"/>
      <w:r w:rsidR="006E2D15">
        <w:rPr>
          <w:rFonts w:ascii="Arial" w:hAnsi="Arial" w:cs="Arial"/>
        </w:rPr>
        <w:t>wa</w:t>
      </w:r>
      <w:r w:rsidR="004F6D93">
        <w:rPr>
          <w:rFonts w:ascii="Arial" w:hAnsi="Arial" w:cs="Arial"/>
        </w:rPr>
        <w:t>s provided</w:t>
      </w:r>
      <w:proofErr w:type="gramEnd"/>
      <w:r w:rsidR="004F6D93">
        <w:rPr>
          <w:rFonts w:ascii="Arial" w:hAnsi="Arial" w:cs="Arial"/>
        </w:rPr>
        <w:t xml:space="preserve"> significant information relating to the investment and financing activities undertaken by UKCI.</w:t>
      </w:r>
    </w:p>
    <w:p w14:paraId="76CA7DD8" w14:textId="0C31F44A" w:rsidR="004F6D93" w:rsidRDefault="006F583B" w:rsidP="00FF7720">
      <w:pPr>
        <w:rPr>
          <w:rFonts w:ascii="Arial" w:hAnsi="Arial" w:cs="Arial"/>
        </w:rPr>
      </w:pPr>
      <w:r>
        <w:rPr>
          <w:rFonts w:ascii="Arial" w:hAnsi="Arial" w:cs="Arial"/>
        </w:rPr>
        <w:t>Delivery partners have provided good service against these obligations throughout the term of UKCI.</w:t>
      </w:r>
    </w:p>
    <w:p w14:paraId="7F20B476" w14:textId="6CD0687B" w:rsidR="00804FC5" w:rsidRDefault="00804FC5" w:rsidP="00FF7720">
      <w:pPr>
        <w:rPr>
          <w:rFonts w:ascii="Arial" w:hAnsi="Arial" w:cs="Arial"/>
        </w:rPr>
      </w:pPr>
      <w:proofErr w:type="gramStart"/>
      <w:r>
        <w:rPr>
          <w:rFonts w:ascii="Arial" w:hAnsi="Arial" w:cs="Arial"/>
        </w:rPr>
        <w:t>Financial management</w:t>
      </w:r>
      <w:proofErr w:type="gramEnd"/>
      <w:r>
        <w:rPr>
          <w:rFonts w:ascii="Arial" w:hAnsi="Arial" w:cs="Arial"/>
        </w:rPr>
        <w:t xml:space="preserve"> of UKCI prove</w:t>
      </w:r>
      <w:r w:rsidR="006E2D15">
        <w:rPr>
          <w:rFonts w:ascii="Arial" w:hAnsi="Arial" w:cs="Arial"/>
        </w:rPr>
        <w:t>d</w:t>
      </w:r>
      <w:r>
        <w:rPr>
          <w:rFonts w:ascii="Arial" w:hAnsi="Arial" w:cs="Arial"/>
        </w:rPr>
        <w:t xml:space="preserve"> difficult for HMG as </w:t>
      </w:r>
      <w:r w:rsidR="00F725E7">
        <w:rPr>
          <w:rFonts w:ascii="Arial" w:hAnsi="Arial" w:cs="Arial"/>
        </w:rPr>
        <w:t>capital calls are made with ten days</w:t>
      </w:r>
      <w:r w:rsidR="006E2D15">
        <w:rPr>
          <w:rFonts w:ascii="Arial" w:hAnsi="Arial" w:cs="Arial"/>
        </w:rPr>
        <w:t>’</w:t>
      </w:r>
      <w:r w:rsidR="00F725E7">
        <w:rPr>
          <w:rFonts w:ascii="Arial" w:hAnsi="Arial" w:cs="Arial"/>
        </w:rPr>
        <w:t xml:space="preserve"> notice and prove</w:t>
      </w:r>
      <w:r w:rsidR="006E2D15">
        <w:rPr>
          <w:rFonts w:ascii="Arial" w:hAnsi="Arial" w:cs="Arial"/>
        </w:rPr>
        <w:t>d</w:t>
      </w:r>
      <w:r w:rsidR="00F725E7">
        <w:rPr>
          <w:rFonts w:ascii="Arial" w:hAnsi="Arial" w:cs="Arial"/>
        </w:rPr>
        <w:t xml:space="preserve"> hard to predict due to the complexity and commercial nature of the transactions undertaken. </w:t>
      </w:r>
      <w:r w:rsidR="007713F2">
        <w:rPr>
          <w:rFonts w:ascii="Arial" w:hAnsi="Arial" w:cs="Arial"/>
        </w:rPr>
        <w:t xml:space="preserve">ODA budgeting procedures within HMG made managing HMG financing of </w:t>
      </w:r>
      <w:r w:rsidR="00661161">
        <w:rPr>
          <w:rFonts w:ascii="Arial" w:hAnsi="Arial" w:cs="Arial"/>
        </w:rPr>
        <w:t xml:space="preserve">UKCI onerous, </w:t>
      </w:r>
      <w:proofErr w:type="gramStart"/>
      <w:r w:rsidR="00661161">
        <w:rPr>
          <w:rFonts w:ascii="Arial" w:hAnsi="Arial" w:cs="Arial"/>
        </w:rPr>
        <w:t>in particular where</w:t>
      </w:r>
      <w:proofErr w:type="gramEnd"/>
      <w:r w:rsidR="00661161">
        <w:rPr>
          <w:rFonts w:ascii="Arial" w:hAnsi="Arial" w:cs="Arial"/>
        </w:rPr>
        <w:t xml:space="preserve"> payments f</w:t>
      </w:r>
      <w:r w:rsidR="006E2D15">
        <w:rPr>
          <w:rFonts w:ascii="Arial" w:hAnsi="Arial" w:cs="Arial"/>
        </w:rPr>
        <w:t>e</w:t>
      </w:r>
      <w:r w:rsidR="00661161">
        <w:rPr>
          <w:rFonts w:ascii="Arial" w:hAnsi="Arial" w:cs="Arial"/>
        </w:rPr>
        <w:t xml:space="preserve">ll towards the end of the ODA year (aligned with the calendar year) </w:t>
      </w:r>
      <w:r w:rsidR="00E92AAA">
        <w:rPr>
          <w:rFonts w:ascii="Arial" w:hAnsi="Arial" w:cs="Arial"/>
        </w:rPr>
        <w:t>and risk</w:t>
      </w:r>
      <w:r w:rsidR="006E2D15">
        <w:rPr>
          <w:rFonts w:ascii="Arial" w:hAnsi="Arial" w:cs="Arial"/>
        </w:rPr>
        <w:t>ed</w:t>
      </w:r>
      <w:r w:rsidR="00E92AAA">
        <w:rPr>
          <w:rFonts w:ascii="Arial" w:hAnsi="Arial" w:cs="Arial"/>
        </w:rPr>
        <w:t xml:space="preserve"> slipping into the final quarter of the UK fiscal year. Macquarie </w:t>
      </w:r>
      <w:r w:rsidR="006E2D15">
        <w:rPr>
          <w:rFonts w:ascii="Arial" w:hAnsi="Arial" w:cs="Arial"/>
        </w:rPr>
        <w:t>was</w:t>
      </w:r>
      <w:r w:rsidR="00E92AAA">
        <w:rPr>
          <w:rFonts w:ascii="Arial" w:hAnsi="Arial" w:cs="Arial"/>
        </w:rPr>
        <w:t xml:space="preserve"> </w:t>
      </w:r>
      <w:proofErr w:type="gramStart"/>
      <w:r w:rsidR="00E92AAA">
        <w:rPr>
          <w:rFonts w:ascii="Arial" w:hAnsi="Arial" w:cs="Arial"/>
        </w:rPr>
        <w:t>proactive</w:t>
      </w:r>
      <w:proofErr w:type="gramEnd"/>
      <w:r w:rsidR="00E92AAA">
        <w:rPr>
          <w:rFonts w:ascii="Arial" w:hAnsi="Arial" w:cs="Arial"/>
        </w:rPr>
        <w:t xml:space="preserve"> in supporting HMG in managing related risks through regular and timely updating on spend forecasts. </w:t>
      </w:r>
      <w:r w:rsidR="005F5EE3">
        <w:rPr>
          <w:rFonts w:ascii="Arial" w:hAnsi="Arial" w:cs="Arial"/>
        </w:rPr>
        <w:t xml:space="preserve">It would be unreasonable to expect any further mitigation of these administrative issues given </w:t>
      </w:r>
      <w:r w:rsidR="007038DF">
        <w:rPr>
          <w:rFonts w:ascii="Arial" w:hAnsi="Arial" w:cs="Arial"/>
        </w:rPr>
        <w:t xml:space="preserve">that payments to UKCI </w:t>
      </w:r>
      <w:proofErr w:type="gramStart"/>
      <w:r w:rsidR="007038DF">
        <w:rPr>
          <w:rFonts w:ascii="Arial" w:hAnsi="Arial" w:cs="Arial"/>
        </w:rPr>
        <w:t>were tied</w:t>
      </w:r>
      <w:proofErr w:type="gramEnd"/>
      <w:r w:rsidR="007038DF">
        <w:rPr>
          <w:rFonts w:ascii="Arial" w:hAnsi="Arial" w:cs="Arial"/>
        </w:rPr>
        <w:t xml:space="preserve"> closely to commercial </w:t>
      </w:r>
      <w:r w:rsidR="00414E8B">
        <w:rPr>
          <w:rFonts w:ascii="Arial" w:hAnsi="Arial" w:cs="Arial"/>
        </w:rPr>
        <w:t>processes over which UKCI had limited control.</w:t>
      </w:r>
    </w:p>
    <w:p w14:paraId="059104E9" w14:textId="12EA2773" w:rsidR="001704E9" w:rsidRPr="00AE30DD" w:rsidRDefault="001704E9" w:rsidP="00FF7720">
      <w:pPr>
        <w:rPr>
          <w:rFonts w:ascii="Arial" w:hAnsi="Arial" w:cs="Arial"/>
        </w:rPr>
      </w:pPr>
    </w:p>
    <w:tbl>
      <w:tblPr>
        <w:tblStyle w:val="TableGrid"/>
        <w:tblW w:w="0" w:type="auto"/>
        <w:tblLook w:val="04A0" w:firstRow="1" w:lastRow="0" w:firstColumn="1" w:lastColumn="0" w:noHBand="0" w:noVBand="1"/>
      </w:tblPr>
      <w:tblGrid>
        <w:gridCol w:w="4508"/>
        <w:gridCol w:w="4508"/>
      </w:tblGrid>
      <w:tr w:rsidR="00487914" w:rsidRPr="00462E61" w14:paraId="1F95EF8F" w14:textId="77777777" w:rsidTr="00FF7720">
        <w:tc>
          <w:tcPr>
            <w:tcW w:w="4508" w:type="dxa"/>
            <w:shd w:val="clear" w:color="auto" w:fill="DEEAF6" w:themeFill="accent5" w:themeFillTint="33"/>
          </w:tcPr>
          <w:p w14:paraId="3D99074D" w14:textId="37DBA305" w:rsidR="00FF7720" w:rsidRPr="00462E61" w:rsidRDefault="00FF7720" w:rsidP="00FF7720">
            <w:pPr>
              <w:rPr>
                <w:rFonts w:ascii="Arial" w:hAnsi="Arial" w:cs="Arial"/>
              </w:rPr>
            </w:pPr>
            <w:r w:rsidRPr="00462E61">
              <w:rPr>
                <w:rFonts w:ascii="Arial" w:hAnsi="Arial" w:cs="Arial"/>
              </w:rPr>
              <w:t>Date of last narrative financial report</w:t>
            </w:r>
          </w:p>
        </w:tc>
        <w:tc>
          <w:tcPr>
            <w:tcW w:w="4508" w:type="dxa"/>
          </w:tcPr>
          <w:p w14:paraId="32B9DE67" w14:textId="38A3AFCA" w:rsidR="00FF7720" w:rsidRPr="00462E61" w:rsidRDefault="007C6BFF" w:rsidP="00FF7720">
            <w:pPr>
              <w:rPr>
                <w:rFonts w:ascii="Arial" w:hAnsi="Arial" w:cs="Arial"/>
              </w:rPr>
            </w:pPr>
            <w:r>
              <w:rPr>
                <w:rFonts w:ascii="Arial" w:hAnsi="Arial" w:cs="Arial"/>
              </w:rPr>
              <w:t>31 March 2023</w:t>
            </w:r>
          </w:p>
        </w:tc>
      </w:tr>
      <w:tr w:rsidR="00487914" w:rsidRPr="00462E61" w14:paraId="6F9DB8B3" w14:textId="77777777" w:rsidTr="00FF7720">
        <w:tc>
          <w:tcPr>
            <w:tcW w:w="4508" w:type="dxa"/>
            <w:shd w:val="clear" w:color="auto" w:fill="DEEAF6" w:themeFill="accent5" w:themeFillTint="33"/>
          </w:tcPr>
          <w:p w14:paraId="56140821" w14:textId="4F487497" w:rsidR="00FF7720" w:rsidRPr="00462E61" w:rsidRDefault="00FF7720" w:rsidP="00FF7720">
            <w:pPr>
              <w:rPr>
                <w:rFonts w:ascii="Arial" w:hAnsi="Arial" w:cs="Arial"/>
              </w:rPr>
            </w:pPr>
            <w:r w:rsidRPr="00462E61">
              <w:rPr>
                <w:rFonts w:ascii="Arial" w:hAnsi="Arial" w:cs="Arial"/>
              </w:rPr>
              <w:t>Date of last audited annual statement</w:t>
            </w:r>
          </w:p>
        </w:tc>
        <w:tc>
          <w:tcPr>
            <w:tcW w:w="4508" w:type="dxa"/>
          </w:tcPr>
          <w:p w14:paraId="5988C941" w14:textId="3B85975E" w:rsidR="00FF7720" w:rsidRPr="00462E61" w:rsidRDefault="007C6BFF" w:rsidP="00FF7720">
            <w:pPr>
              <w:rPr>
                <w:rFonts w:ascii="Arial" w:hAnsi="Arial" w:cs="Arial"/>
              </w:rPr>
            </w:pPr>
            <w:r>
              <w:rPr>
                <w:rFonts w:ascii="Arial" w:hAnsi="Arial" w:cs="Arial"/>
              </w:rPr>
              <w:t>31 March 2023</w:t>
            </w:r>
          </w:p>
        </w:tc>
      </w:tr>
    </w:tbl>
    <w:p w14:paraId="0BC1E5BD" w14:textId="77777777" w:rsidR="00FF7720" w:rsidRDefault="00FF7720" w:rsidP="00FF7720">
      <w:pPr>
        <w:rPr>
          <w:rFonts w:ascii="Arial" w:hAnsi="Arial" w:cs="Arial"/>
        </w:rPr>
      </w:pPr>
    </w:p>
    <w:tbl>
      <w:tblPr>
        <w:tblStyle w:val="TableGrid"/>
        <w:tblW w:w="0" w:type="auto"/>
        <w:shd w:val="clear" w:color="auto" w:fill="DEEAF6" w:themeFill="accent5" w:themeFillTint="33"/>
        <w:tblLook w:val="04A0" w:firstRow="1" w:lastRow="0" w:firstColumn="1" w:lastColumn="0" w:noHBand="0" w:noVBand="1"/>
      </w:tblPr>
      <w:tblGrid>
        <w:gridCol w:w="9016"/>
      </w:tblGrid>
      <w:tr w:rsidR="00316AF7" w14:paraId="38F697A8" w14:textId="77777777" w:rsidTr="002A0C3C">
        <w:tc>
          <w:tcPr>
            <w:tcW w:w="9016" w:type="dxa"/>
            <w:shd w:val="clear" w:color="auto" w:fill="DEEAF6" w:themeFill="accent5" w:themeFillTint="33"/>
          </w:tcPr>
          <w:p w14:paraId="682044A7" w14:textId="6C4FF8B0" w:rsidR="00316AF7" w:rsidRDefault="00316AF7" w:rsidP="00316AF7">
            <w:pPr>
              <w:jc w:val="center"/>
              <w:rPr>
                <w:rFonts w:ascii="Arial" w:hAnsi="Arial" w:cs="Arial"/>
              </w:rPr>
            </w:pPr>
            <w:bookmarkStart w:id="20" w:name="_Toc162948086"/>
            <w:r>
              <w:rPr>
                <w:rStyle w:val="Heading1Char"/>
                <w:rFonts w:ascii="Arial" w:hAnsi="Arial" w:cs="Arial"/>
                <w:b/>
                <w:bCs/>
                <w:color w:val="auto"/>
              </w:rPr>
              <w:t>Section H: M</w:t>
            </w:r>
            <w:r w:rsidRPr="00462E61">
              <w:rPr>
                <w:rStyle w:val="Heading1Char"/>
                <w:rFonts w:ascii="Arial" w:hAnsi="Arial" w:cs="Arial"/>
                <w:b/>
                <w:bCs/>
                <w:color w:val="auto"/>
              </w:rPr>
              <w:t>onitoring and Evaluation</w:t>
            </w:r>
            <w:bookmarkEnd w:id="20"/>
            <w:r>
              <w:rPr>
                <w:rStyle w:val="Heading1Char"/>
                <w:rFonts w:ascii="Arial" w:hAnsi="Arial" w:cs="Arial"/>
                <w:b/>
                <w:bCs/>
                <w:color w:val="auto"/>
              </w:rPr>
              <w:t xml:space="preserve"> </w:t>
            </w:r>
          </w:p>
        </w:tc>
      </w:tr>
    </w:tbl>
    <w:p w14:paraId="74CF4BF5" w14:textId="77777777" w:rsidR="00316AF7" w:rsidRDefault="00316AF7" w:rsidP="00FF7720">
      <w:pPr>
        <w:rPr>
          <w:rFonts w:ascii="Arial" w:hAnsi="Arial" w:cs="Arial"/>
        </w:rPr>
      </w:pPr>
    </w:p>
    <w:p w14:paraId="2E49A070" w14:textId="77777777" w:rsidR="00316AF7" w:rsidRPr="00324E48" w:rsidRDefault="00316AF7" w:rsidP="00316AF7">
      <w:pPr>
        <w:rPr>
          <w:rFonts w:ascii="Arial" w:hAnsi="Arial" w:cs="Arial"/>
          <w:sz w:val="24"/>
          <w:szCs w:val="24"/>
        </w:rPr>
      </w:pPr>
      <w:bookmarkStart w:id="21" w:name="_Toc162948087"/>
      <w:r w:rsidRPr="00324E48">
        <w:rPr>
          <w:rStyle w:val="Heading2Char"/>
          <w:rFonts w:cs="Arial"/>
          <w:sz w:val="24"/>
          <w:szCs w:val="28"/>
        </w:rPr>
        <w:t xml:space="preserve">Programme-level approach to monitoring and </w:t>
      </w:r>
      <w:proofErr w:type="gramStart"/>
      <w:r w:rsidRPr="00324E48">
        <w:rPr>
          <w:rStyle w:val="Heading2Char"/>
          <w:rFonts w:cs="Arial"/>
          <w:sz w:val="24"/>
          <w:szCs w:val="28"/>
        </w:rPr>
        <w:t>evaluation</w:t>
      </w:r>
      <w:bookmarkEnd w:id="21"/>
      <w:proofErr w:type="gramEnd"/>
    </w:p>
    <w:p w14:paraId="19B2492A" w14:textId="7EFBA271" w:rsidR="000E5548" w:rsidRDefault="00481E93" w:rsidP="00316AF7">
      <w:pPr>
        <w:rPr>
          <w:rFonts w:ascii="Arial" w:hAnsi="Arial" w:cs="Arial"/>
        </w:rPr>
      </w:pPr>
      <w:r>
        <w:rPr>
          <w:rFonts w:ascii="Arial" w:hAnsi="Arial" w:cs="Arial"/>
        </w:rPr>
        <w:t>Monitoring and evaluation of UKCI notably included a</w:t>
      </w:r>
      <w:r w:rsidR="0011231A">
        <w:rPr>
          <w:rFonts w:ascii="Arial" w:hAnsi="Arial" w:cs="Arial"/>
        </w:rPr>
        <w:t>n independent evaluation including</w:t>
      </w:r>
      <w:r>
        <w:rPr>
          <w:rFonts w:ascii="Arial" w:hAnsi="Arial" w:cs="Arial"/>
        </w:rPr>
        <w:t xml:space="preserve"> series of independent re</w:t>
      </w:r>
      <w:r w:rsidR="0011231A">
        <w:rPr>
          <w:rFonts w:ascii="Arial" w:hAnsi="Arial" w:cs="Arial"/>
        </w:rPr>
        <w:t xml:space="preserve">ports. </w:t>
      </w:r>
      <w:r w:rsidR="00055816">
        <w:rPr>
          <w:rFonts w:ascii="Arial" w:hAnsi="Arial" w:cs="Arial"/>
        </w:rPr>
        <w:t xml:space="preserve">Ipsos UK </w:t>
      </w:r>
      <w:proofErr w:type="gramStart"/>
      <w:r w:rsidR="00055816">
        <w:rPr>
          <w:rFonts w:ascii="Arial" w:hAnsi="Arial" w:cs="Arial"/>
        </w:rPr>
        <w:t>was commissioned</w:t>
      </w:r>
      <w:proofErr w:type="gramEnd"/>
      <w:r w:rsidR="00055816">
        <w:rPr>
          <w:rFonts w:ascii="Arial" w:hAnsi="Arial" w:cs="Arial"/>
        </w:rPr>
        <w:t xml:space="preserve"> by BEIS in December 2015</w:t>
      </w:r>
      <w:r w:rsidR="0011231A">
        <w:rPr>
          <w:rFonts w:ascii="Arial" w:hAnsi="Arial" w:cs="Arial"/>
        </w:rPr>
        <w:t xml:space="preserve"> for these purposes</w:t>
      </w:r>
      <w:r w:rsidR="00055816">
        <w:rPr>
          <w:rFonts w:ascii="Arial" w:hAnsi="Arial" w:cs="Arial"/>
        </w:rPr>
        <w:t xml:space="preserve">. The </w:t>
      </w:r>
      <w:r w:rsidR="0011231A">
        <w:rPr>
          <w:rFonts w:ascii="Arial" w:hAnsi="Arial" w:cs="Arial"/>
        </w:rPr>
        <w:t>evaluation</w:t>
      </w:r>
      <w:r w:rsidR="00055816">
        <w:rPr>
          <w:rFonts w:ascii="Arial" w:hAnsi="Arial" w:cs="Arial"/>
        </w:rPr>
        <w:t xml:space="preserve"> </w:t>
      </w:r>
      <w:proofErr w:type="gramStart"/>
      <w:r w:rsidR="00055816">
        <w:rPr>
          <w:rFonts w:ascii="Arial" w:hAnsi="Arial" w:cs="Arial"/>
        </w:rPr>
        <w:t>w</w:t>
      </w:r>
      <w:r w:rsidR="0011231A">
        <w:rPr>
          <w:rFonts w:ascii="Arial" w:hAnsi="Arial" w:cs="Arial"/>
        </w:rPr>
        <w:t>as</w:t>
      </w:r>
      <w:r w:rsidR="00055816">
        <w:rPr>
          <w:rFonts w:ascii="Arial" w:hAnsi="Arial" w:cs="Arial"/>
        </w:rPr>
        <w:t xml:space="preserve"> divided</w:t>
      </w:r>
      <w:proofErr w:type="gramEnd"/>
      <w:r w:rsidR="00055816">
        <w:rPr>
          <w:rFonts w:ascii="Arial" w:hAnsi="Arial" w:cs="Arial"/>
        </w:rPr>
        <w:t xml:space="preserve"> into several phases:</w:t>
      </w:r>
    </w:p>
    <w:p w14:paraId="449CF8FC" w14:textId="50688F63" w:rsidR="00055816" w:rsidRDefault="001616EB" w:rsidP="001616EB">
      <w:pPr>
        <w:pStyle w:val="ListParagraph"/>
        <w:numPr>
          <w:ilvl w:val="0"/>
          <w:numId w:val="5"/>
        </w:numPr>
        <w:rPr>
          <w:rFonts w:ascii="Arial" w:hAnsi="Arial" w:cs="Arial"/>
        </w:rPr>
      </w:pPr>
      <w:r>
        <w:rPr>
          <w:rFonts w:ascii="Arial" w:hAnsi="Arial" w:cs="Arial"/>
        </w:rPr>
        <w:t>2016-2018 – scoping research</w:t>
      </w:r>
    </w:p>
    <w:p w14:paraId="14B46C73" w14:textId="39E18CB0" w:rsidR="001616EB" w:rsidRDefault="001616EB" w:rsidP="001616EB">
      <w:pPr>
        <w:pStyle w:val="ListParagraph"/>
        <w:numPr>
          <w:ilvl w:val="0"/>
          <w:numId w:val="5"/>
        </w:numPr>
        <w:rPr>
          <w:rFonts w:ascii="Arial" w:hAnsi="Arial" w:cs="Arial"/>
        </w:rPr>
      </w:pPr>
      <w:r>
        <w:rPr>
          <w:rFonts w:ascii="Arial" w:hAnsi="Arial" w:cs="Arial"/>
        </w:rPr>
        <w:t>2019 – assessed UKCI processes</w:t>
      </w:r>
    </w:p>
    <w:p w14:paraId="0A696512" w14:textId="2A79B797" w:rsidR="004E77E6" w:rsidRDefault="001616EB" w:rsidP="004E77E6">
      <w:pPr>
        <w:pStyle w:val="ListParagraph"/>
        <w:numPr>
          <w:ilvl w:val="0"/>
          <w:numId w:val="5"/>
        </w:numPr>
        <w:rPr>
          <w:rFonts w:ascii="Arial" w:hAnsi="Arial" w:cs="Arial"/>
        </w:rPr>
      </w:pPr>
      <w:r>
        <w:rPr>
          <w:rFonts w:ascii="Arial" w:hAnsi="Arial" w:cs="Arial"/>
        </w:rPr>
        <w:t xml:space="preserve">2020 </w:t>
      </w:r>
      <w:r w:rsidR="0011231A">
        <w:rPr>
          <w:rFonts w:ascii="Arial" w:hAnsi="Arial" w:cs="Arial"/>
        </w:rPr>
        <w:t>–</w:t>
      </w:r>
      <w:r>
        <w:rPr>
          <w:rFonts w:ascii="Arial" w:hAnsi="Arial" w:cs="Arial"/>
        </w:rPr>
        <w:t xml:space="preserve"> </w:t>
      </w:r>
      <w:r w:rsidR="0011231A">
        <w:rPr>
          <w:rFonts w:ascii="Arial" w:hAnsi="Arial" w:cs="Arial"/>
        </w:rPr>
        <w:t>evaluation questions re-defined</w:t>
      </w:r>
      <w:r w:rsidR="004E77E6">
        <w:rPr>
          <w:rFonts w:ascii="Arial" w:hAnsi="Arial" w:cs="Arial"/>
        </w:rPr>
        <w:t xml:space="preserve"> and re-prioritised given changes in the UKCI pilot</w:t>
      </w:r>
    </w:p>
    <w:p w14:paraId="763AA8B8" w14:textId="52EA39EB" w:rsidR="004E77E6" w:rsidRDefault="004E77E6" w:rsidP="004E77E6">
      <w:pPr>
        <w:pStyle w:val="ListParagraph"/>
        <w:numPr>
          <w:ilvl w:val="0"/>
          <w:numId w:val="5"/>
        </w:numPr>
        <w:rPr>
          <w:rFonts w:ascii="Arial" w:hAnsi="Arial" w:cs="Arial"/>
        </w:rPr>
      </w:pPr>
      <w:r>
        <w:rPr>
          <w:rFonts w:ascii="Arial" w:hAnsi="Arial" w:cs="Arial"/>
        </w:rPr>
        <w:t xml:space="preserve">2020-2022 – assessed the outcomes and impacts of UKCI </w:t>
      </w:r>
      <w:proofErr w:type="gramStart"/>
      <w:r>
        <w:rPr>
          <w:rFonts w:ascii="Arial" w:hAnsi="Arial" w:cs="Arial"/>
        </w:rPr>
        <w:t>investments</w:t>
      </w:r>
      <w:proofErr w:type="gramEnd"/>
    </w:p>
    <w:p w14:paraId="2B37F55A" w14:textId="724A0142" w:rsidR="004E77E6" w:rsidRDefault="004E77E6" w:rsidP="004E77E6">
      <w:pPr>
        <w:pStyle w:val="ListParagraph"/>
        <w:numPr>
          <w:ilvl w:val="0"/>
          <w:numId w:val="5"/>
        </w:numPr>
        <w:rPr>
          <w:rFonts w:ascii="Arial" w:hAnsi="Arial" w:cs="Arial"/>
        </w:rPr>
      </w:pPr>
      <w:r>
        <w:rPr>
          <w:rFonts w:ascii="Arial" w:hAnsi="Arial" w:cs="Arial"/>
        </w:rPr>
        <w:t xml:space="preserve">2023 </w:t>
      </w:r>
      <w:r w:rsidR="003D0967">
        <w:rPr>
          <w:rFonts w:ascii="Arial" w:hAnsi="Arial" w:cs="Arial"/>
        </w:rPr>
        <w:t>–</w:t>
      </w:r>
      <w:r>
        <w:rPr>
          <w:rFonts w:ascii="Arial" w:hAnsi="Arial" w:cs="Arial"/>
        </w:rPr>
        <w:t xml:space="preserve"> </w:t>
      </w:r>
      <w:r w:rsidR="003D0967">
        <w:rPr>
          <w:rFonts w:ascii="Arial" w:hAnsi="Arial" w:cs="Arial"/>
        </w:rPr>
        <w:t>final evaluation report</w:t>
      </w:r>
    </w:p>
    <w:p w14:paraId="60C32DC6" w14:textId="63D8C1CC" w:rsidR="00FC0831" w:rsidRDefault="00523FA2" w:rsidP="002A752E">
      <w:pPr>
        <w:rPr>
          <w:rFonts w:ascii="Arial" w:hAnsi="Arial" w:cs="Arial"/>
        </w:rPr>
      </w:pPr>
      <w:r>
        <w:rPr>
          <w:rFonts w:ascii="Arial" w:hAnsi="Arial" w:cs="Arial"/>
        </w:rPr>
        <w:lastRenderedPageBreak/>
        <w:t xml:space="preserve">Two reports have </w:t>
      </w:r>
      <w:proofErr w:type="gramStart"/>
      <w:r>
        <w:rPr>
          <w:rFonts w:ascii="Arial" w:hAnsi="Arial" w:cs="Arial"/>
        </w:rPr>
        <w:t>been published</w:t>
      </w:r>
      <w:proofErr w:type="gramEnd"/>
      <w:r>
        <w:rPr>
          <w:rFonts w:ascii="Arial" w:hAnsi="Arial" w:cs="Arial"/>
        </w:rPr>
        <w:t xml:space="preserve"> on DevTracker – the UKCI Evaluation Scoping Report and the UKCI 2018 Interim Report -</w:t>
      </w:r>
      <w:r w:rsidR="00FC0831">
        <w:rPr>
          <w:rFonts w:ascii="Arial" w:hAnsi="Arial" w:cs="Arial"/>
        </w:rPr>
        <w:t xml:space="preserve"> for public access</w:t>
      </w:r>
      <w:r w:rsidR="002312E2">
        <w:rPr>
          <w:rFonts w:ascii="Arial" w:hAnsi="Arial" w:cs="Arial"/>
        </w:rPr>
        <w:t>.</w:t>
      </w:r>
      <w:r w:rsidR="00FC0831">
        <w:rPr>
          <w:rFonts w:ascii="Arial" w:hAnsi="Arial" w:cs="Arial"/>
        </w:rPr>
        <w:t xml:space="preserve"> </w:t>
      </w:r>
      <w:r w:rsidR="002312E2">
        <w:rPr>
          <w:rFonts w:ascii="Arial" w:hAnsi="Arial" w:cs="Arial"/>
        </w:rPr>
        <w:t>Evaluation findings</w:t>
      </w:r>
      <w:r w:rsidR="00FC0831">
        <w:rPr>
          <w:rFonts w:ascii="Arial" w:hAnsi="Arial" w:cs="Arial"/>
        </w:rPr>
        <w:t xml:space="preserve"> </w:t>
      </w:r>
      <w:proofErr w:type="gramStart"/>
      <w:r w:rsidR="00FC0831">
        <w:rPr>
          <w:rFonts w:ascii="Arial" w:hAnsi="Arial" w:cs="Arial"/>
        </w:rPr>
        <w:t>were disseminated</w:t>
      </w:r>
      <w:proofErr w:type="gramEnd"/>
      <w:r w:rsidR="00FC0831">
        <w:rPr>
          <w:rFonts w:ascii="Arial" w:hAnsi="Arial" w:cs="Arial"/>
        </w:rPr>
        <w:t xml:space="preserve"> and socialised internally within HMG. </w:t>
      </w:r>
    </w:p>
    <w:p w14:paraId="0541B2BB" w14:textId="6E8AB082" w:rsidR="0066642C" w:rsidRDefault="002A752E" w:rsidP="00291E2E">
      <w:pPr>
        <w:rPr>
          <w:rFonts w:ascii="Arial" w:hAnsi="Arial" w:cs="Arial"/>
        </w:rPr>
      </w:pPr>
      <w:r>
        <w:rPr>
          <w:rFonts w:ascii="Arial" w:hAnsi="Arial" w:cs="Arial"/>
        </w:rPr>
        <w:t xml:space="preserve">Each stage produced recommendations and findings which </w:t>
      </w:r>
      <w:proofErr w:type="gramStart"/>
      <w:r>
        <w:rPr>
          <w:rFonts w:ascii="Arial" w:hAnsi="Arial" w:cs="Arial"/>
        </w:rPr>
        <w:t>were considered</w:t>
      </w:r>
      <w:proofErr w:type="gramEnd"/>
      <w:r>
        <w:rPr>
          <w:rFonts w:ascii="Arial" w:hAnsi="Arial" w:cs="Arial"/>
        </w:rPr>
        <w:t xml:space="preserve"> and integrated into the programme as appropriate. </w:t>
      </w:r>
      <w:r w:rsidR="00C106F8">
        <w:rPr>
          <w:rFonts w:ascii="Arial" w:hAnsi="Arial" w:cs="Arial"/>
        </w:rPr>
        <w:br/>
      </w:r>
      <w:r w:rsidR="00C106F8">
        <w:rPr>
          <w:rFonts w:ascii="Arial" w:hAnsi="Arial" w:cs="Arial"/>
        </w:rPr>
        <w:br/>
        <w:t xml:space="preserve">A theory-based approach </w:t>
      </w:r>
      <w:r w:rsidR="001F6B44">
        <w:rPr>
          <w:rFonts w:ascii="Arial" w:hAnsi="Arial" w:cs="Arial"/>
        </w:rPr>
        <w:t xml:space="preserve">informed the analysis and drew on UKCI’s Theory of Change, notably using contribution analysis to assess transformational change. A total of six case studies </w:t>
      </w:r>
      <w:proofErr w:type="gramStart"/>
      <w:r w:rsidR="001F6B44">
        <w:rPr>
          <w:rFonts w:ascii="Arial" w:hAnsi="Arial" w:cs="Arial"/>
        </w:rPr>
        <w:t>were conducted</w:t>
      </w:r>
      <w:proofErr w:type="gramEnd"/>
      <w:r w:rsidR="001F6B44">
        <w:rPr>
          <w:rFonts w:ascii="Arial" w:hAnsi="Arial" w:cs="Arial"/>
        </w:rPr>
        <w:t xml:space="preserve">. </w:t>
      </w:r>
      <w:r w:rsidR="00311840">
        <w:rPr>
          <w:rFonts w:ascii="Arial" w:hAnsi="Arial" w:cs="Arial"/>
        </w:rPr>
        <w:t xml:space="preserve">Data collection methods included interviews with a broad range of stakeholders both in policy and investments; </w:t>
      </w:r>
      <w:r w:rsidR="00291E2E">
        <w:rPr>
          <w:rFonts w:ascii="Arial" w:hAnsi="Arial" w:cs="Arial"/>
        </w:rPr>
        <w:t>observations of governance meetings; analysis of monitoring data; portfolio and investment analysis; comparables analysis of similar funds; market analysis and benchmarking; a site visit to South Africa; and context reviews for target geographies.</w:t>
      </w:r>
    </w:p>
    <w:p w14:paraId="764AF500" w14:textId="5F8F95E7" w:rsidR="00125741" w:rsidRPr="00311840" w:rsidRDefault="00E751B1" w:rsidP="00291E2E">
      <w:pPr>
        <w:rPr>
          <w:rFonts w:ascii="Arial" w:hAnsi="Arial" w:cs="Arial"/>
        </w:rPr>
      </w:pPr>
      <w:r>
        <w:rPr>
          <w:rFonts w:ascii="Arial" w:hAnsi="Arial" w:cs="Arial"/>
        </w:rPr>
        <w:t xml:space="preserve">GESI analysis </w:t>
      </w:r>
      <w:proofErr w:type="gramStart"/>
      <w:r>
        <w:rPr>
          <w:rFonts w:ascii="Arial" w:hAnsi="Arial" w:cs="Arial"/>
        </w:rPr>
        <w:t>was not conducted</w:t>
      </w:r>
      <w:proofErr w:type="gramEnd"/>
      <w:r>
        <w:rPr>
          <w:rFonts w:ascii="Arial" w:hAnsi="Arial" w:cs="Arial"/>
        </w:rPr>
        <w:t xml:space="preserve"> at the level of monitoring data but was included in the Ipsos UK evaluations. As stated previously, GESI </w:t>
      </w:r>
      <w:r w:rsidR="00337FBD">
        <w:rPr>
          <w:rFonts w:ascii="Arial" w:hAnsi="Arial" w:cs="Arial"/>
        </w:rPr>
        <w:t xml:space="preserve">considerations </w:t>
      </w:r>
      <w:proofErr w:type="gramStart"/>
      <w:r>
        <w:rPr>
          <w:rFonts w:ascii="Arial" w:hAnsi="Arial" w:cs="Arial"/>
        </w:rPr>
        <w:t>w</w:t>
      </w:r>
      <w:r w:rsidR="00337FBD">
        <w:rPr>
          <w:rFonts w:ascii="Arial" w:hAnsi="Arial" w:cs="Arial"/>
        </w:rPr>
        <w:t>ere</w:t>
      </w:r>
      <w:r>
        <w:rPr>
          <w:rFonts w:ascii="Arial" w:hAnsi="Arial" w:cs="Arial"/>
        </w:rPr>
        <w:t xml:space="preserve"> not </w:t>
      </w:r>
      <w:r w:rsidR="00337FBD">
        <w:rPr>
          <w:rFonts w:ascii="Arial" w:hAnsi="Arial" w:cs="Arial"/>
        </w:rPr>
        <w:t>integrated</w:t>
      </w:r>
      <w:proofErr w:type="gramEnd"/>
      <w:r w:rsidR="00337FBD">
        <w:rPr>
          <w:rFonts w:ascii="Arial" w:hAnsi="Arial" w:cs="Arial"/>
        </w:rPr>
        <w:t xml:space="preserve"> into the programme’s design.</w:t>
      </w:r>
    </w:p>
    <w:sectPr w:rsidR="00125741" w:rsidRPr="00311840" w:rsidSect="001422DF">
      <w:headerReference w:type="default" r:id="rId23"/>
      <w:footerReference w:type="default" r:id="rId24"/>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3A3A" w14:textId="77777777" w:rsidR="001422DF" w:rsidRDefault="001422DF" w:rsidP="00FE4568">
      <w:pPr>
        <w:spacing w:after="0" w:line="240" w:lineRule="auto"/>
      </w:pPr>
      <w:r>
        <w:separator/>
      </w:r>
    </w:p>
  </w:endnote>
  <w:endnote w:type="continuationSeparator" w:id="0">
    <w:p w14:paraId="505D4B2D" w14:textId="77777777" w:rsidR="001422DF" w:rsidRDefault="001422DF" w:rsidP="00FE4568">
      <w:pPr>
        <w:spacing w:after="0" w:line="240" w:lineRule="auto"/>
      </w:pPr>
      <w:r>
        <w:continuationSeparator/>
      </w:r>
    </w:p>
  </w:endnote>
  <w:endnote w:type="continuationNotice" w:id="1">
    <w:p w14:paraId="4B665B52" w14:textId="77777777" w:rsidR="001422DF" w:rsidRDefault="00142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033180"/>
      <w:docPartObj>
        <w:docPartGallery w:val="Page Numbers (Bottom of Page)"/>
        <w:docPartUnique/>
      </w:docPartObj>
    </w:sdtPr>
    <w:sdtEndPr>
      <w:rPr>
        <w:noProof/>
      </w:rPr>
    </w:sdtEndPr>
    <w:sdtContent>
      <w:p w14:paraId="32BC8878" w14:textId="168FAFD9" w:rsidR="00FE4568" w:rsidRDefault="00FE45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1B976A" w14:textId="49294F82" w:rsidR="00FE4568" w:rsidRPr="008B4E2B" w:rsidRDefault="00FE4568">
    <w:pPr>
      <w:pStyle w:val="Footer"/>
      <w:rPr>
        <w:rFonts w:ascii="Arial" w:hAnsi="Arial" w:cs="Arial"/>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631738"/>
      <w:docPartObj>
        <w:docPartGallery w:val="Page Numbers (Bottom of Page)"/>
        <w:docPartUnique/>
      </w:docPartObj>
    </w:sdtPr>
    <w:sdtEndPr>
      <w:rPr>
        <w:noProof/>
      </w:rPr>
    </w:sdtEndPr>
    <w:sdtContent>
      <w:p w14:paraId="5321BB14" w14:textId="77777777" w:rsidR="008B4E2B" w:rsidRDefault="008B4E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12D511" w14:textId="7D84CF1B" w:rsidR="008B4E2B" w:rsidRPr="008B4E2B" w:rsidRDefault="008B4E2B">
    <w:pPr>
      <w:pStyle w:val="Footer"/>
      <w:rPr>
        <w:rFonts w:ascii="Arial" w:hAnsi="Arial" w:cs="Arial"/>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2AF1C" w14:textId="77777777" w:rsidR="001422DF" w:rsidRDefault="001422DF" w:rsidP="00FE4568">
      <w:pPr>
        <w:spacing w:after="0" w:line="240" w:lineRule="auto"/>
      </w:pPr>
      <w:r>
        <w:separator/>
      </w:r>
    </w:p>
  </w:footnote>
  <w:footnote w:type="continuationSeparator" w:id="0">
    <w:p w14:paraId="400FA531" w14:textId="77777777" w:rsidR="001422DF" w:rsidRDefault="001422DF" w:rsidP="00FE4568">
      <w:pPr>
        <w:spacing w:after="0" w:line="240" w:lineRule="auto"/>
      </w:pPr>
      <w:r>
        <w:continuationSeparator/>
      </w:r>
    </w:p>
  </w:footnote>
  <w:footnote w:type="continuationNotice" w:id="1">
    <w:p w14:paraId="64EEDE58" w14:textId="77777777" w:rsidR="001422DF" w:rsidRDefault="001422DF">
      <w:pPr>
        <w:spacing w:after="0" w:line="240" w:lineRule="auto"/>
      </w:pPr>
    </w:p>
  </w:footnote>
  <w:footnote w:id="2">
    <w:p w14:paraId="4842900D" w14:textId="045B91AC" w:rsidR="00460524" w:rsidRDefault="00460524">
      <w:pPr>
        <w:pStyle w:val="FootnoteText"/>
      </w:pPr>
      <w:r>
        <w:rPr>
          <w:rStyle w:val="FootnoteReference"/>
        </w:rPr>
        <w:footnoteRef/>
      </w:r>
      <w:r>
        <w:t xml:space="preserve"> Agreements signed in March 2023 necessitated BII approval for material decisions. Legal transfer did not take place until later in the year due to logistical reasons.</w:t>
      </w:r>
    </w:p>
  </w:footnote>
  <w:footnote w:id="3">
    <w:p w14:paraId="66A48E50" w14:textId="674BFD2F" w:rsidR="00751949" w:rsidRDefault="00751949">
      <w:pPr>
        <w:pStyle w:val="FootnoteText"/>
      </w:pPr>
      <w:r>
        <w:rPr>
          <w:rStyle w:val="FootnoteReference"/>
        </w:rPr>
        <w:footnoteRef/>
      </w:r>
      <w:r>
        <w:t xml:space="preserve"> The original business case assumed £178.4m of capital investments over the life of the fund. </w:t>
      </w:r>
      <w:r w:rsidR="00165039">
        <w:t>The implied cumulative nominal values are derived using this figure against the leverage ratio targeted in the first log frame.</w:t>
      </w:r>
    </w:p>
  </w:footnote>
  <w:footnote w:id="4">
    <w:p w14:paraId="4B516415" w14:textId="7B2FBA19" w:rsidR="00597A47" w:rsidRDefault="00597A47">
      <w:pPr>
        <w:pStyle w:val="FootnoteText"/>
      </w:pPr>
      <w:r>
        <w:rPr>
          <w:rStyle w:val="FootnoteReference"/>
        </w:rPr>
        <w:footnoteRef/>
      </w:r>
      <w:r>
        <w:t xml:space="preserve"> </w:t>
      </w:r>
      <w:r w:rsidR="00E47C50">
        <w:t xml:space="preserve">For </w:t>
      </w:r>
      <w:proofErr w:type="gramStart"/>
      <w:r w:rsidR="00E47C50">
        <w:t>example</w:t>
      </w:r>
      <w:proofErr w:type="gramEnd"/>
      <w:r w:rsidR="00E47C50">
        <w:t xml:space="preserve"> the Kenyan shilling moved from ~100 KES to 1 USD in 2020 to </w:t>
      </w:r>
      <w:r w:rsidR="00990630">
        <w:t>~132 to 1 in March 2023</w:t>
      </w:r>
      <w:r w:rsidR="00977044">
        <w:t xml:space="preserve"> a depreciation of 32%</w:t>
      </w:r>
      <w:r w:rsidR="00990630">
        <w:t>.</w:t>
      </w:r>
      <w:r w:rsidR="00F6321E">
        <w:t xml:space="preserve"> The rand moved from ~</w:t>
      </w:r>
      <w:r w:rsidR="002E2186">
        <w:t xml:space="preserve">15 to 1 to ~18 to 1 over the same period – a depreciation of </w:t>
      </w:r>
      <w:r w:rsidR="00977044">
        <w:t>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470B" w14:textId="2F68F23E" w:rsidR="009E5AE0" w:rsidRDefault="008B4E2B">
    <w:pPr>
      <w:pStyle w:val="Header"/>
    </w:pPr>
    <w:r>
      <w:rPr>
        <w:noProof/>
      </w:rPr>
      <w:drawing>
        <wp:inline distT="0" distB="0" distL="0" distR="0" wp14:anchorId="6821EEE4" wp14:editId="1874CAA6">
          <wp:extent cx="2244924" cy="1325147"/>
          <wp:effectExtent l="0" t="0" r="0" b="0"/>
          <wp:docPr id="1047597046" name="Picture 1047597046"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57126" name="Picture 3"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370" cy="1363779"/>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8FD4" w14:textId="0C9D1259" w:rsidR="008B4E2B" w:rsidRDefault="008B4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0D46"/>
    <w:multiLevelType w:val="hybridMultilevel"/>
    <w:tmpl w:val="F920D7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1C3523"/>
    <w:multiLevelType w:val="hybridMultilevel"/>
    <w:tmpl w:val="5FE4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1077C"/>
    <w:multiLevelType w:val="hybridMultilevel"/>
    <w:tmpl w:val="C5C23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482191"/>
    <w:multiLevelType w:val="hybridMultilevel"/>
    <w:tmpl w:val="BE3C96AA"/>
    <w:lvl w:ilvl="0" w:tplc="A44A528A">
      <w:start w:val="1"/>
      <w:numFmt w:val="bullet"/>
      <w:lvlText w:val=""/>
      <w:lvlJc w:val="left"/>
      <w:pPr>
        <w:ind w:left="1440" w:hanging="360"/>
      </w:pPr>
      <w:rPr>
        <w:rFonts w:ascii="Symbol" w:hAnsi="Symbol"/>
      </w:rPr>
    </w:lvl>
    <w:lvl w:ilvl="1" w:tplc="13866ABA">
      <w:start w:val="1"/>
      <w:numFmt w:val="bullet"/>
      <w:lvlText w:val=""/>
      <w:lvlJc w:val="left"/>
      <w:pPr>
        <w:ind w:left="1440" w:hanging="360"/>
      </w:pPr>
      <w:rPr>
        <w:rFonts w:ascii="Symbol" w:hAnsi="Symbol"/>
      </w:rPr>
    </w:lvl>
    <w:lvl w:ilvl="2" w:tplc="F20083E8">
      <w:start w:val="1"/>
      <w:numFmt w:val="bullet"/>
      <w:lvlText w:val=""/>
      <w:lvlJc w:val="left"/>
      <w:pPr>
        <w:ind w:left="1440" w:hanging="360"/>
      </w:pPr>
      <w:rPr>
        <w:rFonts w:ascii="Symbol" w:hAnsi="Symbol"/>
      </w:rPr>
    </w:lvl>
    <w:lvl w:ilvl="3" w:tplc="BA68C574">
      <w:start w:val="1"/>
      <w:numFmt w:val="bullet"/>
      <w:lvlText w:val=""/>
      <w:lvlJc w:val="left"/>
      <w:pPr>
        <w:ind w:left="1440" w:hanging="360"/>
      </w:pPr>
      <w:rPr>
        <w:rFonts w:ascii="Symbol" w:hAnsi="Symbol"/>
      </w:rPr>
    </w:lvl>
    <w:lvl w:ilvl="4" w:tplc="6908DD3E">
      <w:start w:val="1"/>
      <w:numFmt w:val="bullet"/>
      <w:lvlText w:val=""/>
      <w:lvlJc w:val="left"/>
      <w:pPr>
        <w:ind w:left="1440" w:hanging="360"/>
      </w:pPr>
      <w:rPr>
        <w:rFonts w:ascii="Symbol" w:hAnsi="Symbol"/>
      </w:rPr>
    </w:lvl>
    <w:lvl w:ilvl="5" w:tplc="42BA5A04">
      <w:start w:val="1"/>
      <w:numFmt w:val="bullet"/>
      <w:lvlText w:val=""/>
      <w:lvlJc w:val="left"/>
      <w:pPr>
        <w:ind w:left="1440" w:hanging="360"/>
      </w:pPr>
      <w:rPr>
        <w:rFonts w:ascii="Symbol" w:hAnsi="Symbol"/>
      </w:rPr>
    </w:lvl>
    <w:lvl w:ilvl="6" w:tplc="AAC6E652">
      <w:start w:val="1"/>
      <w:numFmt w:val="bullet"/>
      <w:lvlText w:val=""/>
      <w:lvlJc w:val="left"/>
      <w:pPr>
        <w:ind w:left="1440" w:hanging="360"/>
      </w:pPr>
      <w:rPr>
        <w:rFonts w:ascii="Symbol" w:hAnsi="Symbol"/>
      </w:rPr>
    </w:lvl>
    <w:lvl w:ilvl="7" w:tplc="65C0FEA2">
      <w:start w:val="1"/>
      <w:numFmt w:val="bullet"/>
      <w:lvlText w:val=""/>
      <w:lvlJc w:val="left"/>
      <w:pPr>
        <w:ind w:left="1440" w:hanging="360"/>
      </w:pPr>
      <w:rPr>
        <w:rFonts w:ascii="Symbol" w:hAnsi="Symbol"/>
      </w:rPr>
    </w:lvl>
    <w:lvl w:ilvl="8" w:tplc="2AEE4D20">
      <w:start w:val="1"/>
      <w:numFmt w:val="bullet"/>
      <w:lvlText w:val=""/>
      <w:lvlJc w:val="left"/>
      <w:pPr>
        <w:ind w:left="1440" w:hanging="360"/>
      </w:pPr>
      <w:rPr>
        <w:rFonts w:ascii="Symbol" w:hAnsi="Symbol"/>
      </w:rPr>
    </w:lvl>
  </w:abstractNum>
  <w:abstractNum w:abstractNumId="4" w15:restartNumberingAfterBreak="0">
    <w:nsid w:val="39E12362"/>
    <w:multiLevelType w:val="hybridMultilevel"/>
    <w:tmpl w:val="C70A65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CB025F"/>
    <w:multiLevelType w:val="hybridMultilevel"/>
    <w:tmpl w:val="E052330E"/>
    <w:lvl w:ilvl="0" w:tplc="56AEB4C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0A755E"/>
    <w:multiLevelType w:val="hybridMultilevel"/>
    <w:tmpl w:val="F07A2522"/>
    <w:lvl w:ilvl="0" w:tplc="0068D7A0">
      <w:start w:val="1"/>
      <w:numFmt w:val="bullet"/>
      <w:lvlText w:val=""/>
      <w:lvlJc w:val="left"/>
      <w:pPr>
        <w:ind w:left="1440" w:hanging="360"/>
      </w:pPr>
      <w:rPr>
        <w:rFonts w:ascii="Symbol" w:hAnsi="Symbol"/>
      </w:rPr>
    </w:lvl>
    <w:lvl w:ilvl="1" w:tplc="B86E0598">
      <w:start w:val="1"/>
      <w:numFmt w:val="bullet"/>
      <w:lvlText w:val=""/>
      <w:lvlJc w:val="left"/>
      <w:pPr>
        <w:ind w:left="1440" w:hanging="360"/>
      </w:pPr>
      <w:rPr>
        <w:rFonts w:ascii="Symbol" w:hAnsi="Symbol"/>
      </w:rPr>
    </w:lvl>
    <w:lvl w:ilvl="2" w:tplc="02549A2C">
      <w:start w:val="1"/>
      <w:numFmt w:val="bullet"/>
      <w:lvlText w:val=""/>
      <w:lvlJc w:val="left"/>
      <w:pPr>
        <w:ind w:left="1440" w:hanging="360"/>
      </w:pPr>
      <w:rPr>
        <w:rFonts w:ascii="Symbol" w:hAnsi="Symbol"/>
      </w:rPr>
    </w:lvl>
    <w:lvl w:ilvl="3" w:tplc="144042B0">
      <w:start w:val="1"/>
      <w:numFmt w:val="bullet"/>
      <w:lvlText w:val=""/>
      <w:lvlJc w:val="left"/>
      <w:pPr>
        <w:ind w:left="1440" w:hanging="360"/>
      </w:pPr>
      <w:rPr>
        <w:rFonts w:ascii="Symbol" w:hAnsi="Symbol"/>
      </w:rPr>
    </w:lvl>
    <w:lvl w:ilvl="4" w:tplc="AD424340">
      <w:start w:val="1"/>
      <w:numFmt w:val="bullet"/>
      <w:lvlText w:val=""/>
      <w:lvlJc w:val="left"/>
      <w:pPr>
        <w:ind w:left="1440" w:hanging="360"/>
      </w:pPr>
      <w:rPr>
        <w:rFonts w:ascii="Symbol" w:hAnsi="Symbol"/>
      </w:rPr>
    </w:lvl>
    <w:lvl w:ilvl="5" w:tplc="6E22A758">
      <w:start w:val="1"/>
      <w:numFmt w:val="bullet"/>
      <w:lvlText w:val=""/>
      <w:lvlJc w:val="left"/>
      <w:pPr>
        <w:ind w:left="1440" w:hanging="360"/>
      </w:pPr>
      <w:rPr>
        <w:rFonts w:ascii="Symbol" w:hAnsi="Symbol"/>
      </w:rPr>
    </w:lvl>
    <w:lvl w:ilvl="6" w:tplc="6E28808E">
      <w:start w:val="1"/>
      <w:numFmt w:val="bullet"/>
      <w:lvlText w:val=""/>
      <w:lvlJc w:val="left"/>
      <w:pPr>
        <w:ind w:left="1440" w:hanging="360"/>
      </w:pPr>
      <w:rPr>
        <w:rFonts w:ascii="Symbol" w:hAnsi="Symbol"/>
      </w:rPr>
    </w:lvl>
    <w:lvl w:ilvl="7" w:tplc="6302BA0A">
      <w:start w:val="1"/>
      <w:numFmt w:val="bullet"/>
      <w:lvlText w:val=""/>
      <w:lvlJc w:val="left"/>
      <w:pPr>
        <w:ind w:left="1440" w:hanging="360"/>
      </w:pPr>
      <w:rPr>
        <w:rFonts w:ascii="Symbol" w:hAnsi="Symbol"/>
      </w:rPr>
    </w:lvl>
    <w:lvl w:ilvl="8" w:tplc="B01229FA">
      <w:start w:val="1"/>
      <w:numFmt w:val="bullet"/>
      <w:lvlText w:val=""/>
      <w:lvlJc w:val="left"/>
      <w:pPr>
        <w:ind w:left="1440" w:hanging="360"/>
      </w:pPr>
      <w:rPr>
        <w:rFonts w:ascii="Symbol" w:hAnsi="Symbol"/>
      </w:rPr>
    </w:lvl>
  </w:abstractNum>
  <w:abstractNum w:abstractNumId="7" w15:restartNumberingAfterBreak="0">
    <w:nsid w:val="5390140B"/>
    <w:multiLevelType w:val="hybridMultilevel"/>
    <w:tmpl w:val="577A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842E39"/>
    <w:multiLevelType w:val="hybridMultilevel"/>
    <w:tmpl w:val="D43E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6052166">
    <w:abstractNumId w:val="2"/>
  </w:num>
  <w:num w:numId="2" w16cid:durableId="675498886">
    <w:abstractNumId w:val="1"/>
  </w:num>
  <w:num w:numId="3" w16cid:durableId="102040458">
    <w:abstractNumId w:val="8"/>
  </w:num>
  <w:num w:numId="4" w16cid:durableId="1767581599">
    <w:abstractNumId w:val="5"/>
  </w:num>
  <w:num w:numId="5" w16cid:durableId="635330231">
    <w:abstractNumId w:val="4"/>
  </w:num>
  <w:num w:numId="6" w16cid:durableId="202719005">
    <w:abstractNumId w:val="0"/>
  </w:num>
  <w:num w:numId="7" w16cid:durableId="1539851861">
    <w:abstractNumId w:val="6"/>
  </w:num>
  <w:num w:numId="8" w16cid:durableId="605238275">
    <w:abstractNumId w:val="3"/>
  </w:num>
  <w:num w:numId="9" w16cid:durableId="1990205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BC"/>
    <w:rsid w:val="000054F8"/>
    <w:rsid w:val="00007615"/>
    <w:rsid w:val="00020774"/>
    <w:rsid w:val="00020E08"/>
    <w:rsid w:val="0002634F"/>
    <w:rsid w:val="00030C39"/>
    <w:rsid w:val="00032F0B"/>
    <w:rsid w:val="00046FFE"/>
    <w:rsid w:val="00051058"/>
    <w:rsid w:val="00055816"/>
    <w:rsid w:val="0005646A"/>
    <w:rsid w:val="000564DC"/>
    <w:rsid w:val="00057EC2"/>
    <w:rsid w:val="00064BDF"/>
    <w:rsid w:val="00076186"/>
    <w:rsid w:val="00080125"/>
    <w:rsid w:val="0008575A"/>
    <w:rsid w:val="0009039F"/>
    <w:rsid w:val="00091B19"/>
    <w:rsid w:val="000A0C87"/>
    <w:rsid w:val="000B01F4"/>
    <w:rsid w:val="000B0AA8"/>
    <w:rsid w:val="000B2715"/>
    <w:rsid w:val="000B4E8B"/>
    <w:rsid w:val="000C1D1A"/>
    <w:rsid w:val="000C2F0A"/>
    <w:rsid w:val="000C66D4"/>
    <w:rsid w:val="000C6BB7"/>
    <w:rsid w:val="000D12AB"/>
    <w:rsid w:val="000D40B2"/>
    <w:rsid w:val="000E2B1C"/>
    <w:rsid w:val="000E5548"/>
    <w:rsid w:val="000E5B71"/>
    <w:rsid w:val="000F722A"/>
    <w:rsid w:val="000F7F53"/>
    <w:rsid w:val="00100BDD"/>
    <w:rsid w:val="00101919"/>
    <w:rsid w:val="00106763"/>
    <w:rsid w:val="001101C1"/>
    <w:rsid w:val="00111D0B"/>
    <w:rsid w:val="0011231A"/>
    <w:rsid w:val="001151E6"/>
    <w:rsid w:val="00124700"/>
    <w:rsid w:val="00125741"/>
    <w:rsid w:val="00127033"/>
    <w:rsid w:val="001311C4"/>
    <w:rsid w:val="00133D2C"/>
    <w:rsid w:val="001403E3"/>
    <w:rsid w:val="00140479"/>
    <w:rsid w:val="001422DF"/>
    <w:rsid w:val="001442BF"/>
    <w:rsid w:val="0014752A"/>
    <w:rsid w:val="001523F4"/>
    <w:rsid w:val="001556D1"/>
    <w:rsid w:val="001575CD"/>
    <w:rsid w:val="001605AB"/>
    <w:rsid w:val="001616EB"/>
    <w:rsid w:val="001641F1"/>
    <w:rsid w:val="001649C3"/>
    <w:rsid w:val="00165039"/>
    <w:rsid w:val="00167493"/>
    <w:rsid w:val="001704E9"/>
    <w:rsid w:val="00173839"/>
    <w:rsid w:val="001809DC"/>
    <w:rsid w:val="00180E96"/>
    <w:rsid w:val="00182D39"/>
    <w:rsid w:val="0018346D"/>
    <w:rsid w:val="001855DF"/>
    <w:rsid w:val="0019300C"/>
    <w:rsid w:val="00193EB7"/>
    <w:rsid w:val="001A120A"/>
    <w:rsid w:val="001A697B"/>
    <w:rsid w:val="001A79E8"/>
    <w:rsid w:val="001B04E1"/>
    <w:rsid w:val="001B6AFC"/>
    <w:rsid w:val="001C1216"/>
    <w:rsid w:val="001C1D03"/>
    <w:rsid w:val="001C59F8"/>
    <w:rsid w:val="001C6ACF"/>
    <w:rsid w:val="001D2049"/>
    <w:rsid w:val="001D3F34"/>
    <w:rsid w:val="001D6FBE"/>
    <w:rsid w:val="001E17E9"/>
    <w:rsid w:val="001E33A2"/>
    <w:rsid w:val="001E5A29"/>
    <w:rsid w:val="001F4A89"/>
    <w:rsid w:val="001F6B44"/>
    <w:rsid w:val="00215022"/>
    <w:rsid w:val="00217D8B"/>
    <w:rsid w:val="0022232D"/>
    <w:rsid w:val="002312E2"/>
    <w:rsid w:val="0024679F"/>
    <w:rsid w:val="002512A5"/>
    <w:rsid w:val="00251679"/>
    <w:rsid w:val="002578DE"/>
    <w:rsid w:val="00260877"/>
    <w:rsid w:val="00260D64"/>
    <w:rsid w:val="002631E7"/>
    <w:rsid w:val="00270373"/>
    <w:rsid w:val="002751AD"/>
    <w:rsid w:val="002758B3"/>
    <w:rsid w:val="00291E2E"/>
    <w:rsid w:val="002A0C3C"/>
    <w:rsid w:val="002A752E"/>
    <w:rsid w:val="002B29E7"/>
    <w:rsid w:val="002C0BFD"/>
    <w:rsid w:val="002C1D6F"/>
    <w:rsid w:val="002C626B"/>
    <w:rsid w:val="002D6223"/>
    <w:rsid w:val="002E144C"/>
    <w:rsid w:val="002E2186"/>
    <w:rsid w:val="002E28A9"/>
    <w:rsid w:val="002E640E"/>
    <w:rsid w:val="002E7073"/>
    <w:rsid w:val="0030163C"/>
    <w:rsid w:val="003047E9"/>
    <w:rsid w:val="00305060"/>
    <w:rsid w:val="0030657E"/>
    <w:rsid w:val="003077F6"/>
    <w:rsid w:val="00311840"/>
    <w:rsid w:val="0031222F"/>
    <w:rsid w:val="003123F6"/>
    <w:rsid w:val="00314BF9"/>
    <w:rsid w:val="00316AF7"/>
    <w:rsid w:val="00316D25"/>
    <w:rsid w:val="00324E48"/>
    <w:rsid w:val="00332899"/>
    <w:rsid w:val="00332C67"/>
    <w:rsid w:val="00336056"/>
    <w:rsid w:val="00337FBD"/>
    <w:rsid w:val="00345666"/>
    <w:rsid w:val="0035437C"/>
    <w:rsid w:val="003573DF"/>
    <w:rsid w:val="003646E9"/>
    <w:rsid w:val="00365CD7"/>
    <w:rsid w:val="003663C1"/>
    <w:rsid w:val="003711F9"/>
    <w:rsid w:val="00371B79"/>
    <w:rsid w:val="0037534D"/>
    <w:rsid w:val="00384C4F"/>
    <w:rsid w:val="00386A43"/>
    <w:rsid w:val="00390980"/>
    <w:rsid w:val="00393CEB"/>
    <w:rsid w:val="00396585"/>
    <w:rsid w:val="003A0F1C"/>
    <w:rsid w:val="003A79C6"/>
    <w:rsid w:val="003B6408"/>
    <w:rsid w:val="003B7955"/>
    <w:rsid w:val="003C3AC5"/>
    <w:rsid w:val="003C7C0E"/>
    <w:rsid w:val="003D0967"/>
    <w:rsid w:val="003D1AA3"/>
    <w:rsid w:val="003D4659"/>
    <w:rsid w:val="003E071F"/>
    <w:rsid w:val="003E3D3F"/>
    <w:rsid w:val="003E677F"/>
    <w:rsid w:val="003F4508"/>
    <w:rsid w:val="003F48C1"/>
    <w:rsid w:val="00400E4D"/>
    <w:rsid w:val="0040334A"/>
    <w:rsid w:val="00412A12"/>
    <w:rsid w:val="00414E8B"/>
    <w:rsid w:val="00420F50"/>
    <w:rsid w:val="004214AB"/>
    <w:rsid w:val="00423AE1"/>
    <w:rsid w:val="00434EE1"/>
    <w:rsid w:val="004371C6"/>
    <w:rsid w:val="0045318C"/>
    <w:rsid w:val="004570B2"/>
    <w:rsid w:val="004572D0"/>
    <w:rsid w:val="00460524"/>
    <w:rsid w:val="00462E61"/>
    <w:rsid w:val="004738DB"/>
    <w:rsid w:val="004768DA"/>
    <w:rsid w:val="00481E93"/>
    <w:rsid w:val="00481FB3"/>
    <w:rsid w:val="00486A80"/>
    <w:rsid w:val="00487914"/>
    <w:rsid w:val="00491675"/>
    <w:rsid w:val="00494462"/>
    <w:rsid w:val="004A2EDE"/>
    <w:rsid w:val="004B039F"/>
    <w:rsid w:val="004C124C"/>
    <w:rsid w:val="004C3612"/>
    <w:rsid w:val="004C66C3"/>
    <w:rsid w:val="004C77EB"/>
    <w:rsid w:val="004D02B7"/>
    <w:rsid w:val="004E014A"/>
    <w:rsid w:val="004E77E6"/>
    <w:rsid w:val="004F1C5F"/>
    <w:rsid w:val="004F6284"/>
    <w:rsid w:val="004F6D93"/>
    <w:rsid w:val="004F7A2C"/>
    <w:rsid w:val="004F7CF1"/>
    <w:rsid w:val="00501EE9"/>
    <w:rsid w:val="00502AE7"/>
    <w:rsid w:val="0051038C"/>
    <w:rsid w:val="00510FD1"/>
    <w:rsid w:val="005156B0"/>
    <w:rsid w:val="005158E2"/>
    <w:rsid w:val="00515D76"/>
    <w:rsid w:val="005166DB"/>
    <w:rsid w:val="00523FA2"/>
    <w:rsid w:val="00524E7F"/>
    <w:rsid w:val="00527399"/>
    <w:rsid w:val="00535A58"/>
    <w:rsid w:val="00543E8A"/>
    <w:rsid w:val="00545353"/>
    <w:rsid w:val="00546DA2"/>
    <w:rsid w:val="00547328"/>
    <w:rsid w:val="0055050E"/>
    <w:rsid w:val="005523CC"/>
    <w:rsid w:val="00553590"/>
    <w:rsid w:val="005545AE"/>
    <w:rsid w:val="00554832"/>
    <w:rsid w:val="00561AC9"/>
    <w:rsid w:val="00567F32"/>
    <w:rsid w:val="0057197B"/>
    <w:rsid w:val="00572B3A"/>
    <w:rsid w:val="0057571A"/>
    <w:rsid w:val="00585F3F"/>
    <w:rsid w:val="00590E1D"/>
    <w:rsid w:val="005913A1"/>
    <w:rsid w:val="00597A47"/>
    <w:rsid w:val="005A0F96"/>
    <w:rsid w:val="005A2132"/>
    <w:rsid w:val="005A640E"/>
    <w:rsid w:val="005B750D"/>
    <w:rsid w:val="005C156F"/>
    <w:rsid w:val="005C1D4A"/>
    <w:rsid w:val="005C2534"/>
    <w:rsid w:val="005C5699"/>
    <w:rsid w:val="005C61C8"/>
    <w:rsid w:val="005D499C"/>
    <w:rsid w:val="005D79BD"/>
    <w:rsid w:val="005F1E09"/>
    <w:rsid w:val="005F23DC"/>
    <w:rsid w:val="005F5EE3"/>
    <w:rsid w:val="0060235E"/>
    <w:rsid w:val="00611187"/>
    <w:rsid w:val="00622BFE"/>
    <w:rsid w:val="00625CE6"/>
    <w:rsid w:val="006302FB"/>
    <w:rsid w:val="0064570F"/>
    <w:rsid w:val="0064571F"/>
    <w:rsid w:val="00645A0B"/>
    <w:rsid w:val="006463B7"/>
    <w:rsid w:val="00655015"/>
    <w:rsid w:val="0066009A"/>
    <w:rsid w:val="00661161"/>
    <w:rsid w:val="006620F8"/>
    <w:rsid w:val="00663CF4"/>
    <w:rsid w:val="0066642C"/>
    <w:rsid w:val="0066672A"/>
    <w:rsid w:val="00671ACA"/>
    <w:rsid w:val="00672EE5"/>
    <w:rsid w:val="0067565C"/>
    <w:rsid w:val="0067641B"/>
    <w:rsid w:val="00683359"/>
    <w:rsid w:val="0068413A"/>
    <w:rsid w:val="00685D4E"/>
    <w:rsid w:val="00691360"/>
    <w:rsid w:val="00694B66"/>
    <w:rsid w:val="006967AD"/>
    <w:rsid w:val="006A3AA2"/>
    <w:rsid w:val="006B1B46"/>
    <w:rsid w:val="006B1EFE"/>
    <w:rsid w:val="006B24B6"/>
    <w:rsid w:val="006B74A2"/>
    <w:rsid w:val="006C2C5E"/>
    <w:rsid w:val="006C339A"/>
    <w:rsid w:val="006C3D24"/>
    <w:rsid w:val="006C6213"/>
    <w:rsid w:val="006D110D"/>
    <w:rsid w:val="006D2475"/>
    <w:rsid w:val="006D4CBC"/>
    <w:rsid w:val="006D7788"/>
    <w:rsid w:val="006E1A2E"/>
    <w:rsid w:val="006E23B9"/>
    <w:rsid w:val="006E2D15"/>
    <w:rsid w:val="006E62DE"/>
    <w:rsid w:val="006F0DBA"/>
    <w:rsid w:val="006F1103"/>
    <w:rsid w:val="006F19FE"/>
    <w:rsid w:val="006F4953"/>
    <w:rsid w:val="006F583B"/>
    <w:rsid w:val="007038DF"/>
    <w:rsid w:val="00705D59"/>
    <w:rsid w:val="007137EF"/>
    <w:rsid w:val="0071692B"/>
    <w:rsid w:val="007240A6"/>
    <w:rsid w:val="007266C3"/>
    <w:rsid w:val="0073456A"/>
    <w:rsid w:val="00735317"/>
    <w:rsid w:val="00737C78"/>
    <w:rsid w:val="00742671"/>
    <w:rsid w:val="00743AE2"/>
    <w:rsid w:val="0074658C"/>
    <w:rsid w:val="0074709F"/>
    <w:rsid w:val="00751949"/>
    <w:rsid w:val="00752FA9"/>
    <w:rsid w:val="00763CE5"/>
    <w:rsid w:val="00764DB5"/>
    <w:rsid w:val="00764E9E"/>
    <w:rsid w:val="007713F2"/>
    <w:rsid w:val="00774F58"/>
    <w:rsid w:val="0077523E"/>
    <w:rsid w:val="00783059"/>
    <w:rsid w:val="00783650"/>
    <w:rsid w:val="00791CC6"/>
    <w:rsid w:val="007971AD"/>
    <w:rsid w:val="007A4793"/>
    <w:rsid w:val="007A5CCF"/>
    <w:rsid w:val="007A6008"/>
    <w:rsid w:val="007B3623"/>
    <w:rsid w:val="007B3E76"/>
    <w:rsid w:val="007C40FC"/>
    <w:rsid w:val="007C4817"/>
    <w:rsid w:val="007C6BFF"/>
    <w:rsid w:val="007C7182"/>
    <w:rsid w:val="007D4111"/>
    <w:rsid w:val="007E17AF"/>
    <w:rsid w:val="007E45E4"/>
    <w:rsid w:val="007E63FE"/>
    <w:rsid w:val="007E6C2B"/>
    <w:rsid w:val="007F1693"/>
    <w:rsid w:val="007F27C9"/>
    <w:rsid w:val="007F4F0A"/>
    <w:rsid w:val="007F67DB"/>
    <w:rsid w:val="008018CD"/>
    <w:rsid w:val="00801CCC"/>
    <w:rsid w:val="008024AA"/>
    <w:rsid w:val="00804FC5"/>
    <w:rsid w:val="00807F68"/>
    <w:rsid w:val="00812B66"/>
    <w:rsid w:val="00814338"/>
    <w:rsid w:val="0081550F"/>
    <w:rsid w:val="0082065E"/>
    <w:rsid w:val="00822653"/>
    <w:rsid w:val="00824E42"/>
    <w:rsid w:val="00841B3F"/>
    <w:rsid w:val="00844F08"/>
    <w:rsid w:val="00853258"/>
    <w:rsid w:val="00857CB6"/>
    <w:rsid w:val="00860C75"/>
    <w:rsid w:val="0086145E"/>
    <w:rsid w:val="0086397E"/>
    <w:rsid w:val="008656CA"/>
    <w:rsid w:val="00867EC7"/>
    <w:rsid w:val="00870AAD"/>
    <w:rsid w:val="00870DED"/>
    <w:rsid w:val="00877141"/>
    <w:rsid w:val="0088166D"/>
    <w:rsid w:val="008877B1"/>
    <w:rsid w:val="008906D0"/>
    <w:rsid w:val="00892278"/>
    <w:rsid w:val="00893F47"/>
    <w:rsid w:val="0089460B"/>
    <w:rsid w:val="00895F16"/>
    <w:rsid w:val="00896499"/>
    <w:rsid w:val="008A2CF9"/>
    <w:rsid w:val="008A2E53"/>
    <w:rsid w:val="008A759B"/>
    <w:rsid w:val="008B03FC"/>
    <w:rsid w:val="008B4E2B"/>
    <w:rsid w:val="008B5C04"/>
    <w:rsid w:val="008C0D97"/>
    <w:rsid w:val="008D1BAA"/>
    <w:rsid w:val="008D1F81"/>
    <w:rsid w:val="008D482A"/>
    <w:rsid w:val="008E64D9"/>
    <w:rsid w:val="008E6908"/>
    <w:rsid w:val="008F090A"/>
    <w:rsid w:val="008F2D6E"/>
    <w:rsid w:val="009026A2"/>
    <w:rsid w:val="0091694C"/>
    <w:rsid w:val="00923239"/>
    <w:rsid w:val="00951D37"/>
    <w:rsid w:val="00954EFF"/>
    <w:rsid w:val="00960700"/>
    <w:rsid w:val="00965BD5"/>
    <w:rsid w:val="00976259"/>
    <w:rsid w:val="00977044"/>
    <w:rsid w:val="00983194"/>
    <w:rsid w:val="00983A11"/>
    <w:rsid w:val="00983EF0"/>
    <w:rsid w:val="00990630"/>
    <w:rsid w:val="00994CB3"/>
    <w:rsid w:val="00997328"/>
    <w:rsid w:val="009A0B5D"/>
    <w:rsid w:val="009A3ABD"/>
    <w:rsid w:val="009A4625"/>
    <w:rsid w:val="009A57CD"/>
    <w:rsid w:val="009A7214"/>
    <w:rsid w:val="009B6F69"/>
    <w:rsid w:val="009C5CF2"/>
    <w:rsid w:val="009D30F1"/>
    <w:rsid w:val="009D323C"/>
    <w:rsid w:val="009D54B6"/>
    <w:rsid w:val="009D6D88"/>
    <w:rsid w:val="009E1EAC"/>
    <w:rsid w:val="009E5AE0"/>
    <w:rsid w:val="009E61DE"/>
    <w:rsid w:val="009E6B70"/>
    <w:rsid w:val="009F2CB4"/>
    <w:rsid w:val="009F4E49"/>
    <w:rsid w:val="009F736A"/>
    <w:rsid w:val="00A024F8"/>
    <w:rsid w:val="00A039BA"/>
    <w:rsid w:val="00A12781"/>
    <w:rsid w:val="00A206F6"/>
    <w:rsid w:val="00A220D3"/>
    <w:rsid w:val="00A301DC"/>
    <w:rsid w:val="00A45BF9"/>
    <w:rsid w:val="00A478A2"/>
    <w:rsid w:val="00A47CD1"/>
    <w:rsid w:val="00A50339"/>
    <w:rsid w:val="00A61734"/>
    <w:rsid w:val="00A63C6D"/>
    <w:rsid w:val="00A72F24"/>
    <w:rsid w:val="00A8189D"/>
    <w:rsid w:val="00A82222"/>
    <w:rsid w:val="00A83BE5"/>
    <w:rsid w:val="00A84500"/>
    <w:rsid w:val="00A87BB4"/>
    <w:rsid w:val="00A931A2"/>
    <w:rsid w:val="00A93DE7"/>
    <w:rsid w:val="00A94EDD"/>
    <w:rsid w:val="00AA322D"/>
    <w:rsid w:val="00AA4310"/>
    <w:rsid w:val="00AA4CA5"/>
    <w:rsid w:val="00AB17BC"/>
    <w:rsid w:val="00AB57E1"/>
    <w:rsid w:val="00AC3D90"/>
    <w:rsid w:val="00AC7014"/>
    <w:rsid w:val="00AC7207"/>
    <w:rsid w:val="00AC7EE7"/>
    <w:rsid w:val="00AD0B69"/>
    <w:rsid w:val="00AD51F0"/>
    <w:rsid w:val="00AE01A7"/>
    <w:rsid w:val="00AE30DD"/>
    <w:rsid w:val="00AE723D"/>
    <w:rsid w:val="00B0028F"/>
    <w:rsid w:val="00B004CA"/>
    <w:rsid w:val="00B05620"/>
    <w:rsid w:val="00B064D4"/>
    <w:rsid w:val="00B12765"/>
    <w:rsid w:val="00B133DD"/>
    <w:rsid w:val="00B14442"/>
    <w:rsid w:val="00B17AFA"/>
    <w:rsid w:val="00B257FB"/>
    <w:rsid w:val="00B25CE2"/>
    <w:rsid w:val="00B26964"/>
    <w:rsid w:val="00B275C5"/>
    <w:rsid w:val="00B330A7"/>
    <w:rsid w:val="00B359F7"/>
    <w:rsid w:val="00B420CC"/>
    <w:rsid w:val="00B429B0"/>
    <w:rsid w:val="00B4681F"/>
    <w:rsid w:val="00B52E1D"/>
    <w:rsid w:val="00B52E5D"/>
    <w:rsid w:val="00B53D33"/>
    <w:rsid w:val="00B567B3"/>
    <w:rsid w:val="00B660D2"/>
    <w:rsid w:val="00B6731E"/>
    <w:rsid w:val="00B760C0"/>
    <w:rsid w:val="00B84C03"/>
    <w:rsid w:val="00B92A68"/>
    <w:rsid w:val="00B97B92"/>
    <w:rsid w:val="00BA4810"/>
    <w:rsid w:val="00BA5400"/>
    <w:rsid w:val="00BA6D0F"/>
    <w:rsid w:val="00BA7CB7"/>
    <w:rsid w:val="00BB14B8"/>
    <w:rsid w:val="00BB176A"/>
    <w:rsid w:val="00BD269D"/>
    <w:rsid w:val="00BF019F"/>
    <w:rsid w:val="00C106F8"/>
    <w:rsid w:val="00C15541"/>
    <w:rsid w:val="00C16186"/>
    <w:rsid w:val="00C22B75"/>
    <w:rsid w:val="00C36FD7"/>
    <w:rsid w:val="00C43C3C"/>
    <w:rsid w:val="00C45E12"/>
    <w:rsid w:val="00C5098F"/>
    <w:rsid w:val="00C53C2A"/>
    <w:rsid w:val="00C541CE"/>
    <w:rsid w:val="00C56167"/>
    <w:rsid w:val="00C5773E"/>
    <w:rsid w:val="00C57F26"/>
    <w:rsid w:val="00C7063E"/>
    <w:rsid w:val="00C82E6D"/>
    <w:rsid w:val="00C85004"/>
    <w:rsid w:val="00C91C67"/>
    <w:rsid w:val="00C9752A"/>
    <w:rsid w:val="00C97A02"/>
    <w:rsid w:val="00CA003C"/>
    <w:rsid w:val="00CA292F"/>
    <w:rsid w:val="00CA350A"/>
    <w:rsid w:val="00CB13AD"/>
    <w:rsid w:val="00CC2E13"/>
    <w:rsid w:val="00CC3683"/>
    <w:rsid w:val="00CD35D4"/>
    <w:rsid w:val="00CD3C93"/>
    <w:rsid w:val="00CD70B9"/>
    <w:rsid w:val="00CE3BD4"/>
    <w:rsid w:val="00CF2DFC"/>
    <w:rsid w:val="00CF6EF0"/>
    <w:rsid w:val="00D00FB7"/>
    <w:rsid w:val="00D105D5"/>
    <w:rsid w:val="00D20988"/>
    <w:rsid w:val="00D21157"/>
    <w:rsid w:val="00D21A49"/>
    <w:rsid w:val="00D25313"/>
    <w:rsid w:val="00D30897"/>
    <w:rsid w:val="00D31E1F"/>
    <w:rsid w:val="00D34DDE"/>
    <w:rsid w:val="00D402B4"/>
    <w:rsid w:val="00D534D4"/>
    <w:rsid w:val="00D602C9"/>
    <w:rsid w:val="00D72476"/>
    <w:rsid w:val="00D73798"/>
    <w:rsid w:val="00D745BA"/>
    <w:rsid w:val="00D74D0D"/>
    <w:rsid w:val="00D75701"/>
    <w:rsid w:val="00D81DD0"/>
    <w:rsid w:val="00D84760"/>
    <w:rsid w:val="00D9035F"/>
    <w:rsid w:val="00D923C5"/>
    <w:rsid w:val="00DA0FB1"/>
    <w:rsid w:val="00DA16D3"/>
    <w:rsid w:val="00DB29DB"/>
    <w:rsid w:val="00DB2CF3"/>
    <w:rsid w:val="00DC7258"/>
    <w:rsid w:val="00DE452F"/>
    <w:rsid w:val="00DE48FA"/>
    <w:rsid w:val="00DF1B75"/>
    <w:rsid w:val="00DF7574"/>
    <w:rsid w:val="00E052E3"/>
    <w:rsid w:val="00E06BEF"/>
    <w:rsid w:val="00E10BFC"/>
    <w:rsid w:val="00E11D7A"/>
    <w:rsid w:val="00E16BC1"/>
    <w:rsid w:val="00E2276B"/>
    <w:rsid w:val="00E331C9"/>
    <w:rsid w:val="00E357EC"/>
    <w:rsid w:val="00E40AB5"/>
    <w:rsid w:val="00E41A82"/>
    <w:rsid w:val="00E42993"/>
    <w:rsid w:val="00E45CBC"/>
    <w:rsid w:val="00E47C50"/>
    <w:rsid w:val="00E54650"/>
    <w:rsid w:val="00E55A6D"/>
    <w:rsid w:val="00E56537"/>
    <w:rsid w:val="00E56A20"/>
    <w:rsid w:val="00E607A9"/>
    <w:rsid w:val="00E607AB"/>
    <w:rsid w:val="00E6345A"/>
    <w:rsid w:val="00E645AC"/>
    <w:rsid w:val="00E66F52"/>
    <w:rsid w:val="00E72D9F"/>
    <w:rsid w:val="00E751B1"/>
    <w:rsid w:val="00E80E17"/>
    <w:rsid w:val="00E812C8"/>
    <w:rsid w:val="00E83446"/>
    <w:rsid w:val="00E9138A"/>
    <w:rsid w:val="00E92AAA"/>
    <w:rsid w:val="00E958EA"/>
    <w:rsid w:val="00EA22BA"/>
    <w:rsid w:val="00EA7F3B"/>
    <w:rsid w:val="00EB2BE4"/>
    <w:rsid w:val="00EB768A"/>
    <w:rsid w:val="00EC0C96"/>
    <w:rsid w:val="00EC0F76"/>
    <w:rsid w:val="00EC4A0A"/>
    <w:rsid w:val="00EC7D86"/>
    <w:rsid w:val="00ED0611"/>
    <w:rsid w:val="00ED6CA3"/>
    <w:rsid w:val="00ED7ADE"/>
    <w:rsid w:val="00EE2947"/>
    <w:rsid w:val="00EF1F0B"/>
    <w:rsid w:val="00F0179F"/>
    <w:rsid w:val="00F01E0D"/>
    <w:rsid w:val="00F04089"/>
    <w:rsid w:val="00F107DF"/>
    <w:rsid w:val="00F173DC"/>
    <w:rsid w:val="00F226E4"/>
    <w:rsid w:val="00F41EA8"/>
    <w:rsid w:val="00F42084"/>
    <w:rsid w:val="00F45597"/>
    <w:rsid w:val="00F53568"/>
    <w:rsid w:val="00F53674"/>
    <w:rsid w:val="00F56984"/>
    <w:rsid w:val="00F6299F"/>
    <w:rsid w:val="00F6321E"/>
    <w:rsid w:val="00F665C9"/>
    <w:rsid w:val="00F676B6"/>
    <w:rsid w:val="00F70A20"/>
    <w:rsid w:val="00F71458"/>
    <w:rsid w:val="00F71C8B"/>
    <w:rsid w:val="00F725E7"/>
    <w:rsid w:val="00F738C6"/>
    <w:rsid w:val="00F8224F"/>
    <w:rsid w:val="00F82A2A"/>
    <w:rsid w:val="00F842C1"/>
    <w:rsid w:val="00F91368"/>
    <w:rsid w:val="00F91718"/>
    <w:rsid w:val="00F940EE"/>
    <w:rsid w:val="00FA0F4B"/>
    <w:rsid w:val="00FA3F66"/>
    <w:rsid w:val="00FA5BAA"/>
    <w:rsid w:val="00FA5BF8"/>
    <w:rsid w:val="00FA687D"/>
    <w:rsid w:val="00FA6EA5"/>
    <w:rsid w:val="00FA7189"/>
    <w:rsid w:val="00FB4307"/>
    <w:rsid w:val="00FB5E73"/>
    <w:rsid w:val="00FB5F20"/>
    <w:rsid w:val="00FB7381"/>
    <w:rsid w:val="00FC0831"/>
    <w:rsid w:val="00FC1E54"/>
    <w:rsid w:val="00FC6B96"/>
    <w:rsid w:val="00FC7BA8"/>
    <w:rsid w:val="00FD0A9A"/>
    <w:rsid w:val="00FD2735"/>
    <w:rsid w:val="00FD6FC5"/>
    <w:rsid w:val="00FE2A71"/>
    <w:rsid w:val="00FE4568"/>
    <w:rsid w:val="00FF7720"/>
    <w:rsid w:val="00FF7A43"/>
    <w:rsid w:val="06AA227A"/>
    <w:rsid w:val="21ADF615"/>
    <w:rsid w:val="29E5BDE7"/>
    <w:rsid w:val="2E3D4477"/>
    <w:rsid w:val="3E916210"/>
    <w:rsid w:val="5FDB75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2124F"/>
  <w15:chartTrackingRefBased/>
  <w15:docId w15:val="{D8C04CD0-6F6A-4467-9045-4139E13A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7182"/>
    <w:pPr>
      <w:keepNext/>
      <w:keepLines/>
      <w:spacing w:before="40" w:after="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B064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7D8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C7D86"/>
    <w:pPr>
      <w:outlineLvl w:val="9"/>
    </w:pPr>
    <w:rPr>
      <w:kern w:val="0"/>
      <w:lang w:val="en-US"/>
      <w14:ligatures w14:val="none"/>
    </w:rPr>
  </w:style>
  <w:style w:type="character" w:customStyle="1" w:styleId="Heading2Char">
    <w:name w:val="Heading 2 Char"/>
    <w:basedOn w:val="DefaultParagraphFont"/>
    <w:link w:val="Heading2"/>
    <w:uiPriority w:val="9"/>
    <w:rsid w:val="007C7182"/>
    <w:rPr>
      <w:rFonts w:ascii="Arial" w:eastAsiaTheme="majorEastAsia" w:hAnsi="Arial" w:cstheme="majorBidi"/>
      <w:b/>
      <w:szCs w:val="26"/>
    </w:rPr>
  </w:style>
  <w:style w:type="paragraph" w:styleId="TOC1">
    <w:name w:val="toc 1"/>
    <w:basedOn w:val="Normal"/>
    <w:next w:val="Normal"/>
    <w:autoRedefine/>
    <w:uiPriority w:val="39"/>
    <w:unhideWhenUsed/>
    <w:rsid w:val="008F2D6E"/>
    <w:pPr>
      <w:spacing w:after="100"/>
    </w:pPr>
  </w:style>
  <w:style w:type="paragraph" w:styleId="TOC2">
    <w:name w:val="toc 2"/>
    <w:basedOn w:val="Normal"/>
    <w:next w:val="Normal"/>
    <w:autoRedefine/>
    <w:uiPriority w:val="39"/>
    <w:unhideWhenUsed/>
    <w:rsid w:val="008F2D6E"/>
    <w:pPr>
      <w:spacing w:after="100"/>
      <w:ind w:left="220"/>
    </w:pPr>
  </w:style>
  <w:style w:type="character" w:styleId="Hyperlink">
    <w:name w:val="Hyperlink"/>
    <w:basedOn w:val="DefaultParagraphFont"/>
    <w:uiPriority w:val="99"/>
    <w:unhideWhenUsed/>
    <w:rsid w:val="008F2D6E"/>
    <w:rPr>
      <w:color w:val="0563C1" w:themeColor="hyperlink"/>
      <w:u w:val="single"/>
    </w:rPr>
  </w:style>
  <w:style w:type="character" w:styleId="UnresolvedMention">
    <w:name w:val="Unresolved Mention"/>
    <w:basedOn w:val="DefaultParagraphFont"/>
    <w:uiPriority w:val="99"/>
    <w:semiHidden/>
    <w:unhideWhenUsed/>
    <w:rsid w:val="00D25313"/>
    <w:rPr>
      <w:color w:val="605E5C"/>
      <w:shd w:val="clear" w:color="auto" w:fill="E1DFDD"/>
    </w:rPr>
  </w:style>
  <w:style w:type="paragraph" w:styleId="ListParagraph">
    <w:name w:val="List Paragraph"/>
    <w:basedOn w:val="Normal"/>
    <w:uiPriority w:val="34"/>
    <w:qFormat/>
    <w:rsid w:val="00EE2947"/>
    <w:pPr>
      <w:ind w:left="720"/>
      <w:contextualSpacing/>
    </w:pPr>
  </w:style>
  <w:style w:type="character" w:customStyle="1" w:styleId="Heading3Char">
    <w:name w:val="Heading 3 Char"/>
    <w:basedOn w:val="DefaultParagraphFont"/>
    <w:link w:val="Heading3"/>
    <w:uiPriority w:val="9"/>
    <w:rsid w:val="00B064D4"/>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B064D4"/>
    <w:pPr>
      <w:spacing w:after="100"/>
      <w:ind w:left="440"/>
    </w:pPr>
  </w:style>
  <w:style w:type="paragraph" w:styleId="Header">
    <w:name w:val="header"/>
    <w:basedOn w:val="Normal"/>
    <w:link w:val="HeaderChar"/>
    <w:uiPriority w:val="99"/>
    <w:unhideWhenUsed/>
    <w:rsid w:val="00FE4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568"/>
  </w:style>
  <w:style w:type="paragraph" w:styleId="Footer">
    <w:name w:val="footer"/>
    <w:basedOn w:val="Normal"/>
    <w:link w:val="FooterChar"/>
    <w:uiPriority w:val="99"/>
    <w:unhideWhenUsed/>
    <w:rsid w:val="00FE4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568"/>
  </w:style>
  <w:style w:type="character" w:styleId="CommentReference">
    <w:name w:val="annotation reference"/>
    <w:basedOn w:val="DefaultParagraphFont"/>
    <w:uiPriority w:val="99"/>
    <w:semiHidden/>
    <w:unhideWhenUsed/>
    <w:rsid w:val="00F91368"/>
    <w:rPr>
      <w:sz w:val="16"/>
      <w:szCs w:val="16"/>
    </w:rPr>
  </w:style>
  <w:style w:type="paragraph" w:styleId="CommentText">
    <w:name w:val="annotation text"/>
    <w:basedOn w:val="Normal"/>
    <w:link w:val="CommentTextChar"/>
    <w:uiPriority w:val="99"/>
    <w:unhideWhenUsed/>
    <w:rsid w:val="00F91368"/>
    <w:pPr>
      <w:spacing w:line="240" w:lineRule="auto"/>
    </w:pPr>
    <w:rPr>
      <w:sz w:val="20"/>
      <w:szCs w:val="20"/>
    </w:rPr>
  </w:style>
  <w:style w:type="character" w:customStyle="1" w:styleId="CommentTextChar">
    <w:name w:val="Comment Text Char"/>
    <w:basedOn w:val="DefaultParagraphFont"/>
    <w:link w:val="CommentText"/>
    <w:uiPriority w:val="99"/>
    <w:rsid w:val="00F91368"/>
    <w:rPr>
      <w:sz w:val="20"/>
      <w:szCs w:val="20"/>
    </w:rPr>
  </w:style>
  <w:style w:type="paragraph" w:styleId="CommentSubject">
    <w:name w:val="annotation subject"/>
    <w:basedOn w:val="CommentText"/>
    <w:next w:val="CommentText"/>
    <w:link w:val="CommentSubjectChar"/>
    <w:uiPriority w:val="99"/>
    <w:semiHidden/>
    <w:unhideWhenUsed/>
    <w:rsid w:val="00F91368"/>
    <w:rPr>
      <w:b/>
      <w:bCs/>
    </w:rPr>
  </w:style>
  <w:style w:type="character" w:customStyle="1" w:styleId="CommentSubjectChar">
    <w:name w:val="Comment Subject Char"/>
    <w:basedOn w:val="CommentTextChar"/>
    <w:link w:val="CommentSubject"/>
    <w:uiPriority w:val="99"/>
    <w:semiHidden/>
    <w:rsid w:val="00F91368"/>
    <w:rPr>
      <w:b/>
      <w:bCs/>
      <w:sz w:val="20"/>
      <w:szCs w:val="20"/>
    </w:rPr>
  </w:style>
  <w:style w:type="paragraph" w:styleId="Revision">
    <w:name w:val="Revision"/>
    <w:hidden/>
    <w:uiPriority w:val="99"/>
    <w:semiHidden/>
    <w:rsid w:val="001E17E9"/>
    <w:pPr>
      <w:spacing w:after="0" w:line="240" w:lineRule="auto"/>
    </w:pPr>
  </w:style>
  <w:style w:type="paragraph" w:styleId="Caption">
    <w:name w:val="caption"/>
    <w:basedOn w:val="Normal"/>
    <w:next w:val="Normal"/>
    <w:uiPriority w:val="35"/>
    <w:unhideWhenUsed/>
    <w:qFormat/>
    <w:rsid w:val="009A0B5D"/>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7519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949"/>
    <w:rPr>
      <w:sz w:val="20"/>
      <w:szCs w:val="20"/>
    </w:rPr>
  </w:style>
  <w:style w:type="character" w:styleId="FootnoteReference">
    <w:name w:val="footnote reference"/>
    <w:basedOn w:val="DefaultParagraphFont"/>
    <w:uiPriority w:val="99"/>
    <w:semiHidden/>
    <w:unhideWhenUsed/>
    <w:rsid w:val="00751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7859">
      <w:bodyDiv w:val="1"/>
      <w:marLeft w:val="0"/>
      <w:marRight w:val="0"/>
      <w:marTop w:val="0"/>
      <w:marBottom w:val="0"/>
      <w:divBdr>
        <w:top w:val="none" w:sz="0" w:space="0" w:color="auto"/>
        <w:left w:val="none" w:sz="0" w:space="0" w:color="auto"/>
        <w:bottom w:val="none" w:sz="0" w:space="0" w:color="auto"/>
        <w:right w:val="none" w:sz="0" w:space="0" w:color="auto"/>
      </w:divBdr>
    </w:div>
    <w:div w:id="116031329">
      <w:bodyDiv w:val="1"/>
      <w:marLeft w:val="0"/>
      <w:marRight w:val="0"/>
      <w:marTop w:val="0"/>
      <w:marBottom w:val="0"/>
      <w:divBdr>
        <w:top w:val="none" w:sz="0" w:space="0" w:color="auto"/>
        <w:left w:val="none" w:sz="0" w:space="0" w:color="auto"/>
        <w:bottom w:val="none" w:sz="0" w:space="0" w:color="auto"/>
        <w:right w:val="none" w:sz="0" w:space="0" w:color="auto"/>
      </w:divBdr>
    </w:div>
    <w:div w:id="324087383">
      <w:bodyDiv w:val="1"/>
      <w:marLeft w:val="0"/>
      <w:marRight w:val="0"/>
      <w:marTop w:val="0"/>
      <w:marBottom w:val="0"/>
      <w:divBdr>
        <w:top w:val="none" w:sz="0" w:space="0" w:color="auto"/>
        <w:left w:val="none" w:sz="0" w:space="0" w:color="auto"/>
        <w:bottom w:val="none" w:sz="0" w:space="0" w:color="auto"/>
        <w:right w:val="none" w:sz="0" w:space="0" w:color="auto"/>
      </w:divBdr>
    </w:div>
    <w:div w:id="657730333">
      <w:bodyDiv w:val="1"/>
      <w:marLeft w:val="0"/>
      <w:marRight w:val="0"/>
      <w:marTop w:val="0"/>
      <w:marBottom w:val="0"/>
      <w:divBdr>
        <w:top w:val="none" w:sz="0" w:space="0" w:color="auto"/>
        <w:left w:val="none" w:sz="0" w:space="0" w:color="auto"/>
        <w:bottom w:val="none" w:sz="0" w:space="0" w:color="auto"/>
        <w:right w:val="none" w:sz="0" w:space="0" w:color="auto"/>
      </w:divBdr>
    </w:div>
    <w:div w:id="856623586">
      <w:bodyDiv w:val="1"/>
      <w:marLeft w:val="0"/>
      <w:marRight w:val="0"/>
      <w:marTop w:val="0"/>
      <w:marBottom w:val="0"/>
      <w:divBdr>
        <w:top w:val="none" w:sz="0" w:space="0" w:color="auto"/>
        <w:left w:val="none" w:sz="0" w:space="0" w:color="auto"/>
        <w:bottom w:val="none" w:sz="0" w:space="0" w:color="auto"/>
        <w:right w:val="none" w:sz="0" w:space="0" w:color="auto"/>
      </w:divBdr>
    </w:div>
    <w:div w:id="911895557">
      <w:bodyDiv w:val="1"/>
      <w:marLeft w:val="0"/>
      <w:marRight w:val="0"/>
      <w:marTop w:val="0"/>
      <w:marBottom w:val="0"/>
      <w:divBdr>
        <w:top w:val="none" w:sz="0" w:space="0" w:color="auto"/>
        <w:left w:val="none" w:sz="0" w:space="0" w:color="auto"/>
        <w:bottom w:val="none" w:sz="0" w:space="0" w:color="auto"/>
        <w:right w:val="none" w:sz="0" w:space="0" w:color="auto"/>
      </w:divBdr>
    </w:div>
    <w:div w:id="936060856">
      <w:bodyDiv w:val="1"/>
      <w:marLeft w:val="0"/>
      <w:marRight w:val="0"/>
      <w:marTop w:val="0"/>
      <w:marBottom w:val="0"/>
      <w:divBdr>
        <w:top w:val="none" w:sz="0" w:space="0" w:color="auto"/>
        <w:left w:val="none" w:sz="0" w:space="0" w:color="auto"/>
        <w:bottom w:val="none" w:sz="0" w:space="0" w:color="auto"/>
        <w:right w:val="none" w:sz="0" w:space="0" w:color="auto"/>
      </w:divBdr>
    </w:div>
    <w:div w:id="1348947179">
      <w:bodyDiv w:val="1"/>
      <w:marLeft w:val="0"/>
      <w:marRight w:val="0"/>
      <w:marTop w:val="0"/>
      <w:marBottom w:val="0"/>
      <w:divBdr>
        <w:top w:val="none" w:sz="0" w:space="0" w:color="auto"/>
        <w:left w:val="none" w:sz="0" w:space="0" w:color="auto"/>
        <w:bottom w:val="none" w:sz="0" w:space="0" w:color="auto"/>
        <w:right w:val="none" w:sz="0" w:space="0" w:color="auto"/>
      </w:divBdr>
    </w:div>
    <w:div w:id="1733234514">
      <w:bodyDiv w:val="1"/>
      <w:marLeft w:val="0"/>
      <w:marRight w:val="0"/>
      <w:marTop w:val="0"/>
      <w:marBottom w:val="0"/>
      <w:divBdr>
        <w:top w:val="none" w:sz="0" w:space="0" w:color="auto"/>
        <w:left w:val="none" w:sz="0" w:space="0" w:color="auto"/>
        <w:bottom w:val="none" w:sz="0" w:space="0" w:color="auto"/>
        <w:right w:val="none" w:sz="0" w:space="0" w:color="auto"/>
      </w:divBdr>
    </w:div>
    <w:div w:id="1840078714">
      <w:bodyDiv w:val="1"/>
      <w:marLeft w:val="0"/>
      <w:marRight w:val="0"/>
      <w:marTop w:val="0"/>
      <w:marBottom w:val="0"/>
      <w:divBdr>
        <w:top w:val="none" w:sz="0" w:space="0" w:color="auto"/>
        <w:left w:val="none" w:sz="0" w:space="0" w:color="auto"/>
        <w:bottom w:val="none" w:sz="0" w:space="0" w:color="auto"/>
        <w:right w:val="none" w:sz="0" w:space="0" w:color="auto"/>
      </w:divBdr>
    </w:div>
    <w:div w:id="20969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beisgov.sharepoint.com/:w:/r/sites/ICF/_layouts/15/Doc.aspx?sourcedoc=%7B07ED1F3A-4B6F-4C03-B539-39C65BEDD03B%7D&amp;file=BEIS%20ICF%20Programme%20IATI-Identifiers%20.docx&amp;action=default&amp;mobileredirect=tru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evtracker.fcdo.gov.uk/projects/GB-GOV-13-ICF-0015-UKCI/document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ODA-Transparency@beis.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si@nationalarchives.gsi.gov.uk" TargetMode="External"/><Relationship Id="rId20" Type="http://schemas.openxmlformats.org/officeDocument/2006/relationships/hyperlink" Target="https://devtracker.fcdo.gov.uk/projects/GB-GOV-13-ICF-0015-UKCI/docu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nationalarchives.gov.uk/doc/open-government-licence/version/3/"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devtracker.fcdo.gov.uk/projects/GB-GOV-13-ICF-0015-UKCI/docu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ad9e33-5271-4ce6-bdd9-333434fbc601">
      <Value>1</Value>
    </TaxCatchAll>
    <Government_x0020_Body xmlns="b413c3fd-5a3b-4239-b985-69032e371c04">BEIS</Government_x0020_Body>
    <Date_x0020_Opened xmlns="b413c3fd-5a3b-4239-b985-69032e371c04">2023-05-05T11:15:31+00:00</Date_x0020_Opened>
    <LegacyData xmlns="aaacb922-5235-4a66-b188-303b9b46fbd7" xsi:nil="true"/>
    <Descriptor xmlns="0063f72e-ace3-48fb-9c1f-5b513408b31f" xsi:nil="true"/>
    <m975189f4ba442ecbf67d4147307b177 xmlns="92ad9e33-5271-4ce6-bdd9-333434fbc601">
      <Terms xmlns="http://schemas.microsoft.com/office/infopath/2007/PartnerControls">
        <TermInfo xmlns="http://schemas.microsoft.com/office/infopath/2007/PartnerControls">
          <TermName xmlns="http://schemas.microsoft.com/office/infopath/2007/PartnerControls">International Climate Finance</TermName>
          <TermId xmlns="http://schemas.microsoft.com/office/infopath/2007/PartnerControls">25a07eec-082c-4868-be05-2bef48a6767e</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92ad9e33-5271-4ce6-bdd9-333434fbc601">FQW7PQWC2EQU-2126234253-15185</_dlc_DocId>
    <_dlc_DocIdUrl xmlns="92ad9e33-5271-4ce6-bdd9-333434fbc601">
      <Url>https://beisgov.sharepoint.com/sites/ICF/_layouts/15/DocIdRedir.aspx?ID=FQW7PQWC2EQU-2126234253-15185</Url>
      <Description>FQW7PQWC2EQU-2126234253-15185</Description>
    </_dlc_DocIdUrl>
    <SharedWithUsers xmlns="92ad9e33-5271-4ce6-bdd9-333434fbc601">
      <UserInfo>
        <DisplayName>Olubodun, Lekan (NZSI - International Net Zero)</DisplayName>
        <AccountId>162</AccountId>
        <AccountType/>
      </UserInfo>
      <UserInfo>
        <DisplayName>Smithers, William (NZSI - International Net Zero)</DisplayName>
        <AccountId>15</AccountId>
        <AccountType/>
      </UserInfo>
      <UserInfo>
        <DisplayName>Farmer, Will (NZSI - International Net Zero)</DisplayName>
        <AccountId>142</AccountId>
        <AccountType/>
      </UserInfo>
      <UserInfo>
        <DisplayName>Evans, Rachael (BEIS)</DisplayName>
        <AccountId>8412</AccountId>
        <AccountType/>
      </UserInfo>
      <UserInfo>
        <DisplayName>Poletti, Monica (NZSI - International Net Zero )</DisplayName>
        <AccountId>8373</AccountId>
        <AccountType/>
      </UserInfo>
      <UserInfo>
        <DisplayName>Jones3, Philip (NZSI - International Net Zero )</DisplayName>
        <AccountId>8101</AccountId>
        <AccountType/>
      </UserInfo>
      <UserInfo>
        <DisplayName>Penistone, Amanda (NZSI - International Net Zero)</DisplayName>
        <AccountId>146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6BC38FBA6AE64EBB94A713A201E924" ma:contentTypeVersion="14" ma:contentTypeDescription="Create a new document." ma:contentTypeScope="" ma:versionID="bb614a38a9fa21a38450df787ef0a65c">
  <xsd:schema xmlns:xsd="http://www.w3.org/2001/XMLSchema" xmlns:xs="http://www.w3.org/2001/XMLSchema" xmlns:p="http://schemas.microsoft.com/office/2006/metadata/properties" xmlns:ns2="92ad9e33-5271-4ce6-bdd9-333434fbc601" xmlns:ns3="0063f72e-ace3-48fb-9c1f-5b513408b31f" xmlns:ns4="b413c3fd-5a3b-4239-b985-69032e371c04" xmlns:ns5="a8f60570-4bd3-4f2b-950b-a996de8ab151" xmlns:ns6="aaacb922-5235-4a66-b188-303b9b46fbd7" xmlns:ns7="c428dd7c-603b-4269-bcac-7b8676926974" targetNamespace="http://schemas.microsoft.com/office/2006/metadata/properties" ma:root="true" ma:fieldsID="2dbe2da54102d1cc6b00c7a78d16f01e" ns2:_="" ns3:_="" ns4:_="" ns5:_="" ns6:_="" ns7:_="">
    <xsd:import namespace="92ad9e33-5271-4ce6-bdd9-333434fbc601"/>
    <xsd:import namespace="0063f72e-ace3-48fb-9c1f-5b513408b31f"/>
    <xsd:import namespace="b413c3fd-5a3b-4239-b985-69032e371c04"/>
    <xsd:import namespace="a8f60570-4bd3-4f2b-950b-a996de8ab151"/>
    <xsd:import namespace="aaacb922-5235-4a66-b188-303b9b46fbd7"/>
    <xsd:import namespace="c428dd7c-603b-4269-bcac-7b8676926974"/>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2:SharedWithUsers" minOccurs="0"/>
                <xsd:element ref="ns2:SharedWithDetails" minOccurs="0"/>
                <xsd:element ref="ns7:MediaLengthInSeconds"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d9e33-5271-4ce6-bdd9-333434fbc6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International Climate Finance|25a07eec-082c-4868-be05-2bef48a6767e"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136d9e3-02d7-4447-9a9a-9d02553843e1}" ma:internalName="TaxCatchAll" ma:showField="CatchAllData"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136d9e3-02d7-4447-9a9a-9d02553843e1}" ma:internalName="TaxCatchAllLabel" ma:readOnly="true" ma:showField="CatchAllDataLabel"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8dd7c-603b-4269-bcac-7b867692697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42524C-2939-4D4B-AAA0-390E8572E169}">
  <ds:schemaRefs>
    <ds:schemaRef ds:uri="http://schemas.openxmlformats.org/officeDocument/2006/bibliography"/>
  </ds:schemaRefs>
</ds:datastoreItem>
</file>

<file path=customXml/itemProps2.xml><?xml version="1.0" encoding="utf-8"?>
<ds:datastoreItem xmlns:ds="http://schemas.openxmlformats.org/officeDocument/2006/customXml" ds:itemID="{0C815239-C962-43B2-93FB-655001E0542F}">
  <ds:schemaRefs>
    <ds:schemaRef ds:uri="http://schemas.microsoft.com/sharepoint/v3/contenttype/forms"/>
  </ds:schemaRefs>
</ds:datastoreItem>
</file>

<file path=customXml/itemProps3.xml><?xml version="1.0" encoding="utf-8"?>
<ds:datastoreItem xmlns:ds="http://schemas.openxmlformats.org/officeDocument/2006/customXml" ds:itemID="{225DF6F7-B72A-40E0-9557-BD32B50CC218}">
  <ds:schemaRefs>
    <ds:schemaRef ds:uri="http://schemas.microsoft.com/office/2006/metadata/properties"/>
    <ds:schemaRef ds:uri="http://schemas.microsoft.com/office/infopath/2007/PartnerControls"/>
    <ds:schemaRef ds:uri="92ad9e33-5271-4ce6-bdd9-333434fbc601"/>
    <ds:schemaRef ds:uri="b413c3fd-5a3b-4239-b985-69032e371c04"/>
    <ds:schemaRef ds:uri="aaacb922-5235-4a66-b188-303b9b46fbd7"/>
    <ds:schemaRef ds:uri="0063f72e-ace3-48fb-9c1f-5b513408b31f"/>
    <ds:schemaRef ds:uri="a8f60570-4bd3-4f2b-950b-a996de8ab151"/>
  </ds:schemaRefs>
</ds:datastoreItem>
</file>

<file path=customXml/itemProps4.xml><?xml version="1.0" encoding="utf-8"?>
<ds:datastoreItem xmlns:ds="http://schemas.openxmlformats.org/officeDocument/2006/customXml" ds:itemID="{E2D68EB8-E6BA-4F0F-9A1C-D68E73A5D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d9e33-5271-4ce6-bdd9-333434fbc601"/>
    <ds:schemaRef ds:uri="0063f72e-ace3-48fb-9c1f-5b513408b31f"/>
    <ds:schemaRef ds:uri="b413c3fd-5a3b-4239-b985-69032e371c04"/>
    <ds:schemaRef ds:uri="a8f60570-4bd3-4f2b-950b-a996de8ab151"/>
    <ds:schemaRef ds:uri="aaacb922-5235-4a66-b188-303b9b46fbd7"/>
    <ds:schemaRef ds:uri="c428dd7c-603b-4269-bcac-7b8676926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8E3654-D616-4E75-B7FB-EAF045B1184A}">
  <ds:schemaRefs>
    <ds:schemaRef ds:uri="http://schemas.microsoft.com/sharepoint/events"/>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8931</Words>
  <Characters>50909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Smithers, William (NZSI - International Net Zero)</dc:creator>
  <cp:keywords/>
  <dc:description/>
  <cp:lastModifiedBy>Andrew Lucas</cp:lastModifiedBy>
  <cp:revision>2</cp:revision>
  <dcterms:created xsi:type="dcterms:W3CDTF">2024-04-02T10:08:00Z</dcterms:created>
  <dcterms:modified xsi:type="dcterms:W3CDTF">2024-04-02T10:08:00Z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0x010100C86BC38FBA6AE64EBB94A713A201E924</vt:lpwstr>
  </property>
  <property fmtid="{D5CDD505-2E9C-101B-9397-08002B2CF9AE}" pid="3" name="Business Unit">
    <vt:lpwstr>1;#International Climate Finance|25a07eec-082c-4868-be05-2bef48a6767e</vt:lpwstr>
  </property>
  <property fmtid="{D5CDD505-2E9C-101B-9397-08002B2CF9AE}" pid="4" name="_dlc_DocIdItemGuid">
    <vt:lpwstr>f0553cc6-2f6e-4e35-8cbe-f7b9b6a7dabe</vt:lpwstr>
  </property>
  <property fmtid="{D5CDD505-2E9C-101B-9397-08002B2CF9AE}" pid="5" name="MSIP_Label_ba62f585-b40f-4ab9-bafe-39150f03d124_Enabled">
    <vt:lpwstr>true</vt:lpwstr>
  </property>
  <property fmtid="{D5CDD505-2E9C-101B-9397-08002B2CF9AE}" pid="6" name="MSIP_Label_ba62f585-b40f-4ab9-bafe-39150f03d124_SetDate">
    <vt:lpwstr>2023-05-05T13:18:53Z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0308c993-0d78-40d5-b436-4b7c02d590fe</vt:lpwstr>
  </property>
  <property fmtid="{D5CDD505-2E9C-101B-9397-08002B2CF9AE}" pid="11" name="MSIP_Label_ba62f585-b40f-4ab9-bafe-39150f03d124_ContentBits">
    <vt:lpwstr>0</vt:lpwstr>
  </property>
  <property fmtid="{D5CDD505-2E9C-101B-9397-08002B2CF9AE}" pid="12" name="MSIP_Label_bff60613-a741-4790-ba46-c6813ca61c58_Enabled">
    <vt:lpwstr>true</vt:lpwstr>
  </property>
  <property fmtid="{D5CDD505-2E9C-101B-9397-08002B2CF9AE}" pid="13" name="MSIP_Label_bff60613-a741-4790-ba46-c6813ca61c58_SetDate">
    <vt:lpwstr>2024-02-08T17:57:29Z</vt:lpwstr>
  </property>
  <property fmtid="{D5CDD505-2E9C-101B-9397-08002B2CF9AE}" pid="14" name="MSIP_Label_bff60613-a741-4790-ba46-c6813ca61c58_Method">
    <vt:lpwstr>Standard</vt:lpwstr>
  </property>
  <property fmtid="{D5CDD505-2E9C-101B-9397-08002B2CF9AE}" pid="15" name="MSIP_Label_bff60613-a741-4790-ba46-c6813ca61c58_Name">
    <vt:lpwstr>Confidential</vt:lpwstr>
  </property>
  <property fmtid="{D5CDD505-2E9C-101B-9397-08002B2CF9AE}" pid="16" name="MSIP_Label_bff60613-a741-4790-ba46-c6813ca61c58_SiteId">
    <vt:lpwstr>568a5434-7d3f-4714-b824-fe722e2748c0</vt:lpwstr>
  </property>
  <property fmtid="{D5CDD505-2E9C-101B-9397-08002B2CF9AE}" pid="17" name="MSIP_Label_bff60613-a741-4790-ba46-c6813ca61c58_ActionId">
    <vt:lpwstr>5a9f5c43-0834-46a0-9dc4-944ac4df5ba0</vt:lpwstr>
  </property>
  <property fmtid="{D5CDD505-2E9C-101B-9397-08002B2CF9AE}" pid="18" name="MSIP_Label_bff60613-a741-4790-ba46-c6813ca61c58_ContentBits">
    <vt:lpwstr>0</vt:lpwstr>
  </property>
</Properties>
</file>