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09FF" w14:textId="77777777" w:rsidR="003D222C" w:rsidRPr="00F70DBE" w:rsidRDefault="003D222C" w:rsidP="003D222C">
      <w:pPr>
        <w:rPr>
          <w:b/>
          <w:sz w:val="22"/>
          <w:szCs w:val="22"/>
        </w:rPr>
      </w:pPr>
    </w:p>
    <w:tbl>
      <w:tblPr>
        <w:tblStyle w:val="TableGrid"/>
        <w:tblW w:w="0" w:type="auto"/>
        <w:tblLook w:val="04A0" w:firstRow="1" w:lastRow="0" w:firstColumn="1" w:lastColumn="0" w:noHBand="0" w:noVBand="1"/>
      </w:tblPr>
      <w:tblGrid>
        <w:gridCol w:w="3397"/>
        <w:gridCol w:w="2410"/>
        <w:gridCol w:w="3209"/>
      </w:tblGrid>
      <w:tr w:rsidR="003D222C" w:rsidRPr="00F70DBE" w14:paraId="4245A7F1" w14:textId="77777777" w:rsidTr="69FBFAB7">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63F828E4" w14:textId="0F5B8A13" w:rsidR="003D222C" w:rsidRPr="00CC6489" w:rsidRDefault="003D222C" w:rsidP="1AD82269">
            <w:pPr>
              <w:rPr>
                <w:b/>
                <w:sz w:val="22"/>
                <w:szCs w:val="22"/>
              </w:rPr>
            </w:pPr>
            <w:r w:rsidRPr="4DAD4253">
              <w:rPr>
                <w:b/>
                <w:sz w:val="22"/>
                <w:szCs w:val="22"/>
              </w:rPr>
              <w:t xml:space="preserve">Title:  </w:t>
            </w:r>
            <w:r w:rsidR="00B74338" w:rsidRPr="4DAD4253">
              <w:rPr>
                <w:b/>
                <w:sz w:val="22"/>
                <w:szCs w:val="22"/>
              </w:rPr>
              <w:t xml:space="preserve"> </w:t>
            </w:r>
            <w:r w:rsidR="004B0DE7" w:rsidRPr="4DAD4253">
              <w:rPr>
                <w:sz w:val="22"/>
                <w:szCs w:val="22"/>
              </w:rPr>
              <w:t xml:space="preserve">Enhancing climate ambition, transparency and impact in the forests and land use sector through Article 5 of the Paris Agreement </w:t>
            </w:r>
            <w:r w:rsidR="00F4191D" w:rsidRPr="4DAD4253">
              <w:rPr>
                <w:sz w:val="22"/>
                <w:szCs w:val="22"/>
              </w:rPr>
              <w:t xml:space="preserve">(short title: </w:t>
            </w:r>
            <w:r w:rsidR="00B74338" w:rsidRPr="4DAD4253">
              <w:rPr>
                <w:sz w:val="22"/>
                <w:szCs w:val="22"/>
              </w:rPr>
              <w:t>UNFCCC REDD+ Support Programme</w:t>
            </w:r>
            <w:r w:rsidR="00F4191D" w:rsidRPr="4DAD4253">
              <w:rPr>
                <w:sz w:val="22"/>
                <w:szCs w:val="22"/>
              </w:rPr>
              <w:t>)</w:t>
            </w:r>
            <w:r w:rsidR="00B74338" w:rsidRPr="4DAD4253">
              <w:rPr>
                <w:b/>
                <w:sz w:val="22"/>
                <w:szCs w:val="22"/>
              </w:rPr>
              <w:t xml:space="preserve"> </w:t>
            </w:r>
          </w:p>
        </w:tc>
      </w:tr>
      <w:tr w:rsidR="003D222C" w:rsidRPr="00F70DBE" w14:paraId="1CE19CC0" w14:textId="77777777" w:rsidTr="69FBFAB7">
        <w:trPr>
          <w:trHeight w:val="413"/>
        </w:trPr>
        <w:tc>
          <w:tcPr>
            <w:tcW w:w="5807"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05489EB9" w14:textId="5CA1FDF6" w:rsidR="003D222C" w:rsidRPr="00CC6489" w:rsidRDefault="003D222C" w:rsidP="69FBFAB7">
            <w:pPr>
              <w:rPr>
                <w:b/>
                <w:sz w:val="22"/>
                <w:szCs w:val="22"/>
              </w:rPr>
            </w:pPr>
            <w:r w:rsidRPr="4DAD4253">
              <w:rPr>
                <w:b/>
                <w:sz w:val="22"/>
                <w:szCs w:val="22"/>
              </w:rPr>
              <w:t xml:space="preserve">Programme Value £ (full life): </w:t>
            </w:r>
            <w:r w:rsidR="004107A4" w:rsidRPr="4DAD4253">
              <w:rPr>
                <w:sz w:val="22"/>
                <w:szCs w:val="22"/>
              </w:rPr>
              <w:t>£</w:t>
            </w:r>
            <w:r w:rsidR="00F10D43" w:rsidRPr="4DAD4253">
              <w:rPr>
                <w:sz w:val="22"/>
                <w:szCs w:val="22"/>
              </w:rPr>
              <w:t>1</w:t>
            </w:r>
            <w:r w:rsidR="004107A4" w:rsidRPr="4DAD4253">
              <w:rPr>
                <w:sz w:val="22"/>
                <w:szCs w:val="22"/>
              </w:rPr>
              <w:t>.</w:t>
            </w:r>
            <w:r w:rsidR="00F10D43" w:rsidRPr="4DAD4253">
              <w:rPr>
                <w:sz w:val="22"/>
                <w:szCs w:val="22"/>
              </w:rPr>
              <w:t>3</w:t>
            </w:r>
            <w:r w:rsidR="00DC3A6B" w:rsidRPr="4DAD4253">
              <w:rPr>
                <w:sz w:val="22"/>
                <w:szCs w:val="22"/>
              </w:rPr>
              <w:t>5</w:t>
            </w:r>
            <w:r w:rsidR="00A2674D" w:rsidRPr="4DAD4253">
              <w:rPr>
                <w:sz w:val="22"/>
                <w:szCs w:val="22"/>
              </w:rPr>
              <w:t>m</w:t>
            </w:r>
            <w:r w:rsidR="004107A4" w:rsidRPr="4DAD4253">
              <w:rPr>
                <w:sz w:val="22"/>
                <w:szCs w:val="22"/>
              </w:rPr>
              <w:t xml:space="preserve"> RDEL</w:t>
            </w:r>
          </w:p>
        </w:tc>
        <w:tc>
          <w:tcPr>
            <w:tcW w:w="3209"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4DFDCE56" w14:textId="17D12928" w:rsidR="003D222C" w:rsidRPr="00CC6489" w:rsidRDefault="003D222C" w:rsidP="00830D08">
            <w:pPr>
              <w:rPr>
                <w:b/>
                <w:sz w:val="22"/>
                <w:szCs w:val="22"/>
              </w:rPr>
            </w:pPr>
            <w:r w:rsidRPr="4DAD4253">
              <w:rPr>
                <w:b/>
                <w:sz w:val="22"/>
                <w:szCs w:val="22"/>
              </w:rPr>
              <w:t xml:space="preserve">Review date: </w:t>
            </w:r>
            <w:r w:rsidR="00DD3AC7" w:rsidRPr="4DAD4253">
              <w:rPr>
                <w:sz w:val="22"/>
                <w:szCs w:val="22"/>
              </w:rPr>
              <w:t>July</w:t>
            </w:r>
            <w:r w:rsidR="00915471" w:rsidRPr="4DAD4253">
              <w:rPr>
                <w:sz w:val="22"/>
                <w:szCs w:val="22"/>
              </w:rPr>
              <w:t xml:space="preserve"> </w:t>
            </w:r>
            <w:r w:rsidR="00F5555F" w:rsidRPr="4DAD4253">
              <w:rPr>
                <w:sz w:val="22"/>
                <w:szCs w:val="22"/>
              </w:rPr>
              <w:t>2025</w:t>
            </w:r>
            <w:r w:rsidR="00F37F7D" w:rsidRPr="4DAD4253">
              <w:rPr>
                <w:sz w:val="22"/>
                <w:szCs w:val="22"/>
              </w:rPr>
              <w:t xml:space="preserve"> – </w:t>
            </w:r>
            <w:r w:rsidR="002E72FE" w:rsidRPr="4DAD4253">
              <w:rPr>
                <w:sz w:val="22"/>
                <w:szCs w:val="22"/>
              </w:rPr>
              <w:t xml:space="preserve">December </w:t>
            </w:r>
            <w:r w:rsidR="006C4D6F" w:rsidRPr="4DAD4253">
              <w:rPr>
                <w:sz w:val="22"/>
                <w:szCs w:val="22"/>
              </w:rPr>
              <w:t>2025</w:t>
            </w:r>
          </w:p>
        </w:tc>
      </w:tr>
      <w:tr w:rsidR="003D222C" w:rsidRPr="00F70DBE" w14:paraId="0B024262" w14:textId="77777777" w:rsidTr="69FBFAB7">
        <w:trPr>
          <w:trHeight w:val="300"/>
        </w:trPr>
        <w:tc>
          <w:tcPr>
            <w:tcW w:w="3397" w:type="dxa"/>
            <w:tcBorders>
              <w:top w:val="dotted" w:sz="2" w:space="0" w:color="000000" w:themeColor="text1"/>
              <w:left w:val="single" w:sz="4" w:space="0" w:color="auto"/>
              <w:bottom w:val="single" w:sz="4" w:space="0" w:color="auto"/>
              <w:right w:val="dotted" w:sz="2" w:space="0" w:color="000000" w:themeColor="text1"/>
            </w:tcBorders>
          </w:tcPr>
          <w:p w14:paraId="43ADE542" w14:textId="7B265F69" w:rsidR="003D222C" w:rsidRPr="00CC6489" w:rsidRDefault="003D222C" w:rsidP="00830D08">
            <w:pPr>
              <w:rPr>
                <w:sz w:val="22"/>
                <w:szCs w:val="22"/>
              </w:rPr>
            </w:pPr>
            <w:r w:rsidRPr="4DAD4253">
              <w:rPr>
                <w:b/>
                <w:sz w:val="22"/>
                <w:szCs w:val="22"/>
              </w:rPr>
              <w:t xml:space="preserve">Programme Code: </w:t>
            </w:r>
            <w:r w:rsidR="00427F8A" w:rsidRPr="00427F8A">
              <w:rPr>
                <w:bCs/>
                <w:sz w:val="22"/>
                <w:szCs w:val="22"/>
                <w:lang w:val="fr-FR"/>
              </w:rPr>
              <w:t>GB-GOV-25-ICF-0054-UNFCCC</w:t>
            </w: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0140ED2C" w14:textId="77E9805A" w:rsidR="003D222C" w:rsidRPr="00CC6489" w:rsidRDefault="003D222C" w:rsidP="00830D08">
            <w:pPr>
              <w:rPr>
                <w:b/>
                <w:sz w:val="22"/>
                <w:szCs w:val="22"/>
              </w:rPr>
            </w:pPr>
            <w:r w:rsidRPr="4DAD4253">
              <w:rPr>
                <w:b/>
                <w:sz w:val="22"/>
                <w:szCs w:val="22"/>
              </w:rPr>
              <w:t>Programme start date:</w:t>
            </w:r>
            <w:r w:rsidR="0018263F" w:rsidRPr="4DAD4253">
              <w:rPr>
                <w:b/>
                <w:sz w:val="22"/>
                <w:szCs w:val="22"/>
              </w:rPr>
              <w:t xml:space="preserve"> </w:t>
            </w:r>
            <w:r w:rsidR="0045293F" w:rsidRPr="4DAD4253">
              <w:rPr>
                <w:sz w:val="22"/>
                <w:szCs w:val="22"/>
              </w:rPr>
              <w:t>June 2025</w:t>
            </w:r>
            <w:r w:rsidRPr="4DAD4253">
              <w:rPr>
                <w:sz w:val="22"/>
                <w:szCs w:val="22"/>
              </w:rPr>
              <w:t xml:space="preserve"> </w:t>
            </w:r>
          </w:p>
        </w:tc>
        <w:tc>
          <w:tcPr>
            <w:tcW w:w="3209" w:type="dxa"/>
            <w:tcBorders>
              <w:top w:val="dotted" w:sz="2" w:space="0" w:color="000000" w:themeColor="text1"/>
              <w:left w:val="dotted" w:sz="2" w:space="0" w:color="000000" w:themeColor="text1"/>
              <w:bottom w:val="single" w:sz="4" w:space="0" w:color="auto"/>
              <w:right w:val="single" w:sz="4" w:space="0" w:color="auto"/>
            </w:tcBorders>
            <w:hideMark/>
          </w:tcPr>
          <w:p w14:paraId="32D75C72" w14:textId="6DAA6BA7" w:rsidR="003D222C" w:rsidRPr="00CC6489" w:rsidRDefault="003D222C" w:rsidP="00830D08">
            <w:pPr>
              <w:rPr>
                <w:b/>
                <w:sz w:val="22"/>
                <w:szCs w:val="22"/>
              </w:rPr>
            </w:pPr>
            <w:r w:rsidRPr="4DAD4253">
              <w:rPr>
                <w:b/>
                <w:sz w:val="22"/>
                <w:szCs w:val="22"/>
              </w:rPr>
              <w:t>Programme end date:</w:t>
            </w:r>
            <w:r w:rsidRPr="4DAD4253">
              <w:rPr>
                <w:sz w:val="22"/>
                <w:szCs w:val="22"/>
              </w:rPr>
              <w:t xml:space="preserve"> </w:t>
            </w:r>
            <w:r w:rsidR="0045293F" w:rsidRPr="4DAD4253">
              <w:rPr>
                <w:sz w:val="22"/>
                <w:szCs w:val="22"/>
              </w:rPr>
              <w:t>Ju</w:t>
            </w:r>
            <w:r w:rsidR="000A6F8B" w:rsidRPr="4DAD4253">
              <w:rPr>
                <w:sz w:val="22"/>
                <w:szCs w:val="22"/>
              </w:rPr>
              <w:t>ne</w:t>
            </w:r>
            <w:r w:rsidR="0045293F" w:rsidRPr="4DAD4253">
              <w:rPr>
                <w:sz w:val="22"/>
                <w:szCs w:val="22"/>
              </w:rPr>
              <w:t xml:space="preserve"> 2026</w:t>
            </w:r>
          </w:p>
        </w:tc>
      </w:tr>
    </w:tbl>
    <w:p w14:paraId="6F2D2409" w14:textId="79CA4ABA" w:rsidR="30193D0A" w:rsidRDefault="30193D0A"/>
    <w:p w14:paraId="10F4185C" w14:textId="085ED7B1" w:rsidR="003D222C" w:rsidRDefault="003D222C" w:rsidP="003D222C">
      <w:pPr>
        <w:rPr>
          <w:b/>
          <w:sz w:val="22"/>
          <w:szCs w:val="22"/>
        </w:rPr>
      </w:pPr>
      <w:r w:rsidRPr="00CC6489">
        <w:rPr>
          <w:b/>
          <w:sz w:val="22"/>
          <w:szCs w:val="22"/>
        </w:rPr>
        <w:t xml:space="preserve">Summary of Programme Performance </w:t>
      </w:r>
    </w:p>
    <w:p w14:paraId="7F5746E0" w14:textId="77777777" w:rsidR="003D222C" w:rsidRPr="00CC6489" w:rsidRDefault="003D222C" w:rsidP="003D222C">
      <w:pPr>
        <w:rPr>
          <w:b/>
          <w:sz w:val="22"/>
          <w:szCs w:val="22"/>
        </w:rPr>
      </w:pPr>
    </w:p>
    <w:tbl>
      <w:tblPr>
        <w:tblStyle w:val="TableGrid"/>
        <w:tblW w:w="0" w:type="auto"/>
        <w:tblLook w:val="04A0" w:firstRow="1" w:lastRow="0" w:firstColumn="1" w:lastColumn="0" w:noHBand="0" w:noVBand="1"/>
      </w:tblPr>
      <w:tblGrid>
        <w:gridCol w:w="2405"/>
        <w:gridCol w:w="677"/>
        <w:gridCol w:w="847"/>
        <w:gridCol w:w="848"/>
        <w:gridCol w:w="848"/>
        <w:gridCol w:w="847"/>
        <w:gridCol w:w="848"/>
        <w:gridCol w:w="848"/>
        <w:gridCol w:w="848"/>
      </w:tblGrid>
      <w:tr w:rsidR="00716739" w:rsidRPr="00CC6489" w14:paraId="6A71CF25" w14:textId="77777777" w:rsidTr="00830D08">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2470E30" w14:textId="77777777" w:rsidR="003D222C" w:rsidRPr="00CC6489" w:rsidRDefault="003D222C" w:rsidP="00830D08">
            <w:pPr>
              <w:rPr>
                <w:sz w:val="20"/>
                <w:szCs w:val="20"/>
              </w:rPr>
            </w:pPr>
            <w:r w:rsidRPr="606A6091">
              <w:rPr>
                <w:sz w:val="20"/>
                <w:szCs w:val="20"/>
              </w:rPr>
              <w:t>Year</w:t>
            </w:r>
          </w:p>
        </w:tc>
        <w:tc>
          <w:tcPr>
            <w:tcW w:w="677" w:type="dxa"/>
            <w:tcBorders>
              <w:top w:val="single" w:sz="4" w:space="0" w:color="auto"/>
              <w:left w:val="single" w:sz="4" w:space="0" w:color="auto"/>
              <w:bottom w:val="single" w:sz="4" w:space="0" w:color="auto"/>
              <w:right w:val="single" w:sz="4" w:space="0" w:color="auto"/>
            </w:tcBorders>
          </w:tcPr>
          <w:p w14:paraId="0AF8295F" w14:textId="6DFC0B29" w:rsidR="003D222C" w:rsidRPr="00CC6489" w:rsidRDefault="00613A20" w:rsidP="00830D08">
            <w:pPr>
              <w:rPr>
                <w:b/>
                <w:sz w:val="20"/>
                <w:szCs w:val="20"/>
              </w:rPr>
            </w:pPr>
            <w:r w:rsidRPr="606A6091">
              <w:rPr>
                <w:b/>
                <w:sz w:val="20"/>
                <w:szCs w:val="20"/>
              </w:rPr>
              <w:t>2025</w:t>
            </w:r>
          </w:p>
        </w:tc>
        <w:tc>
          <w:tcPr>
            <w:tcW w:w="847" w:type="dxa"/>
            <w:tcBorders>
              <w:top w:val="single" w:sz="4" w:space="0" w:color="auto"/>
              <w:left w:val="single" w:sz="4" w:space="0" w:color="auto"/>
              <w:bottom w:val="single" w:sz="4" w:space="0" w:color="auto"/>
              <w:right w:val="single" w:sz="4" w:space="0" w:color="auto"/>
            </w:tcBorders>
          </w:tcPr>
          <w:p w14:paraId="6D57E47F"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5FE5C4CF"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0CBC2FF7" w14:textId="77777777" w:rsidR="003D222C" w:rsidRPr="00CC6489" w:rsidRDefault="003D222C" w:rsidP="00830D08">
            <w:pPr>
              <w:rPr>
                <w:b/>
                <w:sz w:val="20"/>
                <w:szCs w:val="20"/>
              </w:rPr>
            </w:pPr>
          </w:p>
        </w:tc>
        <w:tc>
          <w:tcPr>
            <w:tcW w:w="847" w:type="dxa"/>
            <w:tcBorders>
              <w:top w:val="single" w:sz="4" w:space="0" w:color="auto"/>
              <w:left w:val="single" w:sz="4" w:space="0" w:color="auto"/>
              <w:bottom w:val="single" w:sz="4" w:space="0" w:color="auto"/>
              <w:right w:val="single" w:sz="4" w:space="0" w:color="auto"/>
            </w:tcBorders>
          </w:tcPr>
          <w:p w14:paraId="2A88C663"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5C2F8B85"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27085911"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064D9C4C" w14:textId="77777777" w:rsidR="003D222C" w:rsidRPr="00CC6489" w:rsidRDefault="003D222C" w:rsidP="00830D08">
            <w:pPr>
              <w:rPr>
                <w:b/>
                <w:sz w:val="20"/>
                <w:szCs w:val="20"/>
              </w:rPr>
            </w:pPr>
          </w:p>
        </w:tc>
      </w:tr>
      <w:tr w:rsidR="00716739" w:rsidRPr="00CC6489" w14:paraId="3E78E217" w14:textId="77777777" w:rsidTr="00830D08">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B24BFD8" w14:textId="77777777" w:rsidR="003D222C" w:rsidRPr="00CC6489" w:rsidRDefault="003D222C" w:rsidP="00830D08">
            <w:pPr>
              <w:rPr>
                <w:sz w:val="20"/>
                <w:szCs w:val="20"/>
              </w:rPr>
            </w:pPr>
            <w:r w:rsidRPr="606A6091">
              <w:rPr>
                <w:sz w:val="20"/>
                <w:szCs w:val="20"/>
              </w:rPr>
              <w:t>Overall Output Score</w:t>
            </w:r>
          </w:p>
        </w:tc>
        <w:tc>
          <w:tcPr>
            <w:tcW w:w="677" w:type="dxa"/>
            <w:tcBorders>
              <w:top w:val="single" w:sz="4" w:space="0" w:color="auto"/>
              <w:left w:val="single" w:sz="4" w:space="0" w:color="auto"/>
              <w:bottom w:val="single" w:sz="4" w:space="0" w:color="auto"/>
              <w:right w:val="single" w:sz="4" w:space="0" w:color="auto"/>
            </w:tcBorders>
          </w:tcPr>
          <w:p w14:paraId="3BE08F8B" w14:textId="50DDDB87" w:rsidR="003D222C" w:rsidRPr="00CC6489" w:rsidRDefault="00613A20" w:rsidP="00830D08">
            <w:pPr>
              <w:rPr>
                <w:b/>
                <w:sz w:val="20"/>
                <w:szCs w:val="20"/>
              </w:rPr>
            </w:pPr>
            <w:r w:rsidRPr="606A6091">
              <w:rPr>
                <w:b/>
                <w:sz w:val="20"/>
                <w:szCs w:val="20"/>
              </w:rPr>
              <w:t>n/a</w:t>
            </w:r>
          </w:p>
        </w:tc>
        <w:tc>
          <w:tcPr>
            <w:tcW w:w="847" w:type="dxa"/>
            <w:tcBorders>
              <w:top w:val="single" w:sz="4" w:space="0" w:color="auto"/>
              <w:left w:val="single" w:sz="4" w:space="0" w:color="auto"/>
              <w:bottom w:val="single" w:sz="4" w:space="0" w:color="auto"/>
              <w:right w:val="single" w:sz="4" w:space="0" w:color="auto"/>
            </w:tcBorders>
          </w:tcPr>
          <w:p w14:paraId="30EFABAD"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7599E010"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2B35CC4F" w14:textId="77777777" w:rsidR="003D222C" w:rsidRPr="00CC6489" w:rsidRDefault="003D222C" w:rsidP="00830D08">
            <w:pPr>
              <w:rPr>
                <w:b/>
                <w:sz w:val="20"/>
                <w:szCs w:val="20"/>
              </w:rPr>
            </w:pPr>
          </w:p>
        </w:tc>
        <w:tc>
          <w:tcPr>
            <w:tcW w:w="847" w:type="dxa"/>
            <w:tcBorders>
              <w:top w:val="single" w:sz="4" w:space="0" w:color="auto"/>
              <w:left w:val="single" w:sz="4" w:space="0" w:color="auto"/>
              <w:bottom w:val="single" w:sz="4" w:space="0" w:color="auto"/>
              <w:right w:val="single" w:sz="4" w:space="0" w:color="auto"/>
            </w:tcBorders>
          </w:tcPr>
          <w:p w14:paraId="49EBCE56"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765798B3"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1989F49B"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5C798F3C" w14:textId="77777777" w:rsidR="003D222C" w:rsidRPr="00CC6489" w:rsidRDefault="003D222C" w:rsidP="00830D08">
            <w:pPr>
              <w:rPr>
                <w:b/>
                <w:sz w:val="20"/>
                <w:szCs w:val="20"/>
              </w:rPr>
            </w:pPr>
          </w:p>
        </w:tc>
      </w:tr>
      <w:tr w:rsidR="00716739" w:rsidRPr="00CC6489" w14:paraId="6816F39D" w14:textId="77777777" w:rsidTr="00830D08">
        <w:trPr>
          <w:trHeight w:val="309"/>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E865868" w14:textId="77777777" w:rsidR="003D222C" w:rsidRPr="00CC6489" w:rsidRDefault="003D222C" w:rsidP="00830D08">
            <w:pPr>
              <w:rPr>
                <w:sz w:val="20"/>
                <w:szCs w:val="20"/>
              </w:rPr>
            </w:pPr>
            <w:r w:rsidRPr="606A6091">
              <w:rPr>
                <w:sz w:val="20"/>
                <w:szCs w:val="20"/>
              </w:rPr>
              <w:t>Risk Rating</w:t>
            </w:r>
            <w:r w:rsidRPr="606A6091">
              <w:rPr>
                <w:sz w:val="22"/>
                <w:szCs w:val="22"/>
              </w:rPr>
              <w:t xml:space="preserve"> </w:t>
            </w:r>
          </w:p>
        </w:tc>
        <w:tc>
          <w:tcPr>
            <w:tcW w:w="677" w:type="dxa"/>
            <w:tcBorders>
              <w:top w:val="single" w:sz="4" w:space="0" w:color="auto"/>
              <w:left w:val="single" w:sz="4" w:space="0" w:color="auto"/>
              <w:bottom w:val="single" w:sz="4" w:space="0" w:color="auto"/>
              <w:right w:val="single" w:sz="4" w:space="0" w:color="auto"/>
            </w:tcBorders>
          </w:tcPr>
          <w:p w14:paraId="42FA75A2" w14:textId="584AC5D3" w:rsidR="003D222C" w:rsidRPr="00CC6489" w:rsidRDefault="005A0039" w:rsidP="00830D08">
            <w:pPr>
              <w:rPr>
                <w:b/>
                <w:sz w:val="20"/>
                <w:szCs w:val="20"/>
              </w:rPr>
            </w:pPr>
            <w:r>
              <w:rPr>
                <w:b/>
                <w:sz w:val="20"/>
                <w:szCs w:val="20"/>
              </w:rPr>
              <w:t>n/a</w:t>
            </w:r>
          </w:p>
        </w:tc>
        <w:tc>
          <w:tcPr>
            <w:tcW w:w="847" w:type="dxa"/>
            <w:tcBorders>
              <w:top w:val="single" w:sz="4" w:space="0" w:color="auto"/>
              <w:left w:val="single" w:sz="4" w:space="0" w:color="auto"/>
              <w:bottom w:val="single" w:sz="4" w:space="0" w:color="auto"/>
              <w:right w:val="single" w:sz="4" w:space="0" w:color="auto"/>
            </w:tcBorders>
          </w:tcPr>
          <w:p w14:paraId="1D7F9841"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4300A545"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0AD10FA0" w14:textId="77777777" w:rsidR="003D222C" w:rsidRPr="00CC6489" w:rsidRDefault="003D222C" w:rsidP="00830D08">
            <w:pPr>
              <w:rPr>
                <w:b/>
                <w:sz w:val="20"/>
                <w:szCs w:val="20"/>
              </w:rPr>
            </w:pPr>
          </w:p>
        </w:tc>
        <w:tc>
          <w:tcPr>
            <w:tcW w:w="847" w:type="dxa"/>
            <w:tcBorders>
              <w:top w:val="single" w:sz="4" w:space="0" w:color="auto"/>
              <w:left w:val="single" w:sz="4" w:space="0" w:color="auto"/>
              <w:bottom w:val="single" w:sz="4" w:space="0" w:color="auto"/>
              <w:right w:val="single" w:sz="4" w:space="0" w:color="auto"/>
            </w:tcBorders>
          </w:tcPr>
          <w:p w14:paraId="11513283"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730B86B5"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1C3BB3A9" w14:textId="77777777" w:rsidR="003D222C" w:rsidRPr="00CC6489" w:rsidRDefault="003D222C" w:rsidP="00830D08">
            <w:pPr>
              <w:rPr>
                <w:b/>
                <w:sz w:val="20"/>
                <w:szCs w:val="20"/>
              </w:rPr>
            </w:pPr>
          </w:p>
        </w:tc>
        <w:tc>
          <w:tcPr>
            <w:tcW w:w="848" w:type="dxa"/>
            <w:tcBorders>
              <w:top w:val="single" w:sz="4" w:space="0" w:color="auto"/>
              <w:left w:val="single" w:sz="4" w:space="0" w:color="auto"/>
              <w:bottom w:val="single" w:sz="4" w:space="0" w:color="auto"/>
              <w:right w:val="single" w:sz="4" w:space="0" w:color="auto"/>
            </w:tcBorders>
          </w:tcPr>
          <w:p w14:paraId="39680F12" w14:textId="77777777" w:rsidR="003D222C" w:rsidRPr="00CC6489" w:rsidRDefault="003D222C" w:rsidP="00830D08">
            <w:pPr>
              <w:rPr>
                <w:b/>
                <w:sz w:val="20"/>
                <w:szCs w:val="20"/>
              </w:rPr>
            </w:pPr>
          </w:p>
        </w:tc>
      </w:tr>
    </w:tbl>
    <w:p w14:paraId="538CB237" w14:textId="77777777" w:rsidR="003D222C" w:rsidRDefault="003D222C" w:rsidP="003D222C">
      <w:pPr>
        <w:rPr>
          <w:b/>
          <w:sz w:val="22"/>
          <w:szCs w:val="22"/>
        </w:rPr>
      </w:pPr>
    </w:p>
    <w:tbl>
      <w:tblPr>
        <w:tblStyle w:val="TableGrid"/>
        <w:tblW w:w="0" w:type="auto"/>
        <w:tblInd w:w="-5" w:type="dxa"/>
        <w:tblLook w:val="04A0" w:firstRow="1" w:lastRow="0" w:firstColumn="1" w:lastColumn="0" w:noHBand="0" w:noVBand="1"/>
      </w:tblPr>
      <w:tblGrid>
        <w:gridCol w:w="3969"/>
        <w:gridCol w:w="5052"/>
      </w:tblGrid>
      <w:tr w:rsidR="003D222C" w:rsidRPr="00F70DBE" w14:paraId="6C68957E" w14:textId="77777777" w:rsidTr="7256A6F8">
        <w:trPr>
          <w:trHeight w:val="480"/>
        </w:trPr>
        <w:tc>
          <w:tcPr>
            <w:tcW w:w="3969" w:type="dxa"/>
            <w:shd w:val="clear" w:color="auto" w:fill="B4C6E7" w:themeFill="accent1" w:themeFillTint="66"/>
            <w:hideMark/>
          </w:tcPr>
          <w:p w14:paraId="579DBC33" w14:textId="77777777" w:rsidR="003D222C" w:rsidRPr="00F70DBE" w:rsidRDefault="003D222C" w:rsidP="00830D08">
            <w:pPr>
              <w:rPr>
                <w:rFonts w:cs="Arial"/>
                <w:sz w:val="20"/>
                <w:szCs w:val="20"/>
              </w:rPr>
            </w:pPr>
            <w:r w:rsidRPr="00F70DBE">
              <w:rPr>
                <w:rFonts w:cs="Arial"/>
                <w:bCs/>
                <w:sz w:val="20"/>
                <w:szCs w:val="20"/>
              </w:rPr>
              <w:t xml:space="preserve">Link to Business Case: </w:t>
            </w:r>
          </w:p>
        </w:tc>
        <w:tc>
          <w:tcPr>
            <w:tcW w:w="5052" w:type="dxa"/>
          </w:tcPr>
          <w:p w14:paraId="38340C6A" w14:textId="77777777" w:rsidR="00445DBA" w:rsidRPr="00445DBA" w:rsidRDefault="00445DBA" w:rsidP="7256A6F8">
            <w:pPr>
              <w:rPr>
                <w:rFonts w:cs="Arial"/>
                <w:i/>
                <w:iCs/>
                <w:sz w:val="20"/>
                <w:szCs w:val="20"/>
              </w:rPr>
            </w:pPr>
            <w:hyperlink r:id="rId12">
              <w:r w:rsidRPr="7256A6F8">
                <w:rPr>
                  <w:rStyle w:val="Hyperlink"/>
                  <w:rFonts w:cs="Arial"/>
                  <w:i/>
                  <w:iCs/>
                  <w:sz w:val="20"/>
                  <w:szCs w:val="20"/>
                </w:rPr>
                <w:t>ANNEX C - UNFCCC REDD+ Business Case.docx</w:t>
              </w:r>
            </w:hyperlink>
          </w:p>
          <w:p w14:paraId="7FD6BEF4" w14:textId="77777777" w:rsidR="003D222C" w:rsidRPr="007515C7" w:rsidRDefault="003D222C" w:rsidP="00830D08">
            <w:pPr>
              <w:rPr>
                <w:rFonts w:cs="Arial"/>
                <w:bCs/>
                <w:i/>
                <w:iCs/>
                <w:sz w:val="20"/>
                <w:szCs w:val="20"/>
                <w:highlight w:val="yellow"/>
              </w:rPr>
            </w:pPr>
          </w:p>
        </w:tc>
      </w:tr>
      <w:tr w:rsidR="003D222C" w:rsidRPr="00F70DBE" w14:paraId="510493EF" w14:textId="77777777" w:rsidTr="7256A6F8">
        <w:trPr>
          <w:trHeight w:val="403"/>
        </w:trPr>
        <w:tc>
          <w:tcPr>
            <w:tcW w:w="3969" w:type="dxa"/>
            <w:shd w:val="clear" w:color="auto" w:fill="B4C6E7" w:themeFill="accent1" w:themeFillTint="66"/>
            <w:hideMark/>
          </w:tcPr>
          <w:p w14:paraId="033BF08C" w14:textId="1A9C0BDD" w:rsidR="003D222C" w:rsidRPr="00F70DBE" w:rsidRDefault="003D222C" w:rsidP="00830D08">
            <w:pPr>
              <w:rPr>
                <w:rFonts w:cs="Arial"/>
                <w:bCs/>
                <w:i/>
                <w:sz w:val="20"/>
                <w:szCs w:val="20"/>
              </w:rPr>
            </w:pPr>
            <w:r w:rsidRPr="00F70DBE">
              <w:rPr>
                <w:rFonts w:cs="Arial"/>
                <w:bCs/>
                <w:sz w:val="20"/>
                <w:szCs w:val="20"/>
              </w:rPr>
              <w:t xml:space="preserve">Link to </w:t>
            </w:r>
            <w:proofErr w:type="spellStart"/>
            <w:r w:rsidRPr="32B5BD6A">
              <w:rPr>
                <w:rFonts w:cs="Arial"/>
                <w:sz w:val="20"/>
                <w:szCs w:val="20"/>
              </w:rPr>
              <w:t>Logframe</w:t>
            </w:r>
            <w:proofErr w:type="spellEnd"/>
            <w:r w:rsidRPr="00F70DBE">
              <w:rPr>
                <w:rFonts w:cs="Arial"/>
                <w:bCs/>
                <w:sz w:val="20"/>
                <w:szCs w:val="20"/>
              </w:rPr>
              <w:t xml:space="preserve">: </w:t>
            </w:r>
          </w:p>
        </w:tc>
        <w:tc>
          <w:tcPr>
            <w:tcW w:w="5052" w:type="dxa"/>
          </w:tcPr>
          <w:p w14:paraId="7797945C" w14:textId="77777777" w:rsidR="00351139" w:rsidRPr="00351139" w:rsidRDefault="00351139" w:rsidP="7256A6F8">
            <w:pPr>
              <w:rPr>
                <w:rFonts w:cs="Arial"/>
                <w:i/>
                <w:iCs/>
                <w:sz w:val="20"/>
                <w:szCs w:val="20"/>
              </w:rPr>
            </w:pPr>
            <w:hyperlink r:id="rId13">
              <w:r w:rsidRPr="7256A6F8">
                <w:rPr>
                  <w:rStyle w:val="Hyperlink"/>
                  <w:rFonts w:cs="Arial"/>
                  <w:i/>
                  <w:iCs/>
                  <w:sz w:val="20"/>
                  <w:szCs w:val="20"/>
                </w:rPr>
                <w:t xml:space="preserve">UNFCCC </w:t>
              </w:r>
              <w:proofErr w:type="spellStart"/>
              <w:r w:rsidRPr="7256A6F8">
                <w:rPr>
                  <w:rStyle w:val="Hyperlink"/>
                  <w:rFonts w:cs="Arial"/>
                  <w:i/>
                  <w:iCs/>
                  <w:sz w:val="20"/>
                  <w:szCs w:val="20"/>
                </w:rPr>
                <w:t>Logframe</w:t>
              </w:r>
              <w:proofErr w:type="spellEnd"/>
              <w:r w:rsidRPr="7256A6F8">
                <w:rPr>
                  <w:rStyle w:val="Hyperlink"/>
                  <w:rFonts w:cs="Arial"/>
                  <w:i/>
                  <w:iCs/>
                  <w:sz w:val="20"/>
                  <w:szCs w:val="20"/>
                </w:rPr>
                <w:t xml:space="preserve"> - Final version .xlsx</w:t>
              </w:r>
            </w:hyperlink>
          </w:p>
          <w:p w14:paraId="2D87E262" w14:textId="38462F76" w:rsidR="003D222C" w:rsidRPr="007515C7" w:rsidRDefault="003D222C" w:rsidP="7256A6F8">
            <w:pPr>
              <w:rPr>
                <w:rFonts w:cs="Arial"/>
                <w:i/>
                <w:iCs/>
                <w:sz w:val="20"/>
                <w:szCs w:val="20"/>
              </w:rPr>
            </w:pPr>
          </w:p>
        </w:tc>
      </w:tr>
      <w:tr w:rsidR="003D222C" w:rsidRPr="00F70DBE" w14:paraId="20D3D745" w14:textId="77777777" w:rsidTr="7256A6F8">
        <w:trPr>
          <w:trHeight w:val="403"/>
        </w:trPr>
        <w:tc>
          <w:tcPr>
            <w:tcW w:w="3969" w:type="dxa"/>
            <w:shd w:val="clear" w:color="auto" w:fill="B4C6E7" w:themeFill="accent1" w:themeFillTint="66"/>
          </w:tcPr>
          <w:p w14:paraId="37AC097F" w14:textId="77777777" w:rsidR="003D222C" w:rsidRPr="00F70DBE" w:rsidRDefault="003D222C" w:rsidP="00830D08">
            <w:pPr>
              <w:rPr>
                <w:rFonts w:cs="Arial"/>
                <w:bCs/>
                <w:sz w:val="20"/>
                <w:szCs w:val="20"/>
              </w:rPr>
            </w:pPr>
            <w:r w:rsidRPr="00C2294A">
              <w:rPr>
                <w:rFonts w:cs="Arial"/>
                <w:bCs/>
                <w:sz w:val="20"/>
                <w:szCs w:val="20"/>
              </w:rPr>
              <w:t>Link to previous Annual Review (if appropriate)</w:t>
            </w:r>
          </w:p>
        </w:tc>
        <w:tc>
          <w:tcPr>
            <w:tcW w:w="5052" w:type="dxa"/>
          </w:tcPr>
          <w:p w14:paraId="5DF52686" w14:textId="6B559199" w:rsidR="003D222C" w:rsidRPr="00934D32" w:rsidRDefault="00D61EFB" w:rsidP="00830D08">
            <w:pPr>
              <w:rPr>
                <w:rFonts w:cs="Arial"/>
                <w:bCs/>
                <w:i/>
                <w:iCs/>
                <w:sz w:val="20"/>
                <w:szCs w:val="20"/>
              </w:rPr>
            </w:pPr>
            <w:r>
              <w:rPr>
                <w:rFonts w:cs="Arial"/>
                <w:bCs/>
                <w:i/>
                <w:iCs/>
                <w:sz w:val="20"/>
                <w:szCs w:val="20"/>
              </w:rPr>
              <w:t>Not Applicable</w:t>
            </w:r>
          </w:p>
        </w:tc>
      </w:tr>
    </w:tbl>
    <w:p w14:paraId="79F63DD1" w14:textId="77777777" w:rsidR="003D222C" w:rsidRDefault="003D222C" w:rsidP="003D222C">
      <w:pPr>
        <w:rPr>
          <w:sz w:val="20"/>
          <w:szCs w:val="20"/>
        </w:rPr>
      </w:pPr>
    </w:p>
    <w:p w14:paraId="76AE6D43" w14:textId="77777777" w:rsidR="003D222C" w:rsidRDefault="003D222C" w:rsidP="003D222C">
      <w:pPr>
        <w:rPr>
          <w:sz w:val="20"/>
          <w:szCs w:val="20"/>
        </w:rPr>
      </w:pPr>
    </w:p>
    <w:p w14:paraId="1CA2AABD" w14:textId="74C9E372" w:rsidR="003D222C" w:rsidRPr="00CE0979" w:rsidRDefault="003D222C" w:rsidP="612D3747">
      <w:pPr>
        <w:pBdr>
          <w:top w:val="single" w:sz="4" w:space="1" w:color="auto"/>
          <w:left w:val="single" w:sz="4" w:space="4" w:color="auto"/>
          <w:bottom w:val="single" w:sz="4" w:space="1" w:color="auto"/>
          <w:right w:val="single" w:sz="4" w:space="4" w:color="auto"/>
        </w:pBdr>
        <w:shd w:val="clear" w:color="auto" w:fill="D9E2F3" w:themeFill="accent1" w:themeFillTint="33"/>
        <w:rPr>
          <w:sz w:val="20"/>
          <w:szCs w:val="20"/>
        </w:rPr>
      </w:pPr>
      <w:r w:rsidRPr="612D3747">
        <w:rPr>
          <w:b/>
          <w:bCs/>
          <w:sz w:val="28"/>
          <w:szCs w:val="28"/>
        </w:rPr>
        <w:t xml:space="preserve">A. SUMMARY AND OVERVIEW </w:t>
      </w:r>
    </w:p>
    <w:p w14:paraId="6F9482AB" w14:textId="77777777" w:rsidR="003D222C" w:rsidRDefault="003D222C" w:rsidP="003D222C">
      <w:pPr>
        <w:rPr>
          <w:b/>
          <w:sz w:val="22"/>
          <w:szCs w:val="22"/>
        </w:rPr>
      </w:pPr>
    </w:p>
    <w:p w14:paraId="36448C51" w14:textId="144A5C30" w:rsidR="003D222C" w:rsidRDefault="00E67B99" w:rsidP="00745C1B">
      <w:pPr>
        <w:spacing w:before="40" w:after="40"/>
        <w:jc w:val="both"/>
        <w:rPr>
          <w:sz w:val="22"/>
          <w:szCs w:val="22"/>
        </w:rPr>
      </w:pPr>
      <w:r w:rsidRPr="606A6091">
        <w:rPr>
          <w:sz w:val="22"/>
          <w:szCs w:val="22"/>
        </w:rPr>
        <w:t>The UNFCCC</w:t>
      </w:r>
      <w:r w:rsidR="00CA1F65" w:rsidRPr="606A6091">
        <w:rPr>
          <w:sz w:val="22"/>
          <w:szCs w:val="22"/>
        </w:rPr>
        <w:t xml:space="preserve"> REDD+</w:t>
      </w:r>
      <w:r w:rsidR="00180048" w:rsidRPr="606A6091">
        <w:rPr>
          <w:sz w:val="22"/>
          <w:szCs w:val="22"/>
        </w:rPr>
        <w:t xml:space="preserve"> </w:t>
      </w:r>
      <w:r w:rsidR="00375757" w:rsidRPr="606A6091">
        <w:rPr>
          <w:sz w:val="22"/>
          <w:szCs w:val="22"/>
        </w:rPr>
        <w:t>Support Programme is a UK</w:t>
      </w:r>
      <w:r w:rsidR="00AD77BD" w:rsidRPr="606A6091">
        <w:rPr>
          <w:sz w:val="22"/>
          <w:szCs w:val="22"/>
        </w:rPr>
        <w:t xml:space="preserve"> ODA funded </w:t>
      </w:r>
      <w:r w:rsidR="00081835">
        <w:rPr>
          <w:sz w:val="22"/>
          <w:szCs w:val="22"/>
        </w:rPr>
        <w:t xml:space="preserve">(ICF) </w:t>
      </w:r>
      <w:r w:rsidR="00AD77BD" w:rsidRPr="606A6091">
        <w:rPr>
          <w:sz w:val="22"/>
          <w:szCs w:val="22"/>
        </w:rPr>
        <w:t>programme delivered by the UN</w:t>
      </w:r>
      <w:r w:rsidR="00F250D3" w:rsidRPr="606A6091">
        <w:rPr>
          <w:sz w:val="22"/>
          <w:szCs w:val="22"/>
        </w:rPr>
        <w:t xml:space="preserve"> Framework</w:t>
      </w:r>
      <w:r w:rsidR="00BB41E2" w:rsidRPr="606A6091">
        <w:rPr>
          <w:sz w:val="22"/>
          <w:szCs w:val="22"/>
        </w:rPr>
        <w:t xml:space="preserve"> Convention on Climate Change (UNFCCC)</w:t>
      </w:r>
      <w:r w:rsidR="00A60F0C" w:rsidRPr="606A6091">
        <w:rPr>
          <w:sz w:val="22"/>
          <w:szCs w:val="22"/>
        </w:rPr>
        <w:t xml:space="preserve"> Secretariat, </w:t>
      </w:r>
      <w:r w:rsidR="008B789D" w:rsidRPr="606A6091">
        <w:rPr>
          <w:sz w:val="22"/>
          <w:szCs w:val="22"/>
        </w:rPr>
        <w:t>through its Agricultu</w:t>
      </w:r>
      <w:r w:rsidR="007A2BEB" w:rsidRPr="606A6091">
        <w:rPr>
          <w:sz w:val="22"/>
          <w:szCs w:val="22"/>
        </w:rPr>
        <w:t xml:space="preserve">re, Forestry and Other Land Use (AFOLU) </w:t>
      </w:r>
      <w:r w:rsidR="004B1A42">
        <w:rPr>
          <w:sz w:val="22"/>
          <w:szCs w:val="22"/>
        </w:rPr>
        <w:t>Unit</w:t>
      </w:r>
      <w:r w:rsidR="007A2BEB" w:rsidRPr="606A6091">
        <w:rPr>
          <w:sz w:val="22"/>
          <w:szCs w:val="22"/>
        </w:rPr>
        <w:t xml:space="preserve">. The programme </w:t>
      </w:r>
      <w:r w:rsidR="000E6567">
        <w:rPr>
          <w:sz w:val="22"/>
          <w:szCs w:val="22"/>
        </w:rPr>
        <w:t xml:space="preserve">seeks to </w:t>
      </w:r>
      <w:r w:rsidR="00F94CDA">
        <w:rPr>
          <w:sz w:val="22"/>
          <w:szCs w:val="22"/>
        </w:rPr>
        <w:t xml:space="preserve">increase </w:t>
      </w:r>
      <w:r w:rsidR="00062C9E">
        <w:rPr>
          <w:sz w:val="22"/>
          <w:szCs w:val="22"/>
        </w:rPr>
        <w:t xml:space="preserve">climate ambition and </w:t>
      </w:r>
      <w:r w:rsidR="00F45359">
        <w:rPr>
          <w:sz w:val="22"/>
          <w:szCs w:val="22"/>
        </w:rPr>
        <w:t xml:space="preserve">mitigation impact </w:t>
      </w:r>
      <w:r w:rsidR="00062C9E">
        <w:rPr>
          <w:sz w:val="22"/>
          <w:szCs w:val="22"/>
        </w:rPr>
        <w:t xml:space="preserve">in </w:t>
      </w:r>
      <w:r w:rsidR="00F45359">
        <w:rPr>
          <w:sz w:val="22"/>
          <w:szCs w:val="22"/>
        </w:rPr>
        <w:t>the forests and land use sector</w:t>
      </w:r>
      <w:r w:rsidR="00F86803">
        <w:rPr>
          <w:sz w:val="22"/>
          <w:szCs w:val="22"/>
        </w:rPr>
        <w:t xml:space="preserve"> and enhance transparency on </w:t>
      </w:r>
      <w:r w:rsidR="006F2EA6">
        <w:rPr>
          <w:sz w:val="22"/>
          <w:szCs w:val="22"/>
        </w:rPr>
        <w:t xml:space="preserve">emissions reductions/removals </w:t>
      </w:r>
      <w:r w:rsidR="00D369AA">
        <w:rPr>
          <w:sz w:val="22"/>
          <w:szCs w:val="22"/>
        </w:rPr>
        <w:t xml:space="preserve">and payments </w:t>
      </w:r>
      <w:r w:rsidR="0023552F" w:rsidRPr="606A6091">
        <w:rPr>
          <w:sz w:val="22"/>
          <w:szCs w:val="22"/>
        </w:rPr>
        <w:t xml:space="preserve">under </w:t>
      </w:r>
      <w:r w:rsidR="000B254A" w:rsidRPr="606A6091">
        <w:rPr>
          <w:sz w:val="22"/>
          <w:szCs w:val="22"/>
        </w:rPr>
        <w:t>Article 5</w:t>
      </w:r>
      <w:r w:rsidR="0012533E">
        <w:rPr>
          <w:sz w:val="22"/>
          <w:szCs w:val="22"/>
        </w:rPr>
        <w:t>.2</w:t>
      </w:r>
      <w:r w:rsidR="000B254A" w:rsidRPr="606A6091">
        <w:rPr>
          <w:sz w:val="22"/>
          <w:szCs w:val="22"/>
        </w:rPr>
        <w:t xml:space="preserve"> of the Paris Agreement</w:t>
      </w:r>
      <w:r w:rsidR="00DB14E0">
        <w:rPr>
          <w:sz w:val="22"/>
          <w:szCs w:val="22"/>
        </w:rPr>
        <w:t xml:space="preserve">. Specifically, it </w:t>
      </w:r>
      <w:r w:rsidR="00DB14E0" w:rsidRPr="606A6091">
        <w:rPr>
          <w:sz w:val="22"/>
          <w:szCs w:val="22"/>
        </w:rPr>
        <w:t xml:space="preserve">supports implementation of the </w:t>
      </w:r>
      <w:r w:rsidR="00DB14E0">
        <w:rPr>
          <w:sz w:val="22"/>
          <w:szCs w:val="22"/>
        </w:rPr>
        <w:t xml:space="preserve">Warsaw Framework for </w:t>
      </w:r>
      <w:r w:rsidR="00DB14E0" w:rsidRPr="606A6091">
        <w:rPr>
          <w:sz w:val="22"/>
          <w:szCs w:val="22"/>
        </w:rPr>
        <w:t xml:space="preserve">REDD+ </w:t>
      </w:r>
      <w:r w:rsidR="00DB14E0">
        <w:rPr>
          <w:sz w:val="22"/>
          <w:szCs w:val="22"/>
        </w:rPr>
        <w:t>(WFR)</w:t>
      </w:r>
      <w:r w:rsidR="00FF0A47" w:rsidRPr="606A6091">
        <w:rPr>
          <w:sz w:val="22"/>
          <w:szCs w:val="22"/>
        </w:rPr>
        <w:t xml:space="preserve"> by </w:t>
      </w:r>
      <w:r w:rsidR="004B1A42">
        <w:rPr>
          <w:sz w:val="22"/>
          <w:szCs w:val="22"/>
        </w:rPr>
        <w:t xml:space="preserve">enabling the AFOLU Unit to </w:t>
      </w:r>
      <w:r w:rsidR="003D4C9D">
        <w:rPr>
          <w:sz w:val="22"/>
          <w:szCs w:val="22"/>
        </w:rPr>
        <w:t>deliver</w:t>
      </w:r>
      <w:r w:rsidR="00A83463">
        <w:rPr>
          <w:sz w:val="22"/>
          <w:szCs w:val="22"/>
        </w:rPr>
        <w:t xml:space="preserve"> mandated</w:t>
      </w:r>
      <w:r w:rsidR="003D4C9D">
        <w:rPr>
          <w:sz w:val="22"/>
          <w:szCs w:val="22"/>
        </w:rPr>
        <w:t xml:space="preserve"> support services to </w:t>
      </w:r>
      <w:r w:rsidR="007B6AD7">
        <w:rPr>
          <w:sz w:val="22"/>
          <w:szCs w:val="22"/>
        </w:rPr>
        <w:t>developing country Parties</w:t>
      </w:r>
      <w:r w:rsidR="0064426E">
        <w:rPr>
          <w:sz w:val="22"/>
          <w:szCs w:val="22"/>
        </w:rPr>
        <w:t xml:space="preserve"> engaging in REDD+</w:t>
      </w:r>
      <w:r w:rsidR="0064426E" w:rsidDel="00700E56">
        <w:rPr>
          <w:sz w:val="22"/>
          <w:szCs w:val="22"/>
        </w:rPr>
        <w:t xml:space="preserve"> </w:t>
      </w:r>
      <w:r w:rsidR="00800698">
        <w:rPr>
          <w:sz w:val="22"/>
          <w:szCs w:val="22"/>
        </w:rPr>
        <w:t xml:space="preserve">and </w:t>
      </w:r>
      <w:r w:rsidR="00B80B7D">
        <w:rPr>
          <w:sz w:val="22"/>
          <w:szCs w:val="22"/>
        </w:rPr>
        <w:t xml:space="preserve">seeking </w:t>
      </w:r>
      <w:r w:rsidR="00027351">
        <w:rPr>
          <w:sz w:val="22"/>
          <w:szCs w:val="22"/>
        </w:rPr>
        <w:t xml:space="preserve">to </w:t>
      </w:r>
      <w:r w:rsidR="00156F2E" w:rsidRPr="606A6091">
        <w:rPr>
          <w:sz w:val="22"/>
          <w:szCs w:val="22"/>
        </w:rPr>
        <w:t xml:space="preserve">access </w:t>
      </w:r>
      <w:r w:rsidR="00E10D52">
        <w:rPr>
          <w:sz w:val="22"/>
          <w:szCs w:val="22"/>
        </w:rPr>
        <w:t xml:space="preserve">UNFCCC-aligned </w:t>
      </w:r>
      <w:r w:rsidR="00156F2E" w:rsidRPr="606A6091">
        <w:rPr>
          <w:sz w:val="22"/>
          <w:szCs w:val="22"/>
        </w:rPr>
        <w:t xml:space="preserve">results-based </w:t>
      </w:r>
      <w:r w:rsidR="00E10D52">
        <w:rPr>
          <w:sz w:val="22"/>
          <w:szCs w:val="22"/>
        </w:rPr>
        <w:t>payments</w:t>
      </w:r>
      <w:r w:rsidR="00156F2E" w:rsidRPr="606A6091">
        <w:rPr>
          <w:sz w:val="22"/>
          <w:szCs w:val="22"/>
        </w:rPr>
        <w:t xml:space="preserve">. </w:t>
      </w:r>
      <w:r w:rsidR="000F653C">
        <w:rPr>
          <w:sz w:val="22"/>
          <w:szCs w:val="22"/>
        </w:rPr>
        <w:t xml:space="preserve">The programme includes a particular focus on strengthening </w:t>
      </w:r>
      <w:r w:rsidR="00D6599C">
        <w:rPr>
          <w:sz w:val="22"/>
          <w:szCs w:val="22"/>
        </w:rPr>
        <w:t xml:space="preserve">voluntary </w:t>
      </w:r>
      <w:r w:rsidR="000F653C">
        <w:rPr>
          <w:sz w:val="22"/>
          <w:szCs w:val="22"/>
        </w:rPr>
        <w:t>safeguards reporting, which</w:t>
      </w:r>
      <w:r w:rsidR="00D6599C">
        <w:rPr>
          <w:sz w:val="22"/>
          <w:szCs w:val="22"/>
        </w:rPr>
        <w:t xml:space="preserve"> has not received as much attention as </w:t>
      </w:r>
      <w:r w:rsidR="008D423D">
        <w:rPr>
          <w:sz w:val="22"/>
          <w:szCs w:val="22"/>
        </w:rPr>
        <w:t xml:space="preserve">the </w:t>
      </w:r>
      <w:r w:rsidR="00EF48EB">
        <w:rPr>
          <w:sz w:val="22"/>
          <w:szCs w:val="22"/>
        </w:rPr>
        <w:t>emissions reductions/removals monitoring, verification and reporting (MRV)</w:t>
      </w:r>
      <w:r w:rsidR="00D6599C">
        <w:rPr>
          <w:sz w:val="22"/>
          <w:szCs w:val="22"/>
        </w:rPr>
        <w:t xml:space="preserve"> elements of WFR reporting</w:t>
      </w:r>
      <w:r w:rsidR="00E902D8">
        <w:rPr>
          <w:sz w:val="22"/>
          <w:szCs w:val="22"/>
        </w:rPr>
        <w:t xml:space="preserve">. </w:t>
      </w:r>
      <w:r w:rsidR="00315A4B">
        <w:rPr>
          <w:sz w:val="22"/>
          <w:szCs w:val="22"/>
        </w:rPr>
        <w:t xml:space="preserve">Another </w:t>
      </w:r>
      <w:r w:rsidR="00EB6B01">
        <w:rPr>
          <w:sz w:val="22"/>
          <w:szCs w:val="22"/>
        </w:rPr>
        <w:t>important</w:t>
      </w:r>
      <w:r w:rsidR="00315A4B">
        <w:rPr>
          <w:sz w:val="22"/>
          <w:szCs w:val="22"/>
        </w:rPr>
        <w:t xml:space="preserve"> component of the programme is </w:t>
      </w:r>
      <w:r w:rsidR="00B15F6E">
        <w:rPr>
          <w:sz w:val="22"/>
          <w:szCs w:val="22"/>
        </w:rPr>
        <w:t xml:space="preserve">supporting learning and knowledge exchange, particularly through </w:t>
      </w:r>
      <w:r w:rsidR="003268EC">
        <w:rPr>
          <w:sz w:val="22"/>
          <w:szCs w:val="22"/>
        </w:rPr>
        <w:t>in-person</w:t>
      </w:r>
      <w:r w:rsidR="001A65A5">
        <w:rPr>
          <w:sz w:val="22"/>
          <w:szCs w:val="22"/>
        </w:rPr>
        <w:t>,</w:t>
      </w:r>
      <w:r w:rsidR="003268EC">
        <w:rPr>
          <w:sz w:val="22"/>
          <w:szCs w:val="22"/>
        </w:rPr>
        <w:t xml:space="preserve"> </w:t>
      </w:r>
      <w:r w:rsidR="00B15F6E">
        <w:rPr>
          <w:sz w:val="22"/>
          <w:szCs w:val="22"/>
        </w:rPr>
        <w:t>peer-to-peer</w:t>
      </w:r>
      <w:r w:rsidR="00932EF4">
        <w:rPr>
          <w:sz w:val="22"/>
          <w:szCs w:val="22"/>
        </w:rPr>
        <w:t xml:space="preserve"> and</w:t>
      </w:r>
      <w:r w:rsidR="00B15F6E">
        <w:rPr>
          <w:sz w:val="22"/>
          <w:szCs w:val="22"/>
        </w:rPr>
        <w:t xml:space="preserve"> South-South exchange</w:t>
      </w:r>
      <w:r w:rsidR="003268EC">
        <w:rPr>
          <w:sz w:val="22"/>
          <w:szCs w:val="22"/>
        </w:rPr>
        <w:t xml:space="preserve"> between REDD+ national focal points</w:t>
      </w:r>
      <w:r w:rsidR="00B15F6E">
        <w:rPr>
          <w:sz w:val="22"/>
          <w:szCs w:val="22"/>
        </w:rPr>
        <w:t>.</w:t>
      </w:r>
      <w:r w:rsidR="00932EF4">
        <w:rPr>
          <w:sz w:val="22"/>
          <w:szCs w:val="22"/>
        </w:rPr>
        <w:t xml:space="preserve"> </w:t>
      </w:r>
      <w:r w:rsidR="006C740A">
        <w:rPr>
          <w:sz w:val="22"/>
          <w:szCs w:val="22"/>
        </w:rPr>
        <w:t>This includes helping countries to better understand</w:t>
      </w:r>
      <w:r w:rsidR="000D0658">
        <w:rPr>
          <w:sz w:val="22"/>
          <w:szCs w:val="22"/>
        </w:rPr>
        <w:t xml:space="preserve"> Article 5 and Article 6 linkages in the context of REDD+. </w:t>
      </w:r>
      <w:r w:rsidR="002927EC">
        <w:rPr>
          <w:sz w:val="22"/>
          <w:szCs w:val="22"/>
        </w:rPr>
        <w:t xml:space="preserve">The programme is also supporting online knowledge exchange and learning and greater transparency </w:t>
      </w:r>
      <w:r w:rsidR="00B73DD1">
        <w:rPr>
          <w:sz w:val="22"/>
          <w:szCs w:val="22"/>
        </w:rPr>
        <w:t xml:space="preserve">through </w:t>
      </w:r>
      <w:r w:rsidR="000C0306">
        <w:rPr>
          <w:sz w:val="22"/>
          <w:szCs w:val="22"/>
        </w:rPr>
        <w:t xml:space="preserve">upgrades to the </w:t>
      </w:r>
      <w:r w:rsidR="00B73DD1">
        <w:rPr>
          <w:sz w:val="22"/>
          <w:szCs w:val="22"/>
        </w:rPr>
        <w:t>UNFCCC REDD+ Web Platform</w:t>
      </w:r>
      <w:r w:rsidR="002927EC">
        <w:rPr>
          <w:sz w:val="22"/>
          <w:szCs w:val="22"/>
        </w:rPr>
        <w:t xml:space="preserve"> and the Lima REDD+ Information Hub</w:t>
      </w:r>
      <w:r w:rsidR="00B73DD1">
        <w:rPr>
          <w:sz w:val="22"/>
          <w:szCs w:val="22"/>
        </w:rPr>
        <w:t>, respectively</w:t>
      </w:r>
      <w:r w:rsidR="00C01E96">
        <w:rPr>
          <w:sz w:val="22"/>
          <w:szCs w:val="22"/>
        </w:rPr>
        <w:t>.</w:t>
      </w:r>
      <w:r w:rsidR="00315A4B">
        <w:rPr>
          <w:sz w:val="22"/>
          <w:szCs w:val="22"/>
        </w:rPr>
        <w:t xml:space="preserve"> </w:t>
      </w:r>
    </w:p>
    <w:p w14:paraId="200A8095" w14:textId="77777777" w:rsidR="002F1546" w:rsidRPr="00745C1B" w:rsidRDefault="002F1546" w:rsidP="00745C1B">
      <w:pPr>
        <w:spacing w:before="40" w:after="40"/>
        <w:jc w:val="both"/>
        <w:rPr>
          <w:sz w:val="22"/>
          <w:szCs w:val="22"/>
        </w:rPr>
      </w:pPr>
    </w:p>
    <w:p w14:paraId="7EC7CFAC" w14:textId="4EDCD5B2" w:rsidR="003D222C" w:rsidRPr="00745C1B" w:rsidRDefault="00FC6F81" w:rsidP="00745C1B">
      <w:pPr>
        <w:jc w:val="both"/>
        <w:rPr>
          <w:sz w:val="22"/>
          <w:szCs w:val="22"/>
        </w:rPr>
      </w:pPr>
      <w:r w:rsidRPr="07BCC1CC">
        <w:rPr>
          <w:sz w:val="22"/>
          <w:szCs w:val="22"/>
        </w:rPr>
        <w:t xml:space="preserve">The UK contribution to the AFOLU Unit is additional to our annual core and any other voluntary </w:t>
      </w:r>
      <w:r w:rsidR="00FB5F6A" w:rsidRPr="07BCC1CC">
        <w:rPr>
          <w:sz w:val="22"/>
          <w:szCs w:val="22"/>
        </w:rPr>
        <w:t xml:space="preserve">supplementary </w:t>
      </w:r>
      <w:r w:rsidRPr="07BCC1CC">
        <w:rPr>
          <w:sz w:val="22"/>
          <w:szCs w:val="22"/>
        </w:rPr>
        <w:t xml:space="preserve">contributions to the UNFCCC. </w:t>
      </w:r>
      <w:r w:rsidR="0097044B" w:rsidRPr="07BCC1CC">
        <w:rPr>
          <w:sz w:val="22"/>
          <w:szCs w:val="22"/>
        </w:rPr>
        <w:t>The UK contribution forms part of a wider multi-donor effort to sustain the UNFCCC AFOLU Unit</w:t>
      </w:r>
      <w:r w:rsidR="00A2428D" w:rsidRPr="07BCC1CC">
        <w:rPr>
          <w:sz w:val="22"/>
          <w:szCs w:val="22"/>
        </w:rPr>
        <w:t xml:space="preserve">. </w:t>
      </w:r>
      <w:r w:rsidR="00ED7DDB" w:rsidRPr="07BCC1CC">
        <w:rPr>
          <w:sz w:val="22"/>
          <w:szCs w:val="22"/>
        </w:rPr>
        <w:t xml:space="preserve">While other donors, including Germany, Norway and Switzerland contribute to </w:t>
      </w:r>
      <w:r w:rsidR="00AF213C" w:rsidRPr="07BCC1CC">
        <w:rPr>
          <w:sz w:val="22"/>
          <w:szCs w:val="22"/>
        </w:rPr>
        <w:t xml:space="preserve">the </w:t>
      </w:r>
      <w:r w:rsidR="00ED7DDB" w:rsidRPr="07BCC1CC">
        <w:rPr>
          <w:sz w:val="22"/>
          <w:szCs w:val="22"/>
        </w:rPr>
        <w:t>AFOL</w:t>
      </w:r>
      <w:r w:rsidR="00AD4938" w:rsidRPr="07BCC1CC">
        <w:rPr>
          <w:sz w:val="22"/>
          <w:szCs w:val="22"/>
        </w:rPr>
        <w:t>U</w:t>
      </w:r>
      <w:r w:rsidR="00AF213C" w:rsidRPr="07BCC1CC">
        <w:rPr>
          <w:sz w:val="22"/>
          <w:szCs w:val="22"/>
        </w:rPr>
        <w:t xml:space="preserve"> Unit</w:t>
      </w:r>
      <w:r w:rsidR="00AD4938" w:rsidRPr="07BCC1CC">
        <w:rPr>
          <w:sz w:val="22"/>
          <w:szCs w:val="22"/>
        </w:rPr>
        <w:t xml:space="preserve">, UK funding supports a discrete set of REDD+ activities that were ringfenced within </w:t>
      </w:r>
      <w:r w:rsidR="00640701" w:rsidRPr="07BCC1CC">
        <w:rPr>
          <w:sz w:val="22"/>
          <w:szCs w:val="22"/>
        </w:rPr>
        <w:t xml:space="preserve">the Unit </w:t>
      </w:r>
      <w:r w:rsidR="00AD4938" w:rsidRPr="07BCC1CC">
        <w:rPr>
          <w:sz w:val="22"/>
          <w:szCs w:val="22"/>
        </w:rPr>
        <w:t xml:space="preserve">to enable clear attribution for UK ODA reporting; these were not co-funded by other donors. </w:t>
      </w:r>
      <w:r w:rsidR="00CD6F1F">
        <w:rPr>
          <w:sz w:val="22"/>
          <w:szCs w:val="22"/>
        </w:rPr>
        <w:t xml:space="preserve">All </w:t>
      </w:r>
      <w:r w:rsidR="0066453B">
        <w:rPr>
          <w:sz w:val="22"/>
          <w:szCs w:val="22"/>
        </w:rPr>
        <w:t xml:space="preserve">activities </w:t>
      </w:r>
      <w:r w:rsidR="00CD6F1F">
        <w:rPr>
          <w:sz w:val="22"/>
          <w:szCs w:val="22"/>
        </w:rPr>
        <w:t>listed in the A/R are attributa</w:t>
      </w:r>
      <w:r w:rsidR="004C5E2B">
        <w:rPr>
          <w:sz w:val="22"/>
          <w:szCs w:val="22"/>
        </w:rPr>
        <w:t xml:space="preserve">ble to UK ring-fenced funding within the AFOLU Unit, and not co-funded activities. </w:t>
      </w:r>
      <w:r w:rsidR="0097044B" w:rsidRPr="07BCC1CC">
        <w:rPr>
          <w:sz w:val="22"/>
          <w:szCs w:val="22"/>
        </w:rPr>
        <w:t>UK funding plays a catalytic role by helping to fill anticipated funding gaps and enabling additional technical assessments, analytical work and coordination activities beyond the UNFCCC core budget. Oversight of the UK-funded component is provided by the Department for Energy Security and Net Zero (DESNZ) International Forests Unit (IFU), with monitoring, evaluation and learning arrangements agreed jointly with the delivery partner. </w:t>
      </w:r>
    </w:p>
    <w:p w14:paraId="2E791400" w14:textId="77777777" w:rsidR="0097044B" w:rsidRDefault="0097044B" w:rsidP="003D222C">
      <w:pPr>
        <w:rPr>
          <w:b/>
          <w:sz w:val="22"/>
          <w:szCs w:val="22"/>
        </w:rPr>
      </w:pPr>
    </w:p>
    <w:p w14:paraId="58115D17" w14:textId="77777777" w:rsidR="00D6735A" w:rsidRDefault="00D6735A">
      <w:pPr>
        <w:spacing w:after="160" w:line="259" w:lineRule="auto"/>
        <w:rPr>
          <w:rFonts w:cs="Arial"/>
          <w:b/>
          <w:sz w:val="22"/>
          <w:szCs w:val="22"/>
        </w:rPr>
      </w:pPr>
      <w:r>
        <w:rPr>
          <w:rFonts w:cs="Arial"/>
          <w:b/>
          <w:sz w:val="22"/>
          <w:szCs w:val="22"/>
        </w:rPr>
        <w:br w:type="page"/>
      </w:r>
    </w:p>
    <w:p w14:paraId="5276E7EE" w14:textId="43E234D3" w:rsidR="003D222C" w:rsidRDefault="003D222C" w:rsidP="003D222C">
      <w:pPr>
        <w:rPr>
          <w:rFonts w:cs="Arial"/>
          <w:sz w:val="20"/>
          <w:szCs w:val="20"/>
        </w:rPr>
      </w:pPr>
      <w:r>
        <w:rPr>
          <w:rFonts w:cs="Arial"/>
          <w:b/>
          <w:sz w:val="22"/>
          <w:szCs w:val="22"/>
        </w:rPr>
        <w:lastRenderedPageBreak/>
        <w:t xml:space="preserve">Summary of progress and supporting narrative for the overall score in this review </w:t>
      </w:r>
    </w:p>
    <w:p w14:paraId="66CCFF4E" w14:textId="77777777" w:rsidR="00C34259" w:rsidRDefault="00C34259" w:rsidP="003D222C">
      <w:pPr>
        <w:rPr>
          <w:rFonts w:cs="Arial"/>
          <w:sz w:val="20"/>
          <w:szCs w:val="20"/>
        </w:rPr>
      </w:pPr>
    </w:p>
    <w:p w14:paraId="1899E98C" w14:textId="77777777" w:rsidR="00C34259" w:rsidRDefault="00C34259" w:rsidP="003D222C">
      <w:pPr>
        <w:rPr>
          <w:rFonts w:cs="Arial"/>
          <w:b/>
          <w:sz w:val="22"/>
          <w:szCs w:val="22"/>
        </w:rPr>
      </w:pPr>
    </w:p>
    <w:p w14:paraId="33915D9A" w14:textId="2790E3F4" w:rsidR="001F2CF1" w:rsidRPr="001F2CF1" w:rsidRDefault="001F2CF1" w:rsidP="5FE00C61">
      <w:pPr>
        <w:rPr>
          <w:rFonts w:cs="Arial"/>
          <w:sz w:val="22"/>
          <w:szCs w:val="22"/>
        </w:rPr>
      </w:pPr>
      <w:r w:rsidRPr="42595D26">
        <w:rPr>
          <w:rFonts w:cs="Arial"/>
          <w:sz w:val="22"/>
          <w:szCs w:val="22"/>
        </w:rPr>
        <w:t xml:space="preserve">The Business Case originally envisaged a </w:t>
      </w:r>
      <w:r w:rsidR="00685555" w:rsidRPr="42595D26">
        <w:rPr>
          <w:rFonts w:cs="Arial"/>
          <w:sz w:val="22"/>
          <w:szCs w:val="22"/>
        </w:rPr>
        <w:t>four-year</w:t>
      </w:r>
      <w:r w:rsidRPr="42595D26">
        <w:rPr>
          <w:rFonts w:cs="Arial"/>
          <w:sz w:val="22"/>
          <w:szCs w:val="22"/>
        </w:rPr>
        <w:t xml:space="preserve"> implementation period. Following approval, finalisation of the </w:t>
      </w:r>
      <w:proofErr w:type="spellStart"/>
      <w:r w:rsidR="009B381F">
        <w:rPr>
          <w:rFonts w:cs="Arial"/>
          <w:sz w:val="22"/>
          <w:szCs w:val="22"/>
        </w:rPr>
        <w:t>L</w:t>
      </w:r>
      <w:r w:rsidRPr="42595D26">
        <w:rPr>
          <w:rFonts w:cs="Arial"/>
          <w:sz w:val="22"/>
          <w:szCs w:val="22"/>
        </w:rPr>
        <w:t>ogframe</w:t>
      </w:r>
      <w:proofErr w:type="spellEnd"/>
      <w:r w:rsidRPr="42595D26">
        <w:rPr>
          <w:rFonts w:cs="Arial"/>
          <w:sz w:val="22"/>
          <w:szCs w:val="22"/>
        </w:rPr>
        <w:t xml:space="preserve"> and Contribution Arrangement was paused pending confirmation of the available ODA funding profile. In June 2025, £1.34m was confirmed for FY2025/26; the Contribution Arrangement was updated to a singl</w:t>
      </w:r>
      <w:r w:rsidR="04897572" w:rsidRPr="42595D26">
        <w:rPr>
          <w:rFonts w:cs="Arial"/>
          <w:sz w:val="22"/>
          <w:szCs w:val="22"/>
        </w:rPr>
        <w:t>e</w:t>
      </w:r>
      <w:r w:rsidR="41AA6FED" w:rsidRPr="42595D26">
        <w:rPr>
          <w:rFonts w:cs="Arial"/>
          <w:sz w:val="22"/>
          <w:szCs w:val="22"/>
        </w:rPr>
        <w:t xml:space="preserve"> </w:t>
      </w:r>
      <w:r w:rsidRPr="42595D26">
        <w:rPr>
          <w:rFonts w:cs="Arial"/>
          <w:sz w:val="22"/>
          <w:szCs w:val="22"/>
        </w:rPr>
        <w:t xml:space="preserve">year allocation and signed in </w:t>
      </w:r>
      <w:r w:rsidR="00ED3398" w:rsidRPr="42595D26">
        <w:rPr>
          <w:rFonts w:cs="Arial"/>
          <w:sz w:val="22"/>
          <w:szCs w:val="22"/>
        </w:rPr>
        <w:t>mid-June</w:t>
      </w:r>
      <w:r w:rsidRPr="42595D26">
        <w:rPr>
          <w:rFonts w:cs="Arial"/>
          <w:sz w:val="22"/>
          <w:szCs w:val="22"/>
        </w:rPr>
        <w:t xml:space="preserve">, with funds disbursed at the start of July 2025. The implementation plan and </w:t>
      </w:r>
      <w:proofErr w:type="spellStart"/>
      <w:r w:rsidRPr="42595D26">
        <w:rPr>
          <w:rFonts w:cs="Arial"/>
          <w:sz w:val="22"/>
          <w:szCs w:val="22"/>
        </w:rPr>
        <w:t>logframe</w:t>
      </w:r>
      <w:proofErr w:type="spellEnd"/>
      <w:r w:rsidRPr="42595D26">
        <w:rPr>
          <w:rFonts w:cs="Arial"/>
          <w:sz w:val="22"/>
          <w:szCs w:val="22"/>
        </w:rPr>
        <w:t xml:space="preserve"> were correspondingly adjusted to a one</w:t>
      </w:r>
      <w:r w:rsidR="003D66D2">
        <w:rPr>
          <w:rFonts w:cs="Arial"/>
          <w:sz w:val="22"/>
          <w:szCs w:val="22"/>
        </w:rPr>
        <w:t>-y</w:t>
      </w:r>
      <w:r w:rsidRPr="42595D26">
        <w:rPr>
          <w:rFonts w:cs="Arial"/>
          <w:sz w:val="22"/>
          <w:szCs w:val="22"/>
        </w:rPr>
        <w:t xml:space="preserve">ear delivery period to ensure proportionality, realistic sequencing and alignment with the approved timeframe. </w:t>
      </w:r>
    </w:p>
    <w:p w14:paraId="36AC6569" w14:textId="77777777" w:rsidR="003D222C" w:rsidRDefault="003D222C" w:rsidP="003D222C">
      <w:pPr>
        <w:rPr>
          <w:b/>
          <w:sz w:val="22"/>
          <w:szCs w:val="22"/>
        </w:rPr>
      </w:pPr>
    </w:p>
    <w:p w14:paraId="4946327B" w14:textId="7329F7A9" w:rsidR="001F2CF1" w:rsidRPr="001F2CF1" w:rsidRDefault="003A0FAD" w:rsidP="42595D26">
      <w:pPr>
        <w:rPr>
          <w:sz w:val="22"/>
          <w:szCs w:val="22"/>
        </w:rPr>
      </w:pPr>
      <w:r w:rsidRPr="6590FE67">
        <w:rPr>
          <w:sz w:val="22"/>
          <w:szCs w:val="22"/>
        </w:rPr>
        <w:t>The UNFCCC</w:t>
      </w:r>
      <w:r w:rsidR="734B17DA" w:rsidRPr="6590FE67">
        <w:rPr>
          <w:sz w:val="22"/>
          <w:szCs w:val="22"/>
        </w:rPr>
        <w:t xml:space="preserve"> </w:t>
      </w:r>
      <w:r w:rsidRPr="6590FE67">
        <w:rPr>
          <w:sz w:val="22"/>
          <w:szCs w:val="22"/>
        </w:rPr>
        <w:t xml:space="preserve">is the sole mandated </w:t>
      </w:r>
      <w:r w:rsidR="0068217E" w:rsidRPr="6590FE67">
        <w:rPr>
          <w:sz w:val="22"/>
          <w:szCs w:val="22"/>
        </w:rPr>
        <w:t>g</w:t>
      </w:r>
      <w:r w:rsidR="1545D01A" w:rsidRPr="6590FE67">
        <w:rPr>
          <w:sz w:val="22"/>
          <w:szCs w:val="22"/>
        </w:rPr>
        <w:t>l</w:t>
      </w:r>
      <w:r w:rsidR="001F2CF1" w:rsidRPr="6590FE67">
        <w:rPr>
          <w:sz w:val="22"/>
          <w:szCs w:val="22"/>
        </w:rPr>
        <w:t>obal authority for REDD+ transparency</w:t>
      </w:r>
      <w:r w:rsidR="00890F5C" w:rsidRPr="6590FE67">
        <w:rPr>
          <w:sz w:val="22"/>
          <w:szCs w:val="22"/>
        </w:rPr>
        <w:t>,</w:t>
      </w:r>
      <w:r w:rsidR="001F2CF1" w:rsidRPr="6590FE67">
        <w:rPr>
          <w:sz w:val="22"/>
          <w:szCs w:val="22"/>
        </w:rPr>
        <w:t xml:space="preserve"> technical assessments</w:t>
      </w:r>
      <w:r w:rsidR="00263D6E" w:rsidRPr="6590FE67">
        <w:rPr>
          <w:sz w:val="22"/>
          <w:szCs w:val="22"/>
        </w:rPr>
        <w:t xml:space="preserve"> </w:t>
      </w:r>
      <w:r w:rsidR="00890F5C" w:rsidRPr="6590FE67">
        <w:rPr>
          <w:sz w:val="22"/>
          <w:szCs w:val="22"/>
        </w:rPr>
        <w:t xml:space="preserve">of forest reference levels </w:t>
      </w:r>
      <w:r w:rsidR="00263D6E" w:rsidRPr="6590FE67">
        <w:rPr>
          <w:sz w:val="22"/>
          <w:szCs w:val="22"/>
        </w:rPr>
        <w:t>and reviews</w:t>
      </w:r>
      <w:r w:rsidR="00FC750E" w:rsidRPr="6590FE67">
        <w:rPr>
          <w:sz w:val="22"/>
          <w:szCs w:val="22"/>
        </w:rPr>
        <w:t xml:space="preserve"> of REDD+ results under the Warsaw Framework for REDD+</w:t>
      </w:r>
      <w:r w:rsidR="001F2CF1" w:rsidRPr="6590FE67">
        <w:rPr>
          <w:sz w:val="22"/>
          <w:szCs w:val="22"/>
        </w:rPr>
        <w:t xml:space="preserve">. </w:t>
      </w:r>
      <w:r w:rsidR="00507A53" w:rsidRPr="6590FE67">
        <w:rPr>
          <w:sz w:val="22"/>
          <w:szCs w:val="22"/>
        </w:rPr>
        <w:t>It derives this mandate from decisions of the Conference of the Parties</w:t>
      </w:r>
      <w:r w:rsidR="00263D6E" w:rsidRPr="6590FE67">
        <w:rPr>
          <w:sz w:val="22"/>
          <w:szCs w:val="22"/>
        </w:rPr>
        <w:t xml:space="preserve"> included in Article 5.2 of the Paris Agreement. </w:t>
      </w:r>
      <w:r w:rsidR="001F2CF1" w:rsidRPr="6590FE67">
        <w:rPr>
          <w:sz w:val="22"/>
          <w:szCs w:val="22"/>
        </w:rPr>
        <w:t xml:space="preserve">UK funds sustain these </w:t>
      </w:r>
      <w:r w:rsidR="00263D6E" w:rsidRPr="6590FE67">
        <w:rPr>
          <w:sz w:val="22"/>
          <w:szCs w:val="22"/>
        </w:rPr>
        <w:t xml:space="preserve">and related </w:t>
      </w:r>
      <w:r w:rsidR="001F2CF1" w:rsidRPr="6590FE67">
        <w:rPr>
          <w:sz w:val="22"/>
          <w:szCs w:val="22"/>
        </w:rPr>
        <w:t>functions and would not be replaceable by any other agency.</w:t>
      </w:r>
    </w:p>
    <w:p w14:paraId="0F8DD1A3" w14:textId="77777777" w:rsidR="001F2CF1" w:rsidRDefault="001F2CF1" w:rsidP="003D222C">
      <w:pPr>
        <w:rPr>
          <w:b/>
          <w:sz w:val="22"/>
          <w:szCs w:val="22"/>
        </w:rPr>
      </w:pPr>
    </w:p>
    <w:p w14:paraId="019C7C45" w14:textId="4D0850F7" w:rsidR="00293F19" w:rsidRPr="00745C1B" w:rsidRDefault="008F30B5" w:rsidP="00745C1B">
      <w:pPr>
        <w:jc w:val="both"/>
        <w:rPr>
          <w:rFonts w:cs="Arial"/>
          <w:sz w:val="22"/>
          <w:szCs w:val="22"/>
        </w:rPr>
      </w:pPr>
      <w:r w:rsidRPr="606A6091">
        <w:rPr>
          <w:rFonts w:cs="Arial"/>
          <w:sz w:val="22"/>
          <w:szCs w:val="22"/>
        </w:rPr>
        <w:t xml:space="preserve">This Annual Review covers the </w:t>
      </w:r>
      <w:r w:rsidRPr="00BE01FA">
        <w:rPr>
          <w:rFonts w:cs="Arial"/>
          <w:sz w:val="22"/>
          <w:szCs w:val="22"/>
        </w:rPr>
        <w:t xml:space="preserve">period </w:t>
      </w:r>
      <w:r w:rsidR="0050673A" w:rsidRPr="00BE01FA">
        <w:rPr>
          <w:rFonts w:cs="Arial"/>
          <w:sz w:val="22"/>
          <w:szCs w:val="22"/>
        </w:rPr>
        <w:t xml:space="preserve">July </w:t>
      </w:r>
      <w:r w:rsidR="00670447" w:rsidRPr="00BE01FA">
        <w:rPr>
          <w:rFonts w:cs="Arial"/>
          <w:sz w:val="22"/>
          <w:szCs w:val="22"/>
        </w:rPr>
        <w:t xml:space="preserve">– December </w:t>
      </w:r>
      <w:r w:rsidR="0050673A" w:rsidRPr="00BE01FA">
        <w:rPr>
          <w:rFonts w:cs="Arial"/>
          <w:sz w:val="22"/>
          <w:szCs w:val="22"/>
        </w:rPr>
        <w:t>202</w:t>
      </w:r>
      <w:r w:rsidR="006A2A7A" w:rsidRPr="00BE01FA">
        <w:rPr>
          <w:rFonts w:cs="Arial"/>
          <w:sz w:val="22"/>
          <w:szCs w:val="22"/>
        </w:rPr>
        <w:t>5</w:t>
      </w:r>
      <w:r w:rsidR="0050673A" w:rsidRPr="00BE01FA">
        <w:rPr>
          <w:rFonts w:cs="Arial"/>
          <w:sz w:val="22"/>
          <w:szCs w:val="22"/>
        </w:rPr>
        <w:t xml:space="preserve"> and is</w:t>
      </w:r>
      <w:r w:rsidR="0050673A" w:rsidRPr="606A6091">
        <w:rPr>
          <w:rFonts w:cs="Arial"/>
          <w:sz w:val="22"/>
          <w:szCs w:val="22"/>
        </w:rPr>
        <w:t xml:space="preserve"> the first review of the programme. </w:t>
      </w:r>
      <w:r w:rsidR="0040440E">
        <w:rPr>
          <w:rFonts w:cs="Arial"/>
          <w:sz w:val="22"/>
          <w:szCs w:val="22"/>
        </w:rPr>
        <w:t>D</w:t>
      </w:r>
      <w:r w:rsidR="0040440E" w:rsidRPr="00A22AAB">
        <w:rPr>
          <w:rFonts w:cs="Arial"/>
          <w:sz w:val="22"/>
          <w:szCs w:val="22"/>
        </w:rPr>
        <w:t xml:space="preserve">elays to funding confirmation and </w:t>
      </w:r>
      <w:r w:rsidR="0040440E">
        <w:rPr>
          <w:rFonts w:cs="Arial"/>
          <w:sz w:val="22"/>
          <w:szCs w:val="22"/>
        </w:rPr>
        <w:t xml:space="preserve">transmission of funds have </w:t>
      </w:r>
      <w:r w:rsidR="0040440E" w:rsidRPr="00293F19">
        <w:rPr>
          <w:rFonts w:cs="Arial"/>
          <w:sz w:val="22"/>
          <w:szCs w:val="22"/>
        </w:rPr>
        <w:t>meant that during the initial part of the review period, activity focused primarily on programme mobilisation, and detailed planning, with limited scope for delivery of assessable outputs</w:t>
      </w:r>
      <w:r w:rsidR="0040440E">
        <w:rPr>
          <w:rFonts w:cs="Arial"/>
          <w:sz w:val="22"/>
          <w:szCs w:val="22"/>
        </w:rPr>
        <w:t>, particularly with COP30 also taking place in these last six months</w:t>
      </w:r>
      <w:r w:rsidR="0040440E" w:rsidRPr="00293F19">
        <w:rPr>
          <w:rFonts w:cs="Arial"/>
          <w:sz w:val="22"/>
          <w:szCs w:val="22"/>
        </w:rPr>
        <w:t xml:space="preserve">. This has had a knock-on effect on the timing of milestones in the </w:t>
      </w:r>
      <w:proofErr w:type="spellStart"/>
      <w:r w:rsidR="0040440E" w:rsidRPr="606A6091">
        <w:rPr>
          <w:rFonts w:cs="Arial"/>
          <w:sz w:val="22"/>
          <w:szCs w:val="22"/>
        </w:rPr>
        <w:t>L</w:t>
      </w:r>
      <w:r w:rsidR="0040440E" w:rsidRPr="00293F19">
        <w:rPr>
          <w:rFonts w:cs="Arial"/>
          <w:sz w:val="22"/>
          <w:szCs w:val="22"/>
        </w:rPr>
        <w:t>ogframe</w:t>
      </w:r>
      <w:proofErr w:type="spellEnd"/>
      <w:r w:rsidR="0040440E" w:rsidRPr="00293F19">
        <w:rPr>
          <w:rFonts w:cs="Arial"/>
          <w:sz w:val="22"/>
          <w:szCs w:val="22"/>
        </w:rPr>
        <w:t xml:space="preserve">, many of which </w:t>
      </w:r>
      <w:r w:rsidR="0040440E">
        <w:rPr>
          <w:rFonts w:cs="Arial"/>
          <w:sz w:val="22"/>
          <w:szCs w:val="22"/>
        </w:rPr>
        <w:t xml:space="preserve">now </w:t>
      </w:r>
      <w:r w:rsidR="0040440E" w:rsidRPr="00293F19">
        <w:rPr>
          <w:rFonts w:cs="Arial"/>
          <w:sz w:val="22"/>
          <w:szCs w:val="22"/>
        </w:rPr>
        <w:t>fall later than originally anticipated.</w:t>
      </w:r>
      <w:r w:rsidR="00CF4869">
        <w:rPr>
          <w:rFonts w:cs="Arial"/>
          <w:sz w:val="22"/>
          <w:szCs w:val="22"/>
        </w:rPr>
        <w:t xml:space="preserve"> </w:t>
      </w:r>
      <w:r w:rsidR="009F57AF">
        <w:rPr>
          <w:rFonts w:cs="Arial"/>
          <w:sz w:val="22"/>
          <w:szCs w:val="22"/>
        </w:rPr>
        <w:t xml:space="preserve"> </w:t>
      </w:r>
    </w:p>
    <w:p w14:paraId="2ABC62D2" w14:textId="77777777" w:rsidR="00293F19" w:rsidRPr="00745C1B" w:rsidRDefault="00293F19" w:rsidP="00745C1B">
      <w:pPr>
        <w:jc w:val="both"/>
        <w:rPr>
          <w:rFonts w:cs="Arial"/>
          <w:sz w:val="22"/>
          <w:szCs w:val="22"/>
        </w:rPr>
      </w:pPr>
    </w:p>
    <w:p w14:paraId="32476B6E" w14:textId="12BEEA0D" w:rsidR="008409FD" w:rsidRPr="00745C1B" w:rsidRDefault="008409FD" w:rsidP="00745C1B">
      <w:pPr>
        <w:jc w:val="both"/>
        <w:rPr>
          <w:rFonts w:cs="Arial"/>
          <w:sz w:val="22"/>
          <w:szCs w:val="22"/>
        </w:rPr>
      </w:pPr>
      <w:r w:rsidRPr="3D08C60F">
        <w:rPr>
          <w:rFonts w:cs="Arial"/>
          <w:sz w:val="22"/>
          <w:szCs w:val="22"/>
        </w:rPr>
        <w:t>Key progress during the review period includes:</w:t>
      </w:r>
    </w:p>
    <w:p w14:paraId="3BECBEFA" w14:textId="548FEEAE" w:rsidR="005D7A3C" w:rsidRPr="009E3824" w:rsidRDefault="005D7A3C" w:rsidP="00C76876">
      <w:pPr>
        <w:numPr>
          <w:ilvl w:val="0"/>
          <w:numId w:val="8"/>
        </w:numPr>
        <w:jc w:val="both"/>
        <w:rPr>
          <w:sz w:val="22"/>
          <w:szCs w:val="22"/>
        </w:rPr>
      </w:pPr>
      <w:r w:rsidRPr="606A6091">
        <w:rPr>
          <w:sz w:val="22"/>
          <w:szCs w:val="22"/>
          <w:lang w:eastAsia="en-GB"/>
        </w:rPr>
        <w:t>I</w:t>
      </w:r>
      <w:r w:rsidRPr="005D7A3C">
        <w:rPr>
          <w:sz w:val="22"/>
          <w:szCs w:val="22"/>
          <w:lang w:eastAsia="en-GB"/>
        </w:rPr>
        <w:t xml:space="preserve">nitiation of technical assessments of REDD+ </w:t>
      </w:r>
      <w:r w:rsidR="006235BD">
        <w:rPr>
          <w:sz w:val="22"/>
          <w:szCs w:val="22"/>
          <w:lang w:eastAsia="en-GB"/>
        </w:rPr>
        <w:t>forest emission</w:t>
      </w:r>
      <w:r w:rsidR="00A031A5">
        <w:rPr>
          <w:sz w:val="22"/>
          <w:szCs w:val="22"/>
          <w:lang w:eastAsia="en-GB"/>
        </w:rPr>
        <w:t xml:space="preserve"> reference levels/</w:t>
      </w:r>
      <w:r w:rsidRPr="005D7A3C">
        <w:rPr>
          <w:sz w:val="22"/>
          <w:szCs w:val="22"/>
          <w:lang w:eastAsia="en-GB"/>
        </w:rPr>
        <w:t xml:space="preserve">forest reference levels </w:t>
      </w:r>
      <w:r w:rsidR="00A031A5">
        <w:rPr>
          <w:sz w:val="22"/>
          <w:szCs w:val="22"/>
          <w:lang w:eastAsia="en-GB"/>
        </w:rPr>
        <w:t>(FREL/FRL)</w:t>
      </w:r>
      <w:r w:rsidR="00F153C6">
        <w:rPr>
          <w:rStyle w:val="FootnoteReference"/>
          <w:sz w:val="22"/>
          <w:szCs w:val="22"/>
          <w:lang w:eastAsia="en-GB"/>
        </w:rPr>
        <w:footnoteReference w:id="2"/>
      </w:r>
      <w:r w:rsidR="0080559B">
        <w:rPr>
          <w:sz w:val="22"/>
          <w:szCs w:val="22"/>
          <w:lang w:eastAsia="en-GB"/>
        </w:rPr>
        <w:t xml:space="preserve">, </w:t>
      </w:r>
      <w:r w:rsidRPr="005D7A3C">
        <w:rPr>
          <w:sz w:val="22"/>
          <w:szCs w:val="22"/>
          <w:lang w:eastAsia="en-GB"/>
        </w:rPr>
        <w:t>with seven FREL/FRL submissions received for technical assessment during 2025</w:t>
      </w:r>
      <w:r w:rsidR="008A67D0">
        <w:rPr>
          <w:sz w:val="22"/>
          <w:szCs w:val="22"/>
          <w:lang w:eastAsia="en-GB"/>
        </w:rPr>
        <w:t xml:space="preserve"> (</w:t>
      </w:r>
      <w:r w:rsidR="008A67D0" w:rsidRPr="008A67D0">
        <w:rPr>
          <w:sz w:val="22"/>
          <w:szCs w:val="22"/>
        </w:rPr>
        <w:t>Malawi</w:t>
      </w:r>
      <w:r w:rsidR="008A67D0">
        <w:rPr>
          <w:sz w:val="22"/>
          <w:szCs w:val="22"/>
        </w:rPr>
        <w:t xml:space="preserve">, </w:t>
      </w:r>
      <w:r w:rsidR="008A67D0" w:rsidRPr="008A67D0">
        <w:rPr>
          <w:sz w:val="22"/>
          <w:szCs w:val="22"/>
          <w:lang w:eastAsia="en-GB"/>
        </w:rPr>
        <w:t>Nigeria</w:t>
      </w:r>
      <w:r w:rsidR="008A67D0">
        <w:rPr>
          <w:sz w:val="22"/>
          <w:szCs w:val="22"/>
        </w:rPr>
        <w:t xml:space="preserve">, </w:t>
      </w:r>
      <w:r w:rsidR="008A67D0" w:rsidRPr="008A67D0">
        <w:rPr>
          <w:sz w:val="22"/>
          <w:szCs w:val="22"/>
          <w:lang w:eastAsia="en-GB"/>
        </w:rPr>
        <w:t>Ethiopia</w:t>
      </w:r>
      <w:r w:rsidR="008A67D0">
        <w:rPr>
          <w:sz w:val="22"/>
          <w:szCs w:val="22"/>
        </w:rPr>
        <w:t xml:space="preserve">, </w:t>
      </w:r>
      <w:r w:rsidR="008A67D0" w:rsidRPr="008A67D0">
        <w:rPr>
          <w:sz w:val="22"/>
          <w:szCs w:val="22"/>
          <w:lang w:eastAsia="en-GB"/>
        </w:rPr>
        <w:t>Guinea</w:t>
      </w:r>
      <w:r w:rsidR="00522843">
        <w:rPr>
          <w:sz w:val="22"/>
          <w:szCs w:val="22"/>
        </w:rPr>
        <w:t xml:space="preserve">, </w:t>
      </w:r>
      <w:r w:rsidR="008A67D0" w:rsidRPr="008A67D0">
        <w:rPr>
          <w:sz w:val="22"/>
          <w:szCs w:val="22"/>
          <w:lang w:eastAsia="en-GB"/>
        </w:rPr>
        <w:t>Nepal</w:t>
      </w:r>
      <w:r w:rsidR="00522843">
        <w:rPr>
          <w:sz w:val="22"/>
          <w:szCs w:val="22"/>
        </w:rPr>
        <w:t xml:space="preserve">, </w:t>
      </w:r>
      <w:r w:rsidR="008A67D0" w:rsidRPr="00522843">
        <w:rPr>
          <w:sz w:val="22"/>
          <w:szCs w:val="22"/>
          <w:lang w:eastAsia="en-GB"/>
        </w:rPr>
        <w:t>Cameroon</w:t>
      </w:r>
      <w:r w:rsidR="00522843">
        <w:rPr>
          <w:sz w:val="22"/>
          <w:szCs w:val="22"/>
        </w:rPr>
        <w:t xml:space="preserve">, </w:t>
      </w:r>
      <w:r w:rsidR="008A67D0" w:rsidRPr="00522843">
        <w:rPr>
          <w:sz w:val="22"/>
          <w:szCs w:val="22"/>
          <w:lang w:eastAsia="en-GB"/>
        </w:rPr>
        <w:t>Liberia</w:t>
      </w:r>
      <w:proofErr w:type="gramStart"/>
      <w:r w:rsidR="00522843">
        <w:rPr>
          <w:sz w:val="22"/>
          <w:szCs w:val="22"/>
          <w:lang w:eastAsia="en-GB"/>
        </w:rPr>
        <w:t>)</w:t>
      </w:r>
      <w:r w:rsidRPr="00C76876">
        <w:rPr>
          <w:sz w:val="22"/>
          <w:szCs w:val="22"/>
          <w:lang w:eastAsia="en-GB"/>
        </w:rPr>
        <w:t>;</w:t>
      </w:r>
      <w:proofErr w:type="gramEnd"/>
    </w:p>
    <w:p w14:paraId="04675816" w14:textId="3AB18D81" w:rsidR="005D7A3C" w:rsidRPr="005D7A3C" w:rsidRDefault="00612965" w:rsidP="00745C1B">
      <w:pPr>
        <w:numPr>
          <w:ilvl w:val="0"/>
          <w:numId w:val="8"/>
        </w:numPr>
        <w:jc w:val="both"/>
        <w:rPr>
          <w:sz w:val="22"/>
          <w:szCs w:val="22"/>
          <w:lang w:eastAsia="en-GB"/>
        </w:rPr>
      </w:pPr>
      <w:r>
        <w:rPr>
          <w:sz w:val="22"/>
          <w:szCs w:val="22"/>
          <w:lang w:eastAsia="en-GB"/>
        </w:rPr>
        <w:t xml:space="preserve">Start </w:t>
      </w:r>
      <w:r w:rsidR="005D7A3C" w:rsidRPr="005D7A3C">
        <w:rPr>
          <w:sz w:val="22"/>
          <w:szCs w:val="22"/>
          <w:lang w:eastAsia="en-GB"/>
        </w:rPr>
        <w:t xml:space="preserve">of technical analyses of REDD+ results submitted as part of </w:t>
      </w:r>
      <w:r w:rsidR="00EF6B66">
        <w:rPr>
          <w:sz w:val="22"/>
          <w:szCs w:val="22"/>
          <w:lang w:eastAsia="en-GB"/>
        </w:rPr>
        <w:t xml:space="preserve">countries’ </w:t>
      </w:r>
      <w:r w:rsidR="005D7A3C" w:rsidRPr="005D7A3C">
        <w:rPr>
          <w:sz w:val="22"/>
          <w:szCs w:val="22"/>
          <w:lang w:eastAsia="en-GB"/>
        </w:rPr>
        <w:t>Biennial Transparency Reports (BTRs), including in-country technical analysis sessions for submissions from Bhutan, Chile, Colombia, Costa Rica and Guyana, and a centrali</w:t>
      </w:r>
      <w:r w:rsidR="00EF6B66">
        <w:rPr>
          <w:sz w:val="22"/>
          <w:szCs w:val="22"/>
          <w:lang w:eastAsia="en-GB"/>
        </w:rPr>
        <w:t>s</w:t>
      </w:r>
      <w:r w:rsidR="005D7A3C" w:rsidRPr="005D7A3C">
        <w:rPr>
          <w:sz w:val="22"/>
          <w:szCs w:val="22"/>
          <w:lang w:eastAsia="en-GB"/>
        </w:rPr>
        <w:t>ed technical analysis for Indonesia</w:t>
      </w:r>
      <w:r w:rsidR="00F659BF">
        <w:rPr>
          <w:sz w:val="22"/>
          <w:szCs w:val="22"/>
          <w:lang w:eastAsia="en-GB"/>
        </w:rPr>
        <w:t>.</w:t>
      </w:r>
      <w:r w:rsidR="003928D3">
        <w:rPr>
          <w:sz w:val="22"/>
          <w:szCs w:val="22"/>
          <w:lang w:eastAsia="en-GB"/>
        </w:rPr>
        <w:t xml:space="preserve"> </w:t>
      </w:r>
      <w:r w:rsidR="005D7A3C" w:rsidRPr="005D7A3C">
        <w:rPr>
          <w:sz w:val="22"/>
          <w:szCs w:val="22"/>
          <w:lang w:eastAsia="en-GB"/>
        </w:rPr>
        <w:t xml:space="preserve">Guyana’s review report published in July 2025 and others under </w:t>
      </w:r>
      <w:proofErr w:type="gramStart"/>
      <w:r w:rsidR="005D7A3C" w:rsidRPr="005D7A3C">
        <w:rPr>
          <w:sz w:val="22"/>
          <w:szCs w:val="22"/>
          <w:lang w:eastAsia="en-GB"/>
        </w:rPr>
        <w:t>preparation;</w:t>
      </w:r>
      <w:proofErr w:type="gramEnd"/>
    </w:p>
    <w:p w14:paraId="0BAB009D" w14:textId="6534744F" w:rsidR="005D7A3C" w:rsidRPr="005D7A3C" w:rsidRDefault="005D7A3C" w:rsidP="00745C1B">
      <w:pPr>
        <w:numPr>
          <w:ilvl w:val="0"/>
          <w:numId w:val="8"/>
        </w:numPr>
        <w:jc w:val="both"/>
        <w:rPr>
          <w:sz w:val="22"/>
          <w:szCs w:val="22"/>
          <w:lang w:eastAsia="en-GB"/>
        </w:rPr>
      </w:pPr>
      <w:r w:rsidRPr="13DA178C">
        <w:rPr>
          <w:sz w:val="22"/>
          <w:szCs w:val="22"/>
          <w:lang w:eastAsia="en-GB"/>
        </w:rPr>
        <w:t>Ongoing up</w:t>
      </w:r>
      <w:r w:rsidR="000F18A6" w:rsidRPr="13DA178C">
        <w:rPr>
          <w:sz w:val="22"/>
          <w:szCs w:val="22"/>
          <w:lang w:eastAsia="en-GB"/>
        </w:rPr>
        <w:t>grades</w:t>
      </w:r>
      <w:r w:rsidRPr="13DA178C">
        <w:rPr>
          <w:sz w:val="22"/>
          <w:szCs w:val="22"/>
          <w:lang w:eastAsia="en-GB"/>
        </w:rPr>
        <w:t xml:space="preserve"> to the UNFCCC REDD+ Web Platform, including the launch of a user survey to inform further platform </w:t>
      </w:r>
      <w:proofErr w:type="gramStart"/>
      <w:r w:rsidRPr="13DA178C">
        <w:rPr>
          <w:sz w:val="22"/>
          <w:szCs w:val="22"/>
          <w:lang w:eastAsia="en-GB"/>
        </w:rPr>
        <w:t>improvements;</w:t>
      </w:r>
      <w:proofErr w:type="gramEnd"/>
    </w:p>
    <w:p w14:paraId="3A43387D" w14:textId="565197C6" w:rsidR="005D7A3C" w:rsidRPr="005D7A3C" w:rsidRDefault="005D7A3C" w:rsidP="00745C1B">
      <w:pPr>
        <w:numPr>
          <w:ilvl w:val="0"/>
          <w:numId w:val="8"/>
        </w:numPr>
        <w:jc w:val="both"/>
        <w:rPr>
          <w:sz w:val="22"/>
          <w:szCs w:val="22"/>
          <w:lang w:eastAsia="en-GB"/>
        </w:rPr>
      </w:pPr>
      <w:r w:rsidRPr="606A6091">
        <w:rPr>
          <w:sz w:val="22"/>
          <w:szCs w:val="22"/>
          <w:lang w:eastAsia="en-GB"/>
        </w:rPr>
        <w:t>D</w:t>
      </w:r>
      <w:r w:rsidRPr="005D7A3C">
        <w:rPr>
          <w:sz w:val="22"/>
          <w:szCs w:val="22"/>
          <w:lang w:eastAsia="en-GB"/>
        </w:rPr>
        <w:t xml:space="preserve">elivery of knowledge-sharing and coordination activities, including an implementation forum at Africa Climate Week (September), </w:t>
      </w:r>
      <w:r w:rsidR="008C5F78">
        <w:rPr>
          <w:sz w:val="22"/>
          <w:szCs w:val="22"/>
          <w:lang w:eastAsia="en-GB"/>
        </w:rPr>
        <w:t xml:space="preserve">the launch of the </w:t>
      </w:r>
      <w:r w:rsidR="0022553F">
        <w:rPr>
          <w:sz w:val="22"/>
          <w:szCs w:val="22"/>
          <w:lang w:eastAsia="en-GB"/>
        </w:rPr>
        <w:t>UNFCCC</w:t>
      </w:r>
      <w:r w:rsidRPr="005D7A3C">
        <w:rPr>
          <w:sz w:val="22"/>
          <w:szCs w:val="22"/>
          <w:lang w:eastAsia="en-GB"/>
        </w:rPr>
        <w:t xml:space="preserve"> REDD+ Community of Practice </w:t>
      </w:r>
      <w:r w:rsidR="0022553F">
        <w:rPr>
          <w:sz w:val="22"/>
          <w:szCs w:val="22"/>
          <w:lang w:eastAsia="en-GB"/>
        </w:rPr>
        <w:t xml:space="preserve">through </w:t>
      </w:r>
      <w:r w:rsidR="00995B6A">
        <w:rPr>
          <w:sz w:val="22"/>
          <w:szCs w:val="22"/>
          <w:lang w:eastAsia="en-GB"/>
        </w:rPr>
        <w:t xml:space="preserve">two </w:t>
      </w:r>
      <w:r w:rsidRPr="005D7A3C">
        <w:rPr>
          <w:sz w:val="22"/>
          <w:szCs w:val="22"/>
          <w:lang w:eastAsia="en-GB"/>
        </w:rPr>
        <w:t>webinar</w:t>
      </w:r>
      <w:r w:rsidR="00995B6A">
        <w:rPr>
          <w:sz w:val="22"/>
          <w:szCs w:val="22"/>
          <w:lang w:eastAsia="en-GB"/>
        </w:rPr>
        <w:t>s</w:t>
      </w:r>
      <w:r w:rsidRPr="005D7A3C">
        <w:rPr>
          <w:sz w:val="22"/>
          <w:szCs w:val="22"/>
          <w:lang w:eastAsia="en-GB"/>
        </w:rPr>
        <w:t xml:space="preserve"> </w:t>
      </w:r>
      <w:r w:rsidR="003E6B47">
        <w:rPr>
          <w:sz w:val="22"/>
          <w:szCs w:val="22"/>
          <w:lang w:eastAsia="en-GB"/>
        </w:rPr>
        <w:t xml:space="preserve">on </w:t>
      </w:r>
      <w:r w:rsidRPr="005D7A3C">
        <w:rPr>
          <w:sz w:val="22"/>
          <w:szCs w:val="22"/>
          <w:lang w:eastAsia="en-GB"/>
        </w:rPr>
        <w:t>3 November</w:t>
      </w:r>
      <w:r w:rsidR="003E6B47">
        <w:rPr>
          <w:sz w:val="22"/>
          <w:szCs w:val="22"/>
          <w:lang w:eastAsia="en-GB"/>
        </w:rPr>
        <w:t xml:space="preserve"> (to accommodate different </w:t>
      </w:r>
      <w:proofErr w:type="spellStart"/>
      <w:r w:rsidR="003E6B47">
        <w:rPr>
          <w:sz w:val="22"/>
          <w:szCs w:val="22"/>
          <w:lang w:eastAsia="en-GB"/>
        </w:rPr>
        <w:t>timezones</w:t>
      </w:r>
      <w:proofErr w:type="spellEnd"/>
      <w:r w:rsidRPr="005D7A3C">
        <w:rPr>
          <w:sz w:val="22"/>
          <w:szCs w:val="22"/>
          <w:lang w:eastAsia="en-GB"/>
        </w:rPr>
        <w:t>), and the first regional REDD+ Community of Practice meeting for Latin America and the Caribbean (9–12 December, hosted by Brazil</w:t>
      </w:r>
      <w:proofErr w:type="gramStart"/>
      <w:r w:rsidRPr="005D7A3C">
        <w:rPr>
          <w:sz w:val="22"/>
          <w:szCs w:val="22"/>
          <w:lang w:eastAsia="en-GB"/>
        </w:rPr>
        <w:t>);</w:t>
      </w:r>
      <w:proofErr w:type="gramEnd"/>
    </w:p>
    <w:p w14:paraId="3FDAE8C1" w14:textId="52506DEE" w:rsidR="005D7A3C" w:rsidRPr="005D7A3C" w:rsidRDefault="005D7A3C" w:rsidP="00745C1B">
      <w:pPr>
        <w:numPr>
          <w:ilvl w:val="0"/>
          <w:numId w:val="8"/>
        </w:numPr>
        <w:jc w:val="both"/>
        <w:rPr>
          <w:sz w:val="22"/>
          <w:szCs w:val="22"/>
          <w:lang w:eastAsia="en-GB"/>
        </w:rPr>
      </w:pPr>
      <w:r w:rsidRPr="606A6091">
        <w:rPr>
          <w:sz w:val="22"/>
          <w:szCs w:val="22"/>
          <w:lang w:eastAsia="en-GB"/>
        </w:rPr>
        <w:t>P</w:t>
      </w:r>
      <w:r w:rsidRPr="005D7A3C">
        <w:rPr>
          <w:sz w:val="22"/>
          <w:szCs w:val="22"/>
          <w:lang w:eastAsia="en-GB"/>
        </w:rPr>
        <w:t>reparation of a voluntary training course for REDD+ reviewers on MRV-related aspects, and</w:t>
      </w:r>
      <w:r w:rsidR="00453477">
        <w:rPr>
          <w:sz w:val="22"/>
          <w:szCs w:val="22"/>
          <w:lang w:eastAsia="en-GB"/>
        </w:rPr>
        <w:t xml:space="preserve"> the initiation of </w:t>
      </w:r>
      <w:r w:rsidR="00282943">
        <w:rPr>
          <w:sz w:val="22"/>
          <w:szCs w:val="22"/>
          <w:lang w:eastAsia="en-GB"/>
        </w:rPr>
        <w:t>an analysis of</w:t>
      </w:r>
      <w:r w:rsidRPr="005D7A3C">
        <w:rPr>
          <w:sz w:val="22"/>
          <w:szCs w:val="22"/>
          <w:lang w:eastAsia="en-GB"/>
        </w:rPr>
        <w:t xml:space="preserve"> REDD+ National Strategy and Safeguards submissions, with completion expected in 2026; and</w:t>
      </w:r>
    </w:p>
    <w:p w14:paraId="2511E322" w14:textId="635B00B9" w:rsidR="00AB4660" w:rsidRDefault="005D7A3C" w:rsidP="00AA6FF1">
      <w:pPr>
        <w:numPr>
          <w:ilvl w:val="0"/>
          <w:numId w:val="8"/>
        </w:numPr>
        <w:jc w:val="both"/>
        <w:rPr>
          <w:sz w:val="22"/>
          <w:szCs w:val="22"/>
        </w:rPr>
      </w:pPr>
      <w:r w:rsidRPr="606A6091">
        <w:rPr>
          <w:sz w:val="22"/>
          <w:szCs w:val="22"/>
          <w:lang w:eastAsia="en-GB"/>
        </w:rPr>
        <w:t>S</w:t>
      </w:r>
      <w:r w:rsidRPr="005D7A3C">
        <w:rPr>
          <w:sz w:val="22"/>
          <w:szCs w:val="22"/>
          <w:lang w:eastAsia="en-GB"/>
        </w:rPr>
        <w:t xml:space="preserve">upport to UNFCCC processes </w:t>
      </w:r>
      <w:r w:rsidR="001F2FB5">
        <w:rPr>
          <w:sz w:val="22"/>
          <w:szCs w:val="22"/>
          <w:lang w:eastAsia="en-GB"/>
        </w:rPr>
        <w:t xml:space="preserve">relating to forest and land use mitigation </w:t>
      </w:r>
      <w:r w:rsidRPr="005D7A3C">
        <w:rPr>
          <w:sz w:val="22"/>
          <w:szCs w:val="22"/>
          <w:lang w:eastAsia="en-GB"/>
        </w:rPr>
        <w:t xml:space="preserve">ahead of COP, including ensuring appropriate coverage of REDD+ across key UNFCCC reports (NDC Synthesis Report, BTR Compilation and Synthesis Report, and the Technical Expert Review Annual Report), all of which were published ahead of COP, alongside </w:t>
      </w:r>
      <w:r w:rsidRPr="005D7A3C">
        <w:rPr>
          <w:sz w:val="22"/>
          <w:szCs w:val="22"/>
          <w:lang w:eastAsia="en-GB"/>
        </w:rPr>
        <w:lastRenderedPageBreak/>
        <w:t>dedicated REDD+ visibility events at COP30</w:t>
      </w:r>
      <w:r w:rsidR="00CB63D9">
        <w:rPr>
          <w:rStyle w:val="FootnoteReference"/>
          <w:sz w:val="22"/>
          <w:szCs w:val="22"/>
          <w:lang w:eastAsia="en-GB"/>
        </w:rPr>
        <w:footnoteReference w:id="3"/>
      </w:r>
      <w:r w:rsidRPr="005D7A3C">
        <w:rPr>
          <w:sz w:val="22"/>
          <w:szCs w:val="22"/>
          <w:lang w:eastAsia="en-GB"/>
        </w:rPr>
        <w:t>.</w:t>
      </w:r>
      <w:r w:rsidR="00F9363A">
        <w:rPr>
          <w:sz w:val="22"/>
          <w:szCs w:val="22"/>
          <w:lang w:eastAsia="en-GB"/>
        </w:rPr>
        <w:t xml:space="preserve"> The latter included</w:t>
      </w:r>
      <w:r w:rsidR="00AA1841">
        <w:rPr>
          <w:sz w:val="22"/>
          <w:szCs w:val="22"/>
          <w:lang w:eastAsia="en-GB"/>
        </w:rPr>
        <w:t>:</w:t>
      </w:r>
      <w:r w:rsidR="00C02913">
        <w:rPr>
          <w:sz w:val="22"/>
          <w:szCs w:val="22"/>
          <w:lang w:eastAsia="en-GB"/>
        </w:rPr>
        <w:t xml:space="preserve"> a</w:t>
      </w:r>
      <w:r w:rsidR="003B4004" w:rsidRPr="00B82905">
        <w:rPr>
          <w:rFonts w:cs="Arial"/>
          <w:color w:val="222222"/>
          <w:sz w:val="22"/>
          <w:szCs w:val="22"/>
        </w:rPr>
        <w:t> </w:t>
      </w:r>
      <w:r w:rsidR="003B4004" w:rsidRPr="00C02913">
        <w:rPr>
          <w:rStyle w:val="Strong"/>
          <w:rFonts w:cs="Arial"/>
          <w:b w:val="0"/>
          <w:bCs w:val="0"/>
          <w:color w:val="222222"/>
          <w:sz w:val="22"/>
          <w:szCs w:val="22"/>
        </w:rPr>
        <w:t>presentation at COP of the REDD+ Community of Practice</w:t>
      </w:r>
      <w:r w:rsidR="003B4004" w:rsidRPr="00B82905">
        <w:rPr>
          <w:rFonts w:cs="Arial"/>
          <w:color w:val="222222"/>
          <w:sz w:val="22"/>
          <w:szCs w:val="22"/>
        </w:rPr>
        <w:t> (visibility event), attended by</w:t>
      </w:r>
      <w:r w:rsidR="00781F76" w:rsidRPr="00B82905">
        <w:rPr>
          <w:rFonts w:cs="Arial"/>
          <w:color w:val="222222"/>
          <w:sz w:val="22"/>
          <w:szCs w:val="22"/>
        </w:rPr>
        <w:t xml:space="preserve"> delegates from Parties, World Bank, NGOs.</w:t>
      </w:r>
    </w:p>
    <w:p w14:paraId="33BFDA9D" w14:textId="77777777" w:rsidR="00AA6FF1" w:rsidRPr="00AA6FF1" w:rsidRDefault="00AA6FF1" w:rsidP="00AA6FF1">
      <w:pPr>
        <w:ind w:left="720"/>
        <w:jc w:val="both"/>
        <w:rPr>
          <w:sz w:val="22"/>
          <w:szCs w:val="22"/>
        </w:rPr>
      </w:pPr>
    </w:p>
    <w:p w14:paraId="395EA627" w14:textId="4C743D3E" w:rsidR="00C7510B" w:rsidRDefault="00F2490D" w:rsidP="00745C1B">
      <w:pPr>
        <w:jc w:val="both"/>
        <w:rPr>
          <w:sz w:val="22"/>
          <w:szCs w:val="22"/>
        </w:rPr>
      </w:pPr>
      <w:r>
        <w:rPr>
          <w:sz w:val="22"/>
          <w:szCs w:val="22"/>
        </w:rPr>
        <w:t>Despite some notable progress, g</w:t>
      </w:r>
      <w:r w:rsidR="001E7D32" w:rsidRPr="001E7D32">
        <w:rPr>
          <w:sz w:val="22"/>
          <w:szCs w:val="22"/>
        </w:rPr>
        <w:t xml:space="preserve">iven </w:t>
      </w:r>
      <w:r>
        <w:rPr>
          <w:sz w:val="22"/>
          <w:szCs w:val="22"/>
        </w:rPr>
        <w:t xml:space="preserve">delays to the programme start </w:t>
      </w:r>
      <w:r w:rsidR="001E7D32" w:rsidRPr="001E7D32">
        <w:rPr>
          <w:sz w:val="22"/>
          <w:szCs w:val="22"/>
        </w:rPr>
        <w:t>and the fact that many output milestones fall later in the programme lifecycle, there is insufficient evidence at this stage to score performance against output indicators. In line with Annual Review guidance</w:t>
      </w:r>
      <w:r w:rsidR="001E7D32" w:rsidRPr="606A6091">
        <w:rPr>
          <w:sz w:val="22"/>
          <w:szCs w:val="22"/>
        </w:rPr>
        <w:t>, PMO agreement,</w:t>
      </w:r>
      <w:r w:rsidR="001E7D32" w:rsidRPr="001E7D32">
        <w:rPr>
          <w:sz w:val="22"/>
          <w:szCs w:val="22"/>
        </w:rPr>
        <w:t xml:space="preserve"> and precedent for mobilisation and early delivery years, outputs have therefore been recorded as “not yet assessable” in this review.</w:t>
      </w:r>
    </w:p>
    <w:p w14:paraId="057F30D9" w14:textId="77777777" w:rsidR="00D9342A" w:rsidRDefault="00D9342A" w:rsidP="00745C1B">
      <w:pPr>
        <w:jc w:val="both"/>
        <w:rPr>
          <w:sz w:val="22"/>
          <w:szCs w:val="22"/>
        </w:rPr>
      </w:pPr>
    </w:p>
    <w:p w14:paraId="3F9DE257" w14:textId="7C15CF35" w:rsidR="00AC7628" w:rsidRPr="00745C1B" w:rsidRDefault="00C7510B" w:rsidP="00745C1B">
      <w:pPr>
        <w:jc w:val="both"/>
        <w:rPr>
          <w:sz w:val="22"/>
          <w:szCs w:val="22"/>
        </w:rPr>
      </w:pPr>
      <w:r>
        <w:rPr>
          <w:sz w:val="22"/>
          <w:szCs w:val="22"/>
        </w:rPr>
        <w:t xml:space="preserve">From </w:t>
      </w:r>
      <w:r w:rsidR="00AC7628" w:rsidRPr="606A6091">
        <w:rPr>
          <w:sz w:val="22"/>
          <w:szCs w:val="22"/>
        </w:rPr>
        <w:t>a Value for Money (</w:t>
      </w:r>
      <w:proofErr w:type="spellStart"/>
      <w:r w:rsidR="00AC7628" w:rsidRPr="606A6091">
        <w:rPr>
          <w:sz w:val="22"/>
          <w:szCs w:val="22"/>
        </w:rPr>
        <w:t>VfM</w:t>
      </w:r>
      <w:proofErr w:type="spellEnd"/>
      <w:r w:rsidR="00AC7628" w:rsidRPr="606A6091">
        <w:rPr>
          <w:sz w:val="22"/>
          <w:szCs w:val="22"/>
        </w:rPr>
        <w:t xml:space="preserve">) perspective, it remains too early to assess </w:t>
      </w:r>
      <w:r w:rsidR="00AE2DFC">
        <w:rPr>
          <w:sz w:val="22"/>
          <w:szCs w:val="22"/>
        </w:rPr>
        <w:t xml:space="preserve">economy, efficiency, </w:t>
      </w:r>
      <w:r w:rsidR="00AC7628" w:rsidRPr="606A6091">
        <w:rPr>
          <w:sz w:val="22"/>
          <w:szCs w:val="22"/>
        </w:rPr>
        <w:t>effectiveness, cost-effectiveness</w:t>
      </w:r>
      <w:r w:rsidR="00EC148C">
        <w:rPr>
          <w:sz w:val="22"/>
          <w:szCs w:val="22"/>
        </w:rPr>
        <w:t xml:space="preserve"> or equity</w:t>
      </w:r>
      <w:r w:rsidR="00AC7628" w:rsidRPr="606A6091">
        <w:rPr>
          <w:sz w:val="22"/>
          <w:szCs w:val="22"/>
        </w:rPr>
        <w:t xml:space="preserve">. However, early indications suggest that the programme delivery model remains appropriate and consistent with Business Case assumptions. Delivery through the UNFCCC Secretariat enables the UK to support a mandated, globally recognised transparency and review system for REDD+, avoiding duplication and intermediary costs, while </w:t>
      </w:r>
      <w:r w:rsidR="00653FBE" w:rsidRPr="00653FBE">
        <w:rPr>
          <w:sz w:val="22"/>
          <w:szCs w:val="22"/>
        </w:rPr>
        <w:t xml:space="preserve">benefiting from the fact that many AFOLU Unit costs are partly covered through Parties’ core and supplementary contributions, with additional donor support helping to sustain </w:t>
      </w:r>
      <w:r w:rsidR="00F0502D">
        <w:rPr>
          <w:sz w:val="22"/>
          <w:szCs w:val="22"/>
        </w:rPr>
        <w:t xml:space="preserve">and scale </w:t>
      </w:r>
      <w:r w:rsidR="00653FBE" w:rsidRPr="00653FBE">
        <w:rPr>
          <w:sz w:val="22"/>
          <w:szCs w:val="22"/>
        </w:rPr>
        <w:t>core REDD+ functions.</w:t>
      </w:r>
      <w:r w:rsidR="00AC7628" w:rsidRPr="606A6091">
        <w:rPr>
          <w:sz w:val="22"/>
          <w:szCs w:val="22"/>
        </w:rPr>
        <w:t xml:space="preserve"> Financial performance to date reflects the delayed start, with expenditure expected to increase as delivery continues to scale up.</w:t>
      </w:r>
    </w:p>
    <w:p w14:paraId="0E84412C" w14:textId="77777777" w:rsidR="00745C1B" w:rsidRPr="00745C1B" w:rsidRDefault="00745C1B" w:rsidP="00745C1B">
      <w:pPr>
        <w:jc w:val="both"/>
        <w:rPr>
          <w:sz w:val="22"/>
          <w:szCs w:val="22"/>
        </w:rPr>
      </w:pPr>
    </w:p>
    <w:p w14:paraId="1C549FF6" w14:textId="353EF869" w:rsidR="00745C1B" w:rsidRPr="00745C1B" w:rsidRDefault="00745C1B" w:rsidP="006831D5">
      <w:pPr>
        <w:jc w:val="both"/>
        <w:rPr>
          <w:sz w:val="22"/>
          <w:szCs w:val="22"/>
        </w:rPr>
      </w:pPr>
      <w:r w:rsidRPr="606A6091">
        <w:rPr>
          <w:sz w:val="22"/>
          <w:szCs w:val="22"/>
        </w:rPr>
        <w:t>Overall, progress during the review period is assessed as </w:t>
      </w:r>
      <w:r w:rsidRPr="606A6091">
        <w:rPr>
          <w:b/>
          <w:sz w:val="22"/>
          <w:szCs w:val="22"/>
        </w:rPr>
        <w:t xml:space="preserve">satisfactory </w:t>
      </w:r>
      <w:r w:rsidRPr="606A6091">
        <w:rPr>
          <w:sz w:val="22"/>
          <w:szCs w:val="22"/>
        </w:rPr>
        <w:t xml:space="preserve">given the delayed start and early delivery phase, with no material concerns identified at this </w:t>
      </w:r>
      <w:r w:rsidR="00A807B7" w:rsidRPr="606A6091">
        <w:rPr>
          <w:sz w:val="22"/>
          <w:szCs w:val="22"/>
        </w:rPr>
        <w:t>stage</w:t>
      </w:r>
      <w:r w:rsidR="00A807B7">
        <w:rPr>
          <w:sz w:val="22"/>
          <w:szCs w:val="22"/>
        </w:rPr>
        <w:t xml:space="preserve">, with </w:t>
      </w:r>
      <w:r w:rsidR="0002580F">
        <w:rPr>
          <w:sz w:val="22"/>
          <w:szCs w:val="22"/>
        </w:rPr>
        <w:t>t</w:t>
      </w:r>
      <w:r w:rsidR="004A23D0">
        <w:rPr>
          <w:sz w:val="22"/>
          <w:szCs w:val="22"/>
        </w:rPr>
        <w:t xml:space="preserve">he programme </w:t>
      </w:r>
      <w:r w:rsidR="0002580F">
        <w:rPr>
          <w:sz w:val="22"/>
          <w:szCs w:val="22"/>
        </w:rPr>
        <w:t>on track to deliver agreed outputs</w:t>
      </w:r>
      <w:r w:rsidR="00123150">
        <w:rPr>
          <w:sz w:val="22"/>
          <w:szCs w:val="22"/>
        </w:rPr>
        <w:t xml:space="preserve"> </w:t>
      </w:r>
      <w:r w:rsidR="00796DB9">
        <w:rPr>
          <w:sz w:val="22"/>
          <w:szCs w:val="22"/>
        </w:rPr>
        <w:t>on time and within budget</w:t>
      </w:r>
      <w:r w:rsidR="00123150">
        <w:rPr>
          <w:sz w:val="22"/>
          <w:szCs w:val="22"/>
        </w:rPr>
        <w:t>.</w:t>
      </w:r>
      <w:r w:rsidR="00796DB9">
        <w:rPr>
          <w:sz w:val="22"/>
          <w:szCs w:val="22"/>
        </w:rPr>
        <w:t xml:space="preserve"> </w:t>
      </w:r>
    </w:p>
    <w:p w14:paraId="66FFA5E3" w14:textId="77777777" w:rsidR="003D222C" w:rsidRPr="00A84A4F" w:rsidRDefault="003D222C" w:rsidP="003D222C">
      <w:pPr>
        <w:rPr>
          <w:b/>
          <w:sz w:val="22"/>
          <w:szCs w:val="22"/>
          <w:lang w:val="en"/>
        </w:rPr>
      </w:pPr>
    </w:p>
    <w:p w14:paraId="788BE7E1" w14:textId="4BCC9901" w:rsidR="003D222C" w:rsidRPr="003F2B98" w:rsidRDefault="003D222C" w:rsidP="003D222C">
      <w:pPr>
        <w:tabs>
          <w:tab w:val="left" w:pos="6915"/>
          <w:tab w:val="left" w:pos="9495"/>
        </w:tabs>
        <w:rPr>
          <w:b/>
          <w:sz w:val="22"/>
          <w:szCs w:val="22"/>
        </w:rPr>
      </w:pPr>
      <w:r>
        <w:rPr>
          <w:b/>
          <w:sz w:val="22"/>
          <w:szCs w:val="22"/>
        </w:rPr>
        <w:t>Major lessons and r</w:t>
      </w:r>
      <w:r w:rsidRPr="00F70DBE">
        <w:rPr>
          <w:b/>
          <w:sz w:val="22"/>
          <w:szCs w:val="22"/>
        </w:rPr>
        <w:t xml:space="preserve">ecommendations for the </w:t>
      </w:r>
      <w:r>
        <w:rPr>
          <w:b/>
          <w:sz w:val="22"/>
          <w:szCs w:val="22"/>
        </w:rPr>
        <w:t xml:space="preserve">year ahead </w:t>
      </w:r>
    </w:p>
    <w:p w14:paraId="2A4B8A97" w14:textId="77777777" w:rsidR="003D222C" w:rsidRPr="008451FD" w:rsidRDefault="003D222C" w:rsidP="008451FD"/>
    <w:p w14:paraId="6310623F" w14:textId="1ADE3F2E" w:rsidR="008451FD" w:rsidRPr="008451FD" w:rsidRDefault="005B5F1A" w:rsidP="008451FD">
      <w:pPr>
        <w:pStyle w:val="ListParagraph"/>
        <w:numPr>
          <w:ilvl w:val="0"/>
          <w:numId w:val="16"/>
        </w:numPr>
        <w:rPr>
          <w:sz w:val="22"/>
          <w:szCs w:val="22"/>
        </w:rPr>
      </w:pPr>
      <w:r w:rsidRPr="008451FD">
        <w:rPr>
          <w:sz w:val="22"/>
          <w:szCs w:val="22"/>
        </w:rPr>
        <w:t xml:space="preserve">DESNZ and </w:t>
      </w:r>
      <w:r w:rsidR="00357111">
        <w:rPr>
          <w:sz w:val="22"/>
          <w:szCs w:val="22"/>
        </w:rPr>
        <w:t>the AFOLU Unit</w:t>
      </w:r>
      <w:r w:rsidRPr="008451FD">
        <w:rPr>
          <w:sz w:val="22"/>
          <w:szCs w:val="22"/>
        </w:rPr>
        <w:t xml:space="preserve"> should jointly develop a short, programme-specific reporting note setting out agreed expectations on </w:t>
      </w:r>
      <w:proofErr w:type="spellStart"/>
      <w:r w:rsidRPr="008451FD">
        <w:rPr>
          <w:sz w:val="22"/>
          <w:szCs w:val="22"/>
        </w:rPr>
        <w:t>logframe</w:t>
      </w:r>
      <w:proofErr w:type="spellEnd"/>
      <w:r w:rsidRPr="008451FD">
        <w:rPr>
          <w:sz w:val="22"/>
          <w:szCs w:val="22"/>
        </w:rPr>
        <w:t xml:space="preserve"> indicators</w:t>
      </w:r>
      <w:r w:rsidR="004A7C15">
        <w:rPr>
          <w:sz w:val="22"/>
          <w:szCs w:val="22"/>
        </w:rPr>
        <w:t xml:space="preserve"> and overall programme</w:t>
      </w:r>
      <w:r w:rsidRPr="008451FD">
        <w:rPr>
          <w:sz w:val="22"/>
          <w:szCs w:val="22"/>
        </w:rPr>
        <w:t>, reporting timeframes, data sources and proportionality, to support consistent reporting as delivery scales up.</w:t>
      </w:r>
    </w:p>
    <w:p w14:paraId="4339229D" w14:textId="77777777" w:rsidR="008451FD" w:rsidRPr="008451FD" w:rsidRDefault="008451FD" w:rsidP="008451FD">
      <w:pPr>
        <w:pStyle w:val="ListParagraph"/>
        <w:rPr>
          <w:sz w:val="22"/>
          <w:szCs w:val="22"/>
        </w:rPr>
      </w:pPr>
    </w:p>
    <w:p w14:paraId="17BABFCB" w14:textId="1A22A648" w:rsidR="008451FD" w:rsidRPr="008451FD" w:rsidRDefault="00894E47" w:rsidP="008451FD">
      <w:pPr>
        <w:pStyle w:val="ListParagraph"/>
        <w:numPr>
          <w:ilvl w:val="0"/>
          <w:numId w:val="16"/>
        </w:numPr>
        <w:spacing w:after="0"/>
        <w:rPr>
          <w:sz w:val="22"/>
          <w:szCs w:val="22"/>
        </w:rPr>
      </w:pPr>
      <w:r w:rsidRPr="008451FD">
        <w:rPr>
          <w:sz w:val="22"/>
          <w:szCs w:val="22"/>
        </w:rPr>
        <w:t xml:space="preserve">DESNZ, the MEL adviser and </w:t>
      </w:r>
      <w:r w:rsidR="00886103">
        <w:rPr>
          <w:sz w:val="22"/>
          <w:szCs w:val="22"/>
        </w:rPr>
        <w:t>the AFOLU Unit</w:t>
      </w:r>
      <w:r w:rsidRPr="008451FD">
        <w:rPr>
          <w:sz w:val="22"/>
          <w:szCs w:val="22"/>
        </w:rPr>
        <w:t xml:space="preserve"> should continue to review and refine monitoring approaches to ensure indicators and milestones remain proportionate and aligned with UNFCCC </w:t>
      </w:r>
      <w:r w:rsidR="00886103">
        <w:rPr>
          <w:sz w:val="22"/>
          <w:szCs w:val="22"/>
        </w:rPr>
        <w:t xml:space="preserve">Secretariat </w:t>
      </w:r>
      <w:r w:rsidRPr="008451FD">
        <w:rPr>
          <w:sz w:val="22"/>
          <w:szCs w:val="22"/>
        </w:rPr>
        <w:t>delivery and reporting cycles, particularly for outputs dependent on Party submissions and multi-year UNFCCC processes.</w:t>
      </w:r>
    </w:p>
    <w:p w14:paraId="3E7EF271" w14:textId="77777777" w:rsidR="008451FD" w:rsidRPr="008451FD" w:rsidRDefault="008451FD" w:rsidP="008451FD">
      <w:pPr>
        <w:rPr>
          <w:sz w:val="22"/>
          <w:szCs w:val="22"/>
        </w:rPr>
      </w:pPr>
    </w:p>
    <w:p w14:paraId="53328CF8" w14:textId="207BE4A8" w:rsidR="00894E47" w:rsidRPr="008451FD" w:rsidRDefault="008451FD" w:rsidP="008451FD">
      <w:pPr>
        <w:pStyle w:val="ListParagraph"/>
        <w:numPr>
          <w:ilvl w:val="0"/>
          <w:numId w:val="16"/>
        </w:numPr>
        <w:rPr>
          <w:sz w:val="22"/>
          <w:szCs w:val="22"/>
        </w:rPr>
      </w:pPr>
      <w:r w:rsidRPr="008451FD">
        <w:rPr>
          <w:sz w:val="22"/>
          <w:szCs w:val="22"/>
        </w:rPr>
        <w:t>Within existing funding constraints, DESNZ and UNFCCC should continue to improve forward planning for multi-year activities, including early identification of activities that span financial years, to support efficient scheduling, staffing continuity and value for money.</w:t>
      </w:r>
    </w:p>
    <w:p w14:paraId="2AE10C88" w14:textId="57EBC58F" w:rsidR="00DA6B40" w:rsidRPr="00691957" w:rsidRDefault="00691957" w:rsidP="00DA6B40">
      <w:pPr>
        <w:rPr>
          <w:rFonts w:cs="Arial"/>
          <w:sz w:val="22"/>
          <w:szCs w:val="22"/>
        </w:rPr>
      </w:pPr>
      <w:r w:rsidRPr="00691957">
        <w:rPr>
          <w:rFonts w:cs="Arial"/>
          <w:sz w:val="22"/>
          <w:szCs w:val="22"/>
        </w:rPr>
        <w:t>While the programme is funded on a one-year basis, it continues to represent good value for money as it supports time-critical functions within the international REDD+ architecture that cannot be paused or easily re-established. UK funding has enabled the UNFCCC AFOLU Unit to deliver and coordinate core technical assessments, reviews and transparency functions that underpin Parties’ ability to access UNFCCC-aligned results-based finance, including under the GCF’s revised 2024 results-based payments policy, which requires technically assessed FREL/FRLs and reviewed REDD+ results. In this context, even time-</w:t>
      </w:r>
      <w:r w:rsidRPr="00691957">
        <w:rPr>
          <w:rFonts w:cs="Arial"/>
          <w:sz w:val="22"/>
          <w:szCs w:val="22"/>
        </w:rPr>
        <w:lastRenderedPageBreak/>
        <w:t>limited support delivers system-level value by maintaining continuity, credibility, and operational readiness within the REDD+ framework.</w:t>
      </w:r>
    </w:p>
    <w:p w14:paraId="2D06D97B" w14:textId="77777777" w:rsidR="00691957" w:rsidRPr="00DA6B40" w:rsidRDefault="00691957" w:rsidP="00DA6B40">
      <w:pPr>
        <w:rPr>
          <w:rFonts w:cs="Arial"/>
          <w:sz w:val="20"/>
          <w:szCs w:val="20"/>
        </w:rPr>
      </w:pPr>
    </w:p>
    <w:p w14:paraId="5CDFDD36" w14:textId="77777777" w:rsidR="00BE2D0E" w:rsidRPr="00BE2D0E" w:rsidRDefault="00BE2D0E" w:rsidP="00BE2D0E">
      <w:pPr>
        <w:rPr>
          <w:rFonts w:cs="Arial"/>
          <w:sz w:val="22"/>
          <w:szCs w:val="22"/>
        </w:rPr>
      </w:pPr>
      <w:r w:rsidRPr="00BE2D0E">
        <w:rPr>
          <w:rFonts w:cs="Arial"/>
          <w:sz w:val="22"/>
          <w:szCs w:val="22"/>
        </w:rPr>
        <w:t>The benefits of the UK’s one-year contribution extend beyond the funding period through durable outputs, including upgraded and more accessible REDD+ web platforms, completed technical assessments and analyses that remain valid for multiple years, strengthened reviewer capacity, and improved coordination and knowledge-sharing among Parties, all of which continue to support REDD+ implementation and access to finance beyond the life of the grant.</w:t>
      </w:r>
    </w:p>
    <w:p w14:paraId="29F3BA60" w14:textId="77777777" w:rsidR="003D222C" w:rsidRDefault="003D222C" w:rsidP="003D222C">
      <w:pPr>
        <w:rPr>
          <w:rFonts w:cs="Arial"/>
          <w:sz w:val="20"/>
          <w:szCs w:val="20"/>
        </w:rPr>
      </w:pPr>
    </w:p>
    <w:p w14:paraId="0641B431" w14:textId="0316926F" w:rsidR="003D222C" w:rsidRPr="00F70DBE" w:rsidRDefault="003D222C" w:rsidP="003D222C">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rPr>
          <w:b w:val="0"/>
          <w:i w:val="0"/>
          <w:sz w:val="20"/>
          <w:szCs w:val="20"/>
        </w:rPr>
      </w:pPr>
      <w:r>
        <w:rPr>
          <w:i w:val="0"/>
        </w:rPr>
        <w:t>B: THEORY OF CHANGE AND PROGRESS TOWARDS OUTCOMES</w:t>
      </w:r>
      <w:r w:rsidRPr="00F70DBE">
        <w:rPr>
          <w:i w:val="0"/>
        </w:rPr>
        <w:t xml:space="preserve"> </w:t>
      </w:r>
    </w:p>
    <w:p w14:paraId="21AA81F0" w14:textId="77777777" w:rsidR="003D222C" w:rsidRDefault="003D222C" w:rsidP="003D222C">
      <w:pPr>
        <w:rPr>
          <w:rFonts w:cs="Arial"/>
          <w:b/>
          <w:sz w:val="22"/>
          <w:szCs w:val="22"/>
        </w:rPr>
      </w:pPr>
    </w:p>
    <w:p w14:paraId="25478844" w14:textId="13FC625A" w:rsidR="003D222C" w:rsidRDefault="003D222C" w:rsidP="003D222C">
      <w:pPr>
        <w:rPr>
          <w:rFonts w:cs="Arial"/>
          <w:b/>
          <w:sz w:val="22"/>
          <w:szCs w:val="22"/>
        </w:rPr>
      </w:pPr>
      <w:r>
        <w:rPr>
          <w:rFonts w:cs="Arial"/>
          <w:b/>
          <w:sz w:val="22"/>
          <w:szCs w:val="22"/>
        </w:rPr>
        <w:t xml:space="preserve">Summarise the programme’s </w:t>
      </w:r>
      <w:r w:rsidRPr="001047A5">
        <w:rPr>
          <w:rFonts w:cs="Arial"/>
          <w:b/>
          <w:sz w:val="22"/>
          <w:szCs w:val="22"/>
        </w:rPr>
        <w:t>theory of change</w:t>
      </w:r>
      <w:r>
        <w:rPr>
          <w:rFonts w:cs="Arial"/>
          <w:b/>
          <w:sz w:val="22"/>
          <w:szCs w:val="22"/>
        </w:rPr>
        <w:t xml:space="preserve">, including any changes to outcome and impact indicators from the original business case. </w:t>
      </w:r>
    </w:p>
    <w:p w14:paraId="44435565" w14:textId="77777777" w:rsidR="003D222C" w:rsidRDefault="003D222C" w:rsidP="003D222C">
      <w:pPr>
        <w:rPr>
          <w:rFonts w:cs="Arial"/>
          <w:b/>
          <w:sz w:val="22"/>
          <w:szCs w:val="22"/>
        </w:rPr>
      </w:pPr>
    </w:p>
    <w:p w14:paraId="73EAF48C" w14:textId="69CC2BA8" w:rsidR="00843587" w:rsidRPr="00685C3A" w:rsidRDefault="00843587" w:rsidP="003D222C">
      <w:pPr>
        <w:rPr>
          <w:rFonts w:cs="Arial"/>
          <w:sz w:val="22"/>
          <w:szCs w:val="22"/>
        </w:rPr>
      </w:pPr>
      <w:r w:rsidRPr="00685C3A">
        <w:rPr>
          <w:rFonts w:cs="Arial"/>
          <w:sz w:val="22"/>
          <w:szCs w:val="22"/>
        </w:rPr>
        <w:t xml:space="preserve">The programme is underpinned by a </w:t>
      </w:r>
      <w:proofErr w:type="spellStart"/>
      <w:r w:rsidRPr="00685C3A">
        <w:rPr>
          <w:rFonts w:cs="Arial"/>
          <w:sz w:val="22"/>
          <w:szCs w:val="22"/>
        </w:rPr>
        <w:t>ToC</w:t>
      </w:r>
      <w:proofErr w:type="spellEnd"/>
      <w:r w:rsidRPr="00685C3A">
        <w:rPr>
          <w:rFonts w:cs="Arial"/>
          <w:sz w:val="22"/>
          <w:szCs w:val="22"/>
        </w:rPr>
        <w:t xml:space="preserve"> that assumes that </w:t>
      </w:r>
      <w:r w:rsidR="000522A9" w:rsidRPr="00685C3A">
        <w:rPr>
          <w:rFonts w:cs="Arial"/>
          <w:sz w:val="22"/>
          <w:szCs w:val="22"/>
        </w:rPr>
        <w:t xml:space="preserve">continued support services </w:t>
      </w:r>
      <w:r w:rsidR="004F5DD3" w:rsidRPr="00685C3A">
        <w:rPr>
          <w:rFonts w:cs="Arial"/>
          <w:sz w:val="22"/>
          <w:szCs w:val="22"/>
        </w:rPr>
        <w:t xml:space="preserve">by the AFOLU Unit </w:t>
      </w:r>
      <w:r w:rsidR="00BF0E71" w:rsidRPr="00685C3A">
        <w:rPr>
          <w:rFonts w:cs="Arial"/>
          <w:sz w:val="22"/>
          <w:szCs w:val="22"/>
        </w:rPr>
        <w:t xml:space="preserve">to developing country Parties participating </w:t>
      </w:r>
      <w:r w:rsidR="004F5DD3" w:rsidRPr="00685C3A">
        <w:rPr>
          <w:rFonts w:cs="Arial"/>
          <w:sz w:val="22"/>
          <w:szCs w:val="22"/>
        </w:rPr>
        <w:t>in REDD</w:t>
      </w:r>
      <w:r w:rsidRPr="00685C3A">
        <w:rPr>
          <w:rFonts w:cs="Arial"/>
          <w:sz w:val="22"/>
          <w:szCs w:val="22"/>
        </w:rPr>
        <w:t>+</w:t>
      </w:r>
      <w:r w:rsidR="00B3593E" w:rsidRPr="00685C3A">
        <w:rPr>
          <w:rFonts w:cs="Arial"/>
          <w:sz w:val="22"/>
          <w:szCs w:val="22"/>
        </w:rPr>
        <w:t xml:space="preserve"> </w:t>
      </w:r>
      <w:r w:rsidRPr="00685C3A">
        <w:rPr>
          <w:rFonts w:cs="Arial"/>
          <w:sz w:val="22"/>
          <w:szCs w:val="22"/>
        </w:rPr>
        <w:t xml:space="preserve">under Article 5 of the Paris Agreement </w:t>
      </w:r>
      <w:r w:rsidR="00EE2139" w:rsidRPr="00685C3A">
        <w:rPr>
          <w:rFonts w:cs="Arial"/>
          <w:sz w:val="22"/>
          <w:szCs w:val="22"/>
        </w:rPr>
        <w:t xml:space="preserve">is key to </w:t>
      </w:r>
      <w:r w:rsidR="003C7467" w:rsidRPr="00685C3A">
        <w:rPr>
          <w:rFonts w:cs="Arial"/>
          <w:sz w:val="22"/>
          <w:szCs w:val="22"/>
        </w:rPr>
        <w:t>continuing stepwise improvem</w:t>
      </w:r>
      <w:r w:rsidR="006C1C02" w:rsidRPr="00685C3A">
        <w:rPr>
          <w:rFonts w:cs="Arial"/>
          <w:sz w:val="22"/>
          <w:szCs w:val="22"/>
        </w:rPr>
        <w:t xml:space="preserve">ent </w:t>
      </w:r>
      <w:r w:rsidR="003C7467" w:rsidRPr="00685C3A">
        <w:rPr>
          <w:rFonts w:cs="Arial"/>
          <w:sz w:val="22"/>
          <w:szCs w:val="22"/>
        </w:rPr>
        <w:t>in REDD+ implementation, reporting and transparency</w:t>
      </w:r>
      <w:r w:rsidR="00DA0D16" w:rsidRPr="00685C3A">
        <w:rPr>
          <w:rFonts w:cs="Arial"/>
          <w:sz w:val="22"/>
          <w:szCs w:val="22"/>
        </w:rPr>
        <w:t xml:space="preserve"> and to enabling Parties to access UNFCCC-aligned</w:t>
      </w:r>
      <w:r w:rsidR="00282FBF" w:rsidRPr="00685C3A">
        <w:rPr>
          <w:rFonts w:cs="Arial"/>
          <w:sz w:val="22"/>
          <w:szCs w:val="22"/>
        </w:rPr>
        <w:t xml:space="preserve"> </w:t>
      </w:r>
      <w:r w:rsidRPr="00685C3A">
        <w:rPr>
          <w:rFonts w:cs="Arial"/>
          <w:sz w:val="22"/>
          <w:szCs w:val="22"/>
        </w:rPr>
        <w:t xml:space="preserve">results-based finance. </w:t>
      </w:r>
      <w:r w:rsidR="00123F27" w:rsidRPr="00685C3A">
        <w:rPr>
          <w:rFonts w:cs="Arial"/>
          <w:sz w:val="22"/>
          <w:szCs w:val="22"/>
        </w:rPr>
        <w:t>The W</w:t>
      </w:r>
      <w:r w:rsidR="00352714" w:rsidRPr="00685C3A">
        <w:rPr>
          <w:rFonts w:cs="Arial"/>
          <w:sz w:val="22"/>
          <w:szCs w:val="22"/>
        </w:rPr>
        <w:t xml:space="preserve">arsaw </w:t>
      </w:r>
      <w:r w:rsidR="00123F27" w:rsidRPr="00685C3A">
        <w:rPr>
          <w:rFonts w:cs="Arial"/>
          <w:sz w:val="22"/>
          <w:szCs w:val="22"/>
        </w:rPr>
        <w:t>F</w:t>
      </w:r>
      <w:r w:rsidR="00352714" w:rsidRPr="00685C3A">
        <w:rPr>
          <w:rFonts w:cs="Arial"/>
          <w:sz w:val="22"/>
          <w:szCs w:val="22"/>
        </w:rPr>
        <w:t xml:space="preserve">ramework for </w:t>
      </w:r>
      <w:r w:rsidR="00123F27" w:rsidRPr="00685C3A">
        <w:rPr>
          <w:rFonts w:cs="Arial"/>
          <w:sz w:val="22"/>
          <w:szCs w:val="22"/>
        </w:rPr>
        <w:t>R</w:t>
      </w:r>
      <w:r w:rsidR="00352714" w:rsidRPr="00685C3A">
        <w:rPr>
          <w:rFonts w:cs="Arial"/>
          <w:sz w:val="22"/>
          <w:szCs w:val="22"/>
        </w:rPr>
        <w:t>EDD+ (WFR)</w:t>
      </w:r>
      <w:r w:rsidR="00123F27" w:rsidRPr="00685C3A">
        <w:rPr>
          <w:rFonts w:cs="Arial"/>
          <w:sz w:val="22"/>
          <w:szCs w:val="22"/>
        </w:rPr>
        <w:t xml:space="preserve"> has </w:t>
      </w:r>
      <w:r w:rsidR="0042669E" w:rsidRPr="00685C3A">
        <w:rPr>
          <w:rFonts w:cs="Arial"/>
          <w:sz w:val="22"/>
          <w:szCs w:val="22"/>
          <w:lang w:val="en-US"/>
        </w:rPr>
        <w:t xml:space="preserve">strong legitimacy as a negotiated framework adopted by 198 Parties to the UNFCCC, </w:t>
      </w:r>
      <w:r w:rsidR="00123F27" w:rsidRPr="00685C3A">
        <w:rPr>
          <w:rFonts w:cs="Arial"/>
          <w:sz w:val="22"/>
          <w:szCs w:val="22"/>
          <w:lang w:val="en-US"/>
        </w:rPr>
        <w:t>with</w:t>
      </w:r>
      <w:r w:rsidR="0042669E" w:rsidRPr="00685C3A">
        <w:rPr>
          <w:rFonts w:cs="Arial"/>
          <w:sz w:val="22"/>
          <w:szCs w:val="22"/>
          <w:lang w:val="en-US"/>
        </w:rPr>
        <w:t xml:space="preserve"> full integration into the Paris Agreement and Global </w:t>
      </w:r>
      <w:proofErr w:type="spellStart"/>
      <w:r w:rsidR="0042669E" w:rsidRPr="00685C3A">
        <w:rPr>
          <w:rFonts w:cs="Arial"/>
          <w:sz w:val="22"/>
          <w:szCs w:val="22"/>
          <w:lang w:val="en-US"/>
        </w:rPr>
        <w:t>Stocktake</w:t>
      </w:r>
      <w:proofErr w:type="spellEnd"/>
      <w:r w:rsidR="0042669E" w:rsidRPr="00685C3A">
        <w:rPr>
          <w:rFonts w:cs="Arial"/>
          <w:sz w:val="22"/>
          <w:szCs w:val="22"/>
          <w:lang w:val="en-US"/>
        </w:rPr>
        <w:t>, and alignment of its measuring, reporting and review processes with countries’ national reporting. </w:t>
      </w:r>
      <w:r w:rsidR="0042669E" w:rsidRPr="00685C3A">
        <w:rPr>
          <w:rFonts w:cs="Arial"/>
          <w:sz w:val="22"/>
          <w:szCs w:val="22"/>
        </w:rPr>
        <w:t> </w:t>
      </w:r>
      <w:r w:rsidRPr="00685C3A">
        <w:rPr>
          <w:rFonts w:cs="Arial"/>
          <w:sz w:val="22"/>
          <w:szCs w:val="22"/>
        </w:rPr>
        <w:t xml:space="preserve">By </w:t>
      </w:r>
      <w:r w:rsidR="007E0010" w:rsidRPr="00685C3A">
        <w:rPr>
          <w:rFonts w:cs="Arial"/>
          <w:sz w:val="22"/>
          <w:szCs w:val="22"/>
        </w:rPr>
        <w:t>upholding the international architecture for REDD+, incl</w:t>
      </w:r>
      <w:r w:rsidR="00C8566E" w:rsidRPr="00685C3A">
        <w:rPr>
          <w:rFonts w:cs="Arial"/>
          <w:sz w:val="22"/>
          <w:szCs w:val="22"/>
        </w:rPr>
        <w:t>u</w:t>
      </w:r>
      <w:r w:rsidR="007E0010" w:rsidRPr="00685C3A">
        <w:rPr>
          <w:rFonts w:cs="Arial"/>
          <w:sz w:val="22"/>
          <w:szCs w:val="22"/>
        </w:rPr>
        <w:t xml:space="preserve">ding </w:t>
      </w:r>
      <w:r w:rsidRPr="00685C3A">
        <w:rPr>
          <w:rFonts w:cs="Arial"/>
          <w:sz w:val="22"/>
          <w:szCs w:val="22"/>
        </w:rPr>
        <w:t xml:space="preserve">maintaining and enhancing  UNFCCC reporting, review and information-sharing systems, the programme aims to strengthen alignment of forest-based mitigation action with Article 5.2, enhance transparency of REDD+ results and payments, </w:t>
      </w:r>
      <w:r w:rsidR="00C8566E" w:rsidRPr="00685C3A">
        <w:rPr>
          <w:rFonts w:cs="Arial"/>
          <w:sz w:val="22"/>
          <w:szCs w:val="22"/>
        </w:rPr>
        <w:t>which is particularly crucial with growing interest in forest carbon transactions under Article 6</w:t>
      </w:r>
      <w:r w:rsidR="00AC167D" w:rsidRPr="00685C3A">
        <w:rPr>
          <w:rFonts w:cs="Arial"/>
          <w:sz w:val="22"/>
          <w:szCs w:val="22"/>
        </w:rPr>
        <w:t>,</w:t>
      </w:r>
      <w:r w:rsidR="00C8566E" w:rsidRPr="00685C3A">
        <w:rPr>
          <w:rFonts w:cs="Arial"/>
          <w:sz w:val="22"/>
          <w:szCs w:val="22"/>
        </w:rPr>
        <w:t xml:space="preserve"> </w:t>
      </w:r>
      <w:r w:rsidRPr="00685C3A">
        <w:rPr>
          <w:rFonts w:cs="Arial"/>
          <w:sz w:val="22"/>
          <w:szCs w:val="22"/>
        </w:rPr>
        <w:t>and improve national and international coordination, cooperation and ambition on REDD+</w:t>
      </w:r>
      <w:r w:rsidR="00AC167D" w:rsidRPr="00685C3A">
        <w:rPr>
          <w:rFonts w:cs="Arial"/>
          <w:sz w:val="22"/>
          <w:szCs w:val="22"/>
        </w:rPr>
        <w:t xml:space="preserve"> in an increasingly complex financing and implementation landscape for forest</w:t>
      </w:r>
      <w:r w:rsidR="008D3F6C" w:rsidRPr="00685C3A">
        <w:rPr>
          <w:rFonts w:cs="Arial"/>
          <w:sz w:val="22"/>
          <w:szCs w:val="22"/>
        </w:rPr>
        <w:t xml:space="preserve"> mitigation</w:t>
      </w:r>
      <w:r w:rsidRPr="00685C3A">
        <w:rPr>
          <w:rFonts w:cs="Arial"/>
          <w:sz w:val="22"/>
          <w:szCs w:val="22"/>
        </w:rPr>
        <w:t>.</w:t>
      </w:r>
    </w:p>
    <w:p w14:paraId="0D055D62" w14:textId="77777777" w:rsidR="00C712EC" w:rsidRPr="00685C3A" w:rsidRDefault="00C712EC" w:rsidP="00C712EC">
      <w:pPr>
        <w:rPr>
          <w:rFonts w:cs="Arial"/>
          <w:sz w:val="22"/>
          <w:szCs w:val="22"/>
        </w:rPr>
      </w:pPr>
    </w:p>
    <w:p w14:paraId="30FAC539" w14:textId="3B78313A" w:rsidR="00C712EC" w:rsidRPr="00685C3A" w:rsidRDefault="00C712EC" w:rsidP="00C712EC">
      <w:pPr>
        <w:rPr>
          <w:rFonts w:cs="Arial"/>
          <w:sz w:val="22"/>
          <w:szCs w:val="22"/>
        </w:rPr>
      </w:pPr>
      <w:r w:rsidRPr="00685C3A">
        <w:rPr>
          <w:rFonts w:cs="Arial"/>
          <w:sz w:val="22"/>
          <w:szCs w:val="22"/>
        </w:rPr>
        <w:t>The Theory of Change identifies two core outcomes:</w:t>
      </w:r>
    </w:p>
    <w:p w14:paraId="32DE047B" w14:textId="77777777" w:rsidR="00C712EC" w:rsidRPr="00685C3A" w:rsidRDefault="00C712EC" w:rsidP="00C712EC">
      <w:pPr>
        <w:rPr>
          <w:rFonts w:cs="Arial"/>
          <w:sz w:val="22"/>
          <w:szCs w:val="22"/>
        </w:rPr>
      </w:pPr>
    </w:p>
    <w:p w14:paraId="1FEA1249" w14:textId="1F6CFACB" w:rsidR="00C712EC" w:rsidRPr="00685C3A" w:rsidRDefault="00C712EC" w:rsidP="00C712EC">
      <w:pPr>
        <w:pStyle w:val="ListParagraph"/>
        <w:numPr>
          <w:ilvl w:val="0"/>
          <w:numId w:val="12"/>
        </w:numPr>
        <w:rPr>
          <w:rFonts w:cs="Arial"/>
          <w:sz w:val="22"/>
          <w:szCs w:val="22"/>
        </w:rPr>
      </w:pPr>
      <w:r w:rsidRPr="00685C3A">
        <w:rPr>
          <w:rFonts w:cs="Arial"/>
          <w:b/>
          <w:sz w:val="22"/>
          <w:szCs w:val="22"/>
        </w:rPr>
        <w:t>Outcome 1:</w:t>
      </w:r>
      <w:r w:rsidRPr="00685C3A">
        <w:rPr>
          <w:rFonts w:cs="Arial"/>
          <w:sz w:val="22"/>
          <w:szCs w:val="22"/>
        </w:rPr>
        <w:t> Increased alignment of forest-based mitigation action with Article 5.2 and enhanced transparency on REDD+ results and payments; and</w:t>
      </w:r>
    </w:p>
    <w:p w14:paraId="6C2A2DC1" w14:textId="4786F822" w:rsidR="00C712EC" w:rsidRPr="00685C3A" w:rsidRDefault="00C712EC" w:rsidP="00C712EC">
      <w:pPr>
        <w:pStyle w:val="ListParagraph"/>
        <w:numPr>
          <w:ilvl w:val="0"/>
          <w:numId w:val="10"/>
        </w:numPr>
        <w:rPr>
          <w:rFonts w:cs="Arial"/>
          <w:sz w:val="22"/>
          <w:szCs w:val="22"/>
        </w:rPr>
      </w:pPr>
      <w:r w:rsidRPr="00685C3A">
        <w:rPr>
          <w:rFonts w:cs="Arial"/>
          <w:b/>
          <w:sz w:val="22"/>
          <w:szCs w:val="22"/>
        </w:rPr>
        <w:t>Outcome 2:</w:t>
      </w:r>
      <w:r w:rsidRPr="00685C3A">
        <w:rPr>
          <w:rFonts w:cs="Arial"/>
          <w:sz w:val="22"/>
          <w:szCs w:val="22"/>
        </w:rPr>
        <w:t> Improved national and international coordination, cooperation and ambition on REDD+.</w:t>
      </w:r>
    </w:p>
    <w:p w14:paraId="292A362F" w14:textId="6DE86F51" w:rsidR="00C712EC" w:rsidRPr="00685C3A" w:rsidRDefault="00C712EC" w:rsidP="00C712EC">
      <w:pPr>
        <w:rPr>
          <w:rFonts w:cs="Arial"/>
          <w:sz w:val="22"/>
          <w:szCs w:val="22"/>
        </w:rPr>
      </w:pPr>
      <w:r w:rsidRPr="73B27188">
        <w:rPr>
          <w:rFonts w:cs="Arial"/>
          <w:sz w:val="22"/>
          <w:szCs w:val="22"/>
        </w:rPr>
        <w:t>These outcomes are expected, over time and subject to external assumptions, to contribute to the successful implementation of Article 5 of the Paris Agreement and to transformational change in the forest and land-use sector, supporting the halting and reversing of deforestation and forest degradation in line with the global 1.5°C goal. The UK contribution is embedded within a wider multi-donor effort supporting the UNFCCC AFOLU Unit, complementing funding from other donors and enabling additional technical assessments, analytical work and coordination activities beyond the UNFCCC core budget</w:t>
      </w:r>
      <w:r w:rsidR="00814B26" w:rsidRPr="73B27188">
        <w:rPr>
          <w:rFonts w:cs="Arial"/>
          <w:sz w:val="22"/>
          <w:szCs w:val="22"/>
        </w:rPr>
        <w:t>.</w:t>
      </w:r>
    </w:p>
    <w:p w14:paraId="152CEC89" w14:textId="77777777" w:rsidR="00207A6A" w:rsidRPr="00685C3A" w:rsidRDefault="00207A6A" w:rsidP="003D222C">
      <w:pPr>
        <w:rPr>
          <w:rFonts w:cs="Arial"/>
          <w:bCs/>
          <w:sz w:val="22"/>
          <w:szCs w:val="22"/>
        </w:rPr>
      </w:pPr>
    </w:p>
    <w:p w14:paraId="0AF37CA4" w14:textId="05987184" w:rsidR="003D222C" w:rsidRPr="00685C3A" w:rsidRDefault="00207A6A" w:rsidP="003D222C">
      <w:pPr>
        <w:rPr>
          <w:rFonts w:cs="Arial"/>
          <w:bCs/>
          <w:sz w:val="22"/>
          <w:szCs w:val="22"/>
        </w:rPr>
      </w:pPr>
      <w:r w:rsidRPr="00685C3A">
        <w:rPr>
          <w:rFonts w:cs="Arial"/>
          <w:bCs/>
          <w:sz w:val="22"/>
          <w:szCs w:val="22"/>
        </w:rPr>
        <w:t xml:space="preserve">We will be updating the original Theory of Change </w:t>
      </w:r>
      <w:proofErr w:type="gramStart"/>
      <w:r w:rsidRPr="00685C3A">
        <w:rPr>
          <w:rFonts w:cs="Arial"/>
          <w:bCs/>
          <w:sz w:val="22"/>
          <w:szCs w:val="22"/>
        </w:rPr>
        <w:t>in light of</w:t>
      </w:r>
      <w:proofErr w:type="gramEnd"/>
      <w:r w:rsidRPr="00685C3A">
        <w:rPr>
          <w:rFonts w:cs="Arial"/>
          <w:bCs/>
          <w:sz w:val="22"/>
          <w:szCs w:val="22"/>
        </w:rPr>
        <w:t xml:space="preserve"> changes to the programme funding and delivery timeline. </w:t>
      </w:r>
    </w:p>
    <w:p w14:paraId="63292BBC" w14:textId="77777777" w:rsidR="003D222C" w:rsidRPr="001952F5" w:rsidRDefault="003D222C" w:rsidP="003D222C">
      <w:pPr>
        <w:rPr>
          <w:rFonts w:cs="Arial"/>
          <w:sz w:val="20"/>
          <w:szCs w:val="20"/>
        </w:rPr>
      </w:pPr>
    </w:p>
    <w:p w14:paraId="1F361F27" w14:textId="02AAC690" w:rsidR="007E677F" w:rsidRDefault="007E677F" w:rsidP="658869E3">
      <w:pPr>
        <w:rPr>
          <w:b/>
          <w:bCs/>
          <w:sz w:val="22"/>
          <w:szCs w:val="22"/>
        </w:rPr>
      </w:pPr>
      <w:r w:rsidRPr="2F9FCE47">
        <w:rPr>
          <w:b/>
          <w:bCs/>
          <w:sz w:val="22"/>
          <w:szCs w:val="22"/>
        </w:rPr>
        <w:t xml:space="preserve">Describe the programme’s contributions to the overall </w:t>
      </w:r>
      <w:r w:rsidR="7C89F096" w:rsidRPr="2F9FCE47">
        <w:rPr>
          <w:b/>
          <w:bCs/>
          <w:sz w:val="22"/>
          <w:szCs w:val="22"/>
        </w:rPr>
        <w:t>DESNZ</w:t>
      </w:r>
      <w:r w:rsidRPr="2F9FCE47" w:rsidDel="007E677F">
        <w:rPr>
          <w:b/>
          <w:bCs/>
          <w:sz w:val="22"/>
          <w:szCs w:val="22"/>
        </w:rPr>
        <w:t xml:space="preserve"> </w:t>
      </w:r>
      <w:r w:rsidRPr="2F9FCE47">
        <w:rPr>
          <w:b/>
          <w:bCs/>
          <w:sz w:val="22"/>
          <w:szCs w:val="22"/>
        </w:rPr>
        <w:t>ICF Theory of Change so far</w:t>
      </w:r>
    </w:p>
    <w:p w14:paraId="7A55D1DD" w14:textId="77777777" w:rsidR="007E677F" w:rsidRDefault="007E677F" w:rsidP="007E677F">
      <w:pPr>
        <w:rPr>
          <w:sz w:val="20"/>
          <w:szCs w:val="20"/>
        </w:rPr>
      </w:pPr>
    </w:p>
    <w:p w14:paraId="19C7CC18" w14:textId="5D20A3AE" w:rsidR="00082A62" w:rsidRPr="0006594D" w:rsidRDefault="00082A62" w:rsidP="00082A62">
      <w:pPr>
        <w:rPr>
          <w:sz w:val="22"/>
          <w:szCs w:val="22"/>
        </w:rPr>
      </w:pPr>
      <w:r w:rsidRPr="0006594D">
        <w:rPr>
          <w:sz w:val="22"/>
          <w:szCs w:val="22"/>
        </w:rPr>
        <w:t>The Programme contributes to the DESNZ ICF Theory of Change through outputs focused on </w:t>
      </w:r>
      <w:r w:rsidRPr="0006594D">
        <w:rPr>
          <w:b/>
          <w:sz w:val="22"/>
          <w:szCs w:val="22"/>
        </w:rPr>
        <w:t>capacity building, coordination and strengthening enabling environments</w:t>
      </w:r>
      <w:r w:rsidRPr="0006594D">
        <w:rPr>
          <w:sz w:val="22"/>
          <w:szCs w:val="22"/>
        </w:rPr>
        <w:t> in the forests and land-use sector. By supporting UNFCCC-mandated REDD+ transparency, reporting and review systems, the programme contributes to ICF outputs on </w:t>
      </w:r>
      <w:r w:rsidRPr="0006594D">
        <w:rPr>
          <w:b/>
          <w:sz w:val="22"/>
          <w:szCs w:val="22"/>
        </w:rPr>
        <w:t>increased institutional capacity and knowledge to deliver climate mitigation</w:t>
      </w:r>
      <w:r w:rsidRPr="0006594D">
        <w:rPr>
          <w:sz w:val="22"/>
          <w:szCs w:val="22"/>
        </w:rPr>
        <w:t> in partner countries.</w:t>
      </w:r>
    </w:p>
    <w:p w14:paraId="7FFEC38B" w14:textId="77777777" w:rsidR="00082A62" w:rsidRPr="0006594D" w:rsidRDefault="00082A62" w:rsidP="00082A62">
      <w:pPr>
        <w:rPr>
          <w:sz w:val="22"/>
          <w:szCs w:val="22"/>
        </w:rPr>
      </w:pPr>
    </w:p>
    <w:p w14:paraId="20ED662C" w14:textId="7BF0DA10" w:rsidR="00082A62" w:rsidRPr="0006594D" w:rsidRDefault="00082A62" w:rsidP="00082A62">
      <w:pPr>
        <w:rPr>
          <w:sz w:val="22"/>
          <w:szCs w:val="22"/>
        </w:rPr>
      </w:pPr>
      <w:r w:rsidRPr="0006594D">
        <w:rPr>
          <w:sz w:val="22"/>
          <w:szCs w:val="22"/>
        </w:rPr>
        <w:t xml:space="preserve">In the short term, activities such as technical assessments of REDD+ reference levels and results, </w:t>
      </w:r>
      <w:r w:rsidR="00EB529F" w:rsidRPr="0006594D">
        <w:rPr>
          <w:sz w:val="22"/>
          <w:szCs w:val="22"/>
        </w:rPr>
        <w:t xml:space="preserve">upgrading and </w:t>
      </w:r>
      <w:r w:rsidRPr="0006594D">
        <w:rPr>
          <w:sz w:val="22"/>
          <w:szCs w:val="22"/>
        </w:rPr>
        <w:t>maintenance of the REDD+ Web Platform</w:t>
      </w:r>
      <w:r w:rsidR="00EB529F" w:rsidRPr="0006594D">
        <w:rPr>
          <w:sz w:val="22"/>
          <w:szCs w:val="22"/>
        </w:rPr>
        <w:t xml:space="preserve"> and Lima REDD+ Information Hub</w:t>
      </w:r>
      <w:r w:rsidRPr="0006594D">
        <w:rPr>
          <w:sz w:val="22"/>
          <w:szCs w:val="22"/>
        </w:rPr>
        <w:t xml:space="preserve">, and early knowledge-sharing and Community of Practice engagement </w:t>
      </w:r>
      <w:r w:rsidRPr="0006594D">
        <w:rPr>
          <w:sz w:val="22"/>
          <w:szCs w:val="22"/>
        </w:rPr>
        <w:lastRenderedPageBreak/>
        <w:t xml:space="preserve">support improved </w:t>
      </w:r>
      <w:r w:rsidR="00721893" w:rsidRPr="0006594D">
        <w:rPr>
          <w:sz w:val="22"/>
          <w:szCs w:val="22"/>
        </w:rPr>
        <w:t xml:space="preserve">learning, </w:t>
      </w:r>
      <w:r w:rsidRPr="0006594D">
        <w:rPr>
          <w:sz w:val="22"/>
          <w:szCs w:val="22"/>
        </w:rPr>
        <w:t xml:space="preserve">transparency, coordination and </w:t>
      </w:r>
      <w:r w:rsidR="00721893" w:rsidRPr="0006594D">
        <w:rPr>
          <w:sz w:val="22"/>
          <w:szCs w:val="22"/>
        </w:rPr>
        <w:t>collaboration</w:t>
      </w:r>
      <w:r w:rsidRPr="0006594D">
        <w:rPr>
          <w:sz w:val="22"/>
          <w:szCs w:val="22"/>
        </w:rPr>
        <w:t>. Over time, these outputs are expected to contribute to intermediate outcomes on </w:t>
      </w:r>
      <w:r w:rsidRPr="0006594D">
        <w:rPr>
          <w:b/>
          <w:sz w:val="22"/>
          <w:szCs w:val="22"/>
        </w:rPr>
        <w:t>stronger enabling environments and increased ambition in forest-related mitigation</w:t>
      </w:r>
      <w:r w:rsidRPr="0006594D">
        <w:rPr>
          <w:sz w:val="22"/>
          <w:szCs w:val="22"/>
        </w:rPr>
        <w:t>, and, in the longer term, to ICF impacts on </w:t>
      </w:r>
      <w:r w:rsidRPr="0006594D">
        <w:rPr>
          <w:b/>
          <w:sz w:val="22"/>
          <w:szCs w:val="22"/>
        </w:rPr>
        <w:t>reducing emissions from deforestation and forest degradation</w:t>
      </w:r>
      <w:r w:rsidRPr="0006594D">
        <w:rPr>
          <w:sz w:val="22"/>
          <w:szCs w:val="22"/>
        </w:rPr>
        <w:t>, subject to external factors and delivery maturity.</w:t>
      </w:r>
    </w:p>
    <w:p w14:paraId="3D7FB4B9" w14:textId="7DBE32AA" w:rsidR="003D222C" w:rsidRPr="0006594D" w:rsidRDefault="003D222C" w:rsidP="003D222C">
      <w:pPr>
        <w:rPr>
          <w:rFonts w:cs="Arial"/>
          <w:b/>
          <w:bCs/>
          <w:sz w:val="22"/>
          <w:szCs w:val="22"/>
        </w:rPr>
      </w:pPr>
    </w:p>
    <w:p w14:paraId="04AA9581" w14:textId="77777777" w:rsidR="007E677F" w:rsidRDefault="007E677F" w:rsidP="003D222C">
      <w:pPr>
        <w:rPr>
          <w:rFonts w:cs="Arial"/>
          <w:b/>
          <w:bCs/>
          <w:sz w:val="22"/>
          <w:szCs w:val="22"/>
        </w:rPr>
      </w:pPr>
    </w:p>
    <w:p w14:paraId="594B159C" w14:textId="7ED038CD" w:rsidR="003D222C" w:rsidRPr="0006594D" w:rsidRDefault="003D222C" w:rsidP="003D222C">
      <w:pPr>
        <w:rPr>
          <w:rFonts w:cs="Arial"/>
          <w:bCs/>
          <w:sz w:val="22"/>
          <w:szCs w:val="22"/>
        </w:rPr>
      </w:pPr>
      <w:r>
        <w:rPr>
          <w:rFonts w:cs="Arial"/>
          <w:b/>
          <w:bCs/>
          <w:sz w:val="22"/>
          <w:szCs w:val="22"/>
        </w:rPr>
        <w:t xml:space="preserve">Describe where the programme is on/off track to contribute to the expected </w:t>
      </w:r>
      <w:r w:rsidRPr="00F70DBE">
        <w:rPr>
          <w:rFonts w:cs="Arial"/>
          <w:b/>
          <w:bCs/>
          <w:sz w:val="22"/>
          <w:szCs w:val="22"/>
        </w:rPr>
        <w:t>outcome</w:t>
      </w:r>
      <w:r>
        <w:rPr>
          <w:rFonts w:cs="Arial"/>
          <w:b/>
          <w:bCs/>
          <w:sz w:val="22"/>
          <w:szCs w:val="22"/>
        </w:rPr>
        <w:t xml:space="preserve">s and impact. What action is planned in </w:t>
      </w:r>
      <w:r>
        <w:rPr>
          <w:rFonts w:cs="Arial"/>
          <w:b/>
          <w:sz w:val="22"/>
          <w:szCs w:val="22"/>
        </w:rPr>
        <w:t>the year ahead?</w:t>
      </w:r>
      <w:r>
        <w:rPr>
          <w:rFonts w:cs="Arial"/>
          <w:bCs/>
          <w:sz w:val="22"/>
          <w:szCs w:val="22"/>
        </w:rPr>
        <w:t xml:space="preserve"> </w:t>
      </w:r>
    </w:p>
    <w:p w14:paraId="3088F776" w14:textId="77777777" w:rsidR="003D222C" w:rsidRDefault="003D222C" w:rsidP="003D222C">
      <w:pPr>
        <w:rPr>
          <w:color w:val="000000" w:themeColor="text1"/>
          <w:sz w:val="20"/>
          <w:szCs w:val="20"/>
          <w:highlight w:val="yellow"/>
        </w:rPr>
      </w:pPr>
    </w:p>
    <w:p w14:paraId="53542721" w14:textId="04D7A570" w:rsidR="0014762C" w:rsidRPr="0006594D" w:rsidRDefault="0014762C" w:rsidP="0014762C">
      <w:pPr>
        <w:rPr>
          <w:sz w:val="22"/>
          <w:szCs w:val="22"/>
        </w:rPr>
      </w:pPr>
      <w:r w:rsidRPr="0006594D">
        <w:rPr>
          <w:sz w:val="22"/>
          <w:szCs w:val="22"/>
        </w:rPr>
        <w:t xml:space="preserve">It is too early to assess whether the programme is on track to deliver its intended outcomes and long-term impacts, as </w:t>
      </w:r>
      <w:r w:rsidR="007A3832" w:rsidRPr="0006594D">
        <w:rPr>
          <w:sz w:val="22"/>
          <w:szCs w:val="22"/>
        </w:rPr>
        <w:t>programme implementation only began in July</w:t>
      </w:r>
      <w:r w:rsidR="00E90B96" w:rsidRPr="0006594D">
        <w:rPr>
          <w:sz w:val="22"/>
          <w:szCs w:val="22"/>
        </w:rPr>
        <w:t xml:space="preserve"> 2025 </w:t>
      </w:r>
      <w:r w:rsidRPr="0006594D">
        <w:rPr>
          <w:sz w:val="22"/>
          <w:szCs w:val="22"/>
        </w:rPr>
        <w:t xml:space="preserve">and many output indicators and milestones fall later in the programme lifecycle. However, early delivery during 2025 indicates that activities are aligned with the Theory of Change and </w:t>
      </w:r>
      <w:proofErr w:type="spellStart"/>
      <w:r w:rsidR="00216CD9">
        <w:rPr>
          <w:sz w:val="22"/>
          <w:szCs w:val="22"/>
        </w:rPr>
        <w:t>L</w:t>
      </w:r>
      <w:r w:rsidRPr="0006594D">
        <w:rPr>
          <w:sz w:val="22"/>
          <w:szCs w:val="22"/>
        </w:rPr>
        <w:t>ogframe</w:t>
      </w:r>
      <w:proofErr w:type="spellEnd"/>
      <w:r w:rsidRPr="0006594D">
        <w:rPr>
          <w:sz w:val="22"/>
          <w:szCs w:val="22"/>
        </w:rPr>
        <w:t>, and that the programme is</w:t>
      </w:r>
      <w:r w:rsidR="00E90B96" w:rsidRPr="0006594D">
        <w:rPr>
          <w:sz w:val="22"/>
          <w:szCs w:val="22"/>
        </w:rPr>
        <w:t xml:space="preserve"> on track to deliver agreed outputs </w:t>
      </w:r>
      <w:r w:rsidR="00406090" w:rsidRPr="0006594D">
        <w:rPr>
          <w:sz w:val="22"/>
          <w:szCs w:val="22"/>
        </w:rPr>
        <w:t xml:space="preserve">in its first year. </w:t>
      </w:r>
    </w:p>
    <w:p w14:paraId="5812D3F6" w14:textId="77777777" w:rsidR="0014762C" w:rsidRPr="0006594D" w:rsidRDefault="0014762C" w:rsidP="0014762C">
      <w:pPr>
        <w:rPr>
          <w:sz w:val="22"/>
          <w:szCs w:val="22"/>
        </w:rPr>
      </w:pPr>
    </w:p>
    <w:p w14:paraId="5E6DFC98" w14:textId="35DD6E3E" w:rsidR="0014762C" w:rsidRPr="0006594D" w:rsidRDefault="0014762C" w:rsidP="0014762C">
      <w:pPr>
        <w:rPr>
          <w:sz w:val="22"/>
          <w:szCs w:val="22"/>
        </w:rPr>
      </w:pPr>
      <w:r w:rsidRPr="0006594D">
        <w:rPr>
          <w:sz w:val="22"/>
          <w:szCs w:val="22"/>
        </w:rPr>
        <w:t>During 2025, progress has been made towards </w:t>
      </w:r>
      <w:r w:rsidRPr="0006594D">
        <w:rPr>
          <w:b/>
          <w:sz w:val="22"/>
          <w:szCs w:val="22"/>
        </w:rPr>
        <w:t>Outcome 1</w:t>
      </w:r>
      <w:r w:rsidRPr="0006594D">
        <w:rPr>
          <w:sz w:val="22"/>
          <w:szCs w:val="22"/>
        </w:rPr>
        <w:t xml:space="preserve"> through the initiation of </w:t>
      </w:r>
      <w:r w:rsidR="007D5792" w:rsidRPr="0006594D">
        <w:rPr>
          <w:sz w:val="22"/>
          <w:szCs w:val="22"/>
        </w:rPr>
        <w:t xml:space="preserve">both </w:t>
      </w:r>
      <w:r w:rsidRPr="0006594D">
        <w:rPr>
          <w:sz w:val="22"/>
          <w:szCs w:val="22"/>
        </w:rPr>
        <w:t xml:space="preserve">technical assessments of REDD+ </w:t>
      </w:r>
      <w:r w:rsidR="007D5792" w:rsidRPr="0006594D">
        <w:rPr>
          <w:sz w:val="22"/>
          <w:szCs w:val="22"/>
        </w:rPr>
        <w:t xml:space="preserve">FREL/FRLs </w:t>
      </w:r>
      <w:r w:rsidRPr="0006594D">
        <w:rPr>
          <w:sz w:val="22"/>
          <w:szCs w:val="22"/>
        </w:rPr>
        <w:t xml:space="preserve">ls (with seven submissions received for assessment), and technical analyses of REDD+ results submitted as part of </w:t>
      </w:r>
      <w:r w:rsidR="007D5792" w:rsidRPr="0006594D">
        <w:rPr>
          <w:sz w:val="22"/>
          <w:szCs w:val="22"/>
        </w:rPr>
        <w:t xml:space="preserve">the </w:t>
      </w:r>
      <w:r w:rsidRPr="0006594D">
        <w:rPr>
          <w:sz w:val="22"/>
          <w:szCs w:val="22"/>
        </w:rPr>
        <w:t>Biennial Transparency Reports</w:t>
      </w:r>
      <w:r w:rsidR="007D5792" w:rsidRPr="0006594D">
        <w:rPr>
          <w:sz w:val="22"/>
          <w:szCs w:val="22"/>
        </w:rPr>
        <w:t xml:space="preserve"> submitted to the UNFCCC</w:t>
      </w:r>
      <w:r w:rsidRPr="0006594D">
        <w:rPr>
          <w:sz w:val="22"/>
          <w:szCs w:val="22"/>
        </w:rPr>
        <w:t xml:space="preserve">. These activities directly support transparency, alignment with Article 5.2, and countries’ ability to access </w:t>
      </w:r>
      <w:r w:rsidR="007D5792" w:rsidRPr="0006594D">
        <w:rPr>
          <w:sz w:val="22"/>
          <w:szCs w:val="22"/>
        </w:rPr>
        <w:t xml:space="preserve">UNFCCC-aligned </w:t>
      </w:r>
      <w:r w:rsidRPr="0006594D">
        <w:rPr>
          <w:sz w:val="22"/>
          <w:szCs w:val="22"/>
        </w:rPr>
        <w:t xml:space="preserve">results-based </w:t>
      </w:r>
      <w:r w:rsidR="007D5792" w:rsidRPr="0006594D">
        <w:rPr>
          <w:sz w:val="22"/>
          <w:szCs w:val="22"/>
        </w:rPr>
        <w:t>payments</w:t>
      </w:r>
      <w:r w:rsidRPr="0006594D">
        <w:rPr>
          <w:sz w:val="22"/>
          <w:szCs w:val="22"/>
        </w:rPr>
        <w:t xml:space="preserve">. </w:t>
      </w:r>
      <w:r w:rsidR="004D746E" w:rsidRPr="0006594D">
        <w:rPr>
          <w:sz w:val="22"/>
          <w:szCs w:val="22"/>
        </w:rPr>
        <w:t xml:space="preserve">Major upgrades </w:t>
      </w:r>
      <w:r w:rsidR="00675F1D" w:rsidRPr="0006594D">
        <w:rPr>
          <w:sz w:val="22"/>
          <w:szCs w:val="22"/>
        </w:rPr>
        <w:t xml:space="preserve">to </w:t>
      </w:r>
      <w:r w:rsidRPr="0006594D">
        <w:rPr>
          <w:sz w:val="22"/>
          <w:szCs w:val="22"/>
        </w:rPr>
        <w:t>the UNFCCC REDD+ Web Platform and Lima REDD+ Information Hub</w:t>
      </w:r>
      <w:r w:rsidR="00675F1D" w:rsidRPr="0006594D">
        <w:rPr>
          <w:sz w:val="22"/>
          <w:szCs w:val="22"/>
        </w:rPr>
        <w:t xml:space="preserve"> have been completed</w:t>
      </w:r>
      <w:r w:rsidRPr="0006594D">
        <w:rPr>
          <w:sz w:val="22"/>
          <w:szCs w:val="22"/>
        </w:rPr>
        <w:t xml:space="preserve">, </w:t>
      </w:r>
      <w:r w:rsidR="00675F1D" w:rsidRPr="0006594D">
        <w:rPr>
          <w:sz w:val="22"/>
          <w:szCs w:val="22"/>
        </w:rPr>
        <w:t xml:space="preserve">based </w:t>
      </w:r>
      <w:r w:rsidR="003C04D5" w:rsidRPr="0006594D">
        <w:rPr>
          <w:sz w:val="22"/>
          <w:szCs w:val="22"/>
        </w:rPr>
        <w:t xml:space="preserve">on </w:t>
      </w:r>
      <w:r w:rsidR="00675F1D" w:rsidRPr="0006594D">
        <w:rPr>
          <w:sz w:val="22"/>
          <w:szCs w:val="22"/>
        </w:rPr>
        <w:t xml:space="preserve">user feedback with a subsequent </w:t>
      </w:r>
      <w:r w:rsidRPr="0006594D">
        <w:rPr>
          <w:sz w:val="22"/>
          <w:szCs w:val="22"/>
        </w:rPr>
        <w:t>user survey to inform further improvements.</w:t>
      </w:r>
      <w:r w:rsidR="00DD49F0" w:rsidRPr="0006594D">
        <w:rPr>
          <w:sz w:val="22"/>
          <w:szCs w:val="22"/>
        </w:rPr>
        <w:t xml:space="preserve"> Upgrades have modernised the platform infrastructure and significantly improved country-level visualisation and data accessibility, with further work planned to develop more policy-accessible explanatory content.</w:t>
      </w:r>
    </w:p>
    <w:p w14:paraId="58A5F45D" w14:textId="77777777" w:rsidR="0014762C" w:rsidRPr="0014762C" w:rsidRDefault="0014762C" w:rsidP="0014762C">
      <w:pPr>
        <w:rPr>
          <w:sz w:val="20"/>
          <w:szCs w:val="20"/>
        </w:rPr>
      </w:pPr>
    </w:p>
    <w:p w14:paraId="3C804ABB" w14:textId="7D6F09C9" w:rsidR="0014762C" w:rsidRPr="0006594D" w:rsidRDefault="0014762C" w:rsidP="0014762C">
      <w:pPr>
        <w:rPr>
          <w:sz w:val="22"/>
          <w:szCs w:val="22"/>
        </w:rPr>
      </w:pPr>
      <w:r w:rsidRPr="0006594D">
        <w:rPr>
          <w:sz w:val="22"/>
          <w:szCs w:val="22"/>
        </w:rPr>
        <w:t>Progress towards </w:t>
      </w:r>
      <w:r w:rsidRPr="0006594D">
        <w:rPr>
          <w:b/>
          <w:sz w:val="22"/>
          <w:szCs w:val="22"/>
        </w:rPr>
        <w:t>Outcome 2</w:t>
      </w:r>
      <w:r w:rsidRPr="0006594D">
        <w:rPr>
          <w:sz w:val="22"/>
          <w:szCs w:val="22"/>
        </w:rPr>
        <w:t xml:space="preserve"> has been supported through delivery of coordination and knowledge-sharing activities, including an implementation forum at Africa Climate Week, a REDD+ Community of Practice webinar in November, and the first regional REDD+ Community of Practice meeting for Latin America and the Caribbean </w:t>
      </w:r>
      <w:r w:rsidR="00A36A50">
        <w:rPr>
          <w:sz w:val="22"/>
          <w:szCs w:val="22"/>
        </w:rPr>
        <w:t xml:space="preserve">(LAC) </w:t>
      </w:r>
      <w:r w:rsidRPr="0006594D">
        <w:rPr>
          <w:sz w:val="22"/>
          <w:szCs w:val="22"/>
        </w:rPr>
        <w:t xml:space="preserve">in December. </w:t>
      </w:r>
      <w:r w:rsidR="00E93E4D" w:rsidRPr="0006594D">
        <w:rPr>
          <w:sz w:val="22"/>
          <w:szCs w:val="22"/>
        </w:rPr>
        <w:t>This was attended by 18 out of 22 countries, and generated helpful discussion</w:t>
      </w:r>
      <w:r w:rsidR="002317CB" w:rsidRPr="0006594D">
        <w:rPr>
          <w:sz w:val="22"/>
          <w:szCs w:val="22"/>
        </w:rPr>
        <w:t xml:space="preserve"> and </w:t>
      </w:r>
      <w:r w:rsidR="00E93E4D" w:rsidRPr="0006594D">
        <w:rPr>
          <w:sz w:val="22"/>
          <w:szCs w:val="22"/>
        </w:rPr>
        <w:t xml:space="preserve">feedback, </w:t>
      </w:r>
      <w:r w:rsidR="002317CB" w:rsidRPr="0006594D">
        <w:rPr>
          <w:sz w:val="22"/>
          <w:szCs w:val="22"/>
        </w:rPr>
        <w:t xml:space="preserve">which will feed into the upcoming Global Summit. The LAC meeting surfaced practical barriers countries face in navigating multiple forest finance streams and provided structured inputs for subsequent convenings, including a planned global summit engaging donors and market actors. </w:t>
      </w:r>
      <w:r w:rsidRPr="0006594D">
        <w:rPr>
          <w:sz w:val="22"/>
          <w:szCs w:val="22"/>
        </w:rPr>
        <w:t>Preparatory work is also underway on a voluntary training course for REDD+ reviewers and on analytical work related to REDD+ national strategies and safeguards submissions</w:t>
      </w:r>
      <w:r w:rsidR="00696084" w:rsidRPr="0006594D">
        <w:rPr>
          <w:sz w:val="22"/>
          <w:szCs w:val="22"/>
        </w:rPr>
        <w:t xml:space="preserve">. The findings of the latter will inform </w:t>
      </w:r>
      <w:r w:rsidR="00412752" w:rsidRPr="0006594D">
        <w:rPr>
          <w:sz w:val="22"/>
          <w:szCs w:val="22"/>
        </w:rPr>
        <w:t xml:space="preserve">work to further strengthen safeguards implementation and reporting and to </w:t>
      </w:r>
      <w:r w:rsidR="0073614A" w:rsidRPr="0006594D">
        <w:rPr>
          <w:sz w:val="22"/>
          <w:szCs w:val="22"/>
        </w:rPr>
        <w:t>discuss with Parties how to use national strategies more effectively</w:t>
      </w:r>
      <w:r w:rsidR="00B03580" w:rsidRPr="0006594D">
        <w:rPr>
          <w:sz w:val="22"/>
          <w:szCs w:val="22"/>
        </w:rPr>
        <w:t>,</w:t>
      </w:r>
      <w:r w:rsidRPr="0006594D">
        <w:rPr>
          <w:sz w:val="22"/>
          <w:szCs w:val="22"/>
        </w:rPr>
        <w:t xml:space="preserve"> which are expected to strengthen cooperation, capacity and ambition in subsequent years.</w:t>
      </w:r>
    </w:p>
    <w:p w14:paraId="189F4AE1" w14:textId="77777777" w:rsidR="0014762C" w:rsidRPr="0006594D" w:rsidRDefault="0014762C" w:rsidP="0014762C">
      <w:pPr>
        <w:rPr>
          <w:sz w:val="22"/>
          <w:szCs w:val="22"/>
        </w:rPr>
      </w:pPr>
    </w:p>
    <w:p w14:paraId="20BFB6E9" w14:textId="1961C850" w:rsidR="0014762C" w:rsidRPr="0006594D" w:rsidRDefault="0014762C" w:rsidP="0014762C">
      <w:pPr>
        <w:rPr>
          <w:sz w:val="22"/>
          <w:szCs w:val="22"/>
        </w:rPr>
      </w:pPr>
      <w:r w:rsidRPr="0006594D">
        <w:rPr>
          <w:b/>
          <w:sz w:val="22"/>
          <w:szCs w:val="22"/>
        </w:rPr>
        <w:t>Planned action in the year ahead</w:t>
      </w:r>
      <w:r w:rsidRPr="0006594D">
        <w:rPr>
          <w:sz w:val="22"/>
          <w:szCs w:val="22"/>
        </w:rPr>
        <w:t xml:space="preserve"> includes continued delivery of </w:t>
      </w:r>
      <w:r w:rsidR="001C2EB5" w:rsidRPr="0006594D">
        <w:rPr>
          <w:sz w:val="22"/>
          <w:szCs w:val="22"/>
        </w:rPr>
        <w:t xml:space="preserve">REDD+ FREL/FRL </w:t>
      </w:r>
      <w:r w:rsidRPr="0006594D">
        <w:rPr>
          <w:sz w:val="22"/>
          <w:szCs w:val="22"/>
        </w:rPr>
        <w:t>technical assessments and</w:t>
      </w:r>
      <w:r w:rsidR="001C2EB5" w:rsidRPr="0006594D">
        <w:rPr>
          <w:sz w:val="22"/>
          <w:szCs w:val="22"/>
        </w:rPr>
        <w:t xml:space="preserve"> results</w:t>
      </w:r>
      <w:r w:rsidRPr="0006594D">
        <w:rPr>
          <w:sz w:val="22"/>
          <w:szCs w:val="22"/>
        </w:rPr>
        <w:t xml:space="preserve"> analyses, publication of review reports as they are finalised, further enhancements to the REDD+ Web Platform</w:t>
      </w:r>
      <w:r w:rsidR="00AA6760" w:rsidRPr="0006594D">
        <w:rPr>
          <w:sz w:val="22"/>
          <w:szCs w:val="22"/>
        </w:rPr>
        <w:t xml:space="preserve"> and REDD+ Lima Information Hub</w:t>
      </w:r>
      <w:r w:rsidRPr="0006594D">
        <w:rPr>
          <w:sz w:val="22"/>
          <w:szCs w:val="22"/>
        </w:rPr>
        <w:t xml:space="preserve"> informed by user feedback,</w:t>
      </w:r>
      <w:r w:rsidR="00AA6760" w:rsidRPr="0006594D">
        <w:rPr>
          <w:sz w:val="22"/>
          <w:szCs w:val="22"/>
        </w:rPr>
        <w:t xml:space="preserve"> further </w:t>
      </w:r>
      <w:r w:rsidRPr="0006594D">
        <w:rPr>
          <w:sz w:val="22"/>
          <w:szCs w:val="22"/>
        </w:rPr>
        <w:t xml:space="preserve">Community of Practice activities (including </w:t>
      </w:r>
      <w:r w:rsidR="00AA6760" w:rsidRPr="0006594D">
        <w:rPr>
          <w:sz w:val="22"/>
          <w:szCs w:val="22"/>
        </w:rPr>
        <w:t xml:space="preserve">one </w:t>
      </w:r>
      <w:r w:rsidRPr="0006594D">
        <w:rPr>
          <w:sz w:val="22"/>
          <w:szCs w:val="22"/>
        </w:rPr>
        <w:t>regional engagement</w:t>
      </w:r>
      <w:r w:rsidR="00AA6760" w:rsidRPr="0006594D">
        <w:rPr>
          <w:sz w:val="22"/>
          <w:szCs w:val="22"/>
        </w:rPr>
        <w:t xml:space="preserve"> and potentially one global meeting</w:t>
      </w:r>
      <w:r w:rsidRPr="0006594D">
        <w:rPr>
          <w:sz w:val="22"/>
          <w:szCs w:val="22"/>
        </w:rPr>
        <w:t xml:space="preserve">), and completion of planned training and analytical products in 2026. These actions are expected to contribute more directly to outcome-level progress as delivery matures. At this stage, there is no evidence to suggest that the programme’s outcomes or impacts will not be achievable within the </w:t>
      </w:r>
      <w:r w:rsidR="00AA6760" w:rsidRPr="0006594D">
        <w:rPr>
          <w:sz w:val="22"/>
          <w:szCs w:val="22"/>
        </w:rPr>
        <w:t xml:space="preserve">revised one-year </w:t>
      </w:r>
      <w:r w:rsidRPr="0006594D">
        <w:rPr>
          <w:sz w:val="22"/>
          <w:szCs w:val="22"/>
        </w:rPr>
        <w:t>planned budget and timeframe</w:t>
      </w:r>
      <w:r w:rsidR="00B278BF" w:rsidRPr="0006594D">
        <w:rPr>
          <w:sz w:val="22"/>
          <w:szCs w:val="22"/>
        </w:rPr>
        <w:t>.</w:t>
      </w:r>
    </w:p>
    <w:p w14:paraId="03C08612" w14:textId="77777777" w:rsidR="0014762C" w:rsidRPr="0006594D" w:rsidRDefault="0014762C" w:rsidP="0014762C">
      <w:pPr>
        <w:rPr>
          <w:sz w:val="22"/>
          <w:szCs w:val="22"/>
        </w:rPr>
      </w:pPr>
    </w:p>
    <w:p w14:paraId="75D8CD5A" w14:textId="16D66522" w:rsidR="0014762C" w:rsidRPr="0006594D" w:rsidRDefault="0014762C" w:rsidP="0014762C">
      <w:pPr>
        <w:rPr>
          <w:sz w:val="22"/>
          <w:szCs w:val="22"/>
        </w:rPr>
      </w:pPr>
      <w:r w:rsidRPr="0006594D">
        <w:rPr>
          <w:sz w:val="22"/>
          <w:szCs w:val="22"/>
        </w:rPr>
        <w:t xml:space="preserve">No unexpected outcomes have been identified to date. There </w:t>
      </w:r>
      <w:r w:rsidR="00B00C6A" w:rsidRPr="0006594D">
        <w:rPr>
          <w:sz w:val="22"/>
          <w:szCs w:val="22"/>
        </w:rPr>
        <w:t xml:space="preserve">has been one </w:t>
      </w:r>
      <w:r w:rsidRPr="0006594D">
        <w:rPr>
          <w:sz w:val="22"/>
          <w:szCs w:val="22"/>
        </w:rPr>
        <w:t>substantive change</w:t>
      </w:r>
      <w:r w:rsidR="00574DAC" w:rsidRPr="0006594D">
        <w:rPr>
          <w:sz w:val="22"/>
          <w:szCs w:val="22"/>
        </w:rPr>
        <w:t xml:space="preserve"> to programme design with the implementation timeframe reduced from four years to one. </w:t>
      </w:r>
      <w:r w:rsidR="00681B1F" w:rsidRPr="0006594D">
        <w:rPr>
          <w:sz w:val="22"/>
          <w:szCs w:val="22"/>
        </w:rPr>
        <w:t xml:space="preserve">While there is no major change </w:t>
      </w:r>
      <w:r w:rsidRPr="0006594D">
        <w:rPr>
          <w:sz w:val="22"/>
          <w:szCs w:val="22"/>
        </w:rPr>
        <w:t xml:space="preserve">to the </w:t>
      </w:r>
      <w:r w:rsidR="00B748FA" w:rsidRPr="0006594D">
        <w:rPr>
          <w:sz w:val="22"/>
          <w:szCs w:val="22"/>
        </w:rPr>
        <w:t xml:space="preserve">type of </w:t>
      </w:r>
      <w:r w:rsidRPr="0006594D">
        <w:rPr>
          <w:sz w:val="22"/>
          <w:szCs w:val="22"/>
        </w:rPr>
        <w:t>expected outcomes or impacts</w:t>
      </w:r>
      <w:r w:rsidR="00B748FA" w:rsidRPr="0006594D">
        <w:rPr>
          <w:sz w:val="22"/>
          <w:szCs w:val="22"/>
        </w:rPr>
        <w:t xml:space="preserve">, </w:t>
      </w:r>
      <w:r w:rsidR="00A6022B" w:rsidRPr="0006594D">
        <w:rPr>
          <w:sz w:val="22"/>
          <w:szCs w:val="22"/>
        </w:rPr>
        <w:t>including</w:t>
      </w:r>
      <w:r w:rsidRPr="0006594D">
        <w:rPr>
          <w:sz w:val="22"/>
          <w:szCs w:val="22"/>
        </w:rPr>
        <w:t xml:space="preserve"> on gender equality</w:t>
      </w:r>
      <w:r w:rsidR="00A6022B" w:rsidRPr="0006594D">
        <w:rPr>
          <w:sz w:val="22"/>
          <w:szCs w:val="22"/>
        </w:rPr>
        <w:t>, the volume/extent of these is reduced</w:t>
      </w:r>
      <w:r w:rsidRPr="0006594D">
        <w:rPr>
          <w:sz w:val="22"/>
          <w:szCs w:val="22"/>
        </w:rPr>
        <w:t xml:space="preserve"> compared to </w:t>
      </w:r>
      <w:r w:rsidR="00A6022B" w:rsidRPr="0006594D">
        <w:rPr>
          <w:sz w:val="22"/>
          <w:szCs w:val="22"/>
        </w:rPr>
        <w:t xml:space="preserve">what was originally planned </w:t>
      </w:r>
      <w:r w:rsidRPr="0006594D">
        <w:rPr>
          <w:sz w:val="22"/>
          <w:szCs w:val="22"/>
        </w:rPr>
        <w:t>in the Business Case; gender and safeguards considerations remain embedded within planned analytical work and knowledge-sharing activities, with assessable results expected later in the programme.</w:t>
      </w:r>
    </w:p>
    <w:p w14:paraId="66CF7BE0" w14:textId="77777777" w:rsidR="003D222C" w:rsidRPr="0006594D" w:rsidRDefault="003D222C" w:rsidP="003D222C">
      <w:pPr>
        <w:rPr>
          <w:sz w:val="22"/>
          <w:szCs w:val="22"/>
        </w:rPr>
      </w:pPr>
    </w:p>
    <w:p w14:paraId="40D01C03" w14:textId="15201D6B" w:rsidR="003D222C" w:rsidRPr="0006594D" w:rsidRDefault="003D222C" w:rsidP="003D222C">
      <w:pPr>
        <w:contextualSpacing/>
        <w:rPr>
          <w:rFonts w:cs="Arial"/>
          <w:bCs/>
          <w:sz w:val="22"/>
          <w:szCs w:val="22"/>
        </w:rPr>
      </w:pPr>
      <w:r w:rsidRPr="0006594D">
        <w:rPr>
          <w:rFonts w:cs="Arial"/>
          <w:b/>
          <w:sz w:val="22"/>
          <w:szCs w:val="22"/>
        </w:rPr>
        <w:t xml:space="preserve">Has the </w:t>
      </w:r>
      <w:proofErr w:type="spellStart"/>
      <w:r w:rsidRPr="0006594D">
        <w:rPr>
          <w:rFonts w:cs="Arial"/>
          <w:b/>
          <w:sz w:val="22"/>
          <w:szCs w:val="22"/>
        </w:rPr>
        <w:t>logframe</w:t>
      </w:r>
      <w:proofErr w:type="spellEnd"/>
      <w:r w:rsidRPr="0006594D">
        <w:rPr>
          <w:rFonts w:cs="Arial"/>
          <w:b/>
          <w:sz w:val="22"/>
          <w:szCs w:val="22"/>
        </w:rPr>
        <w:t xml:space="preserve"> been updated since the last review? </w:t>
      </w:r>
    </w:p>
    <w:p w14:paraId="0ACF7E8D" w14:textId="77777777" w:rsidR="003D222C" w:rsidRPr="0006594D" w:rsidRDefault="003D222C" w:rsidP="003D222C">
      <w:pPr>
        <w:rPr>
          <w:rFonts w:cs="Arial"/>
          <w:i/>
          <w:iCs/>
          <w:sz w:val="22"/>
          <w:szCs w:val="22"/>
        </w:rPr>
      </w:pPr>
    </w:p>
    <w:p w14:paraId="2D353B8B" w14:textId="0F1BACE6" w:rsidR="003D222C" w:rsidRPr="0006594D" w:rsidRDefault="00906BE5" w:rsidP="003D222C">
      <w:pPr>
        <w:rPr>
          <w:sz w:val="22"/>
          <w:szCs w:val="22"/>
        </w:rPr>
      </w:pPr>
      <w:r w:rsidRPr="0006594D">
        <w:rPr>
          <w:rFonts w:cs="Arial"/>
          <w:sz w:val="22"/>
          <w:szCs w:val="22"/>
        </w:rPr>
        <w:t xml:space="preserve">This is the first Annual Review of the programme. The </w:t>
      </w:r>
      <w:proofErr w:type="spellStart"/>
      <w:r w:rsidRPr="0006594D">
        <w:rPr>
          <w:rFonts w:cs="Arial"/>
          <w:sz w:val="22"/>
          <w:szCs w:val="22"/>
        </w:rPr>
        <w:t>logframe</w:t>
      </w:r>
      <w:proofErr w:type="spellEnd"/>
      <w:r w:rsidRPr="0006594D">
        <w:rPr>
          <w:rFonts w:cs="Arial"/>
          <w:sz w:val="22"/>
          <w:szCs w:val="22"/>
        </w:rPr>
        <w:t xml:space="preserve"> has been developed and finalised during the mobilisation phase</w:t>
      </w:r>
      <w:r w:rsidR="19C519F6" w:rsidRPr="0006594D">
        <w:rPr>
          <w:rFonts w:cs="Arial"/>
          <w:sz w:val="22"/>
          <w:szCs w:val="22"/>
        </w:rPr>
        <w:t xml:space="preserve"> </w:t>
      </w:r>
      <w:r w:rsidRPr="0006594D">
        <w:rPr>
          <w:rFonts w:cs="Arial"/>
          <w:sz w:val="22"/>
          <w:szCs w:val="22"/>
        </w:rPr>
        <w:t>to reflect</w:t>
      </w:r>
      <w:r w:rsidR="00A83B81" w:rsidRPr="0006594D">
        <w:rPr>
          <w:rFonts w:cs="Arial"/>
          <w:sz w:val="22"/>
          <w:szCs w:val="22"/>
        </w:rPr>
        <w:t xml:space="preserve"> the reduced implementation period from four years to 12 months</w:t>
      </w:r>
      <w:r w:rsidR="00B57A5E" w:rsidRPr="0006594D">
        <w:rPr>
          <w:rFonts w:cs="Arial"/>
          <w:sz w:val="22"/>
          <w:szCs w:val="22"/>
        </w:rPr>
        <w:t xml:space="preserve"> and with</w:t>
      </w:r>
      <w:r w:rsidRPr="0006594D">
        <w:rPr>
          <w:rFonts w:cs="Arial"/>
          <w:sz w:val="22"/>
          <w:szCs w:val="22"/>
        </w:rPr>
        <w:t xml:space="preserve"> a clearer articulation of outputs, indicators and milestones</w:t>
      </w:r>
      <w:r w:rsidR="00B57A5E" w:rsidRPr="0006594D">
        <w:rPr>
          <w:rFonts w:cs="Arial"/>
          <w:sz w:val="22"/>
          <w:szCs w:val="22"/>
        </w:rPr>
        <w:t xml:space="preserve"> given the reduced timeframe</w:t>
      </w:r>
      <w:r w:rsidRPr="0006594D">
        <w:rPr>
          <w:rFonts w:cs="Arial"/>
          <w:sz w:val="22"/>
          <w:szCs w:val="22"/>
        </w:rPr>
        <w:t>, informed by improved understanding of delivery sequencing, data availability and proportionality considerations (including data disaggregation and anonymity). This has involved a</w:t>
      </w:r>
      <w:r w:rsidR="00CC32D3" w:rsidRPr="0006594D">
        <w:rPr>
          <w:rFonts w:cs="Arial"/>
          <w:sz w:val="22"/>
          <w:szCs w:val="22"/>
        </w:rPr>
        <w:t xml:space="preserve">n </w:t>
      </w:r>
      <w:r w:rsidR="00295ADD" w:rsidRPr="0006594D">
        <w:rPr>
          <w:rFonts w:cs="Arial"/>
          <w:sz w:val="22"/>
          <w:szCs w:val="22"/>
        </w:rPr>
        <w:t>extensive consultative process between</w:t>
      </w:r>
      <w:r w:rsidR="00A573C8" w:rsidRPr="0006594D">
        <w:rPr>
          <w:rFonts w:cs="Arial"/>
          <w:sz w:val="22"/>
          <w:szCs w:val="22"/>
        </w:rPr>
        <w:t xml:space="preserve"> DESNZ</w:t>
      </w:r>
      <w:r w:rsidR="00295ADD" w:rsidRPr="0006594D">
        <w:rPr>
          <w:rFonts w:cs="Arial"/>
          <w:sz w:val="22"/>
          <w:szCs w:val="22"/>
        </w:rPr>
        <w:t xml:space="preserve"> and the UNFCCC</w:t>
      </w:r>
      <w:r w:rsidR="00A573C8" w:rsidRPr="0006594D">
        <w:rPr>
          <w:rFonts w:cs="Arial"/>
          <w:sz w:val="22"/>
          <w:szCs w:val="22"/>
        </w:rPr>
        <w:t xml:space="preserve"> AFOLU Unit</w:t>
      </w:r>
      <w:r w:rsidR="00295ADD" w:rsidRPr="0006594D">
        <w:rPr>
          <w:rFonts w:cs="Arial"/>
          <w:sz w:val="22"/>
          <w:szCs w:val="22"/>
        </w:rPr>
        <w:t>, recognising</w:t>
      </w:r>
      <w:r w:rsidR="00A62A7A" w:rsidRPr="0006594D">
        <w:rPr>
          <w:rFonts w:cs="Arial"/>
          <w:sz w:val="22"/>
          <w:szCs w:val="22"/>
        </w:rPr>
        <w:t xml:space="preserve"> that </w:t>
      </w:r>
      <w:r w:rsidR="00A15C89" w:rsidRPr="0006594D">
        <w:rPr>
          <w:rFonts w:cs="Arial"/>
          <w:sz w:val="22"/>
          <w:szCs w:val="22"/>
        </w:rPr>
        <w:t xml:space="preserve">this is the Unit’s first UK ICF programme and </w:t>
      </w:r>
      <w:r w:rsidR="00A62A7A" w:rsidRPr="0006594D">
        <w:rPr>
          <w:rFonts w:cs="Arial"/>
          <w:sz w:val="22"/>
          <w:szCs w:val="22"/>
        </w:rPr>
        <w:t>both parties are new to working with each other in this context.</w:t>
      </w:r>
      <w:r w:rsidRPr="0006594D">
        <w:rPr>
          <w:rFonts w:cs="Arial"/>
          <w:sz w:val="22"/>
          <w:szCs w:val="22"/>
        </w:rPr>
        <w:t xml:space="preserve"> </w:t>
      </w:r>
    </w:p>
    <w:p w14:paraId="6E3A0774" w14:textId="77777777" w:rsidR="003D222C" w:rsidRPr="0006594D" w:rsidRDefault="003D222C" w:rsidP="003D222C">
      <w:pPr>
        <w:rPr>
          <w:rFonts w:cs="Arial"/>
          <w:b/>
          <w:sz w:val="22"/>
          <w:szCs w:val="22"/>
        </w:rPr>
      </w:pPr>
    </w:p>
    <w:p w14:paraId="433CE3AD" w14:textId="0C154F8A" w:rsidR="003D222C" w:rsidRPr="0006594D" w:rsidRDefault="003D222C" w:rsidP="003D222C">
      <w:pPr>
        <w:rPr>
          <w:rFonts w:cs="Arial"/>
          <w:sz w:val="22"/>
          <w:szCs w:val="22"/>
        </w:rPr>
      </w:pPr>
      <w:r w:rsidRPr="0006594D">
        <w:rPr>
          <w:rFonts w:cs="Arial"/>
          <w:b/>
          <w:sz w:val="22"/>
          <w:szCs w:val="22"/>
          <w:lang w:val="en" w:eastAsia="en-GB"/>
        </w:rPr>
        <w:t xml:space="preserve">Justify whether the programme should continue, based on its own merits and in the context of the wider portfolio </w:t>
      </w:r>
    </w:p>
    <w:p w14:paraId="11F74B7A" w14:textId="77777777" w:rsidR="003D222C" w:rsidRPr="0006594D" w:rsidRDefault="003D222C" w:rsidP="003D222C">
      <w:pPr>
        <w:rPr>
          <w:rFonts w:cs="Arial"/>
          <w:sz w:val="22"/>
          <w:szCs w:val="22"/>
        </w:rPr>
      </w:pPr>
    </w:p>
    <w:p w14:paraId="169A4749" w14:textId="1D78F71A" w:rsidR="003D222C" w:rsidRPr="0006594D" w:rsidRDefault="00CA132C" w:rsidP="003D222C">
      <w:pPr>
        <w:rPr>
          <w:rFonts w:cs="Arial"/>
          <w:sz w:val="22"/>
          <w:szCs w:val="22"/>
          <w:lang w:eastAsia="en-GB"/>
        </w:rPr>
      </w:pPr>
      <w:r w:rsidRPr="0006594D">
        <w:rPr>
          <w:rFonts w:cs="Arial"/>
          <w:sz w:val="22"/>
          <w:szCs w:val="22"/>
          <w:lang w:eastAsia="en-GB"/>
        </w:rPr>
        <w:t>Based on the above, there is sufficient evidence to justify continuation of the programme. While it is too early to assess outcome achievement or cost-effectiveness, early delivery is consistent with the approved Theory of Change</w:t>
      </w:r>
      <w:r w:rsidR="00DB5E83" w:rsidRPr="0006594D">
        <w:rPr>
          <w:rFonts w:cs="Arial"/>
          <w:sz w:val="22"/>
          <w:szCs w:val="22"/>
          <w:lang w:eastAsia="en-GB"/>
        </w:rPr>
        <w:t xml:space="preserve">, </w:t>
      </w:r>
      <w:proofErr w:type="spellStart"/>
      <w:r w:rsidR="00DB5E83" w:rsidRPr="0006594D">
        <w:rPr>
          <w:rFonts w:cs="Arial"/>
          <w:sz w:val="22"/>
          <w:szCs w:val="22"/>
          <w:lang w:eastAsia="en-GB"/>
        </w:rPr>
        <w:t>Logframe</w:t>
      </w:r>
      <w:proofErr w:type="spellEnd"/>
      <w:r w:rsidRPr="0006594D">
        <w:rPr>
          <w:rFonts w:cs="Arial"/>
          <w:sz w:val="22"/>
          <w:szCs w:val="22"/>
          <w:lang w:eastAsia="en-GB"/>
        </w:rPr>
        <w:t xml:space="preserve"> and Business Case assumptions</w:t>
      </w:r>
      <w:r w:rsidR="00DB5E83" w:rsidRPr="0006594D">
        <w:rPr>
          <w:rFonts w:cs="Arial"/>
          <w:sz w:val="22"/>
          <w:szCs w:val="22"/>
          <w:lang w:eastAsia="en-GB"/>
        </w:rPr>
        <w:t xml:space="preserve"> and Contribution Agreement</w:t>
      </w:r>
      <w:r w:rsidRPr="0006594D">
        <w:rPr>
          <w:rFonts w:cs="Arial"/>
          <w:sz w:val="22"/>
          <w:szCs w:val="22"/>
          <w:lang w:eastAsia="en-GB"/>
        </w:rPr>
        <w:t xml:space="preserve">, and the programme continues to address a clear and ongoing need within the UK’s International Climate Finance portfolio. The programme supports </w:t>
      </w:r>
      <w:r w:rsidR="005E17DC" w:rsidRPr="0006594D">
        <w:rPr>
          <w:rFonts w:cs="Arial"/>
          <w:sz w:val="22"/>
          <w:szCs w:val="22"/>
          <w:lang w:eastAsia="en-GB"/>
        </w:rPr>
        <w:t xml:space="preserve">the </w:t>
      </w:r>
      <w:r w:rsidRPr="0006594D">
        <w:rPr>
          <w:rFonts w:cs="Arial"/>
          <w:sz w:val="22"/>
          <w:szCs w:val="22"/>
          <w:lang w:eastAsia="en-GB"/>
        </w:rPr>
        <w:t xml:space="preserve">UNFCCC </w:t>
      </w:r>
      <w:r w:rsidR="005E17DC" w:rsidRPr="0006594D">
        <w:rPr>
          <w:rFonts w:cs="Arial"/>
          <w:sz w:val="22"/>
          <w:szCs w:val="22"/>
          <w:lang w:eastAsia="en-GB"/>
        </w:rPr>
        <w:t xml:space="preserve">AFOLU Unit deliver core </w:t>
      </w:r>
      <w:r w:rsidR="00E33545" w:rsidRPr="0006594D">
        <w:rPr>
          <w:rFonts w:cs="Arial"/>
          <w:sz w:val="22"/>
          <w:szCs w:val="22"/>
          <w:lang w:eastAsia="en-GB"/>
        </w:rPr>
        <w:t xml:space="preserve">support </w:t>
      </w:r>
      <w:r w:rsidRPr="0006594D">
        <w:rPr>
          <w:rFonts w:cs="Arial"/>
          <w:sz w:val="22"/>
          <w:szCs w:val="22"/>
          <w:lang w:eastAsia="en-GB"/>
        </w:rPr>
        <w:t xml:space="preserve">functions </w:t>
      </w:r>
      <w:r w:rsidR="005E17DC" w:rsidRPr="0006594D">
        <w:rPr>
          <w:rFonts w:cs="Arial"/>
          <w:sz w:val="22"/>
          <w:szCs w:val="22"/>
          <w:lang w:eastAsia="en-GB"/>
        </w:rPr>
        <w:t>to developing country Parties participating</w:t>
      </w:r>
      <w:r w:rsidRPr="0006594D">
        <w:rPr>
          <w:rFonts w:cs="Arial"/>
          <w:sz w:val="22"/>
          <w:szCs w:val="22"/>
          <w:lang w:eastAsia="en-GB"/>
        </w:rPr>
        <w:t xml:space="preserve"> </w:t>
      </w:r>
      <w:r w:rsidR="00376B9F" w:rsidRPr="0006594D">
        <w:rPr>
          <w:rFonts w:cs="Arial"/>
          <w:sz w:val="22"/>
          <w:szCs w:val="22"/>
          <w:lang w:eastAsia="en-GB"/>
        </w:rPr>
        <w:t xml:space="preserve">in </w:t>
      </w:r>
      <w:r w:rsidRPr="0006594D">
        <w:rPr>
          <w:rFonts w:cs="Arial"/>
          <w:sz w:val="22"/>
          <w:szCs w:val="22"/>
          <w:lang w:eastAsia="en-GB"/>
        </w:rPr>
        <w:t>REDD+</w:t>
      </w:r>
      <w:r w:rsidR="00376B9F" w:rsidRPr="0006594D">
        <w:rPr>
          <w:rFonts w:cs="Arial"/>
          <w:sz w:val="22"/>
          <w:szCs w:val="22"/>
          <w:lang w:eastAsia="en-GB"/>
        </w:rPr>
        <w:t>, helping countries to further strengthen</w:t>
      </w:r>
      <w:r w:rsidRPr="0006594D">
        <w:rPr>
          <w:rFonts w:cs="Arial"/>
          <w:sz w:val="22"/>
          <w:szCs w:val="22"/>
          <w:lang w:eastAsia="en-GB"/>
        </w:rPr>
        <w:t xml:space="preserve"> implementation</w:t>
      </w:r>
      <w:r w:rsidR="00376B9F" w:rsidRPr="0006594D">
        <w:rPr>
          <w:rFonts w:cs="Arial"/>
          <w:sz w:val="22"/>
          <w:szCs w:val="22"/>
          <w:lang w:eastAsia="en-GB"/>
        </w:rPr>
        <w:t xml:space="preserve"> of forest-based </w:t>
      </w:r>
      <w:r w:rsidR="008D512C" w:rsidRPr="0006594D">
        <w:rPr>
          <w:rFonts w:cs="Arial"/>
          <w:sz w:val="22"/>
          <w:szCs w:val="22"/>
          <w:lang w:eastAsia="en-GB"/>
        </w:rPr>
        <w:t>mitigation,</w:t>
      </w:r>
      <w:r w:rsidRPr="0006594D">
        <w:rPr>
          <w:rFonts w:cs="Arial"/>
          <w:sz w:val="22"/>
          <w:szCs w:val="22"/>
          <w:lang w:eastAsia="en-GB"/>
        </w:rPr>
        <w:t xml:space="preserve"> and </w:t>
      </w:r>
      <w:r w:rsidR="008D512C" w:rsidRPr="0006594D">
        <w:rPr>
          <w:rFonts w:cs="Arial"/>
          <w:sz w:val="22"/>
          <w:szCs w:val="22"/>
          <w:lang w:eastAsia="en-GB"/>
        </w:rPr>
        <w:t xml:space="preserve">access UNFCCC-aligned </w:t>
      </w:r>
      <w:r w:rsidRPr="0006594D">
        <w:rPr>
          <w:rFonts w:cs="Arial"/>
          <w:sz w:val="22"/>
          <w:szCs w:val="22"/>
          <w:lang w:eastAsia="en-GB"/>
        </w:rPr>
        <w:t xml:space="preserve">results-based </w:t>
      </w:r>
      <w:r w:rsidR="008D512C" w:rsidRPr="0006594D">
        <w:rPr>
          <w:rFonts w:cs="Arial"/>
          <w:sz w:val="22"/>
          <w:szCs w:val="22"/>
          <w:lang w:eastAsia="en-GB"/>
        </w:rPr>
        <w:t>payments</w:t>
      </w:r>
      <w:r w:rsidR="0082592A" w:rsidRPr="0006594D">
        <w:rPr>
          <w:rFonts w:cs="Arial"/>
          <w:sz w:val="22"/>
          <w:szCs w:val="22"/>
          <w:lang w:eastAsia="en-GB"/>
        </w:rPr>
        <w:t xml:space="preserve">, while </w:t>
      </w:r>
      <w:r w:rsidR="00CE2547" w:rsidRPr="0006594D">
        <w:rPr>
          <w:rFonts w:cs="Arial"/>
          <w:sz w:val="22"/>
          <w:szCs w:val="22"/>
          <w:lang w:eastAsia="en-GB"/>
        </w:rPr>
        <w:t>i</w:t>
      </w:r>
      <w:r w:rsidR="0082592A" w:rsidRPr="0006594D">
        <w:rPr>
          <w:rFonts w:cs="Arial"/>
          <w:sz w:val="22"/>
          <w:szCs w:val="22"/>
          <w:lang w:eastAsia="en-GB"/>
        </w:rPr>
        <w:t>ncreasing overall transparency on REDD+ activities</w:t>
      </w:r>
      <w:r w:rsidR="00CE2547" w:rsidRPr="0006594D">
        <w:rPr>
          <w:rFonts w:cs="Arial"/>
          <w:sz w:val="22"/>
          <w:szCs w:val="22"/>
          <w:lang w:eastAsia="en-GB"/>
        </w:rPr>
        <w:t>, results and payments.</w:t>
      </w:r>
      <w:r w:rsidRPr="0006594D">
        <w:rPr>
          <w:rFonts w:cs="Arial"/>
          <w:sz w:val="22"/>
          <w:szCs w:val="22"/>
          <w:lang w:eastAsia="en-GB"/>
        </w:rPr>
        <w:t xml:space="preserve"> </w:t>
      </w:r>
      <w:r w:rsidR="008D512C" w:rsidRPr="0006594D">
        <w:rPr>
          <w:rFonts w:cs="Arial"/>
          <w:sz w:val="22"/>
          <w:szCs w:val="22"/>
          <w:lang w:eastAsia="en-GB"/>
        </w:rPr>
        <w:t xml:space="preserve">It also </w:t>
      </w:r>
      <w:r w:rsidRPr="0006594D">
        <w:rPr>
          <w:rFonts w:cs="Arial"/>
          <w:sz w:val="22"/>
          <w:szCs w:val="22"/>
          <w:lang w:eastAsia="en-GB"/>
        </w:rPr>
        <w:t xml:space="preserve">complements other UK forest finance </w:t>
      </w:r>
      <w:r w:rsidR="00F17032" w:rsidRPr="0006594D">
        <w:rPr>
          <w:rFonts w:cs="Arial"/>
          <w:sz w:val="22"/>
          <w:szCs w:val="22"/>
          <w:lang w:eastAsia="en-GB"/>
        </w:rPr>
        <w:t>initiatives and</w:t>
      </w:r>
      <w:r w:rsidRPr="0006594D">
        <w:rPr>
          <w:rFonts w:cs="Arial"/>
          <w:sz w:val="22"/>
          <w:szCs w:val="22"/>
          <w:lang w:eastAsia="en-GB"/>
        </w:rPr>
        <w:t xml:space="preserve"> contributes to DESNZ and ICF strategic objectives on forests, transparency and climate mitigation. At this stage, there is no justification for restructuring or closure.</w:t>
      </w:r>
    </w:p>
    <w:p w14:paraId="72149EE8" w14:textId="77777777" w:rsidR="00CA132C" w:rsidRPr="0006594D" w:rsidRDefault="00CA132C" w:rsidP="003D222C">
      <w:pPr>
        <w:rPr>
          <w:rFonts w:cs="Arial"/>
          <w:sz w:val="22"/>
          <w:szCs w:val="22"/>
          <w:lang w:val="en" w:eastAsia="en-GB"/>
        </w:rPr>
      </w:pPr>
    </w:p>
    <w:p w14:paraId="37AD67BA" w14:textId="2899276B" w:rsidR="003D222C" w:rsidRPr="00F70DBE" w:rsidRDefault="003D222C" w:rsidP="6590FE67">
      <w:pPr>
        <w:pStyle w:val="Heading2"/>
        <w:pBdr>
          <w:top w:val="single" w:sz="4" w:space="1" w:color="auto"/>
          <w:left w:val="single" w:sz="4" w:space="6" w:color="auto"/>
          <w:bottom w:val="single" w:sz="4" w:space="1" w:color="auto"/>
          <w:right w:val="single" w:sz="4" w:space="4" w:color="auto"/>
        </w:pBdr>
        <w:shd w:val="clear" w:color="auto" w:fill="D9E2F3" w:themeFill="accent1" w:themeFillTint="33"/>
        <w:spacing w:before="0"/>
        <w:rPr>
          <w:b w:val="0"/>
          <w:i w:val="0"/>
          <w:sz w:val="20"/>
          <w:szCs w:val="20"/>
        </w:rPr>
      </w:pPr>
      <w:r w:rsidRPr="6590FE67">
        <w:rPr>
          <w:i w:val="0"/>
        </w:rPr>
        <w:t>C. DETAILED OUTPUT SCORING</w:t>
      </w:r>
      <w:r w:rsidRPr="6590FE67">
        <w:rPr>
          <w:b w:val="0"/>
          <w:i w:val="0"/>
          <w:sz w:val="20"/>
          <w:szCs w:val="20"/>
        </w:rPr>
        <w:t xml:space="preserve"> </w:t>
      </w:r>
    </w:p>
    <w:p w14:paraId="12712ADB" w14:textId="7E69F233" w:rsidR="003D222C" w:rsidRDefault="0E944C08" w:rsidP="003D222C">
      <w:pPr>
        <w:rPr>
          <w:sz w:val="22"/>
          <w:szCs w:val="22"/>
        </w:rPr>
      </w:pPr>
      <w:r w:rsidRPr="7BBE87E9">
        <w:rPr>
          <w:sz w:val="22"/>
          <w:szCs w:val="22"/>
        </w:rPr>
        <w:t xml:space="preserve">Due to the limited implementation period before this annual review, we have not undertaken output scoring. </w:t>
      </w:r>
    </w:p>
    <w:p w14:paraId="055FDF8F" w14:textId="77777777" w:rsidR="00C22C27" w:rsidRDefault="00C22C27" w:rsidP="003D222C">
      <w:pPr>
        <w:rPr>
          <w:sz w:val="22"/>
          <w:szCs w:val="22"/>
        </w:rPr>
      </w:pP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0F456E" w:rsidRPr="008A4154" w14:paraId="2102EB17" w14:textId="77777777" w:rsidTr="00830D08">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85D6B2" w14:textId="77777777" w:rsidR="003D222C" w:rsidRPr="008A4154" w:rsidRDefault="003D222C" w:rsidP="00830D08">
            <w:pPr>
              <w:rPr>
                <w:b/>
                <w:sz w:val="20"/>
                <w:szCs w:val="20"/>
              </w:rPr>
            </w:pPr>
            <w:r w:rsidRPr="606A6091">
              <w:rPr>
                <w:b/>
                <w:sz w:val="20"/>
                <w:szCs w:val="20"/>
              </w:rPr>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8A3AEA" w14:textId="77777777" w:rsidR="003D222C" w:rsidRPr="008A4154" w:rsidRDefault="003D222C" w:rsidP="00830D08">
            <w:pPr>
              <w:rPr>
                <w:i/>
                <w:sz w:val="20"/>
                <w:szCs w:val="20"/>
              </w:rPr>
            </w:pPr>
            <w:r w:rsidRPr="606A6091">
              <w:rPr>
                <w:sz w:val="20"/>
                <w:szCs w:val="20"/>
              </w:rPr>
              <w:t xml:space="preserve">[Use the wording exactly as is from the current </w:t>
            </w:r>
            <w:proofErr w:type="spellStart"/>
            <w:r w:rsidRPr="606A6091">
              <w:rPr>
                <w:sz w:val="20"/>
                <w:szCs w:val="20"/>
              </w:rPr>
              <w:t>logframe</w:t>
            </w:r>
            <w:proofErr w:type="spellEnd"/>
            <w:r w:rsidRPr="606A6091">
              <w:rPr>
                <w:sz w:val="20"/>
                <w:szCs w:val="20"/>
              </w:rPr>
              <w:t xml:space="preserve"> or equivalent.]</w:t>
            </w:r>
          </w:p>
        </w:tc>
      </w:tr>
      <w:tr w:rsidR="00E76B29" w:rsidRPr="008A4154" w14:paraId="0CA17513" w14:textId="77777777" w:rsidTr="00830D08">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01A128" w14:textId="77777777" w:rsidR="003D222C" w:rsidRPr="008A4154" w:rsidRDefault="003D222C" w:rsidP="00830D08">
            <w:pPr>
              <w:rPr>
                <w:sz w:val="20"/>
                <w:szCs w:val="20"/>
              </w:rPr>
            </w:pPr>
            <w:r w:rsidRPr="606A6091">
              <w:rPr>
                <w:sz w:val="20"/>
                <w:szCs w:val="20"/>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4190402A" w14:textId="77777777" w:rsidR="003D222C" w:rsidRPr="008A4154" w:rsidRDefault="003D222C" w:rsidP="00830D08">
            <w:pPr>
              <w:rPr>
                <w:sz w:val="20"/>
                <w:szCs w:val="20"/>
              </w:rPr>
            </w:pP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FA73C8" w14:textId="77777777" w:rsidR="003D222C" w:rsidRPr="008A4154" w:rsidRDefault="003D222C" w:rsidP="00830D08">
            <w:pPr>
              <w:rPr>
                <w:sz w:val="20"/>
                <w:szCs w:val="20"/>
              </w:rPr>
            </w:pPr>
            <w:r w:rsidRPr="606A6091">
              <w:rPr>
                <w:sz w:val="20"/>
                <w:szCs w:val="20"/>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0438A869" w14:textId="77777777" w:rsidR="003D222C" w:rsidRPr="008A4154" w:rsidRDefault="003D222C" w:rsidP="00830D08">
            <w:pPr>
              <w:rPr>
                <w:b/>
                <w:i/>
                <w:sz w:val="20"/>
                <w:szCs w:val="20"/>
              </w:rPr>
            </w:pPr>
          </w:p>
        </w:tc>
      </w:tr>
      <w:tr w:rsidR="00E76B29" w:rsidRPr="008A4154" w14:paraId="322D9463" w14:textId="77777777" w:rsidTr="00830D08">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1524D5" w14:textId="77777777" w:rsidR="003D222C" w:rsidRPr="008A4154" w:rsidRDefault="003D222C" w:rsidP="00830D08">
            <w:pPr>
              <w:rPr>
                <w:sz w:val="20"/>
                <w:szCs w:val="20"/>
              </w:rPr>
            </w:pPr>
            <w:r w:rsidRPr="606A6091">
              <w:rPr>
                <w:sz w:val="20"/>
                <w:szCs w:val="20"/>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2B32CB6F" w14:textId="77777777" w:rsidR="003D222C" w:rsidRPr="008A4154" w:rsidRDefault="003D222C" w:rsidP="00830D08">
            <w:pPr>
              <w:rPr>
                <w:sz w:val="20"/>
                <w:szCs w:val="20"/>
              </w:rPr>
            </w:pP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B322CF" w14:textId="77777777" w:rsidR="003D222C" w:rsidRPr="008A4154" w:rsidRDefault="003D222C" w:rsidP="00830D08">
            <w:pPr>
              <w:rPr>
                <w:sz w:val="20"/>
                <w:szCs w:val="20"/>
              </w:rPr>
            </w:pPr>
            <w:r w:rsidRPr="606A6091">
              <w:rPr>
                <w:sz w:val="20"/>
                <w:szCs w:val="20"/>
              </w:rPr>
              <w:t xml:space="preserve">Weighting revised since last </w:t>
            </w:r>
            <w:proofErr w:type="gramStart"/>
            <w:r w:rsidRPr="606A6091">
              <w:rPr>
                <w:sz w:val="20"/>
                <w:szCs w:val="20"/>
              </w:rPr>
              <w:t>AR?</w:t>
            </w:r>
            <w:proofErr w:type="gramEnd"/>
            <w:r w:rsidRPr="606A6091">
              <w:rPr>
                <w:sz w:val="20"/>
                <w:szCs w:val="20"/>
              </w:rPr>
              <w:t xml:space="preserve"> </w:t>
            </w:r>
          </w:p>
        </w:tc>
        <w:tc>
          <w:tcPr>
            <w:tcW w:w="2812" w:type="dxa"/>
            <w:tcBorders>
              <w:top w:val="single" w:sz="4" w:space="0" w:color="auto"/>
              <w:left w:val="single" w:sz="4" w:space="0" w:color="auto"/>
              <w:bottom w:val="single" w:sz="4" w:space="0" w:color="auto"/>
              <w:right w:val="single" w:sz="4" w:space="0" w:color="auto"/>
            </w:tcBorders>
          </w:tcPr>
          <w:p w14:paraId="314B55F6" w14:textId="77777777" w:rsidR="003D222C" w:rsidRPr="008A4154" w:rsidRDefault="003D222C" w:rsidP="00830D08">
            <w:pPr>
              <w:rPr>
                <w:sz w:val="20"/>
                <w:szCs w:val="20"/>
              </w:rPr>
            </w:pPr>
            <w:r w:rsidRPr="606A6091">
              <w:rPr>
                <w:sz w:val="20"/>
                <w:szCs w:val="20"/>
              </w:rPr>
              <w:t>[I</w:t>
            </w:r>
            <w:r w:rsidRPr="008A4154">
              <w:rPr>
                <w:bCs/>
                <w:sz w:val="20"/>
                <w:szCs w:val="20"/>
              </w:rPr>
              <w:t xml:space="preserve">f </w:t>
            </w:r>
            <w:proofErr w:type="gramStart"/>
            <w:r w:rsidRPr="008A4154">
              <w:rPr>
                <w:bCs/>
                <w:sz w:val="20"/>
                <w:szCs w:val="20"/>
              </w:rPr>
              <w:t>Yes</w:t>
            </w:r>
            <w:proofErr w:type="gramEnd"/>
            <w:r w:rsidRPr="008A4154">
              <w:rPr>
                <w:bCs/>
                <w:sz w:val="20"/>
                <w:szCs w:val="20"/>
              </w:rPr>
              <w:t xml:space="preserve">, </w:t>
            </w:r>
            <w:r w:rsidRPr="008A4154">
              <w:rPr>
                <w:rFonts w:cs="Arial"/>
                <w:bCs/>
                <w:sz w:val="20"/>
                <w:szCs w:val="20"/>
              </w:rPr>
              <w:t>up or down</w:t>
            </w:r>
            <w:r>
              <w:rPr>
                <w:rFonts w:cs="Arial"/>
                <w:bCs/>
                <w:sz w:val="20"/>
                <w:szCs w:val="20"/>
              </w:rPr>
              <w:t>?</w:t>
            </w:r>
            <w:r w:rsidRPr="008A4154">
              <w:rPr>
                <w:rFonts w:cs="Arial"/>
                <w:bCs/>
                <w:sz w:val="20"/>
                <w:szCs w:val="20"/>
              </w:rPr>
              <w:t>]</w:t>
            </w:r>
          </w:p>
        </w:tc>
      </w:tr>
      <w:tr w:rsidR="00E76B29" w:rsidRPr="008A4154" w14:paraId="49FF75D8" w14:textId="77777777" w:rsidTr="00830D08">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A26186" w14:textId="77777777" w:rsidR="003D222C" w:rsidRPr="008A4154" w:rsidRDefault="003D222C" w:rsidP="00830D08">
            <w:pPr>
              <w:rPr>
                <w:sz w:val="20"/>
                <w:szCs w:val="20"/>
              </w:rPr>
            </w:pPr>
            <w:r w:rsidRPr="606A6091">
              <w:rPr>
                <w:sz w:val="20"/>
                <w:szCs w:val="20"/>
              </w:rPr>
              <w:t>Risk rating</w:t>
            </w:r>
          </w:p>
        </w:tc>
        <w:tc>
          <w:tcPr>
            <w:tcW w:w="937" w:type="dxa"/>
            <w:tcBorders>
              <w:top w:val="single" w:sz="4" w:space="0" w:color="auto"/>
              <w:left w:val="single" w:sz="4" w:space="0" w:color="auto"/>
              <w:bottom w:val="single" w:sz="4" w:space="0" w:color="auto"/>
              <w:right w:val="single" w:sz="4" w:space="0" w:color="auto"/>
            </w:tcBorders>
          </w:tcPr>
          <w:p w14:paraId="05841711" w14:textId="77777777" w:rsidR="003D222C" w:rsidRPr="008A4154" w:rsidRDefault="003D222C" w:rsidP="00830D08">
            <w:pPr>
              <w:rPr>
                <w:sz w:val="20"/>
                <w:szCs w:val="20"/>
              </w:rPr>
            </w:pP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75A24C" w14:textId="77777777" w:rsidR="003D222C" w:rsidRDefault="003D222C" w:rsidP="00830D08">
            <w:pPr>
              <w:rPr>
                <w:sz w:val="20"/>
                <w:szCs w:val="20"/>
              </w:rPr>
            </w:pPr>
            <w:r w:rsidRPr="606A6091">
              <w:rPr>
                <w:sz w:val="20"/>
                <w:szCs w:val="20"/>
              </w:rPr>
              <w:t>Risk revised since last AR?</w:t>
            </w:r>
          </w:p>
        </w:tc>
        <w:tc>
          <w:tcPr>
            <w:tcW w:w="2812" w:type="dxa"/>
            <w:tcBorders>
              <w:top w:val="single" w:sz="4" w:space="0" w:color="auto"/>
              <w:left w:val="single" w:sz="4" w:space="0" w:color="auto"/>
              <w:bottom w:val="single" w:sz="4" w:space="0" w:color="auto"/>
              <w:right w:val="single" w:sz="4" w:space="0" w:color="auto"/>
            </w:tcBorders>
          </w:tcPr>
          <w:p w14:paraId="36DFFD26" w14:textId="77777777" w:rsidR="003D222C" w:rsidRPr="008A4154" w:rsidRDefault="003D222C" w:rsidP="00830D08">
            <w:pPr>
              <w:rPr>
                <w:sz w:val="20"/>
                <w:szCs w:val="20"/>
              </w:rPr>
            </w:pPr>
            <w:r w:rsidRPr="606A6091">
              <w:rPr>
                <w:sz w:val="20"/>
                <w:szCs w:val="20"/>
              </w:rPr>
              <w:t>I</w:t>
            </w:r>
            <w:r w:rsidRPr="008A4154">
              <w:rPr>
                <w:bCs/>
                <w:sz w:val="20"/>
                <w:szCs w:val="20"/>
              </w:rPr>
              <w:t xml:space="preserve">f </w:t>
            </w:r>
            <w:proofErr w:type="gramStart"/>
            <w:r w:rsidRPr="008A4154">
              <w:rPr>
                <w:bCs/>
                <w:sz w:val="20"/>
                <w:szCs w:val="20"/>
              </w:rPr>
              <w:t>Yes</w:t>
            </w:r>
            <w:proofErr w:type="gramEnd"/>
            <w:r w:rsidRPr="008A4154">
              <w:rPr>
                <w:bCs/>
                <w:sz w:val="20"/>
                <w:szCs w:val="20"/>
              </w:rPr>
              <w:t>,</w:t>
            </w:r>
            <w:r>
              <w:rPr>
                <w:rFonts w:cs="Arial"/>
                <w:bCs/>
                <w:sz w:val="20"/>
                <w:szCs w:val="20"/>
              </w:rPr>
              <w:t xml:space="preserve"> to what risk rating?</w:t>
            </w:r>
            <w:r w:rsidRPr="008A4154">
              <w:rPr>
                <w:rFonts w:cs="Arial"/>
                <w:bCs/>
                <w:sz w:val="20"/>
                <w:szCs w:val="20"/>
              </w:rPr>
              <w:t>]</w:t>
            </w:r>
          </w:p>
        </w:tc>
      </w:tr>
    </w:tbl>
    <w:p w14:paraId="6858AD8B" w14:textId="77777777" w:rsidR="003D222C" w:rsidRPr="00F70DBE" w:rsidRDefault="003D222C" w:rsidP="003D222C">
      <w:pPr>
        <w:rPr>
          <w:b/>
        </w:rPr>
      </w:pPr>
    </w:p>
    <w:tbl>
      <w:tblPr>
        <w:tblStyle w:val="TableGrid"/>
        <w:tblpPr w:leftFromText="180" w:rightFromText="180" w:vertAnchor="text" w:horzAnchor="page" w:tblpX="1325" w:tblpY="-10"/>
        <w:tblOverlap w:val="never"/>
        <w:tblW w:w="9351" w:type="dxa"/>
        <w:tblLook w:val="04A0" w:firstRow="1" w:lastRow="0" w:firstColumn="1" w:lastColumn="0" w:noHBand="0" w:noVBand="1"/>
      </w:tblPr>
      <w:tblGrid>
        <w:gridCol w:w="1564"/>
        <w:gridCol w:w="2977"/>
        <w:gridCol w:w="4810"/>
      </w:tblGrid>
      <w:tr w:rsidR="003D222C" w:rsidRPr="00E548EA" w14:paraId="2C0E4C57" w14:textId="77777777" w:rsidTr="00830D08">
        <w:trPr>
          <w:trHeight w:val="273"/>
        </w:trPr>
        <w:tc>
          <w:tcPr>
            <w:tcW w:w="15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0691AD" w14:textId="77777777" w:rsidR="003D222C" w:rsidRPr="00E548EA" w:rsidRDefault="003D222C" w:rsidP="00830D08">
            <w:pPr>
              <w:rPr>
                <w:b/>
                <w:sz w:val="20"/>
                <w:szCs w:val="20"/>
              </w:rPr>
            </w:pPr>
            <w:r w:rsidRPr="606A6091">
              <w:rPr>
                <w:b/>
                <w:sz w:val="20"/>
                <w:szCs w:val="20"/>
              </w:rPr>
              <w:t>Indicator(s)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0F6E10" w14:textId="77777777" w:rsidR="003D222C" w:rsidRPr="00E548EA" w:rsidRDefault="003D222C" w:rsidP="00830D08">
            <w:pPr>
              <w:rPr>
                <w:b/>
                <w:sz w:val="20"/>
                <w:szCs w:val="20"/>
              </w:rPr>
            </w:pPr>
            <w:r w:rsidRPr="606A6091">
              <w:rPr>
                <w:b/>
                <w:sz w:val="20"/>
                <w:szCs w:val="20"/>
              </w:rPr>
              <w:t>Milestone(s) for this review</w:t>
            </w:r>
          </w:p>
        </w:tc>
        <w:tc>
          <w:tcPr>
            <w:tcW w:w="48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FE6250" w14:textId="77777777" w:rsidR="003D222C" w:rsidRPr="00E548EA" w:rsidRDefault="003D222C" w:rsidP="00830D08">
            <w:pPr>
              <w:rPr>
                <w:b/>
                <w:sz w:val="20"/>
                <w:szCs w:val="20"/>
              </w:rPr>
            </w:pPr>
            <w:r w:rsidRPr="606A6091">
              <w:rPr>
                <w:b/>
                <w:sz w:val="20"/>
                <w:szCs w:val="20"/>
              </w:rPr>
              <w:t xml:space="preserve">Progress </w:t>
            </w:r>
          </w:p>
        </w:tc>
      </w:tr>
      <w:tr w:rsidR="003D222C" w:rsidRPr="00E548EA" w14:paraId="4F7F057D" w14:textId="77777777" w:rsidTr="00830D08">
        <w:tc>
          <w:tcPr>
            <w:tcW w:w="1564" w:type="dxa"/>
            <w:tcBorders>
              <w:top w:val="single" w:sz="4" w:space="0" w:color="auto"/>
              <w:left w:val="single" w:sz="4" w:space="0" w:color="auto"/>
              <w:bottom w:val="single" w:sz="4" w:space="0" w:color="auto"/>
              <w:right w:val="single" w:sz="4" w:space="0" w:color="auto"/>
            </w:tcBorders>
          </w:tcPr>
          <w:p w14:paraId="3B935EB4" w14:textId="77777777" w:rsidR="003D222C" w:rsidRPr="001D0FDD" w:rsidRDefault="003D222C" w:rsidP="00830D08">
            <w:pPr>
              <w:rPr>
                <w:bCs/>
                <w:iCs/>
                <w:sz w:val="20"/>
                <w:szCs w:val="20"/>
              </w:rPr>
            </w:pPr>
            <w:r w:rsidRPr="001D0FDD">
              <w:rPr>
                <w:rFonts w:cs="Arial"/>
                <w:bCs/>
                <w:iCs/>
                <w:sz w:val="20"/>
                <w:szCs w:val="20"/>
              </w:rPr>
              <w:t xml:space="preserve">Insert indicators from </w:t>
            </w:r>
            <w:proofErr w:type="spellStart"/>
            <w:r w:rsidRPr="001D0FDD">
              <w:rPr>
                <w:rFonts w:cs="Arial"/>
                <w:bCs/>
                <w:iCs/>
                <w:sz w:val="20"/>
                <w:szCs w:val="20"/>
              </w:rPr>
              <w:t>logframe</w:t>
            </w:r>
            <w:proofErr w:type="spellEnd"/>
            <w:r w:rsidRPr="001D0FDD">
              <w:rPr>
                <w:rFonts w:cs="Arial"/>
                <w:bCs/>
                <w:iCs/>
                <w:sz w:val="20"/>
                <w:szCs w:val="20"/>
              </w:rPr>
              <w:t xml:space="preserve"> (include numbers, </w:t>
            </w:r>
            <w:proofErr w:type="spellStart"/>
            <w:r w:rsidRPr="001D0FDD">
              <w:rPr>
                <w:rFonts w:cs="Arial"/>
                <w:bCs/>
                <w:iCs/>
                <w:sz w:val="20"/>
                <w:szCs w:val="20"/>
              </w:rPr>
              <w:t>i.e</w:t>
            </w:r>
            <w:proofErr w:type="spellEnd"/>
            <w:r w:rsidRPr="001D0FDD">
              <w:rPr>
                <w:rFonts w:cs="Arial"/>
                <w:bCs/>
                <w:iCs/>
                <w:sz w:val="20"/>
                <w:szCs w:val="20"/>
              </w:rPr>
              <w:t xml:space="preserve"> 1.1, 1.2 etc – use exact language as in </w:t>
            </w:r>
            <w:proofErr w:type="spellStart"/>
            <w:r w:rsidRPr="001D0FDD">
              <w:rPr>
                <w:rFonts w:cs="Arial"/>
                <w:bCs/>
                <w:iCs/>
                <w:sz w:val="20"/>
                <w:szCs w:val="20"/>
              </w:rPr>
              <w:t>logframe</w:t>
            </w:r>
            <w:proofErr w:type="spellEnd"/>
          </w:p>
        </w:tc>
        <w:tc>
          <w:tcPr>
            <w:tcW w:w="2977" w:type="dxa"/>
            <w:tcBorders>
              <w:top w:val="single" w:sz="4" w:space="0" w:color="auto"/>
              <w:left w:val="single" w:sz="4" w:space="0" w:color="auto"/>
              <w:bottom w:val="single" w:sz="4" w:space="0" w:color="auto"/>
              <w:right w:val="single" w:sz="4" w:space="0" w:color="auto"/>
            </w:tcBorders>
          </w:tcPr>
          <w:p w14:paraId="1FA4E29B" w14:textId="77777777" w:rsidR="003D222C" w:rsidRPr="001D0FDD" w:rsidRDefault="003D222C" w:rsidP="00830D08">
            <w:pPr>
              <w:rPr>
                <w:bCs/>
                <w:iCs/>
                <w:sz w:val="20"/>
                <w:szCs w:val="20"/>
              </w:rPr>
            </w:pPr>
            <w:r w:rsidRPr="001D0FDD">
              <w:rPr>
                <w:rFonts w:cs="Arial"/>
                <w:bCs/>
                <w:iCs/>
                <w:sz w:val="20"/>
                <w:szCs w:val="20"/>
              </w:rPr>
              <w:t xml:space="preserve">If there are no milestones in your </w:t>
            </w:r>
            <w:proofErr w:type="spellStart"/>
            <w:r w:rsidRPr="001D0FDD">
              <w:rPr>
                <w:rFonts w:cs="Arial"/>
                <w:bCs/>
                <w:iCs/>
                <w:sz w:val="20"/>
                <w:szCs w:val="20"/>
              </w:rPr>
              <w:t>logframe</w:t>
            </w:r>
            <w:proofErr w:type="spellEnd"/>
            <w:r w:rsidRPr="001D0FDD">
              <w:rPr>
                <w:rFonts w:cs="Arial"/>
                <w:bCs/>
                <w:iCs/>
                <w:sz w:val="20"/>
                <w:szCs w:val="20"/>
              </w:rPr>
              <w:t xml:space="preserve"> please explain why and if any proxies can be used.</w:t>
            </w:r>
            <w:r>
              <w:br/>
            </w:r>
            <w:r>
              <w:br/>
            </w:r>
            <w:r w:rsidRPr="001D0FDD">
              <w:rPr>
                <w:rFonts w:cs="Arial"/>
                <w:bCs/>
                <w:iCs/>
                <w:sz w:val="20"/>
                <w:szCs w:val="20"/>
              </w:rPr>
              <w:t xml:space="preserve">Projects without milestones cannot score highly, as it’s difficult to assess if progress is being made. </w:t>
            </w:r>
          </w:p>
        </w:tc>
        <w:tc>
          <w:tcPr>
            <w:tcW w:w="4810" w:type="dxa"/>
            <w:tcBorders>
              <w:top w:val="single" w:sz="4" w:space="0" w:color="auto"/>
              <w:left w:val="single" w:sz="4" w:space="0" w:color="auto"/>
              <w:bottom w:val="single" w:sz="4" w:space="0" w:color="auto"/>
              <w:right w:val="single" w:sz="4" w:space="0" w:color="auto"/>
            </w:tcBorders>
          </w:tcPr>
          <w:p w14:paraId="1396052A" w14:textId="77777777" w:rsidR="003D222C" w:rsidRPr="001D0FDD" w:rsidRDefault="003D222C" w:rsidP="00830D08">
            <w:pPr>
              <w:contextualSpacing/>
              <w:rPr>
                <w:rFonts w:cs="Arial"/>
                <w:bCs/>
                <w:iCs/>
                <w:sz w:val="20"/>
                <w:szCs w:val="20"/>
              </w:rPr>
            </w:pPr>
            <w:r w:rsidRPr="001D0FDD">
              <w:rPr>
                <w:rFonts w:cs="Arial"/>
                <w:bCs/>
                <w:iCs/>
                <w:sz w:val="20"/>
                <w:szCs w:val="20"/>
              </w:rPr>
              <w:t>Please choose one of the following:</w:t>
            </w:r>
          </w:p>
          <w:p w14:paraId="19DD8520" w14:textId="31038268" w:rsidR="00872F0F" w:rsidRPr="00872F0F" w:rsidRDefault="00CF2784" w:rsidP="00872F0F">
            <w:pPr>
              <w:pStyle w:val="ListParagraph"/>
              <w:numPr>
                <w:ilvl w:val="0"/>
                <w:numId w:val="3"/>
              </w:numPr>
              <w:rPr>
                <w:rFonts w:cs="Arial"/>
                <w:bCs/>
                <w:iCs/>
                <w:sz w:val="20"/>
              </w:rPr>
            </w:pPr>
            <w:r>
              <w:rPr>
                <w:rFonts w:cs="Arial"/>
                <w:bCs/>
                <w:iCs/>
                <w:sz w:val="20"/>
              </w:rPr>
              <w:t>Progress</w:t>
            </w:r>
            <w:r w:rsidR="00872F0F" w:rsidRPr="00872F0F">
              <w:rPr>
                <w:rFonts w:cs="Arial"/>
                <w:bCs/>
                <w:iCs/>
                <w:sz w:val="20"/>
              </w:rPr>
              <w:t xml:space="preserve"> substantially exceeded expectation </w:t>
            </w:r>
          </w:p>
          <w:p w14:paraId="6248DB43" w14:textId="5724F23A" w:rsidR="00872F0F" w:rsidRPr="00872F0F" w:rsidRDefault="00CF2784" w:rsidP="00872F0F">
            <w:pPr>
              <w:pStyle w:val="ListParagraph"/>
              <w:numPr>
                <w:ilvl w:val="0"/>
                <w:numId w:val="3"/>
              </w:numPr>
              <w:rPr>
                <w:rFonts w:cs="Arial"/>
                <w:bCs/>
                <w:iCs/>
                <w:sz w:val="20"/>
              </w:rPr>
            </w:pPr>
            <w:r>
              <w:rPr>
                <w:rFonts w:cs="Arial"/>
                <w:bCs/>
                <w:iCs/>
                <w:sz w:val="20"/>
              </w:rPr>
              <w:t xml:space="preserve">Progress </w:t>
            </w:r>
            <w:r w:rsidR="00872F0F" w:rsidRPr="00872F0F">
              <w:rPr>
                <w:rFonts w:cs="Arial"/>
                <w:bCs/>
                <w:iCs/>
                <w:sz w:val="20"/>
              </w:rPr>
              <w:t xml:space="preserve">moderately exceeded expectation </w:t>
            </w:r>
          </w:p>
          <w:p w14:paraId="201093DA" w14:textId="523D0AAA" w:rsidR="00872F0F" w:rsidRPr="00872F0F" w:rsidRDefault="00CF2784" w:rsidP="00872F0F">
            <w:pPr>
              <w:pStyle w:val="ListParagraph"/>
              <w:numPr>
                <w:ilvl w:val="0"/>
                <w:numId w:val="3"/>
              </w:numPr>
              <w:rPr>
                <w:rFonts w:cs="Arial"/>
                <w:bCs/>
                <w:iCs/>
                <w:sz w:val="20"/>
              </w:rPr>
            </w:pPr>
            <w:r>
              <w:rPr>
                <w:rFonts w:cs="Arial"/>
                <w:bCs/>
                <w:iCs/>
                <w:sz w:val="20"/>
              </w:rPr>
              <w:t>Progress</w:t>
            </w:r>
            <w:r w:rsidR="00872F0F" w:rsidRPr="00872F0F">
              <w:rPr>
                <w:rFonts w:cs="Arial"/>
                <w:bCs/>
                <w:iCs/>
                <w:sz w:val="20"/>
              </w:rPr>
              <w:t xml:space="preserve"> met expectation </w:t>
            </w:r>
          </w:p>
          <w:p w14:paraId="3704C4FF" w14:textId="3639EF78" w:rsidR="00872F0F" w:rsidRPr="00872F0F" w:rsidRDefault="00CF2784" w:rsidP="00872F0F">
            <w:pPr>
              <w:pStyle w:val="ListParagraph"/>
              <w:numPr>
                <w:ilvl w:val="0"/>
                <w:numId w:val="3"/>
              </w:numPr>
              <w:rPr>
                <w:rFonts w:cs="Arial"/>
                <w:bCs/>
                <w:iCs/>
                <w:sz w:val="20"/>
              </w:rPr>
            </w:pPr>
            <w:r>
              <w:rPr>
                <w:rFonts w:cs="Arial"/>
                <w:bCs/>
                <w:iCs/>
                <w:sz w:val="20"/>
              </w:rPr>
              <w:t>Progress</w:t>
            </w:r>
            <w:r w:rsidR="00872F0F" w:rsidRPr="00872F0F">
              <w:rPr>
                <w:rFonts w:cs="Arial"/>
                <w:bCs/>
                <w:iCs/>
                <w:sz w:val="20"/>
              </w:rPr>
              <w:t xml:space="preserve"> moderately did not meet expectation </w:t>
            </w:r>
          </w:p>
          <w:p w14:paraId="38F1E0C4" w14:textId="7DB64B5A" w:rsidR="00E02281" w:rsidRPr="00872F0F" w:rsidRDefault="00CF2784" w:rsidP="00830D08">
            <w:pPr>
              <w:pStyle w:val="ListParagraph"/>
              <w:numPr>
                <w:ilvl w:val="0"/>
                <w:numId w:val="3"/>
              </w:numPr>
              <w:rPr>
                <w:rFonts w:cs="Arial"/>
                <w:bCs/>
                <w:iCs/>
                <w:sz w:val="20"/>
              </w:rPr>
            </w:pPr>
            <w:r>
              <w:rPr>
                <w:rFonts w:cs="Arial"/>
                <w:bCs/>
                <w:iCs/>
                <w:sz w:val="20"/>
              </w:rPr>
              <w:t>Progress</w:t>
            </w:r>
            <w:r w:rsidR="00872F0F" w:rsidRPr="00872F0F">
              <w:rPr>
                <w:rFonts w:cs="Arial"/>
                <w:bCs/>
                <w:iCs/>
                <w:sz w:val="20"/>
              </w:rPr>
              <w:t xml:space="preserve"> substantially did not meet expectation</w:t>
            </w:r>
          </w:p>
          <w:p w14:paraId="77287424" w14:textId="5414B1B2" w:rsidR="003D222C" w:rsidRPr="001D0FDD" w:rsidRDefault="003D222C" w:rsidP="00830D08">
            <w:pPr>
              <w:contextualSpacing/>
              <w:rPr>
                <w:rFonts w:cs="Arial"/>
                <w:bCs/>
                <w:iCs/>
                <w:sz w:val="20"/>
                <w:szCs w:val="20"/>
              </w:rPr>
            </w:pPr>
            <w:r w:rsidRPr="001D0FDD">
              <w:rPr>
                <w:rFonts w:cs="Arial"/>
                <w:bCs/>
                <w:iCs/>
                <w:sz w:val="20"/>
                <w:szCs w:val="20"/>
              </w:rPr>
              <w:t>with a small amount of explanatory text.</w:t>
            </w:r>
          </w:p>
          <w:p w14:paraId="65FC75DF" w14:textId="77777777" w:rsidR="003D222C" w:rsidRPr="001D0FDD" w:rsidRDefault="003D222C" w:rsidP="00830D08">
            <w:pPr>
              <w:contextualSpacing/>
              <w:rPr>
                <w:rFonts w:cs="Arial"/>
                <w:bCs/>
                <w:iCs/>
                <w:sz w:val="20"/>
                <w:szCs w:val="20"/>
              </w:rPr>
            </w:pPr>
          </w:p>
          <w:p w14:paraId="2142E253" w14:textId="77777777" w:rsidR="003D222C" w:rsidRPr="001D0FDD" w:rsidRDefault="003D222C" w:rsidP="00830D08">
            <w:pPr>
              <w:contextualSpacing/>
              <w:rPr>
                <w:rFonts w:cs="Arial"/>
                <w:bCs/>
                <w:iCs/>
                <w:sz w:val="20"/>
                <w:szCs w:val="20"/>
              </w:rPr>
            </w:pPr>
            <w:r w:rsidRPr="001D0FDD">
              <w:rPr>
                <w:rFonts w:cs="Arial"/>
                <w:bCs/>
                <w:iCs/>
                <w:sz w:val="20"/>
                <w:szCs w:val="20"/>
              </w:rPr>
              <w:t xml:space="preserve">If progress cannot be assessed explain why and provide an estimation of when it will be. Do not include analysis of progress here; this should be drawn out below. </w:t>
            </w:r>
          </w:p>
          <w:p w14:paraId="1DF15CBA" w14:textId="77777777" w:rsidR="003D222C" w:rsidRPr="001D0FDD" w:rsidRDefault="003D222C" w:rsidP="00830D08">
            <w:pPr>
              <w:rPr>
                <w:bCs/>
                <w:iCs/>
                <w:sz w:val="20"/>
                <w:szCs w:val="20"/>
              </w:rPr>
            </w:pPr>
          </w:p>
        </w:tc>
      </w:tr>
    </w:tbl>
    <w:p w14:paraId="18573389" w14:textId="77777777" w:rsidR="003D222C" w:rsidRDefault="003D222C" w:rsidP="003D222C">
      <w:pPr>
        <w:rPr>
          <w:sz w:val="20"/>
          <w:szCs w:val="20"/>
        </w:rPr>
      </w:pPr>
    </w:p>
    <w:p w14:paraId="6460DC18" w14:textId="77777777" w:rsidR="003D222C" w:rsidRDefault="003D222C" w:rsidP="003D222C">
      <w:pPr>
        <w:rPr>
          <w:sz w:val="20"/>
          <w:szCs w:val="20"/>
        </w:rPr>
      </w:pPr>
    </w:p>
    <w:p w14:paraId="72E86FF0" w14:textId="0F281645" w:rsidR="003D222C" w:rsidRPr="00F70DBE" w:rsidRDefault="003D222C" w:rsidP="003D222C">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bCs/>
          <w:sz w:val="20"/>
          <w:szCs w:val="20"/>
        </w:rPr>
      </w:pPr>
      <w:r w:rsidRPr="004362AD">
        <w:rPr>
          <w:rFonts w:cs="Arial"/>
          <w:b/>
          <w:bCs/>
          <w:sz w:val="28"/>
          <w:szCs w:val="28"/>
        </w:rPr>
        <w:t xml:space="preserve">D: </w:t>
      </w:r>
      <w:r w:rsidRPr="004362AD">
        <w:rPr>
          <w:b/>
          <w:bCs/>
          <w:sz w:val="28"/>
          <w:szCs w:val="28"/>
        </w:rPr>
        <w:t>PROJECT PERFORMANCE NOT CAPTURED BY OUTPUTS</w:t>
      </w:r>
      <w:r w:rsidRPr="00F405CF">
        <w:rPr>
          <w:b/>
          <w:bCs/>
        </w:rPr>
        <w:t xml:space="preserve"> </w:t>
      </w:r>
    </w:p>
    <w:p w14:paraId="4DC50BD5" w14:textId="61E14244" w:rsidR="003D222C" w:rsidRDefault="00F442D8" w:rsidP="003D222C">
      <w:pPr>
        <w:rPr>
          <w:sz w:val="20"/>
          <w:szCs w:val="20"/>
        </w:rPr>
      </w:pPr>
      <w:r w:rsidRPr="606A6091">
        <w:rPr>
          <w:sz w:val="20"/>
          <w:szCs w:val="20"/>
        </w:rPr>
        <w:t>N/A</w:t>
      </w:r>
    </w:p>
    <w:p w14:paraId="1B63C618" w14:textId="77777777" w:rsidR="003D222C" w:rsidRDefault="003D222C" w:rsidP="003D222C">
      <w:pPr>
        <w:rPr>
          <w:sz w:val="20"/>
          <w:szCs w:val="20"/>
        </w:rPr>
      </w:pPr>
    </w:p>
    <w:p w14:paraId="5DB346C8" w14:textId="77777777" w:rsidR="003D222C" w:rsidRDefault="003D222C" w:rsidP="003D222C">
      <w:pPr>
        <w:rPr>
          <w:sz w:val="20"/>
          <w:szCs w:val="20"/>
        </w:rPr>
      </w:pPr>
    </w:p>
    <w:p w14:paraId="41AF4C1C" w14:textId="17DCEA8B" w:rsidR="003D222C" w:rsidRPr="00F70DBE" w:rsidRDefault="003D222C" w:rsidP="003D222C">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bCs/>
          <w:sz w:val="20"/>
          <w:szCs w:val="20"/>
        </w:rPr>
      </w:pPr>
      <w:r w:rsidRPr="606A6091">
        <w:rPr>
          <w:rFonts w:cs="Arial"/>
          <w:b/>
          <w:sz w:val="28"/>
          <w:szCs w:val="28"/>
        </w:rPr>
        <w:t xml:space="preserve">E: RISK </w:t>
      </w:r>
    </w:p>
    <w:p w14:paraId="7D07A5C2" w14:textId="77777777" w:rsidR="003D222C" w:rsidRDefault="003D222C" w:rsidP="003D222C">
      <w:pPr>
        <w:rPr>
          <w:b/>
          <w:bCs/>
          <w:sz w:val="22"/>
          <w:szCs w:val="22"/>
        </w:rPr>
      </w:pPr>
    </w:p>
    <w:p w14:paraId="7CBD3830" w14:textId="77777777" w:rsidR="00B74143" w:rsidRPr="00CC061C" w:rsidRDefault="00B74143" w:rsidP="00B74143">
      <w:pPr>
        <w:contextualSpacing/>
        <w:rPr>
          <w:rFonts w:cs="Arial"/>
          <w:b/>
          <w:sz w:val="22"/>
          <w:szCs w:val="22"/>
        </w:rPr>
      </w:pPr>
      <w:r w:rsidRPr="00CC061C">
        <w:rPr>
          <w:rFonts w:cs="Arial"/>
          <w:b/>
          <w:bCs/>
          <w:sz w:val="22"/>
          <w:szCs w:val="22"/>
        </w:rPr>
        <w:t xml:space="preserve">Overall risk rating:  </w:t>
      </w:r>
    </w:p>
    <w:p w14:paraId="02219256" w14:textId="670E1F60" w:rsidR="00B74143" w:rsidRPr="00CC061C" w:rsidRDefault="00B74143" w:rsidP="00B74143">
      <w:pPr>
        <w:contextualSpacing/>
        <w:rPr>
          <w:rFonts w:cs="Arial"/>
          <w:sz w:val="22"/>
          <w:szCs w:val="22"/>
        </w:rPr>
      </w:pPr>
      <w:r w:rsidRPr="00CC061C">
        <w:rPr>
          <w:rFonts w:cs="Arial"/>
          <w:sz w:val="22"/>
          <w:szCs w:val="22"/>
        </w:rPr>
        <w:t xml:space="preserve">Enter: </w:t>
      </w:r>
      <w:r w:rsidR="00853AB7" w:rsidRPr="00CC061C">
        <w:rPr>
          <w:rFonts w:cs="Arial"/>
          <w:sz w:val="22"/>
          <w:szCs w:val="22"/>
        </w:rPr>
        <w:t>Moderate</w:t>
      </w:r>
    </w:p>
    <w:p w14:paraId="5CF79B52" w14:textId="77777777" w:rsidR="00B74143" w:rsidRPr="006C199B" w:rsidRDefault="00B74143" w:rsidP="00B74143">
      <w:pPr>
        <w:ind w:left="426" w:hanging="426"/>
        <w:contextualSpacing/>
        <w:rPr>
          <w:rFonts w:cs="Arial"/>
          <w:sz w:val="22"/>
          <w:szCs w:val="22"/>
        </w:rPr>
      </w:pPr>
    </w:p>
    <w:p w14:paraId="67F0C690" w14:textId="2BAE38AD" w:rsidR="00B22356" w:rsidRPr="00CC061C" w:rsidRDefault="006D4ABA" w:rsidP="00B74143">
      <w:pPr>
        <w:rPr>
          <w:rFonts w:cs="Arial"/>
          <w:sz w:val="22"/>
          <w:szCs w:val="22"/>
          <w:lang w:val="en-US"/>
        </w:rPr>
      </w:pPr>
      <w:r w:rsidRPr="00CC061C">
        <w:rPr>
          <w:rFonts w:cs="Arial"/>
          <w:sz w:val="22"/>
          <w:szCs w:val="22"/>
        </w:rPr>
        <w:t>The programme operates in a complex delivery environment, with funding pr</w:t>
      </w:r>
      <w:r w:rsidR="002D0E1A" w:rsidRPr="00CC061C">
        <w:rPr>
          <w:rFonts w:cs="Arial"/>
          <w:sz w:val="22"/>
          <w:szCs w:val="22"/>
        </w:rPr>
        <w:t>ovided to the UNFCCC Secretariat to support core, REDD+</w:t>
      </w:r>
      <w:r w:rsidR="00CE2547" w:rsidRPr="00CC061C">
        <w:rPr>
          <w:rFonts w:cs="Arial"/>
          <w:sz w:val="22"/>
          <w:szCs w:val="22"/>
        </w:rPr>
        <w:t xml:space="preserve"> support</w:t>
      </w:r>
      <w:r w:rsidR="002D0E1A" w:rsidRPr="00CC061C">
        <w:rPr>
          <w:rFonts w:cs="Arial"/>
          <w:sz w:val="22"/>
          <w:szCs w:val="22"/>
        </w:rPr>
        <w:t xml:space="preserve"> </w:t>
      </w:r>
      <w:r w:rsidR="0051685D" w:rsidRPr="00CC061C">
        <w:rPr>
          <w:rFonts w:cs="Arial"/>
          <w:sz w:val="22"/>
          <w:szCs w:val="22"/>
        </w:rPr>
        <w:t>functions under the Paris Agreement</w:t>
      </w:r>
      <w:r w:rsidR="00534D70" w:rsidRPr="00CC061C">
        <w:rPr>
          <w:rFonts w:cs="Arial"/>
          <w:sz w:val="22"/>
          <w:szCs w:val="22"/>
        </w:rPr>
        <w:t xml:space="preserve">. The overall </w:t>
      </w:r>
      <w:r w:rsidR="00D34BAB" w:rsidRPr="00CC061C">
        <w:rPr>
          <w:rFonts w:cs="Arial"/>
          <w:sz w:val="22"/>
          <w:szCs w:val="22"/>
        </w:rPr>
        <w:t xml:space="preserve">risk rating is </w:t>
      </w:r>
      <w:r w:rsidR="00FE6192" w:rsidRPr="00CC061C">
        <w:rPr>
          <w:rFonts w:cs="Arial"/>
          <w:b/>
          <w:bCs/>
          <w:sz w:val="22"/>
          <w:szCs w:val="22"/>
        </w:rPr>
        <w:t>M</w:t>
      </w:r>
      <w:r w:rsidR="00D34BAB" w:rsidRPr="00CC061C">
        <w:rPr>
          <w:rFonts w:cs="Arial"/>
          <w:b/>
          <w:bCs/>
          <w:sz w:val="22"/>
          <w:szCs w:val="22"/>
        </w:rPr>
        <w:t>oderate</w:t>
      </w:r>
      <w:r w:rsidR="00FE6192" w:rsidRPr="00CC061C">
        <w:rPr>
          <w:rFonts w:cs="Arial"/>
          <w:b/>
          <w:bCs/>
          <w:sz w:val="22"/>
          <w:szCs w:val="22"/>
        </w:rPr>
        <w:t xml:space="preserve">, </w:t>
      </w:r>
      <w:r w:rsidR="00FE6192" w:rsidRPr="00CC061C">
        <w:rPr>
          <w:rFonts w:cs="Arial"/>
          <w:sz w:val="22"/>
          <w:szCs w:val="22"/>
        </w:rPr>
        <w:t>reflecting the programme</w:t>
      </w:r>
      <w:r w:rsidR="00BF1F19" w:rsidRPr="00CC061C">
        <w:rPr>
          <w:rFonts w:cs="Arial"/>
          <w:sz w:val="22"/>
          <w:szCs w:val="22"/>
        </w:rPr>
        <w:t>’s</w:t>
      </w:r>
      <w:r w:rsidR="005435C7" w:rsidRPr="00CC061C">
        <w:rPr>
          <w:rFonts w:cs="Arial"/>
          <w:sz w:val="22"/>
          <w:szCs w:val="22"/>
        </w:rPr>
        <w:t xml:space="preserve"> early delivery phase</w:t>
      </w:r>
      <w:r w:rsidR="00015B39" w:rsidRPr="00CC061C">
        <w:rPr>
          <w:rFonts w:cs="Arial"/>
          <w:sz w:val="22"/>
          <w:szCs w:val="22"/>
        </w:rPr>
        <w:t xml:space="preserve">, </w:t>
      </w:r>
      <w:r w:rsidR="005435C7" w:rsidRPr="00CC061C">
        <w:rPr>
          <w:rFonts w:cs="Arial"/>
          <w:sz w:val="22"/>
          <w:szCs w:val="22"/>
        </w:rPr>
        <w:t xml:space="preserve">UK ODA </w:t>
      </w:r>
      <w:r w:rsidR="00255530" w:rsidRPr="00CC061C">
        <w:rPr>
          <w:rFonts w:cs="Arial"/>
          <w:sz w:val="22"/>
          <w:szCs w:val="22"/>
        </w:rPr>
        <w:t>budget reductions</w:t>
      </w:r>
      <w:r w:rsidR="005435C7" w:rsidRPr="00CC061C">
        <w:rPr>
          <w:rFonts w:cs="Arial"/>
          <w:sz w:val="22"/>
          <w:szCs w:val="22"/>
        </w:rPr>
        <w:t xml:space="preserve">, reliance on external actors (including </w:t>
      </w:r>
      <w:r w:rsidR="00F63692" w:rsidRPr="00CC061C">
        <w:rPr>
          <w:rFonts w:cs="Arial"/>
          <w:sz w:val="22"/>
          <w:szCs w:val="22"/>
        </w:rPr>
        <w:t xml:space="preserve">country party submissions), and the </w:t>
      </w:r>
      <w:r w:rsidR="008C3604" w:rsidRPr="00CC061C">
        <w:rPr>
          <w:rFonts w:cs="Arial"/>
          <w:sz w:val="22"/>
          <w:szCs w:val="22"/>
        </w:rPr>
        <w:t>fact thar UNFCCC</w:t>
      </w:r>
      <w:r w:rsidR="005B78BA" w:rsidRPr="00CC061C">
        <w:rPr>
          <w:rFonts w:cs="Arial"/>
          <w:sz w:val="22"/>
          <w:szCs w:val="22"/>
        </w:rPr>
        <w:t xml:space="preserve"> typically operates under collective Party mandates </w:t>
      </w:r>
      <w:r w:rsidR="00AF4F87" w:rsidRPr="00CC061C">
        <w:rPr>
          <w:rFonts w:cs="Arial"/>
          <w:sz w:val="22"/>
          <w:szCs w:val="22"/>
        </w:rPr>
        <w:t>rather than single</w:t>
      </w:r>
      <w:r w:rsidR="00F63692" w:rsidRPr="00CC061C">
        <w:rPr>
          <w:rFonts w:cs="Arial"/>
          <w:sz w:val="22"/>
          <w:szCs w:val="22"/>
        </w:rPr>
        <w:t>-</w:t>
      </w:r>
      <w:r w:rsidR="00295E2F" w:rsidRPr="00CC061C">
        <w:rPr>
          <w:rFonts w:cs="Arial"/>
          <w:sz w:val="22"/>
          <w:szCs w:val="22"/>
        </w:rPr>
        <w:t xml:space="preserve">donor </w:t>
      </w:r>
      <w:r w:rsidR="00A32CFF" w:rsidRPr="00CC061C">
        <w:rPr>
          <w:rFonts w:cs="Arial"/>
          <w:sz w:val="22"/>
          <w:szCs w:val="22"/>
        </w:rPr>
        <w:t>programme</w:t>
      </w:r>
      <w:r w:rsidR="006C5108" w:rsidRPr="00CC061C">
        <w:rPr>
          <w:rFonts w:cs="Arial"/>
          <w:sz w:val="22"/>
          <w:szCs w:val="22"/>
        </w:rPr>
        <w:t xml:space="preserve"> arrangements</w:t>
      </w:r>
      <w:r w:rsidR="00FA38EC" w:rsidRPr="00CC061C">
        <w:rPr>
          <w:rFonts w:cs="Arial"/>
          <w:sz w:val="22"/>
          <w:szCs w:val="22"/>
        </w:rPr>
        <w:t>, which requires</w:t>
      </w:r>
      <w:r w:rsidR="00F5143B" w:rsidRPr="00CC061C">
        <w:rPr>
          <w:rFonts w:cs="Arial"/>
          <w:sz w:val="22"/>
          <w:szCs w:val="22"/>
        </w:rPr>
        <w:t xml:space="preserve"> careful alignment of reporting systems</w:t>
      </w:r>
      <w:r w:rsidR="009F0AB6" w:rsidRPr="00CC061C">
        <w:rPr>
          <w:rFonts w:cs="Arial"/>
          <w:sz w:val="22"/>
          <w:szCs w:val="22"/>
        </w:rPr>
        <w:t xml:space="preserve">.  </w:t>
      </w:r>
      <w:r w:rsidR="00F50DC9" w:rsidRPr="00CC061C">
        <w:rPr>
          <w:rFonts w:cs="Arial"/>
          <w:sz w:val="22"/>
          <w:szCs w:val="22"/>
        </w:rPr>
        <w:t>These risks relate to programme management</w:t>
      </w:r>
      <w:r w:rsidR="001F7615" w:rsidRPr="00CC061C">
        <w:rPr>
          <w:rFonts w:cs="Arial"/>
          <w:sz w:val="22"/>
          <w:szCs w:val="22"/>
        </w:rPr>
        <w:t xml:space="preserve"> and monitoring</w:t>
      </w:r>
      <w:r w:rsidR="00F50DC9" w:rsidRPr="00CC061C">
        <w:rPr>
          <w:rFonts w:cs="Arial"/>
          <w:sz w:val="22"/>
          <w:szCs w:val="22"/>
        </w:rPr>
        <w:t xml:space="preserve"> rather than any</w:t>
      </w:r>
      <w:r w:rsidR="00DE7FF7" w:rsidRPr="00CC061C">
        <w:rPr>
          <w:rFonts w:cs="Arial"/>
          <w:sz w:val="22"/>
          <w:szCs w:val="22"/>
        </w:rPr>
        <w:t xml:space="preserve"> material</w:t>
      </w:r>
      <w:r w:rsidR="00233376" w:rsidRPr="00CC061C">
        <w:rPr>
          <w:rFonts w:cs="Arial"/>
          <w:sz w:val="22"/>
          <w:szCs w:val="22"/>
        </w:rPr>
        <w:t xml:space="preserve"> concerns around delivery failure or misuse of funds.</w:t>
      </w:r>
    </w:p>
    <w:p w14:paraId="2DC2C5F7" w14:textId="77777777" w:rsidR="00B22356" w:rsidRPr="00CC061C" w:rsidRDefault="00B22356" w:rsidP="00B74143">
      <w:pPr>
        <w:rPr>
          <w:rFonts w:cs="Arial"/>
          <w:sz w:val="22"/>
          <w:szCs w:val="22"/>
        </w:rPr>
      </w:pPr>
    </w:p>
    <w:p w14:paraId="43E6B077" w14:textId="77777777" w:rsidR="00B22356" w:rsidRPr="00CC061C" w:rsidRDefault="00B22356" w:rsidP="00B74143">
      <w:pPr>
        <w:rPr>
          <w:rFonts w:cs="Arial"/>
          <w:sz w:val="22"/>
          <w:szCs w:val="22"/>
        </w:rPr>
      </w:pPr>
      <w:r w:rsidRPr="00CC061C">
        <w:rPr>
          <w:rFonts w:cs="Arial"/>
          <w:sz w:val="22"/>
          <w:szCs w:val="22"/>
        </w:rPr>
        <w:t>During the review period, the main trends in risk exposure have been driven by:</w:t>
      </w:r>
    </w:p>
    <w:p w14:paraId="3C5CF6C8" w14:textId="73E6899B" w:rsidR="00B74143" w:rsidRPr="00CC061C" w:rsidRDefault="00E63942" w:rsidP="00E63942">
      <w:pPr>
        <w:pStyle w:val="ListParagraph"/>
        <w:numPr>
          <w:ilvl w:val="0"/>
          <w:numId w:val="13"/>
        </w:numPr>
        <w:rPr>
          <w:sz w:val="22"/>
          <w:szCs w:val="22"/>
        </w:rPr>
      </w:pPr>
      <w:r w:rsidRPr="00CC061C">
        <w:rPr>
          <w:rFonts w:cs="Arial"/>
          <w:sz w:val="22"/>
          <w:szCs w:val="22"/>
        </w:rPr>
        <w:t>Delays in the programme</w:t>
      </w:r>
      <w:r w:rsidR="005345E4" w:rsidRPr="00CC061C">
        <w:rPr>
          <w:rFonts w:cs="Arial"/>
          <w:sz w:val="22"/>
          <w:szCs w:val="22"/>
        </w:rPr>
        <w:t xml:space="preserve"> start</w:t>
      </w:r>
      <w:r w:rsidR="004F24EC" w:rsidRPr="00CC061C">
        <w:rPr>
          <w:rFonts w:cs="Arial"/>
          <w:sz w:val="22"/>
          <w:szCs w:val="22"/>
        </w:rPr>
        <w:t xml:space="preserve"> with a reduced implementation timeframe and budget,</w:t>
      </w:r>
      <w:r w:rsidR="005345E4" w:rsidRPr="00CC061C">
        <w:rPr>
          <w:rFonts w:cs="Arial"/>
          <w:sz w:val="22"/>
          <w:szCs w:val="22"/>
        </w:rPr>
        <w:t xml:space="preserve"> resulting from</w:t>
      </w:r>
      <w:r w:rsidR="00945D62" w:rsidRPr="00CC061C">
        <w:rPr>
          <w:rFonts w:cs="Arial"/>
          <w:sz w:val="22"/>
          <w:szCs w:val="22"/>
        </w:rPr>
        <w:t xml:space="preserve"> the </w:t>
      </w:r>
      <w:r w:rsidR="004A7D6D" w:rsidRPr="00CC061C">
        <w:rPr>
          <w:rFonts w:cs="Arial"/>
          <w:sz w:val="22"/>
          <w:szCs w:val="22"/>
        </w:rPr>
        <w:t xml:space="preserve">pause </w:t>
      </w:r>
      <w:r w:rsidR="00EB2483" w:rsidRPr="00CC061C">
        <w:rPr>
          <w:rFonts w:cs="Arial"/>
          <w:sz w:val="22"/>
          <w:szCs w:val="22"/>
        </w:rPr>
        <w:t>in all new pro</w:t>
      </w:r>
      <w:r w:rsidR="004F24EC" w:rsidRPr="00CC061C">
        <w:rPr>
          <w:rFonts w:cs="Arial"/>
          <w:sz w:val="22"/>
          <w:szCs w:val="22"/>
        </w:rPr>
        <w:t xml:space="preserve">grammes </w:t>
      </w:r>
      <w:r w:rsidR="004A7D6D" w:rsidRPr="00CC061C">
        <w:rPr>
          <w:rFonts w:cs="Arial"/>
          <w:sz w:val="22"/>
          <w:szCs w:val="22"/>
        </w:rPr>
        <w:t>following the announcement of</w:t>
      </w:r>
      <w:r w:rsidR="005345E4" w:rsidRPr="00CC061C">
        <w:rPr>
          <w:rFonts w:cs="Arial"/>
          <w:sz w:val="22"/>
          <w:szCs w:val="22"/>
        </w:rPr>
        <w:t xml:space="preserve"> wider UK ODA budget reductions </w:t>
      </w:r>
      <w:r w:rsidR="004A7D6D" w:rsidRPr="00CC061C">
        <w:rPr>
          <w:rFonts w:cs="Arial"/>
          <w:sz w:val="22"/>
          <w:szCs w:val="22"/>
        </w:rPr>
        <w:t xml:space="preserve">in February 2025 </w:t>
      </w:r>
      <w:r w:rsidR="00B61D40" w:rsidRPr="00CC061C">
        <w:rPr>
          <w:rFonts w:cs="Arial"/>
          <w:sz w:val="22"/>
          <w:szCs w:val="22"/>
        </w:rPr>
        <w:t xml:space="preserve">and associated funding </w:t>
      </w:r>
      <w:r w:rsidR="004B5DAB" w:rsidRPr="00CC061C">
        <w:rPr>
          <w:rFonts w:cs="Arial"/>
          <w:sz w:val="22"/>
          <w:szCs w:val="22"/>
        </w:rPr>
        <w:t xml:space="preserve">and timeframe </w:t>
      </w:r>
      <w:proofErr w:type="gramStart"/>
      <w:r w:rsidR="004B5DAB" w:rsidRPr="00CC061C">
        <w:rPr>
          <w:rFonts w:cs="Arial"/>
          <w:sz w:val="22"/>
          <w:szCs w:val="22"/>
        </w:rPr>
        <w:t>changes</w:t>
      </w:r>
      <w:r w:rsidR="008C12D7" w:rsidRPr="00CC061C">
        <w:rPr>
          <w:rFonts w:cs="Arial"/>
          <w:sz w:val="22"/>
          <w:szCs w:val="22"/>
        </w:rPr>
        <w:t>;</w:t>
      </w:r>
      <w:proofErr w:type="gramEnd"/>
    </w:p>
    <w:p w14:paraId="661529D6" w14:textId="25217FD9" w:rsidR="008C12D7" w:rsidRPr="00CC061C" w:rsidRDefault="008C12D7" w:rsidP="00E63942">
      <w:pPr>
        <w:pStyle w:val="ListParagraph"/>
        <w:numPr>
          <w:ilvl w:val="0"/>
          <w:numId w:val="13"/>
        </w:numPr>
        <w:rPr>
          <w:sz w:val="22"/>
          <w:szCs w:val="22"/>
        </w:rPr>
      </w:pPr>
      <w:r w:rsidRPr="00CC061C">
        <w:rPr>
          <w:rFonts w:cs="Arial"/>
          <w:sz w:val="22"/>
          <w:szCs w:val="22"/>
        </w:rPr>
        <w:t>The adaptation required for the UNFCCC Secretariat to operate within a UK ODA programme management and results-based reporting framework</w:t>
      </w:r>
      <w:r w:rsidR="00B07AB4" w:rsidRPr="00CC061C">
        <w:rPr>
          <w:rFonts w:cs="Arial"/>
          <w:sz w:val="22"/>
          <w:szCs w:val="22"/>
        </w:rPr>
        <w:t xml:space="preserve"> (see below)</w:t>
      </w:r>
      <w:r w:rsidR="00716344" w:rsidRPr="00CC061C">
        <w:rPr>
          <w:rFonts w:cs="Arial"/>
          <w:sz w:val="22"/>
          <w:szCs w:val="22"/>
        </w:rPr>
        <w:t>; and</w:t>
      </w:r>
    </w:p>
    <w:p w14:paraId="6567C9AB" w14:textId="686D2914" w:rsidR="00716344" w:rsidRPr="00CC061C" w:rsidRDefault="00716344" w:rsidP="00E63942">
      <w:pPr>
        <w:pStyle w:val="ListParagraph"/>
        <w:numPr>
          <w:ilvl w:val="0"/>
          <w:numId w:val="13"/>
        </w:numPr>
        <w:rPr>
          <w:sz w:val="22"/>
          <w:szCs w:val="22"/>
        </w:rPr>
      </w:pPr>
      <w:r w:rsidRPr="00CC061C">
        <w:rPr>
          <w:rFonts w:cs="Arial"/>
          <w:sz w:val="22"/>
          <w:szCs w:val="22"/>
        </w:rPr>
        <w:t xml:space="preserve">Dependencies on </w:t>
      </w:r>
      <w:r w:rsidR="004B5DAB" w:rsidRPr="00CC061C">
        <w:rPr>
          <w:rFonts w:cs="Arial"/>
          <w:sz w:val="22"/>
          <w:szCs w:val="22"/>
        </w:rPr>
        <w:t xml:space="preserve">actions by developing country Parties </w:t>
      </w:r>
      <w:r w:rsidRPr="00CC061C">
        <w:rPr>
          <w:rFonts w:cs="Arial"/>
          <w:sz w:val="22"/>
          <w:szCs w:val="22"/>
        </w:rPr>
        <w:t xml:space="preserve">and reporting cycles that are outside the programme’s direct control. </w:t>
      </w:r>
    </w:p>
    <w:p w14:paraId="254AFC00" w14:textId="0DD5AFCF" w:rsidR="00985BD7" w:rsidRPr="00CC061C" w:rsidRDefault="00985BD7" w:rsidP="00985BD7">
      <w:pPr>
        <w:rPr>
          <w:sz w:val="22"/>
          <w:szCs w:val="22"/>
        </w:rPr>
      </w:pPr>
      <w:r w:rsidRPr="00CC061C">
        <w:rPr>
          <w:sz w:val="22"/>
          <w:szCs w:val="22"/>
        </w:rPr>
        <w:t>The UNFCCC does not typically</w:t>
      </w:r>
      <w:r w:rsidR="00E85092" w:rsidRPr="00CC061C">
        <w:rPr>
          <w:sz w:val="22"/>
          <w:szCs w:val="22"/>
        </w:rPr>
        <w:t xml:space="preserve"> act as a delivery partner for a single</w:t>
      </w:r>
      <w:r w:rsidR="00266F71" w:rsidRPr="00CC061C">
        <w:rPr>
          <w:sz w:val="22"/>
          <w:szCs w:val="22"/>
        </w:rPr>
        <w:t xml:space="preserve"> </w:t>
      </w:r>
      <w:r w:rsidR="00E85092" w:rsidRPr="00CC061C">
        <w:rPr>
          <w:sz w:val="22"/>
          <w:szCs w:val="22"/>
        </w:rPr>
        <w:t>donor</w:t>
      </w:r>
      <w:r w:rsidR="00266F71" w:rsidRPr="00CC061C">
        <w:rPr>
          <w:sz w:val="22"/>
          <w:szCs w:val="22"/>
        </w:rPr>
        <w:t>-managed programme and is instead</w:t>
      </w:r>
      <w:r w:rsidR="00522B52" w:rsidRPr="00CC061C">
        <w:rPr>
          <w:sz w:val="22"/>
          <w:szCs w:val="22"/>
        </w:rPr>
        <w:t xml:space="preserve"> mandated collectively by Parties of the Convention. As a result, UK requirements for granular output level reporting and </w:t>
      </w:r>
      <w:proofErr w:type="spellStart"/>
      <w:r w:rsidR="00522B52" w:rsidRPr="00CC061C">
        <w:rPr>
          <w:sz w:val="22"/>
          <w:szCs w:val="22"/>
        </w:rPr>
        <w:t>logframe</w:t>
      </w:r>
      <w:proofErr w:type="spellEnd"/>
      <w:r w:rsidR="00522B52" w:rsidRPr="00CC061C">
        <w:rPr>
          <w:sz w:val="22"/>
          <w:szCs w:val="22"/>
        </w:rPr>
        <w:t>-based performance management differ</w:t>
      </w:r>
      <w:r w:rsidR="00675FE2" w:rsidRPr="00CC061C">
        <w:rPr>
          <w:sz w:val="22"/>
          <w:szCs w:val="22"/>
        </w:rPr>
        <w:t xml:space="preserve"> from the Secretariat’s usual </w:t>
      </w:r>
      <w:r w:rsidR="00A939BB" w:rsidRPr="00CC061C">
        <w:rPr>
          <w:sz w:val="22"/>
          <w:szCs w:val="22"/>
        </w:rPr>
        <w:t xml:space="preserve">mandate-based </w:t>
      </w:r>
      <w:r w:rsidR="00B402C1" w:rsidRPr="00CC061C">
        <w:rPr>
          <w:sz w:val="22"/>
          <w:szCs w:val="22"/>
        </w:rPr>
        <w:t xml:space="preserve">annual </w:t>
      </w:r>
      <w:r w:rsidR="00A939BB" w:rsidRPr="00CC061C">
        <w:rPr>
          <w:sz w:val="22"/>
          <w:szCs w:val="22"/>
        </w:rPr>
        <w:t xml:space="preserve">reporting </w:t>
      </w:r>
      <w:r w:rsidR="00B07AB4" w:rsidRPr="00CC061C">
        <w:rPr>
          <w:sz w:val="22"/>
          <w:szCs w:val="22"/>
        </w:rPr>
        <w:t xml:space="preserve">to the Conference of the Parties </w:t>
      </w:r>
      <w:r w:rsidR="00B402C1" w:rsidRPr="00CC061C">
        <w:rPr>
          <w:sz w:val="22"/>
          <w:szCs w:val="22"/>
        </w:rPr>
        <w:t>(COP) to the UNFCCC</w:t>
      </w:r>
      <w:r w:rsidR="00401CD0" w:rsidRPr="00CC061C">
        <w:rPr>
          <w:sz w:val="22"/>
          <w:szCs w:val="22"/>
        </w:rPr>
        <w:t>. The UNFCCC Secretariat is subject to its own established financial controls and annual audits, which provide assurance on fiduciary risk</w:t>
      </w:r>
      <w:r w:rsidR="00FD6305" w:rsidRPr="00CC061C">
        <w:rPr>
          <w:sz w:val="22"/>
          <w:szCs w:val="22"/>
        </w:rPr>
        <w:t xml:space="preserve">. </w:t>
      </w:r>
      <w:r w:rsidR="00D4481C" w:rsidRPr="00CC061C">
        <w:rPr>
          <w:sz w:val="22"/>
          <w:szCs w:val="22"/>
        </w:rPr>
        <w:t>These differences were identified and discussed collaboratively during the programme design and Business Case phase, with shared understanding between DESNZ and the UNFCCC Secretariat on reporting expectations and proportionality.</w:t>
      </w:r>
    </w:p>
    <w:p w14:paraId="283A72D3" w14:textId="77777777" w:rsidR="00B74143" w:rsidRDefault="00B74143" w:rsidP="00B74143">
      <w:pPr>
        <w:spacing w:before="40" w:after="40"/>
        <w:rPr>
          <w:rFonts w:cs="Arial"/>
          <w:sz w:val="20"/>
          <w:szCs w:val="20"/>
        </w:rPr>
      </w:pPr>
    </w:p>
    <w:p w14:paraId="6553C2DF" w14:textId="77777777" w:rsidR="00B74143" w:rsidRPr="00CC061C" w:rsidRDefault="00B74143" w:rsidP="00B74143">
      <w:pPr>
        <w:contextualSpacing/>
        <w:rPr>
          <w:rFonts w:cs="Arial"/>
          <w:b/>
          <w:bCs/>
          <w:sz w:val="22"/>
          <w:szCs w:val="22"/>
        </w:rPr>
      </w:pPr>
      <w:r w:rsidRPr="00CC061C">
        <w:rPr>
          <w:rFonts w:cs="Arial"/>
          <w:b/>
          <w:bCs/>
          <w:sz w:val="22"/>
          <w:szCs w:val="22"/>
        </w:rPr>
        <w:t>Current risks</w:t>
      </w:r>
    </w:p>
    <w:p w14:paraId="7CD7D9F1" w14:textId="77777777" w:rsidR="00B74143" w:rsidRPr="00CC061C" w:rsidRDefault="00B74143" w:rsidP="00B74143">
      <w:pPr>
        <w:contextualSpacing/>
        <w:rPr>
          <w:rFonts w:cs="Arial"/>
          <w:i/>
          <w:iCs/>
          <w:sz w:val="22"/>
          <w:szCs w:val="22"/>
        </w:rPr>
      </w:pPr>
    </w:p>
    <w:tbl>
      <w:tblPr>
        <w:tblStyle w:val="TableGrid"/>
        <w:tblW w:w="0" w:type="auto"/>
        <w:jc w:val="center"/>
        <w:tblLook w:val="04A0" w:firstRow="1" w:lastRow="0" w:firstColumn="1" w:lastColumn="0" w:noHBand="0" w:noVBand="1"/>
      </w:tblPr>
      <w:tblGrid>
        <w:gridCol w:w="3028"/>
        <w:gridCol w:w="3022"/>
        <w:gridCol w:w="2966"/>
      </w:tblGrid>
      <w:tr w:rsidR="00B74143" w:rsidRPr="00CC061C" w14:paraId="44DB7905" w14:textId="77777777" w:rsidTr="00D36E2D">
        <w:trPr>
          <w:jc w:val="center"/>
        </w:trPr>
        <w:tc>
          <w:tcPr>
            <w:tcW w:w="3028" w:type="dxa"/>
            <w:shd w:val="clear" w:color="auto" w:fill="D9E2F3" w:themeFill="accent1" w:themeFillTint="33"/>
          </w:tcPr>
          <w:p w14:paraId="7FD0E27D" w14:textId="77777777" w:rsidR="00B74143" w:rsidRPr="00CC061C" w:rsidRDefault="00B74143" w:rsidP="00A712B0">
            <w:pPr>
              <w:contextualSpacing/>
              <w:rPr>
                <w:rFonts w:cs="Arial"/>
                <w:b/>
                <w:bCs/>
                <w:sz w:val="22"/>
                <w:szCs w:val="22"/>
              </w:rPr>
            </w:pPr>
            <w:r w:rsidRPr="00CC061C">
              <w:rPr>
                <w:rFonts w:cs="Arial"/>
                <w:b/>
                <w:bCs/>
                <w:sz w:val="22"/>
                <w:szCs w:val="22"/>
              </w:rPr>
              <w:t xml:space="preserve">Risk description </w:t>
            </w:r>
          </w:p>
        </w:tc>
        <w:tc>
          <w:tcPr>
            <w:tcW w:w="3022" w:type="dxa"/>
            <w:shd w:val="clear" w:color="auto" w:fill="D9E2F3" w:themeFill="accent1" w:themeFillTint="33"/>
          </w:tcPr>
          <w:p w14:paraId="0B8DE401" w14:textId="77777777" w:rsidR="00B74143" w:rsidRPr="00CC061C" w:rsidRDefault="00B74143" w:rsidP="00A712B0">
            <w:pPr>
              <w:contextualSpacing/>
              <w:rPr>
                <w:rFonts w:cs="Arial"/>
                <w:b/>
                <w:bCs/>
                <w:sz w:val="22"/>
                <w:szCs w:val="22"/>
              </w:rPr>
            </w:pPr>
            <w:r w:rsidRPr="00CC061C">
              <w:rPr>
                <w:rFonts w:cs="Arial"/>
                <w:b/>
                <w:bCs/>
                <w:sz w:val="22"/>
                <w:szCs w:val="22"/>
              </w:rPr>
              <w:t xml:space="preserve">Mitigation strategy </w:t>
            </w:r>
          </w:p>
        </w:tc>
        <w:tc>
          <w:tcPr>
            <w:tcW w:w="2966" w:type="dxa"/>
            <w:shd w:val="clear" w:color="auto" w:fill="D9E2F3" w:themeFill="accent1" w:themeFillTint="33"/>
          </w:tcPr>
          <w:p w14:paraId="5D70A0F3" w14:textId="77777777" w:rsidR="00B74143" w:rsidRPr="00CC061C" w:rsidRDefault="00B74143" w:rsidP="00A712B0">
            <w:pPr>
              <w:contextualSpacing/>
              <w:rPr>
                <w:rFonts w:cs="Arial"/>
                <w:b/>
                <w:bCs/>
                <w:sz w:val="22"/>
                <w:szCs w:val="22"/>
              </w:rPr>
            </w:pPr>
            <w:r w:rsidRPr="00CC061C">
              <w:rPr>
                <w:rFonts w:cs="Arial"/>
                <w:b/>
                <w:bCs/>
                <w:sz w:val="22"/>
                <w:szCs w:val="22"/>
              </w:rPr>
              <w:t>Residual Risk rating</w:t>
            </w:r>
          </w:p>
        </w:tc>
      </w:tr>
      <w:tr w:rsidR="00B74143" w:rsidRPr="00CC061C" w14:paraId="38C3D524" w14:textId="77777777" w:rsidTr="00D36E2D">
        <w:trPr>
          <w:jc w:val="center"/>
        </w:trPr>
        <w:tc>
          <w:tcPr>
            <w:tcW w:w="3028" w:type="dxa"/>
          </w:tcPr>
          <w:p w14:paraId="32BEA07D" w14:textId="22DC82FD" w:rsidR="00B74143" w:rsidRPr="00CC061C" w:rsidRDefault="004B53F7" w:rsidP="00A712B0">
            <w:pPr>
              <w:contextualSpacing/>
              <w:rPr>
                <w:rFonts w:cs="Arial"/>
                <w:sz w:val="22"/>
                <w:szCs w:val="22"/>
              </w:rPr>
            </w:pPr>
            <w:r w:rsidRPr="00CC061C">
              <w:rPr>
                <w:rFonts w:cs="Arial"/>
                <w:b/>
                <w:bCs/>
                <w:sz w:val="22"/>
                <w:szCs w:val="22"/>
              </w:rPr>
              <w:t xml:space="preserve">Funding uncertainty </w:t>
            </w:r>
            <w:r w:rsidR="00CF23BD" w:rsidRPr="00CC061C">
              <w:rPr>
                <w:rFonts w:cs="Arial"/>
                <w:b/>
                <w:bCs/>
                <w:sz w:val="22"/>
                <w:szCs w:val="22"/>
              </w:rPr>
              <w:t>due to annual UK ODA</w:t>
            </w:r>
            <w:r w:rsidR="004369ED" w:rsidRPr="00CC061C">
              <w:rPr>
                <w:rFonts w:cs="Arial"/>
                <w:b/>
                <w:bCs/>
                <w:sz w:val="22"/>
                <w:szCs w:val="22"/>
              </w:rPr>
              <w:t xml:space="preserve"> budgeting</w:t>
            </w:r>
            <w:r w:rsidR="00126203" w:rsidRPr="00CC061C">
              <w:rPr>
                <w:rFonts w:cs="Arial"/>
                <w:b/>
                <w:bCs/>
                <w:sz w:val="22"/>
                <w:szCs w:val="22"/>
              </w:rPr>
              <w:t xml:space="preserve"> </w:t>
            </w:r>
            <w:r w:rsidR="005F2CB3" w:rsidRPr="00CC061C">
              <w:rPr>
                <w:rFonts w:cs="Arial"/>
                <w:sz w:val="22"/>
                <w:szCs w:val="22"/>
              </w:rPr>
              <w:t>limits</w:t>
            </w:r>
            <w:r w:rsidR="00126203" w:rsidRPr="00CC061C">
              <w:rPr>
                <w:rFonts w:cs="Arial"/>
                <w:sz w:val="22"/>
                <w:szCs w:val="22"/>
              </w:rPr>
              <w:t xml:space="preserve"> UNFCCC’s ability to plan staffing, budgets and multi-year activities</w:t>
            </w:r>
            <w:r w:rsidR="00681DC4" w:rsidRPr="00CC061C">
              <w:rPr>
                <w:rFonts w:cs="Arial"/>
                <w:sz w:val="22"/>
                <w:szCs w:val="22"/>
              </w:rPr>
              <w:t>, increasing risk of inefficiencies and loss of continuity.</w:t>
            </w:r>
          </w:p>
        </w:tc>
        <w:tc>
          <w:tcPr>
            <w:tcW w:w="3022" w:type="dxa"/>
          </w:tcPr>
          <w:p w14:paraId="561FB5EC" w14:textId="02641F4A" w:rsidR="00B74143" w:rsidRPr="00CC061C" w:rsidRDefault="005F2CB3" w:rsidP="00A712B0">
            <w:pPr>
              <w:contextualSpacing/>
              <w:rPr>
                <w:rFonts w:cs="Arial"/>
                <w:sz w:val="22"/>
                <w:szCs w:val="22"/>
              </w:rPr>
            </w:pPr>
            <w:r w:rsidRPr="00CC061C">
              <w:rPr>
                <w:rFonts w:cs="Arial"/>
                <w:sz w:val="22"/>
                <w:szCs w:val="22"/>
              </w:rPr>
              <w:t>On-going</w:t>
            </w:r>
            <w:r w:rsidR="009928FF" w:rsidRPr="00CC061C">
              <w:rPr>
                <w:rFonts w:cs="Arial"/>
                <w:sz w:val="22"/>
                <w:szCs w:val="22"/>
              </w:rPr>
              <w:t xml:space="preserve"> UK-UNFCCC dialogue to provide as much forward visibility as possible;</w:t>
            </w:r>
            <w:r w:rsidR="001C07F3" w:rsidRPr="00CC061C">
              <w:rPr>
                <w:rFonts w:cs="Arial"/>
                <w:sz w:val="22"/>
                <w:szCs w:val="22"/>
              </w:rPr>
              <w:t xml:space="preserve"> use of upfront payments to enable delivery</w:t>
            </w:r>
            <w:r w:rsidR="005671A1" w:rsidRPr="00CC061C">
              <w:rPr>
                <w:rFonts w:cs="Arial"/>
                <w:sz w:val="22"/>
                <w:szCs w:val="22"/>
              </w:rPr>
              <w:t>;</w:t>
            </w:r>
            <w:r w:rsidR="00DB6838" w:rsidRPr="00CC061C">
              <w:rPr>
                <w:rFonts w:cs="Arial"/>
                <w:sz w:val="22"/>
                <w:szCs w:val="22"/>
              </w:rPr>
              <w:t xml:space="preserve"> continued engagement with co-donors to sustain core functions. </w:t>
            </w:r>
          </w:p>
        </w:tc>
        <w:tc>
          <w:tcPr>
            <w:tcW w:w="2966" w:type="dxa"/>
          </w:tcPr>
          <w:p w14:paraId="199308C3" w14:textId="371033DA" w:rsidR="00B74143" w:rsidRPr="00CC061C" w:rsidRDefault="00D36E2D" w:rsidP="00A712B0">
            <w:pPr>
              <w:contextualSpacing/>
              <w:rPr>
                <w:rFonts w:cs="Arial"/>
                <w:sz w:val="22"/>
                <w:szCs w:val="22"/>
              </w:rPr>
            </w:pPr>
            <w:r w:rsidRPr="00CC061C">
              <w:rPr>
                <w:rFonts w:cs="Arial"/>
                <w:sz w:val="22"/>
                <w:szCs w:val="22"/>
              </w:rPr>
              <w:t>Moderate</w:t>
            </w:r>
          </w:p>
        </w:tc>
      </w:tr>
      <w:tr w:rsidR="00F44AED" w:rsidRPr="00CC061C" w14:paraId="1731B513" w14:textId="77777777" w:rsidTr="00D36E2D">
        <w:trPr>
          <w:jc w:val="center"/>
        </w:trPr>
        <w:tc>
          <w:tcPr>
            <w:tcW w:w="3028" w:type="dxa"/>
          </w:tcPr>
          <w:p w14:paraId="7CB84F47" w14:textId="09C6D4AD" w:rsidR="00F44AED" w:rsidRPr="00CC061C" w:rsidRDefault="000E057A" w:rsidP="00A712B0">
            <w:pPr>
              <w:contextualSpacing/>
              <w:rPr>
                <w:rFonts w:cs="Arial"/>
                <w:sz w:val="22"/>
                <w:szCs w:val="22"/>
              </w:rPr>
            </w:pPr>
            <w:r w:rsidRPr="00CC061C">
              <w:rPr>
                <w:rFonts w:cs="Arial"/>
                <w:b/>
                <w:bCs/>
                <w:sz w:val="22"/>
                <w:szCs w:val="22"/>
              </w:rPr>
              <w:t>Funding uncertainty may affect UNFCCC’s ability to retain specialist staff</w:t>
            </w:r>
            <w:r w:rsidRPr="00CC061C">
              <w:rPr>
                <w:rFonts w:cs="Arial"/>
                <w:sz w:val="22"/>
                <w:szCs w:val="22"/>
              </w:rPr>
              <w:t xml:space="preserve"> and plan</w:t>
            </w:r>
            <w:r w:rsidR="002639D4" w:rsidRPr="00CC061C">
              <w:rPr>
                <w:rFonts w:cs="Arial"/>
                <w:sz w:val="22"/>
                <w:szCs w:val="22"/>
              </w:rPr>
              <w:t xml:space="preserve"> multi-year activities. </w:t>
            </w:r>
          </w:p>
        </w:tc>
        <w:tc>
          <w:tcPr>
            <w:tcW w:w="3022" w:type="dxa"/>
          </w:tcPr>
          <w:p w14:paraId="45C6611C" w14:textId="18765B90" w:rsidR="00F44AED" w:rsidRPr="00CC061C" w:rsidRDefault="00F7028D" w:rsidP="00A712B0">
            <w:pPr>
              <w:contextualSpacing/>
              <w:rPr>
                <w:rFonts w:cs="Arial"/>
                <w:sz w:val="22"/>
                <w:szCs w:val="22"/>
              </w:rPr>
            </w:pPr>
            <w:r w:rsidRPr="00CC061C">
              <w:rPr>
                <w:rFonts w:cs="Arial"/>
                <w:sz w:val="22"/>
                <w:szCs w:val="22"/>
              </w:rPr>
              <w:t xml:space="preserve">The UNFCCC has mitigated staffing </w:t>
            </w:r>
            <w:r w:rsidR="004555F6" w:rsidRPr="00CC061C">
              <w:rPr>
                <w:rFonts w:cs="Arial"/>
                <w:sz w:val="22"/>
                <w:szCs w:val="22"/>
              </w:rPr>
              <w:t>continuity risks</w:t>
            </w:r>
            <w:r w:rsidR="00051919" w:rsidRPr="00CC061C">
              <w:rPr>
                <w:rFonts w:cs="Arial"/>
                <w:sz w:val="22"/>
                <w:szCs w:val="22"/>
              </w:rPr>
              <w:t xml:space="preserve"> by using its wider AFOLU Unit structure</w:t>
            </w:r>
            <w:r w:rsidR="00CF13BC" w:rsidRPr="00CC061C">
              <w:rPr>
                <w:rFonts w:cs="Arial"/>
                <w:sz w:val="22"/>
                <w:szCs w:val="22"/>
              </w:rPr>
              <w:t xml:space="preserve"> to retain and redeploy staff</w:t>
            </w:r>
            <w:r w:rsidR="00C65615" w:rsidRPr="00CC061C">
              <w:rPr>
                <w:rFonts w:cs="Arial"/>
                <w:sz w:val="22"/>
                <w:szCs w:val="22"/>
              </w:rPr>
              <w:t xml:space="preserve"> across related workstreams</w:t>
            </w:r>
            <w:r w:rsidR="00A12DA9" w:rsidRPr="00CC061C">
              <w:rPr>
                <w:rFonts w:cs="Arial"/>
                <w:sz w:val="22"/>
                <w:szCs w:val="22"/>
              </w:rPr>
              <w:t xml:space="preserve"> where possible,</w:t>
            </w:r>
            <w:r w:rsidR="0067357A" w:rsidRPr="00CC061C">
              <w:rPr>
                <w:rFonts w:cs="Arial"/>
                <w:sz w:val="22"/>
                <w:szCs w:val="22"/>
              </w:rPr>
              <w:t xml:space="preserve"> providing greater stability</w:t>
            </w:r>
            <w:r w:rsidR="00DF0547" w:rsidRPr="00CC061C">
              <w:rPr>
                <w:rFonts w:cs="Arial"/>
                <w:sz w:val="22"/>
                <w:szCs w:val="22"/>
              </w:rPr>
              <w:t xml:space="preserve"> despite annual funding cycles</w:t>
            </w:r>
            <w:r w:rsidR="00BF7596" w:rsidRPr="00CC061C">
              <w:rPr>
                <w:rFonts w:cs="Arial"/>
                <w:sz w:val="22"/>
                <w:szCs w:val="22"/>
              </w:rPr>
              <w:t>. Continued UK-UNFCCC dialogue aims to provide as much</w:t>
            </w:r>
            <w:r w:rsidR="00921A1F" w:rsidRPr="00CC061C">
              <w:rPr>
                <w:rFonts w:cs="Arial"/>
                <w:sz w:val="22"/>
                <w:szCs w:val="22"/>
              </w:rPr>
              <w:t xml:space="preserve"> forward visibility as possible. </w:t>
            </w:r>
            <w:r w:rsidRPr="00CC061C">
              <w:rPr>
                <w:rFonts w:cs="Arial"/>
                <w:sz w:val="22"/>
                <w:szCs w:val="22"/>
              </w:rPr>
              <w:t xml:space="preserve"> </w:t>
            </w:r>
          </w:p>
        </w:tc>
        <w:tc>
          <w:tcPr>
            <w:tcW w:w="2966" w:type="dxa"/>
          </w:tcPr>
          <w:p w14:paraId="668854FF" w14:textId="6441F98C" w:rsidR="00F44AED" w:rsidRPr="00CC061C" w:rsidRDefault="002B61AC" w:rsidP="00A712B0">
            <w:pPr>
              <w:contextualSpacing/>
              <w:rPr>
                <w:rFonts w:cs="Arial"/>
                <w:sz w:val="22"/>
                <w:szCs w:val="22"/>
              </w:rPr>
            </w:pPr>
            <w:r w:rsidRPr="00CC061C">
              <w:rPr>
                <w:rFonts w:cs="Arial"/>
                <w:sz w:val="22"/>
                <w:szCs w:val="22"/>
              </w:rPr>
              <w:t>Moderate</w:t>
            </w:r>
          </w:p>
        </w:tc>
      </w:tr>
      <w:tr w:rsidR="00D36E2D" w:rsidRPr="00CC061C" w14:paraId="515DA44E" w14:textId="77777777" w:rsidTr="00D36E2D">
        <w:trPr>
          <w:jc w:val="center"/>
        </w:trPr>
        <w:tc>
          <w:tcPr>
            <w:tcW w:w="3028" w:type="dxa"/>
          </w:tcPr>
          <w:p w14:paraId="3A3A3E49" w14:textId="3376E0F0" w:rsidR="00D36E2D" w:rsidRPr="00CC061C" w:rsidRDefault="00143F86" w:rsidP="00A712B0">
            <w:pPr>
              <w:contextualSpacing/>
              <w:rPr>
                <w:rFonts w:cs="Arial"/>
                <w:sz w:val="22"/>
                <w:szCs w:val="22"/>
              </w:rPr>
            </w:pPr>
            <w:r w:rsidRPr="00CC061C">
              <w:rPr>
                <w:rFonts w:cs="Arial"/>
                <w:b/>
                <w:bCs/>
                <w:sz w:val="22"/>
                <w:szCs w:val="22"/>
              </w:rPr>
              <w:lastRenderedPageBreak/>
              <w:t xml:space="preserve">Differences between UK UNFCCC institutional reporting systems and UK </w:t>
            </w:r>
            <w:proofErr w:type="spellStart"/>
            <w:r w:rsidRPr="00CC061C">
              <w:rPr>
                <w:rFonts w:cs="Arial"/>
                <w:b/>
                <w:bCs/>
                <w:sz w:val="22"/>
                <w:szCs w:val="22"/>
              </w:rPr>
              <w:t>logframe</w:t>
            </w:r>
            <w:proofErr w:type="spellEnd"/>
            <w:r w:rsidRPr="00CC061C">
              <w:rPr>
                <w:rFonts w:cs="Arial"/>
                <w:b/>
                <w:bCs/>
                <w:sz w:val="22"/>
                <w:szCs w:val="22"/>
              </w:rPr>
              <w:t>-based reporting requirements</w:t>
            </w:r>
            <w:r w:rsidR="00855E08" w:rsidRPr="00CC061C">
              <w:rPr>
                <w:rFonts w:cs="Arial"/>
                <w:sz w:val="22"/>
                <w:szCs w:val="22"/>
              </w:rPr>
              <w:t xml:space="preserve"> create challenges in aligning indicators, milestones and reportin</w:t>
            </w:r>
            <w:r w:rsidR="007C3BDF" w:rsidRPr="00CC061C">
              <w:rPr>
                <w:rFonts w:cs="Arial"/>
                <w:sz w:val="22"/>
                <w:szCs w:val="22"/>
              </w:rPr>
              <w:t xml:space="preserve">g timeframes, particularly </w:t>
            </w:r>
            <w:r w:rsidR="00111B50" w:rsidRPr="00CC061C">
              <w:rPr>
                <w:rFonts w:cs="Arial"/>
                <w:sz w:val="22"/>
                <w:szCs w:val="22"/>
              </w:rPr>
              <w:t>where UNFCCC delivery is structured around Party submissions and UNFCCC reporting cycles</w:t>
            </w:r>
            <w:r w:rsidR="00040661" w:rsidRPr="00CC061C">
              <w:rPr>
                <w:rFonts w:cs="Arial"/>
                <w:sz w:val="22"/>
                <w:szCs w:val="22"/>
              </w:rPr>
              <w:t xml:space="preserve">/audits. </w:t>
            </w:r>
          </w:p>
        </w:tc>
        <w:tc>
          <w:tcPr>
            <w:tcW w:w="3022" w:type="dxa"/>
          </w:tcPr>
          <w:p w14:paraId="67744FAF" w14:textId="244D93D0" w:rsidR="00D36E2D" w:rsidRPr="00CC061C" w:rsidRDefault="00A65B9A" w:rsidP="00A712B0">
            <w:pPr>
              <w:contextualSpacing/>
              <w:rPr>
                <w:rFonts w:cs="Arial"/>
                <w:sz w:val="22"/>
                <w:szCs w:val="22"/>
              </w:rPr>
            </w:pPr>
            <w:r w:rsidRPr="00CC061C">
              <w:rPr>
                <w:rFonts w:cs="Arial"/>
                <w:sz w:val="22"/>
                <w:szCs w:val="22"/>
              </w:rPr>
              <w:t>Highly</w:t>
            </w:r>
            <w:r w:rsidR="003B2C3D" w:rsidRPr="00CC061C">
              <w:rPr>
                <w:rFonts w:cs="Arial"/>
                <w:sz w:val="22"/>
                <w:szCs w:val="22"/>
              </w:rPr>
              <w:t xml:space="preserve"> consultative programme design</w:t>
            </w:r>
            <w:r w:rsidR="00ED425B" w:rsidRPr="00CC061C">
              <w:rPr>
                <w:rFonts w:cs="Arial"/>
                <w:sz w:val="22"/>
                <w:szCs w:val="22"/>
              </w:rPr>
              <w:t xml:space="preserve"> and inception phase</w:t>
            </w:r>
            <w:r w:rsidR="002F1DEF" w:rsidRPr="00CC061C">
              <w:rPr>
                <w:rFonts w:cs="Arial"/>
                <w:sz w:val="22"/>
                <w:szCs w:val="22"/>
              </w:rPr>
              <w:t xml:space="preserve">; multiple iterations of the </w:t>
            </w:r>
            <w:proofErr w:type="spellStart"/>
            <w:r w:rsidR="002F1DEF" w:rsidRPr="00CC061C">
              <w:rPr>
                <w:rFonts w:cs="Arial"/>
                <w:sz w:val="22"/>
                <w:szCs w:val="22"/>
              </w:rPr>
              <w:t>logframe</w:t>
            </w:r>
            <w:proofErr w:type="spellEnd"/>
            <w:r w:rsidR="00575D31" w:rsidRPr="00CC061C">
              <w:rPr>
                <w:rFonts w:cs="Arial"/>
                <w:sz w:val="22"/>
                <w:szCs w:val="22"/>
              </w:rPr>
              <w:t>; ongoing dialogue between DESNZ and UNFCCC</w:t>
            </w:r>
            <w:r w:rsidR="0091659C" w:rsidRPr="00CC061C">
              <w:rPr>
                <w:rFonts w:cs="Arial"/>
                <w:sz w:val="22"/>
                <w:szCs w:val="22"/>
              </w:rPr>
              <w:t xml:space="preserve"> to align</w:t>
            </w:r>
            <w:r w:rsidR="00360960" w:rsidRPr="00CC061C">
              <w:rPr>
                <w:rFonts w:cs="Arial"/>
                <w:sz w:val="22"/>
                <w:szCs w:val="22"/>
              </w:rPr>
              <w:t xml:space="preserve"> indicators and milestones with realistic delivery and reporting cycles. </w:t>
            </w:r>
            <w:r w:rsidR="00040872" w:rsidRPr="00CC061C">
              <w:rPr>
                <w:rFonts w:cs="Arial"/>
                <w:sz w:val="22"/>
                <w:szCs w:val="22"/>
              </w:rPr>
              <w:t xml:space="preserve"> </w:t>
            </w:r>
          </w:p>
        </w:tc>
        <w:tc>
          <w:tcPr>
            <w:tcW w:w="2966" w:type="dxa"/>
          </w:tcPr>
          <w:p w14:paraId="7421D7B8" w14:textId="2FFB8FF5" w:rsidR="00D36E2D" w:rsidRPr="00CC061C" w:rsidRDefault="00CF0CD5" w:rsidP="00A712B0">
            <w:pPr>
              <w:contextualSpacing/>
              <w:rPr>
                <w:rFonts w:cs="Arial"/>
                <w:sz w:val="22"/>
                <w:szCs w:val="22"/>
              </w:rPr>
            </w:pPr>
            <w:r w:rsidRPr="00CC061C">
              <w:rPr>
                <w:rFonts w:cs="Arial"/>
                <w:sz w:val="22"/>
                <w:szCs w:val="22"/>
              </w:rPr>
              <w:t>Minor</w:t>
            </w:r>
          </w:p>
        </w:tc>
      </w:tr>
      <w:tr w:rsidR="0088161A" w:rsidRPr="00CC061C" w14:paraId="1E0A2E32" w14:textId="77777777" w:rsidTr="00D36E2D">
        <w:trPr>
          <w:jc w:val="center"/>
        </w:trPr>
        <w:tc>
          <w:tcPr>
            <w:tcW w:w="3028" w:type="dxa"/>
          </w:tcPr>
          <w:p w14:paraId="4DCCC434" w14:textId="7ABF794C" w:rsidR="0088161A" w:rsidRPr="00CC061C" w:rsidRDefault="0088161A" w:rsidP="00A712B0">
            <w:pPr>
              <w:contextualSpacing/>
              <w:rPr>
                <w:rFonts w:cs="Arial"/>
                <w:sz w:val="22"/>
                <w:szCs w:val="22"/>
              </w:rPr>
            </w:pPr>
            <w:r w:rsidRPr="00CC061C">
              <w:rPr>
                <w:rFonts w:cs="Arial"/>
                <w:b/>
                <w:bCs/>
                <w:sz w:val="22"/>
                <w:szCs w:val="22"/>
              </w:rPr>
              <w:t>Dependence on Party submissions</w:t>
            </w:r>
            <w:r w:rsidRPr="00CC061C">
              <w:rPr>
                <w:rFonts w:cs="Arial"/>
                <w:sz w:val="22"/>
                <w:szCs w:val="22"/>
              </w:rPr>
              <w:t> (e.g. FRELs, REDD+ results, BTR annexes) means delivery volumes are influenced by external political, technical and reporting cycles beyond programme control.</w:t>
            </w:r>
          </w:p>
        </w:tc>
        <w:tc>
          <w:tcPr>
            <w:tcW w:w="3022" w:type="dxa"/>
          </w:tcPr>
          <w:p w14:paraId="438FEDA2" w14:textId="24FE7DB6" w:rsidR="0088161A" w:rsidRPr="00CC061C" w:rsidRDefault="00F46BE4" w:rsidP="00A712B0">
            <w:pPr>
              <w:contextualSpacing/>
              <w:rPr>
                <w:rFonts w:cs="Arial"/>
                <w:sz w:val="22"/>
                <w:szCs w:val="22"/>
              </w:rPr>
            </w:pPr>
            <w:r w:rsidRPr="00CC061C">
              <w:rPr>
                <w:rFonts w:cs="Arial"/>
                <w:sz w:val="22"/>
                <w:szCs w:val="22"/>
              </w:rPr>
              <w:t xml:space="preserve">Flexible </w:t>
            </w:r>
            <w:proofErr w:type="spellStart"/>
            <w:r w:rsidRPr="00CC061C">
              <w:rPr>
                <w:rFonts w:cs="Arial"/>
                <w:sz w:val="22"/>
                <w:szCs w:val="22"/>
              </w:rPr>
              <w:t>workplanning</w:t>
            </w:r>
            <w:proofErr w:type="spellEnd"/>
            <w:r w:rsidRPr="00CC061C">
              <w:rPr>
                <w:rFonts w:cs="Arial"/>
                <w:sz w:val="22"/>
                <w:szCs w:val="22"/>
              </w:rPr>
              <w:t>; maintaining readiness to respond to submissions as they arise; engagement through meetings and forums to better understand submission behaviour and timing.</w:t>
            </w:r>
          </w:p>
        </w:tc>
        <w:tc>
          <w:tcPr>
            <w:tcW w:w="2966" w:type="dxa"/>
          </w:tcPr>
          <w:p w14:paraId="039C4B87" w14:textId="5264FABF" w:rsidR="0088161A" w:rsidRPr="00CC061C" w:rsidRDefault="00486F02" w:rsidP="00A712B0">
            <w:pPr>
              <w:contextualSpacing/>
              <w:rPr>
                <w:rFonts w:cs="Arial"/>
                <w:sz w:val="22"/>
                <w:szCs w:val="22"/>
              </w:rPr>
            </w:pPr>
            <w:r w:rsidRPr="00CC061C">
              <w:rPr>
                <w:rFonts w:cs="Arial"/>
                <w:sz w:val="22"/>
                <w:szCs w:val="22"/>
              </w:rPr>
              <w:t>Moderate</w:t>
            </w:r>
          </w:p>
        </w:tc>
      </w:tr>
      <w:tr w:rsidR="00867DC1" w:rsidRPr="00CC061C" w14:paraId="49B3E4D5" w14:textId="77777777" w:rsidTr="00D36E2D">
        <w:trPr>
          <w:jc w:val="center"/>
        </w:trPr>
        <w:tc>
          <w:tcPr>
            <w:tcW w:w="3028" w:type="dxa"/>
          </w:tcPr>
          <w:p w14:paraId="574C7B53" w14:textId="117EACC1" w:rsidR="00867DC1" w:rsidRPr="00CC061C" w:rsidRDefault="00867DC1" w:rsidP="00A712B0">
            <w:pPr>
              <w:contextualSpacing/>
              <w:rPr>
                <w:rFonts w:cs="Arial"/>
                <w:b/>
                <w:bCs/>
                <w:sz w:val="22"/>
                <w:szCs w:val="22"/>
              </w:rPr>
            </w:pPr>
            <w:r w:rsidRPr="00CC061C">
              <w:rPr>
                <w:rFonts w:cs="Arial"/>
                <w:b/>
                <w:bCs/>
                <w:sz w:val="22"/>
                <w:szCs w:val="22"/>
              </w:rPr>
              <w:t>Institutional and legal constraints in host countries </w:t>
            </w:r>
            <w:r w:rsidRPr="00CC061C">
              <w:rPr>
                <w:rFonts w:cs="Arial"/>
                <w:sz w:val="22"/>
                <w:szCs w:val="22"/>
              </w:rPr>
              <w:t>(e.g. privileges and immunities, MoUs for in-country meetings) may delay planned workshops or technical sessions.</w:t>
            </w:r>
          </w:p>
        </w:tc>
        <w:tc>
          <w:tcPr>
            <w:tcW w:w="3022" w:type="dxa"/>
          </w:tcPr>
          <w:p w14:paraId="2C24140B" w14:textId="41952E25" w:rsidR="00867DC1" w:rsidRPr="00CC061C" w:rsidRDefault="00B6256B" w:rsidP="00A712B0">
            <w:pPr>
              <w:contextualSpacing/>
              <w:rPr>
                <w:rFonts w:cs="Arial"/>
                <w:sz w:val="22"/>
                <w:szCs w:val="22"/>
              </w:rPr>
            </w:pPr>
            <w:r w:rsidRPr="00CC061C">
              <w:rPr>
                <w:rFonts w:cs="Arial"/>
                <w:sz w:val="22"/>
                <w:szCs w:val="22"/>
              </w:rPr>
              <w:t>Early engagement with host governments; contingency planning for alternative formats or revised timelines; coordination with other UN agencies and partners.</w:t>
            </w:r>
          </w:p>
        </w:tc>
        <w:tc>
          <w:tcPr>
            <w:tcW w:w="2966" w:type="dxa"/>
          </w:tcPr>
          <w:p w14:paraId="7F21AB41" w14:textId="5BCA8BDD" w:rsidR="00867DC1" w:rsidRPr="00CC061C" w:rsidRDefault="00B6256B" w:rsidP="00A712B0">
            <w:pPr>
              <w:contextualSpacing/>
              <w:rPr>
                <w:rFonts w:cs="Arial"/>
                <w:sz w:val="22"/>
                <w:szCs w:val="22"/>
              </w:rPr>
            </w:pPr>
            <w:r w:rsidRPr="00CC061C">
              <w:rPr>
                <w:rFonts w:cs="Arial"/>
                <w:sz w:val="22"/>
                <w:szCs w:val="22"/>
              </w:rPr>
              <w:t>M</w:t>
            </w:r>
            <w:r w:rsidR="007F5AF6" w:rsidRPr="00CC061C">
              <w:rPr>
                <w:rFonts w:cs="Arial"/>
                <w:sz w:val="22"/>
                <w:szCs w:val="22"/>
              </w:rPr>
              <w:t xml:space="preserve">oderate </w:t>
            </w:r>
          </w:p>
        </w:tc>
      </w:tr>
      <w:tr w:rsidR="00B6256B" w:rsidRPr="00CC061C" w14:paraId="5DDC5DC3" w14:textId="77777777" w:rsidTr="00D36E2D">
        <w:trPr>
          <w:jc w:val="center"/>
        </w:trPr>
        <w:tc>
          <w:tcPr>
            <w:tcW w:w="3028" w:type="dxa"/>
          </w:tcPr>
          <w:p w14:paraId="796135ED" w14:textId="3BB49D1C" w:rsidR="00B6256B" w:rsidRPr="00CC061C" w:rsidRDefault="00270BDE" w:rsidP="00270BDE">
            <w:pPr>
              <w:contextualSpacing/>
              <w:rPr>
                <w:rFonts w:cs="Arial"/>
                <w:b/>
                <w:bCs/>
                <w:sz w:val="22"/>
                <w:szCs w:val="22"/>
              </w:rPr>
            </w:pPr>
            <w:r w:rsidRPr="00CC061C">
              <w:rPr>
                <w:rFonts w:cs="Arial"/>
                <w:b/>
                <w:bCs/>
                <w:sz w:val="22"/>
                <w:szCs w:val="22"/>
              </w:rPr>
              <w:t>Risk of underspend </w:t>
            </w:r>
            <w:r w:rsidRPr="00CC061C">
              <w:rPr>
                <w:rFonts w:cs="Arial"/>
                <w:sz w:val="22"/>
                <w:szCs w:val="22"/>
              </w:rPr>
              <w:t>if activities cannot be delivered within a single financial year due to preparatory</w:t>
            </w:r>
            <w:r w:rsidRPr="00CC061C">
              <w:rPr>
                <w:rFonts w:cs="Arial"/>
                <w:b/>
                <w:bCs/>
                <w:sz w:val="22"/>
                <w:szCs w:val="22"/>
              </w:rPr>
              <w:t xml:space="preserve"> </w:t>
            </w:r>
            <w:r w:rsidRPr="00CC061C">
              <w:rPr>
                <w:rFonts w:cs="Arial"/>
                <w:sz w:val="22"/>
                <w:szCs w:val="22"/>
              </w:rPr>
              <w:t>requirements or scheduling constraints.</w:t>
            </w:r>
          </w:p>
        </w:tc>
        <w:tc>
          <w:tcPr>
            <w:tcW w:w="3022" w:type="dxa"/>
          </w:tcPr>
          <w:p w14:paraId="7BE072DC" w14:textId="2E58F14F" w:rsidR="00B6256B" w:rsidRPr="00CC061C" w:rsidRDefault="00301CEF" w:rsidP="00A712B0">
            <w:pPr>
              <w:contextualSpacing/>
              <w:rPr>
                <w:rFonts w:cs="Arial"/>
                <w:sz w:val="22"/>
                <w:szCs w:val="22"/>
              </w:rPr>
            </w:pPr>
            <w:r w:rsidRPr="00CC061C">
              <w:rPr>
                <w:rFonts w:cs="Arial"/>
                <w:sz w:val="22"/>
                <w:szCs w:val="22"/>
              </w:rPr>
              <w:t xml:space="preserve">Regular financial </w:t>
            </w:r>
            <w:proofErr w:type="gramStart"/>
            <w:r w:rsidRPr="00CC061C">
              <w:rPr>
                <w:rFonts w:cs="Arial"/>
                <w:sz w:val="22"/>
                <w:szCs w:val="22"/>
              </w:rPr>
              <w:t>monitoring;</w:t>
            </w:r>
            <w:proofErr w:type="gramEnd"/>
            <w:r w:rsidRPr="00CC061C">
              <w:rPr>
                <w:rFonts w:cs="Arial"/>
                <w:sz w:val="22"/>
                <w:szCs w:val="22"/>
              </w:rPr>
              <w:t xml:space="preserve"> re-profiling of activities where required; prioritisation of deliverables that can progress within available timeframes.</w:t>
            </w:r>
          </w:p>
          <w:p w14:paraId="215EC0CE" w14:textId="77777777" w:rsidR="00301CEF" w:rsidRPr="00CC061C" w:rsidRDefault="00301CEF" w:rsidP="00301CEF">
            <w:pPr>
              <w:jc w:val="center"/>
              <w:rPr>
                <w:rFonts w:cs="Arial"/>
                <w:sz w:val="22"/>
                <w:szCs w:val="22"/>
              </w:rPr>
            </w:pPr>
          </w:p>
        </w:tc>
        <w:tc>
          <w:tcPr>
            <w:tcW w:w="2966" w:type="dxa"/>
          </w:tcPr>
          <w:p w14:paraId="4B17747B" w14:textId="52A58A29" w:rsidR="00B6256B" w:rsidRPr="00CC061C" w:rsidRDefault="00301CEF" w:rsidP="00A712B0">
            <w:pPr>
              <w:contextualSpacing/>
              <w:rPr>
                <w:rFonts w:cs="Arial"/>
                <w:sz w:val="22"/>
                <w:szCs w:val="22"/>
              </w:rPr>
            </w:pPr>
            <w:r w:rsidRPr="00CC061C">
              <w:rPr>
                <w:rFonts w:cs="Arial"/>
                <w:sz w:val="22"/>
                <w:szCs w:val="22"/>
              </w:rPr>
              <w:t>Minor</w:t>
            </w:r>
          </w:p>
        </w:tc>
      </w:tr>
    </w:tbl>
    <w:p w14:paraId="4BD497AD" w14:textId="77777777" w:rsidR="00B74143" w:rsidRPr="00CC061C" w:rsidRDefault="00B74143" w:rsidP="00B74143">
      <w:pPr>
        <w:spacing w:before="40" w:after="40"/>
        <w:rPr>
          <w:rFonts w:cs="Arial"/>
          <w:sz w:val="22"/>
          <w:szCs w:val="22"/>
        </w:rPr>
      </w:pPr>
    </w:p>
    <w:p w14:paraId="35CB9A45" w14:textId="782019A5" w:rsidR="00B74143" w:rsidRPr="00CC061C" w:rsidRDefault="00B74143" w:rsidP="00B74143">
      <w:pPr>
        <w:contextualSpacing/>
        <w:rPr>
          <w:rFonts w:cs="Arial"/>
          <w:sz w:val="22"/>
          <w:szCs w:val="22"/>
        </w:rPr>
      </w:pPr>
      <w:r w:rsidRPr="00CC061C">
        <w:rPr>
          <w:rFonts w:cs="Arial"/>
          <w:b/>
          <w:bCs/>
          <w:sz w:val="22"/>
          <w:szCs w:val="22"/>
        </w:rPr>
        <w:t xml:space="preserve">Outstanding actions from risk assessment </w:t>
      </w:r>
    </w:p>
    <w:p w14:paraId="34A1E978" w14:textId="77777777" w:rsidR="003D222C" w:rsidRPr="00CC061C" w:rsidRDefault="003D222C" w:rsidP="003D222C">
      <w:pPr>
        <w:rPr>
          <w:bCs/>
          <w:sz w:val="22"/>
          <w:szCs w:val="22"/>
        </w:rPr>
      </w:pPr>
    </w:p>
    <w:p w14:paraId="319A38BD" w14:textId="10845900" w:rsidR="00A838C8" w:rsidRPr="00CC061C" w:rsidRDefault="00C00FF3" w:rsidP="009351A8">
      <w:pPr>
        <w:pStyle w:val="ListParagraph"/>
        <w:numPr>
          <w:ilvl w:val="0"/>
          <w:numId w:val="20"/>
        </w:numPr>
        <w:rPr>
          <w:bCs/>
          <w:sz w:val="22"/>
          <w:szCs w:val="22"/>
        </w:rPr>
      </w:pPr>
      <w:r w:rsidRPr="00CC061C">
        <w:rPr>
          <w:bCs/>
          <w:sz w:val="22"/>
          <w:szCs w:val="22"/>
        </w:rPr>
        <w:t>C</w:t>
      </w:r>
      <w:r w:rsidR="00A838C8" w:rsidRPr="00CC061C">
        <w:rPr>
          <w:bCs/>
          <w:sz w:val="22"/>
          <w:szCs w:val="22"/>
        </w:rPr>
        <w:t xml:space="preserve">ontinue follow up on </w:t>
      </w:r>
      <w:r w:rsidR="00D83009" w:rsidRPr="00CC061C">
        <w:rPr>
          <w:bCs/>
          <w:sz w:val="22"/>
          <w:szCs w:val="22"/>
        </w:rPr>
        <w:t xml:space="preserve">delivery, </w:t>
      </w:r>
      <w:r w:rsidR="00A838C8" w:rsidRPr="00CC061C">
        <w:rPr>
          <w:bCs/>
          <w:sz w:val="22"/>
          <w:szCs w:val="22"/>
        </w:rPr>
        <w:t xml:space="preserve">future </w:t>
      </w:r>
      <w:r w:rsidR="009351A8" w:rsidRPr="00CC061C">
        <w:rPr>
          <w:bCs/>
          <w:sz w:val="22"/>
          <w:szCs w:val="22"/>
        </w:rPr>
        <w:t xml:space="preserve">programme </w:t>
      </w:r>
      <w:r w:rsidR="00D42FE1" w:rsidRPr="00CC061C">
        <w:rPr>
          <w:bCs/>
          <w:sz w:val="22"/>
          <w:szCs w:val="22"/>
        </w:rPr>
        <w:t xml:space="preserve">funding </w:t>
      </w:r>
      <w:r w:rsidR="009351A8" w:rsidRPr="00CC061C">
        <w:rPr>
          <w:bCs/>
          <w:sz w:val="22"/>
          <w:szCs w:val="22"/>
        </w:rPr>
        <w:t xml:space="preserve">and implications for sustainability of UK funded results. </w:t>
      </w:r>
    </w:p>
    <w:p w14:paraId="42867710" w14:textId="77777777" w:rsidR="003D222C" w:rsidRPr="00D42FE1" w:rsidRDefault="003D222C">
      <w:pPr>
        <w:rPr>
          <w:bCs/>
          <w:sz w:val="20"/>
          <w:szCs w:val="20"/>
        </w:rPr>
      </w:pPr>
    </w:p>
    <w:p w14:paraId="3B926BD1" w14:textId="0284D3B8" w:rsidR="003D222C" w:rsidRPr="00F70DBE" w:rsidRDefault="003D222C" w:rsidP="003D222C">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sz w:val="20"/>
          <w:szCs w:val="20"/>
        </w:rPr>
      </w:pPr>
      <w:r w:rsidRPr="606A6091">
        <w:rPr>
          <w:b/>
          <w:sz w:val="28"/>
          <w:szCs w:val="28"/>
        </w:rPr>
        <w:t xml:space="preserve">F: PROGRAMME MANAGEMENT: </w:t>
      </w:r>
      <w:bookmarkStart w:id="0" w:name="_Hlk21353049"/>
      <w:r w:rsidRPr="606A6091">
        <w:rPr>
          <w:b/>
          <w:sz w:val="28"/>
          <w:szCs w:val="28"/>
        </w:rPr>
        <w:t>DELIVERY,</w:t>
      </w:r>
      <w:r w:rsidR="00E52F06" w:rsidRPr="606A6091">
        <w:rPr>
          <w:b/>
          <w:sz w:val="28"/>
          <w:szCs w:val="28"/>
        </w:rPr>
        <w:t xml:space="preserve"> VFM</w:t>
      </w:r>
      <w:r w:rsidR="00611197" w:rsidRPr="606A6091">
        <w:rPr>
          <w:b/>
          <w:sz w:val="28"/>
          <w:szCs w:val="28"/>
        </w:rPr>
        <w:t>,</w:t>
      </w:r>
      <w:r w:rsidRPr="606A6091">
        <w:rPr>
          <w:b/>
          <w:sz w:val="28"/>
          <w:szCs w:val="28"/>
        </w:rPr>
        <w:t xml:space="preserve"> COMMERCIAL &amp; FINANCIAL PERFORMANCE </w:t>
      </w:r>
      <w:bookmarkEnd w:id="0"/>
    </w:p>
    <w:p w14:paraId="02D4516E" w14:textId="77777777" w:rsidR="0053055A" w:rsidRDefault="0053055A" w:rsidP="003D222C">
      <w:pPr>
        <w:rPr>
          <w:rFonts w:cs="Arial"/>
          <w:bCs/>
          <w:sz w:val="22"/>
          <w:szCs w:val="22"/>
        </w:rPr>
      </w:pPr>
    </w:p>
    <w:p w14:paraId="2F91791E" w14:textId="7D69AA5D" w:rsidR="0053055A" w:rsidRPr="00CC061C" w:rsidRDefault="0053055A" w:rsidP="003D222C">
      <w:pPr>
        <w:rPr>
          <w:rFonts w:cs="Arial"/>
          <w:b/>
          <w:sz w:val="22"/>
          <w:szCs w:val="22"/>
          <w:u w:val="single"/>
        </w:rPr>
      </w:pPr>
      <w:r w:rsidRPr="00CC061C">
        <w:rPr>
          <w:rFonts w:cs="Arial"/>
          <w:b/>
          <w:sz w:val="22"/>
          <w:szCs w:val="22"/>
          <w:u w:val="single"/>
        </w:rPr>
        <w:t>Delivery Performance</w:t>
      </w:r>
    </w:p>
    <w:p w14:paraId="4E7B10CA" w14:textId="77777777" w:rsidR="003D222C" w:rsidRPr="00CC061C" w:rsidRDefault="003D222C" w:rsidP="003D222C">
      <w:pPr>
        <w:pStyle w:val="ListParagraph"/>
        <w:ind w:left="426"/>
        <w:rPr>
          <w:rFonts w:cs="Arial"/>
          <w:bCs/>
          <w:sz w:val="22"/>
          <w:szCs w:val="22"/>
        </w:rPr>
      </w:pPr>
    </w:p>
    <w:p w14:paraId="168ED234" w14:textId="6FD4D885" w:rsidR="0036455E" w:rsidRPr="00CC061C" w:rsidRDefault="0036455E" w:rsidP="0036455E">
      <w:pPr>
        <w:rPr>
          <w:rFonts w:cs="Arial"/>
          <w:bCs/>
          <w:sz w:val="22"/>
          <w:szCs w:val="22"/>
        </w:rPr>
      </w:pPr>
      <w:r w:rsidRPr="00CC061C">
        <w:rPr>
          <w:rFonts w:cs="Arial"/>
          <w:bCs/>
          <w:sz w:val="22"/>
          <w:szCs w:val="22"/>
        </w:rPr>
        <w:t xml:space="preserve">Delivery performance by the UNFCCC </w:t>
      </w:r>
      <w:r w:rsidR="00F52386" w:rsidRPr="00CC061C">
        <w:rPr>
          <w:rFonts w:cs="Arial"/>
          <w:bCs/>
          <w:sz w:val="22"/>
          <w:szCs w:val="22"/>
        </w:rPr>
        <w:t xml:space="preserve">Secretariat during the review period has been strong and constructive, </w:t>
      </w:r>
      <w:r w:rsidR="00B20929" w:rsidRPr="00CC061C">
        <w:rPr>
          <w:rFonts w:cs="Arial"/>
          <w:bCs/>
          <w:sz w:val="22"/>
          <w:szCs w:val="22"/>
        </w:rPr>
        <w:t>despite</w:t>
      </w:r>
      <w:r w:rsidR="00FA5E49" w:rsidRPr="00CC061C">
        <w:rPr>
          <w:rFonts w:cs="Arial"/>
          <w:bCs/>
          <w:sz w:val="22"/>
          <w:szCs w:val="22"/>
        </w:rPr>
        <w:t xml:space="preserve"> </w:t>
      </w:r>
      <w:r w:rsidR="00B20929" w:rsidRPr="00CC061C">
        <w:rPr>
          <w:rFonts w:cs="Arial"/>
          <w:bCs/>
          <w:sz w:val="22"/>
          <w:szCs w:val="22"/>
        </w:rPr>
        <w:t xml:space="preserve">a long </w:t>
      </w:r>
      <w:r w:rsidR="00FA5E49" w:rsidRPr="00CC061C">
        <w:rPr>
          <w:rFonts w:cs="Arial"/>
          <w:bCs/>
          <w:sz w:val="22"/>
          <w:szCs w:val="22"/>
        </w:rPr>
        <w:t xml:space="preserve">period of funding uncertainty after business case approval and announcement of the funding at COP29, </w:t>
      </w:r>
      <w:r w:rsidR="00570E14" w:rsidRPr="00CC061C">
        <w:rPr>
          <w:rFonts w:cs="Arial"/>
          <w:bCs/>
          <w:sz w:val="22"/>
          <w:szCs w:val="22"/>
        </w:rPr>
        <w:t>followed by a big reduction in the programme budget and timeframe and a</w:t>
      </w:r>
      <w:r w:rsidR="00FA5E49" w:rsidRPr="00CC061C">
        <w:rPr>
          <w:rFonts w:cs="Arial"/>
          <w:bCs/>
          <w:sz w:val="22"/>
          <w:szCs w:val="22"/>
        </w:rPr>
        <w:t xml:space="preserve"> </w:t>
      </w:r>
      <w:r w:rsidR="00570E14" w:rsidRPr="00CC061C">
        <w:rPr>
          <w:rFonts w:cs="Arial"/>
          <w:bCs/>
          <w:sz w:val="22"/>
          <w:szCs w:val="22"/>
        </w:rPr>
        <w:t xml:space="preserve">very </w:t>
      </w:r>
      <w:r w:rsidR="00F52386" w:rsidRPr="00CC061C">
        <w:rPr>
          <w:rFonts w:cs="Arial"/>
          <w:bCs/>
          <w:sz w:val="22"/>
          <w:szCs w:val="22"/>
        </w:rPr>
        <w:t xml:space="preserve">delayed programme start </w:t>
      </w:r>
      <w:r w:rsidR="00911D4B" w:rsidRPr="00CC061C">
        <w:rPr>
          <w:rFonts w:cs="Arial"/>
          <w:bCs/>
          <w:sz w:val="22"/>
          <w:szCs w:val="22"/>
        </w:rPr>
        <w:t xml:space="preserve">and the novel nature of </w:t>
      </w:r>
      <w:r w:rsidR="00A47AC4" w:rsidRPr="00CC061C">
        <w:rPr>
          <w:rFonts w:cs="Arial"/>
          <w:bCs/>
          <w:sz w:val="22"/>
          <w:szCs w:val="22"/>
        </w:rPr>
        <w:t xml:space="preserve">operating in a UK ODA </w:t>
      </w:r>
      <w:r w:rsidR="00731D84" w:rsidRPr="00CC061C">
        <w:rPr>
          <w:rFonts w:cs="Arial"/>
          <w:bCs/>
          <w:sz w:val="22"/>
          <w:szCs w:val="22"/>
        </w:rPr>
        <w:t xml:space="preserve">/ ICF </w:t>
      </w:r>
      <w:proofErr w:type="spellStart"/>
      <w:r w:rsidR="00A47AC4" w:rsidRPr="00CC061C">
        <w:rPr>
          <w:rFonts w:cs="Arial"/>
          <w:bCs/>
          <w:sz w:val="22"/>
          <w:szCs w:val="22"/>
        </w:rPr>
        <w:t>logframe</w:t>
      </w:r>
      <w:proofErr w:type="spellEnd"/>
      <w:r w:rsidR="00A47AC4" w:rsidRPr="00CC061C">
        <w:rPr>
          <w:rFonts w:cs="Arial"/>
          <w:bCs/>
          <w:sz w:val="22"/>
          <w:szCs w:val="22"/>
        </w:rPr>
        <w:t>-based delivery</w:t>
      </w:r>
      <w:r w:rsidR="007225B9" w:rsidRPr="00CC061C">
        <w:rPr>
          <w:rFonts w:cs="Arial"/>
          <w:bCs/>
          <w:sz w:val="22"/>
          <w:szCs w:val="22"/>
        </w:rPr>
        <w:t xml:space="preserve"> and reporting framework. The Secretariat has engaged proactively with DESNZ throughout</w:t>
      </w:r>
      <w:r w:rsidR="00DD272E" w:rsidRPr="00CC061C">
        <w:rPr>
          <w:rFonts w:cs="Arial"/>
          <w:bCs/>
          <w:sz w:val="22"/>
          <w:szCs w:val="22"/>
        </w:rPr>
        <w:t xml:space="preserve"> mobilisation and early delivery</w:t>
      </w:r>
      <w:r w:rsidR="00155E57" w:rsidRPr="00CC061C">
        <w:rPr>
          <w:rFonts w:cs="Arial"/>
          <w:bCs/>
          <w:sz w:val="22"/>
          <w:szCs w:val="22"/>
        </w:rPr>
        <w:t xml:space="preserve">, maintaining regular dialogue and demonstrating openness </w:t>
      </w:r>
      <w:r w:rsidR="00EE689F" w:rsidRPr="00CC061C">
        <w:rPr>
          <w:rFonts w:cs="Arial"/>
          <w:bCs/>
          <w:sz w:val="22"/>
          <w:szCs w:val="22"/>
        </w:rPr>
        <w:t>and flexibility in adapting programme design, reporting arrangements and milestones to meet</w:t>
      </w:r>
      <w:r w:rsidR="00C0626E" w:rsidRPr="00CC061C">
        <w:rPr>
          <w:rFonts w:cs="Arial"/>
          <w:bCs/>
          <w:sz w:val="22"/>
          <w:szCs w:val="22"/>
        </w:rPr>
        <w:t xml:space="preserve"> UK requirements</w:t>
      </w:r>
      <w:r w:rsidR="0007584A" w:rsidRPr="00CC061C">
        <w:rPr>
          <w:rFonts w:cs="Arial"/>
          <w:bCs/>
          <w:sz w:val="22"/>
          <w:szCs w:val="22"/>
        </w:rPr>
        <w:t>.</w:t>
      </w:r>
      <w:r w:rsidR="005E5D3A" w:rsidRPr="00CC061C">
        <w:rPr>
          <w:rFonts w:cs="Arial"/>
          <w:bCs/>
          <w:sz w:val="22"/>
          <w:szCs w:val="22"/>
        </w:rPr>
        <w:t xml:space="preserve"> This has included multiple iterations of </w:t>
      </w:r>
      <w:r w:rsidR="007817F0" w:rsidRPr="00CC061C">
        <w:rPr>
          <w:rFonts w:cs="Arial"/>
          <w:bCs/>
          <w:sz w:val="22"/>
          <w:szCs w:val="22"/>
        </w:rPr>
        <w:t xml:space="preserve">the </w:t>
      </w:r>
      <w:proofErr w:type="spellStart"/>
      <w:r w:rsidR="007817F0" w:rsidRPr="00CC061C">
        <w:rPr>
          <w:rFonts w:cs="Arial"/>
          <w:bCs/>
          <w:sz w:val="22"/>
          <w:szCs w:val="22"/>
        </w:rPr>
        <w:t>logframe</w:t>
      </w:r>
      <w:proofErr w:type="spellEnd"/>
      <w:r w:rsidR="007817F0" w:rsidRPr="00CC061C">
        <w:rPr>
          <w:rFonts w:cs="Arial"/>
          <w:bCs/>
          <w:sz w:val="22"/>
          <w:szCs w:val="22"/>
        </w:rPr>
        <w:t xml:space="preserve"> and agreement of </w:t>
      </w:r>
      <w:r w:rsidR="00630642" w:rsidRPr="00CC061C">
        <w:rPr>
          <w:rFonts w:cs="Arial"/>
          <w:bCs/>
          <w:sz w:val="22"/>
          <w:szCs w:val="22"/>
        </w:rPr>
        <w:t>proportionate</w:t>
      </w:r>
      <w:r w:rsidR="000A087B" w:rsidRPr="00CC061C">
        <w:rPr>
          <w:rFonts w:cs="Arial"/>
          <w:bCs/>
          <w:sz w:val="22"/>
          <w:szCs w:val="22"/>
        </w:rPr>
        <w:t xml:space="preserve"> indicators and reporting approaches</w:t>
      </w:r>
      <w:r w:rsidR="00CE0383" w:rsidRPr="00CC061C">
        <w:rPr>
          <w:rFonts w:cs="Arial"/>
          <w:bCs/>
          <w:sz w:val="22"/>
          <w:szCs w:val="22"/>
        </w:rPr>
        <w:t xml:space="preserve"> to reflect the revised timeframe and budget and first Annual Review taking place </w:t>
      </w:r>
      <w:r w:rsidR="001F79BD" w:rsidRPr="00CC061C">
        <w:rPr>
          <w:rFonts w:cs="Arial"/>
          <w:bCs/>
          <w:sz w:val="22"/>
          <w:szCs w:val="22"/>
        </w:rPr>
        <w:t>after just six months of implementation</w:t>
      </w:r>
      <w:r w:rsidR="000A087B" w:rsidRPr="00CC061C">
        <w:rPr>
          <w:rFonts w:cs="Arial"/>
          <w:bCs/>
          <w:sz w:val="22"/>
          <w:szCs w:val="22"/>
        </w:rPr>
        <w:t>.</w:t>
      </w:r>
    </w:p>
    <w:p w14:paraId="57ED12EB" w14:textId="77777777" w:rsidR="00155F37" w:rsidRPr="00CC061C" w:rsidRDefault="00155F37" w:rsidP="0036455E">
      <w:pPr>
        <w:rPr>
          <w:rFonts w:cs="Arial"/>
          <w:bCs/>
          <w:sz w:val="22"/>
          <w:szCs w:val="22"/>
        </w:rPr>
      </w:pPr>
    </w:p>
    <w:p w14:paraId="511753B3" w14:textId="16561213" w:rsidR="0036455E" w:rsidRPr="00CC061C" w:rsidRDefault="00155F37" w:rsidP="0036455E">
      <w:pPr>
        <w:rPr>
          <w:rFonts w:cs="Arial"/>
          <w:bCs/>
          <w:sz w:val="22"/>
          <w:szCs w:val="22"/>
        </w:rPr>
      </w:pPr>
      <w:r w:rsidRPr="00CC061C">
        <w:rPr>
          <w:rFonts w:cs="Arial"/>
          <w:bCs/>
          <w:sz w:val="22"/>
          <w:szCs w:val="22"/>
        </w:rPr>
        <w:t>Early delivery progress in 2025</w:t>
      </w:r>
      <w:r w:rsidR="00441843" w:rsidRPr="00CC061C">
        <w:rPr>
          <w:rFonts w:cs="Arial"/>
          <w:bCs/>
          <w:sz w:val="22"/>
          <w:szCs w:val="22"/>
        </w:rPr>
        <w:t>, including</w:t>
      </w:r>
      <w:r w:rsidR="00D8572F" w:rsidRPr="00CC061C">
        <w:rPr>
          <w:rFonts w:cs="Arial"/>
          <w:bCs/>
          <w:sz w:val="22"/>
          <w:szCs w:val="22"/>
        </w:rPr>
        <w:t xml:space="preserve"> the initiation of technical assessments and analyses, delivery of coordination and knowledge sharing </w:t>
      </w:r>
      <w:r w:rsidR="00033AFF" w:rsidRPr="00CC061C">
        <w:rPr>
          <w:rFonts w:cs="Arial"/>
          <w:bCs/>
          <w:sz w:val="22"/>
          <w:szCs w:val="22"/>
        </w:rPr>
        <w:t>activities</w:t>
      </w:r>
      <w:r w:rsidR="00D8572F" w:rsidRPr="00CC061C">
        <w:rPr>
          <w:rFonts w:cs="Arial"/>
          <w:bCs/>
          <w:sz w:val="22"/>
          <w:szCs w:val="22"/>
        </w:rPr>
        <w:t xml:space="preserve"> and continued operation and improvement of UNFCCC REDD+ </w:t>
      </w:r>
      <w:r w:rsidR="00D34E36" w:rsidRPr="00CC061C">
        <w:rPr>
          <w:rFonts w:cs="Arial"/>
          <w:bCs/>
          <w:sz w:val="22"/>
          <w:szCs w:val="22"/>
        </w:rPr>
        <w:t xml:space="preserve">knowledge exchange and </w:t>
      </w:r>
      <w:r w:rsidR="00D8572F" w:rsidRPr="00CC061C">
        <w:rPr>
          <w:rFonts w:cs="Arial"/>
          <w:bCs/>
          <w:sz w:val="22"/>
          <w:szCs w:val="22"/>
        </w:rPr>
        <w:t xml:space="preserve">transparency platforms, provides confidence in the Secretariat’s capacity to deliver the programme as activity </w:t>
      </w:r>
      <w:r w:rsidR="006C7CF3" w:rsidRPr="00CC061C">
        <w:rPr>
          <w:rFonts w:cs="Arial"/>
          <w:bCs/>
          <w:sz w:val="22"/>
          <w:szCs w:val="22"/>
        </w:rPr>
        <w:t xml:space="preserve">scales up. Overall, despite being </w:t>
      </w:r>
      <w:r w:rsidR="0095667D" w:rsidRPr="00CC061C">
        <w:rPr>
          <w:rFonts w:cs="Arial"/>
          <w:bCs/>
          <w:sz w:val="22"/>
          <w:szCs w:val="22"/>
        </w:rPr>
        <w:t xml:space="preserve">new to the UK </w:t>
      </w:r>
      <w:r w:rsidR="001A72B7" w:rsidRPr="00CC061C">
        <w:rPr>
          <w:rFonts w:cs="Arial"/>
          <w:bCs/>
          <w:sz w:val="22"/>
          <w:szCs w:val="22"/>
        </w:rPr>
        <w:t xml:space="preserve">ODA </w:t>
      </w:r>
      <w:r w:rsidR="008F531F" w:rsidRPr="00CC061C">
        <w:rPr>
          <w:rFonts w:cs="Arial"/>
          <w:bCs/>
          <w:sz w:val="22"/>
          <w:szCs w:val="22"/>
        </w:rPr>
        <w:t xml:space="preserve">and ICF </w:t>
      </w:r>
      <w:r w:rsidR="001A72B7" w:rsidRPr="00CC061C">
        <w:rPr>
          <w:rFonts w:cs="Arial"/>
          <w:bCs/>
          <w:sz w:val="22"/>
          <w:szCs w:val="22"/>
        </w:rPr>
        <w:t xml:space="preserve">programme management </w:t>
      </w:r>
      <w:r w:rsidR="00033AFF" w:rsidRPr="00CC061C">
        <w:rPr>
          <w:rFonts w:cs="Arial"/>
          <w:bCs/>
          <w:sz w:val="22"/>
          <w:szCs w:val="22"/>
        </w:rPr>
        <w:t>requirements</w:t>
      </w:r>
      <w:r w:rsidR="005D67A1" w:rsidRPr="00CC061C">
        <w:rPr>
          <w:rFonts w:cs="Arial"/>
          <w:bCs/>
          <w:sz w:val="22"/>
          <w:szCs w:val="22"/>
        </w:rPr>
        <w:t>, the UNFCCC</w:t>
      </w:r>
      <w:r w:rsidR="00033AFF" w:rsidRPr="00CC061C">
        <w:rPr>
          <w:rFonts w:cs="Arial"/>
          <w:bCs/>
          <w:sz w:val="22"/>
          <w:szCs w:val="22"/>
        </w:rPr>
        <w:t xml:space="preserve"> has demonstrated strong technical credibility and effective partnership working, supporting confidence in delivery performance for the remainder of the programme. </w:t>
      </w:r>
    </w:p>
    <w:p w14:paraId="2301457D" w14:textId="24BB15C5" w:rsidR="2528600D" w:rsidRPr="00CC061C" w:rsidRDefault="0036455E" w:rsidP="1D52F7A7">
      <w:pPr>
        <w:rPr>
          <w:sz w:val="22"/>
          <w:szCs w:val="22"/>
        </w:rPr>
      </w:pPr>
      <w:r w:rsidRPr="00CC061C">
        <w:rPr>
          <w:rFonts w:cs="Arial"/>
          <w:bCs/>
          <w:sz w:val="22"/>
          <w:szCs w:val="22"/>
        </w:rPr>
        <w:tab/>
      </w:r>
      <w:r w:rsidRPr="00CC061C">
        <w:rPr>
          <w:rFonts w:cs="Arial"/>
          <w:bCs/>
          <w:sz w:val="22"/>
          <w:szCs w:val="22"/>
        </w:rPr>
        <w:tab/>
      </w:r>
      <w:r w:rsidRPr="00CC061C">
        <w:rPr>
          <w:rFonts w:cs="Arial"/>
          <w:bCs/>
          <w:sz w:val="22"/>
          <w:szCs w:val="22"/>
        </w:rPr>
        <w:tab/>
      </w:r>
    </w:p>
    <w:p w14:paraId="4497669C" w14:textId="0433A8E8" w:rsidR="53654642" w:rsidRPr="00CC061C" w:rsidRDefault="53654642" w:rsidP="1D52F7A7">
      <w:pPr>
        <w:rPr>
          <w:b/>
          <w:bCs/>
          <w:sz w:val="22"/>
          <w:szCs w:val="22"/>
          <w:u w:val="single"/>
        </w:rPr>
      </w:pPr>
      <w:r w:rsidRPr="00CC061C">
        <w:rPr>
          <w:b/>
          <w:bCs/>
          <w:sz w:val="22"/>
          <w:szCs w:val="22"/>
          <w:u w:val="single"/>
        </w:rPr>
        <w:t xml:space="preserve">Value for </w:t>
      </w:r>
      <w:r w:rsidR="00022618" w:rsidRPr="00CC061C">
        <w:rPr>
          <w:b/>
          <w:bCs/>
          <w:sz w:val="22"/>
          <w:szCs w:val="22"/>
          <w:u w:val="single"/>
        </w:rPr>
        <w:t>M</w:t>
      </w:r>
      <w:r w:rsidRPr="00CC061C">
        <w:rPr>
          <w:b/>
          <w:bCs/>
          <w:sz w:val="22"/>
          <w:szCs w:val="22"/>
          <w:u w:val="single"/>
        </w:rPr>
        <w:t>oney</w:t>
      </w:r>
      <w:r w:rsidR="00022618" w:rsidRPr="00CC061C">
        <w:rPr>
          <w:b/>
          <w:bCs/>
          <w:sz w:val="22"/>
          <w:szCs w:val="22"/>
          <w:u w:val="single"/>
        </w:rPr>
        <w:t xml:space="preserve"> Assessment</w:t>
      </w:r>
    </w:p>
    <w:p w14:paraId="206B7AC0" w14:textId="33DC28AD" w:rsidR="1D52F7A7" w:rsidRPr="00CC061C" w:rsidRDefault="1D52F7A7" w:rsidP="1D52F7A7">
      <w:pPr>
        <w:rPr>
          <w:b/>
          <w:bCs/>
          <w:sz w:val="22"/>
          <w:szCs w:val="22"/>
        </w:rPr>
      </w:pPr>
    </w:p>
    <w:p w14:paraId="182C63E9" w14:textId="2E4E6DFE" w:rsidR="53654642" w:rsidRPr="00CC061C" w:rsidRDefault="53654642" w:rsidP="1D52F7A7">
      <w:pPr>
        <w:rPr>
          <w:sz w:val="22"/>
          <w:szCs w:val="22"/>
        </w:rPr>
      </w:pPr>
      <w:r w:rsidRPr="73B27188">
        <w:rPr>
          <w:sz w:val="22"/>
          <w:szCs w:val="22"/>
        </w:rPr>
        <w:t>The UK Government’s value for money (</w:t>
      </w:r>
      <w:proofErr w:type="spellStart"/>
      <w:r w:rsidRPr="73B27188">
        <w:rPr>
          <w:sz w:val="22"/>
          <w:szCs w:val="22"/>
        </w:rPr>
        <w:t>VfM</w:t>
      </w:r>
      <w:proofErr w:type="spellEnd"/>
      <w:r w:rsidRPr="73B27188">
        <w:rPr>
          <w:sz w:val="22"/>
          <w:szCs w:val="22"/>
        </w:rPr>
        <w:t>) framework focuses on the ‘five Es’: economy, efficiency, effectiveness, cost-effectiveness, and equity.</w:t>
      </w:r>
      <w:r w:rsidR="22628B2E" w:rsidRPr="73B27188">
        <w:rPr>
          <w:sz w:val="22"/>
          <w:szCs w:val="22"/>
        </w:rPr>
        <w:t xml:space="preserve"> It was not possible to complete a full </w:t>
      </w:r>
      <w:proofErr w:type="spellStart"/>
      <w:r w:rsidR="22628B2E" w:rsidRPr="73B27188">
        <w:rPr>
          <w:sz w:val="22"/>
          <w:szCs w:val="22"/>
        </w:rPr>
        <w:t>VfM</w:t>
      </w:r>
      <w:proofErr w:type="spellEnd"/>
      <w:r w:rsidR="22628B2E" w:rsidRPr="73B27188">
        <w:rPr>
          <w:sz w:val="22"/>
          <w:szCs w:val="22"/>
        </w:rPr>
        <w:t xml:space="preserve"> assessment for this Annual Review of UNFCCC’s AFOLU</w:t>
      </w:r>
      <w:r w:rsidR="6D5E9EC8" w:rsidRPr="73B27188">
        <w:rPr>
          <w:sz w:val="22"/>
          <w:szCs w:val="22"/>
        </w:rPr>
        <w:t xml:space="preserve"> Unit</w:t>
      </w:r>
      <w:r w:rsidR="22628B2E" w:rsidRPr="73B27188">
        <w:rPr>
          <w:sz w:val="22"/>
          <w:szCs w:val="22"/>
        </w:rPr>
        <w:t xml:space="preserve">, given </w:t>
      </w:r>
      <w:r w:rsidR="000F7CEC" w:rsidRPr="73B27188">
        <w:rPr>
          <w:sz w:val="22"/>
          <w:szCs w:val="22"/>
        </w:rPr>
        <w:t xml:space="preserve">that the programme began implementation in </w:t>
      </w:r>
      <w:r w:rsidR="00B75204" w:rsidRPr="73B27188">
        <w:rPr>
          <w:sz w:val="22"/>
          <w:szCs w:val="22"/>
        </w:rPr>
        <w:t xml:space="preserve">July 2025 </w:t>
      </w:r>
      <w:r w:rsidR="22628B2E" w:rsidRPr="73B27188">
        <w:rPr>
          <w:sz w:val="22"/>
          <w:szCs w:val="22"/>
        </w:rPr>
        <w:t>and</w:t>
      </w:r>
      <w:r w:rsidR="00083BF0" w:rsidRPr="73B27188">
        <w:rPr>
          <w:sz w:val="22"/>
          <w:szCs w:val="22"/>
        </w:rPr>
        <w:t xml:space="preserve"> there was</w:t>
      </w:r>
      <w:r w:rsidR="22628B2E" w:rsidRPr="73B27188">
        <w:rPr>
          <w:sz w:val="22"/>
          <w:szCs w:val="22"/>
        </w:rPr>
        <w:t xml:space="preserve"> </w:t>
      </w:r>
      <w:r w:rsidR="00B90A3E" w:rsidRPr="73B27188">
        <w:rPr>
          <w:sz w:val="22"/>
          <w:szCs w:val="22"/>
        </w:rPr>
        <w:t xml:space="preserve">insufficient </w:t>
      </w:r>
      <w:r w:rsidR="22628B2E" w:rsidRPr="73B27188">
        <w:rPr>
          <w:sz w:val="22"/>
          <w:szCs w:val="22"/>
        </w:rPr>
        <w:t>relevant data</w:t>
      </w:r>
      <w:r w:rsidR="00B90A3E" w:rsidRPr="73B27188">
        <w:rPr>
          <w:sz w:val="22"/>
          <w:szCs w:val="22"/>
        </w:rPr>
        <w:t xml:space="preserve"> as a result</w:t>
      </w:r>
      <w:r w:rsidR="22628B2E" w:rsidRPr="73B27188">
        <w:rPr>
          <w:sz w:val="22"/>
          <w:szCs w:val="22"/>
        </w:rPr>
        <w:t>.</w:t>
      </w:r>
      <w:r w:rsidR="21D1F470" w:rsidRPr="73B27188">
        <w:rPr>
          <w:sz w:val="22"/>
          <w:szCs w:val="22"/>
        </w:rPr>
        <w:t xml:space="preserve"> This will be done at the next Annual Review.</w:t>
      </w:r>
    </w:p>
    <w:p w14:paraId="56CD68F9" w14:textId="0EBE2A49" w:rsidR="0324E70B" w:rsidRPr="00CC061C" w:rsidRDefault="0324E70B" w:rsidP="0324E70B">
      <w:pPr>
        <w:rPr>
          <w:sz w:val="22"/>
          <w:szCs w:val="22"/>
        </w:rPr>
      </w:pPr>
    </w:p>
    <w:p w14:paraId="4324472F" w14:textId="61BF191C" w:rsidR="0324E70B" w:rsidRPr="00CC061C" w:rsidRDefault="53654642" w:rsidP="0324E70B">
      <w:pPr>
        <w:rPr>
          <w:i/>
          <w:iCs/>
          <w:sz w:val="22"/>
          <w:szCs w:val="22"/>
        </w:rPr>
      </w:pPr>
      <w:r w:rsidRPr="00CC061C">
        <w:rPr>
          <w:i/>
          <w:iCs/>
          <w:sz w:val="22"/>
          <w:szCs w:val="22"/>
        </w:rPr>
        <w:t>Economy</w:t>
      </w:r>
    </w:p>
    <w:p w14:paraId="752A1BAC" w14:textId="27385427" w:rsidR="30550E71" w:rsidRPr="00CC061C" w:rsidRDefault="30550E71" w:rsidP="30550E71">
      <w:pPr>
        <w:rPr>
          <w:i/>
          <w:iCs/>
          <w:sz w:val="22"/>
          <w:szCs w:val="22"/>
        </w:rPr>
      </w:pPr>
    </w:p>
    <w:p w14:paraId="1E3054F5" w14:textId="39DFFF5B" w:rsidR="30550E71" w:rsidRPr="00CC061C" w:rsidRDefault="53654642" w:rsidP="4A04E6A1">
      <w:pPr>
        <w:rPr>
          <w:sz w:val="22"/>
          <w:szCs w:val="22"/>
        </w:rPr>
      </w:pPr>
      <w:r w:rsidRPr="00CC061C">
        <w:rPr>
          <w:sz w:val="22"/>
          <w:szCs w:val="22"/>
        </w:rPr>
        <w:t xml:space="preserve">Economy refers to the </w:t>
      </w:r>
      <w:r w:rsidR="385A0540" w:rsidRPr="00CC061C">
        <w:rPr>
          <w:sz w:val="22"/>
          <w:szCs w:val="22"/>
        </w:rPr>
        <w:t>likelihood that UK ICF will buy the inputs required to produce outputs at an appropriate quality and cost.</w:t>
      </w:r>
    </w:p>
    <w:p w14:paraId="10CA1449" w14:textId="1BD828F2" w:rsidR="30550E71" w:rsidRPr="00CC061C" w:rsidRDefault="30550E71" w:rsidP="4A04E6A1">
      <w:pPr>
        <w:rPr>
          <w:sz w:val="22"/>
          <w:szCs w:val="22"/>
        </w:rPr>
      </w:pPr>
    </w:p>
    <w:p w14:paraId="52CC9105" w14:textId="736D6D87" w:rsidR="30550E71" w:rsidRPr="00CC061C" w:rsidRDefault="7ADFF878" w:rsidP="49835E5E">
      <w:pPr>
        <w:rPr>
          <w:sz w:val="22"/>
          <w:szCs w:val="22"/>
        </w:rPr>
      </w:pPr>
      <w:r w:rsidRPr="00CC061C">
        <w:rPr>
          <w:sz w:val="22"/>
          <w:szCs w:val="22"/>
        </w:rPr>
        <w:t xml:space="preserve">The main costs for this programme are UNFCCC staff resources, administrative costs associated with managing the annual cycle of </w:t>
      </w:r>
      <w:r w:rsidR="05DDDCF0" w:rsidRPr="00CC061C">
        <w:rPr>
          <w:sz w:val="22"/>
          <w:szCs w:val="22"/>
        </w:rPr>
        <w:t>technical assessments and results analysis, organising events and webinars, and producing guidance and reports for REDD+ countries. These are covered by a 13%</w:t>
      </w:r>
      <w:r w:rsidR="523ACCE8" w:rsidRPr="00CC061C">
        <w:rPr>
          <w:sz w:val="22"/>
          <w:szCs w:val="22"/>
        </w:rPr>
        <w:t xml:space="preserve"> ‘programme support costs’ fee, which sits within the benchmarked range of 5-15% - with multilateral programmes typically sitting at the upper end of this range. </w:t>
      </w:r>
      <w:r w:rsidR="18688104" w:rsidRPr="00CC061C">
        <w:rPr>
          <w:sz w:val="22"/>
          <w:szCs w:val="22"/>
        </w:rPr>
        <w:t>As programme activities were delayed by approximately six months, we do not yet have information on programme costs for the first year of the programme’s operation.</w:t>
      </w:r>
      <w:r w:rsidR="2BA0166A" w:rsidRPr="00CC061C">
        <w:rPr>
          <w:sz w:val="22"/>
          <w:szCs w:val="22"/>
        </w:rPr>
        <w:t xml:space="preserve"> </w:t>
      </w:r>
    </w:p>
    <w:p w14:paraId="2F19A4A5" w14:textId="3439619C" w:rsidR="619B2483" w:rsidRPr="00CC061C" w:rsidRDefault="619B2483" w:rsidP="619B2483">
      <w:pPr>
        <w:rPr>
          <w:sz w:val="22"/>
          <w:szCs w:val="22"/>
        </w:rPr>
      </w:pPr>
    </w:p>
    <w:p w14:paraId="367E395D" w14:textId="56F30564" w:rsidR="0A43FF20" w:rsidRPr="00CC061C" w:rsidRDefault="0A43FF20" w:rsidP="619B2483">
      <w:pPr>
        <w:rPr>
          <w:sz w:val="22"/>
          <w:szCs w:val="22"/>
        </w:rPr>
      </w:pPr>
      <w:r w:rsidRPr="00CC061C">
        <w:rPr>
          <w:sz w:val="22"/>
          <w:szCs w:val="22"/>
        </w:rPr>
        <w:t xml:space="preserve">As the </w:t>
      </w:r>
      <w:r w:rsidR="003B0F5D" w:rsidRPr="00CC061C">
        <w:rPr>
          <w:sz w:val="22"/>
          <w:szCs w:val="22"/>
        </w:rPr>
        <w:t xml:space="preserve">institution that has been associated with </w:t>
      </w:r>
      <w:r w:rsidR="002F6571" w:rsidRPr="00CC061C">
        <w:rPr>
          <w:sz w:val="22"/>
          <w:szCs w:val="22"/>
        </w:rPr>
        <w:t xml:space="preserve">REDD+ since the concept was first introduced by Parties into UNFCCC negotiations in 2005, the </w:t>
      </w:r>
      <w:r w:rsidRPr="00CC061C">
        <w:rPr>
          <w:sz w:val="22"/>
          <w:szCs w:val="22"/>
        </w:rPr>
        <w:t xml:space="preserve">UNFCCC has unmatched expertise on REDD+ and strong relationships with </w:t>
      </w:r>
      <w:r w:rsidR="001D7A80" w:rsidRPr="00CC061C">
        <w:rPr>
          <w:sz w:val="22"/>
          <w:szCs w:val="22"/>
        </w:rPr>
        <w:t xml:space="preserve">a global network of </w:t>
      </w:r>
      <w:r w:rsidRPr="00CC061C">
        <w:rPr>
          <w:sz w:val="22"/>
          <w:szCs w:val="22"/>
        </w:rPr>
        <w:t>countries</w:t>
      </w:r>
      <w:r w:rsidR="001D7A80" w:rsidRPr="00CC061C">
        <w:rPr>
          <w:sz w:val="22"/>
          <w:szCs w:val="22"/>
        </w:rPr>
        <w:t>, technical experts and other stakeholders</w:t>
      </w:r>
      <w:r w:rsidR="002F6571" w:rsidRPr="00CC061C">
        <w:rPr>
          <w:sz w:val="22"/>
          <w:szCs w:val="22"/>
        </w:rPr>
        <w:t xml:space="preserve"> participating in REDD+</w:t>
      </w:r>
      <w:r w:rsidRPr="00CC061C">
        <w:rPr>
          <w:sz w:val="22"/>
          <w:szCs w:val="22"/>
        </w:rPr>
        <w:t xml:space="preserve">. </w:t>
      </w:r>
      <w:r w:rsidR="005E0CC3" w:rsidRPr="00CC061C">
        <w:rPr>
          <w:sz w:val="22"/>
          <w:szCs w:val="22"/>
        </w:rPr>
        <w:t>The UNFCCC is mandated to deliver certain types of functions associated with Article 5 and the Warsaw Framework for REDD+, which no other institution has</w:t>
      </w:r>
      <w:r w:rsidR="0077198A" w:rsidRPr="00CC061C">
        <w:rPr>
          <w:sz w:val="22"/>
          <w:szCs w:val="22"/>
        </w:rPr>
        <w:t>. It therefore has the systems in place to do this and the institutional experience.</w:t>
      </w:r>
      <w:r w:rsidR="005E0CC3" w:rsidRPr="00CC061C">
        <w:rPr>
          <w:sz w:val="22"/>
          <w:szCs w:val="22"/>
        </w:rPr>
        <w:t xml:space="preserve"> </w:t>
      </w:r>
      <w:r w:rsidRPr="00CC061C">
        <w:rPr>
          <w:sz w:val="22"/>
          <w:szCs w:val="22"/>
        </w:rPr>
        <w:t>Working with UNFCCC avoid</w:t>
      </w:r>
      <w:r w:rsidR="3C62738F" w:rsidRPr="00CC061C">
        <w:rPr>
          <w:sz w:val="22"/>
          <w:szCs w:val="22"/>
        </w:rPr>
        <w:t>ed</w:t>
      </w:r>
      <w:r w:rsidRPr="00CC061C">
        <w:rPr>
          <w:sz w:val="22"/>
          <w:szCs w:val="22"/>
        </w:rPr>
        <w:t xml:space="preserve"> start-up costs associated with</w:t>
      </w:r>
      <w:r w:rsidR="70F58BF3" w:rsidRPr="00CC061C">
        <w:rPr>
          <w:sz w:val="22"/>
          <w:szCs w:val="22"/>
        </w:rPr>
        <w:t xml:space="preserve"> establishing the</w:t>
      </w:r>
      <w:r w:rsidR="0077198A" w:rsidRPr="00CC061C">
        <w:rPr>
          <w:sz w:val="22"/>
          <w:szCs w:val="22"/>
        </w:rPr>
        <w:t>se</w:t>
      </w:r>
      <w:r w:rsidR="70F58BF3" w:rsidRPr="00CC061C">
        <w:rPr>
          <w:sz w:val="22"/>
          <w:szCs w:val="22"/>
        </w:rPr>
        <w:t xml:space="preserve"> systems versus </w:t>
      </w:r>
      <w:r w:rsidR="0077198A" w:rsidRPr="00CC061C">
        <w:rPr>
          <w:sz w:val="22"/>
          <w:szCs w:val="22"/>
        </w:rPr>
        <w:t xml:space="preserve">doing so with </w:t>
      </w:r>
      <w:r w:rsidR="70F58BF3" w:rsidRPr="00CC061C">
        <w:rPr>
          <w:sz w:val="22"/>
          <w:szCs w:val="22"/>
        </w:rPr>
        <w:t>other delivery partner</w:t>
      </w:r>
      <w:r w:rsidR="006A1464" w:rsidRPr="00CC061C">
        <w:rPr>
          <w:sz w:val="22"/>
          <w:szCs w:val="22"/>
        </w:rPr>
        <w:t>s who would also lack the mandate</w:t>
      </w:r>
      <w:r w:rsidR="00406850" w:rsidRPr="00CC061C">
        <w:rPr>
          <w:sz w:val="22"/>
          <w:szCs w:val="22"/>
        </w:rPr>
        <w:t xml:space="preserve"> and experience</w:t>
      </w:r>
      <w:r w:rsidR="006A1464" w:rsidRPr="00CC061C">
        <w:rPr>
          <w:sz w:val="22"/>
          <w:szCs w:val="22"/>
        </w:rPr>
        <w:t xml:space="preserve"> to offer the same support services</w:t>
      </w:r>
      <w:r w:rsidR="70F58BF3" w:rsidRPr="00CC061C">
        <w:rPr>
          <w:sz w:val="22"/>
          <w:szCs w:val="22"/>
        </w:rPr>
        <w:t>. Hence, fewer inputs are required to deliver our desired outputs, which drives economy on ICF spend.</w:t>
      </w:r>
    </w:p>
    <w:p w14:paraId="3E48316F" w14:textId="32E383A4" w:rsidR="35A85FEA" w:rsidRPr="00CC061C" w:rsidRDefault="35A85FEA" w:rsidP="35A85FEA">
      <w:pPr>
        <w:rPr>
          <w:sz w:val="22"/>
          <w:szCs w:val="22"/>
        </w:rPr>
      </w:pPr>
    </w:p>
    <w:p w14:paraId="40C029A9" w14:textId="29783D48" w:rsidR="6FC6D232" w:rsidRPr="00CC061C" w:rsidRDefault="6FC6D232" w:rsidP="50B402EF">
      <w:pPr>
        <w:rPr>
          <w:sz w:val="22"/>
          <w:szCs w:val="22"/>
        </w:rPr>
      </w:pPr>
      <w:r w:rsidRPr="0AAB32DE">
        <w:rPr>
          <w:sz w:val="22"/>
          <w:szCs w:val="22"/>
        </w:rPr>
        <w:t xml:space="preserve">Lastly, the UK is not the only contributor to the </w:t>
      </w:r>
      <w:r w:rsidR="00470E1F" w:rsidRPr="0AAB32DE">
        <w:rPr>
          <w:sz w:val="22"/>
          <w:szCs w:val="22"/>
        </w:rPr>
        <w:t>U</w:t>
      </w:r>
      <w:r w:rsidRPr="0AAB32DE">
        <w:rPr>
          <w:sz w:val="22"/>
          <w:szCs w:val="22"/>
        </w:rPr>
        <w:t>nit.</w:t>
      </w:r>
      <w:r w:rsidR="3EE35F1B" w:rsidRPr="0AAB32DE">
        <w:rPr>
          <w:sz w:val="22"/>
          <w:szCs w:val="22"/>
        </w:rPr>
        <w:t xml:space="preserve"> </w:t>
      </w:r>
      <w:r w:rsidRPr="0AAB32DE">
        <w:rPr>
          <w:sz w:val="22"/>
          <w:szCs w:val="22"/>
        </w:rPr>
        <w:t>These contributions enable British taxpayer funding to go further than it would if we were the sole contributor.</w:t>
      </w:r>
    </w:p>
    <w:p w14:paraId="0041200C" w14:textId="157F5263" w:rsidR="0910BDE5" w:rsidRPr="00CC061C" w:rsidRDefault="0910BDE5" w:rsidP="0910BDE5">
      <w:pPr>
        <w:rPr>
          <w:sz w:val="22"/>
          <w:szCs w:val="22"/>
        </w:rPr>
      </w:pPr>
    </w:p>
    <w:p w14:paraId="042329BD" w14:textId="4898D170" w:rsidR="73715A4A" w:rsidRPr="00CC061C" w:rsidRDefault="73715A4A" w:rsidP="1D2C7D60">
      <w:pPr>
        <w:rPr>
          <w:i/>
          <w:iCs/>
          <w:sz w:val="22"/>
          <w:szCs w:val="22"/>
        </w:rPr>
      </w:pPr>
      <w:r w:rsidRPr="00CC061C">
        <w:rPr>
          <w:i/>
          <w:iCs/>
          <w:sz w:val="22"/>
          <w:szCs w:val="22"/>
        </w:rPr>
        <w:t>Efficiency</w:t>
      </w:r>
    </w:p>
    <w:p w14:paraId="0C411B61" w14:textId="4B1FF668" w:rsidR="1D2C7D60" w:rsidRPr="00CC061C" w:rsidRDefault="1D2C7D60" w:rsidP="1D2C7D60">
      <w:pPr>
        <w:rPr>
          <w:i/>
          <w:iCs/>
          <w:sz w:val="22"/>
          <w:szCs w:val="22"/>
        </w:rPr>
      </w:pPr>
    </w:p>
    <w:p w14:paraId="3B405103" w14:textId="7D8227A1" w:rsidR="73715A4A" w:rsidRPr="00CC061C" w:rsidRDefault="73715A4A" w:rsidP="1D2C7D60">
      <w:pPr>
        <w:rPr>
          <w:sz w:val="22"/>
          <w:szCs w:val="22"/>
        </w:rPr>
      </w:pPr>
      <w:r w:rsidRPr="00CC061C">
        <w:rPr>
          <w:sz w:val="22"/>
          <w:szCs w:val="22"/>
        </w:rPr>
        <w:t>Efficiency refers to the likelihood that the programme converts inputs into the desired outputs.</w:t>
      </w:r>
    </w:p>
    <w:p w14:paraId="3C1E12A9" w14:textId="36AF6765" w:rsidR="674E1447" w:rsidRPr="00CC061C" w:rsidRDefault="674E1447" w:rsidP="674E1447">
      <w:pPr>
        <w:rPr>
          <w:sz w:val="22"/>
          <w:szCs w:val="22"/>
        </w:rPr>
      </w:pPr>
    </w:p>
    <w:p w14:paraId="224B3E16" w14:textId="57B8C205" w:rsidR="438AA531" w:rsidRPr="00CC061C" w:rsidRDefault="438AA531" w:rsidP="41F04112">
      <w:pPr>
        <w:rPr>
          <w:sz w:val="22"/>
          <w:szCs w:val="22"/>
        </w:rPr>
      </w:pPr>
      <w:r w:rsidRPr="00CC061C">
        <w:rPr>
          <w:sz w:val="22"/>
          <w:szCs w:val="22"/>
        </w:rPr>
        <w:t xml:space="preserve">We continue to have confidence in UNFCCC’s ability to deliver, having worked extensively with the AFOLU </w:t>
      </w:r>
      <w:r w:rsidR="2F647D32" w:rsidRPr="00CC061C">
        <w:rPr>
          <w:sz w:val="22"/>
          <w:szCs w:val="22"/>
        </w:rPr>
        <w:t>Unit</w:t>
      </w:r>
      <w:r w:rsidRPr="00CC061C">
        <w:rPr>
          <w:sz w:val="22"/>
          <w:szCs w:val="22"/>
        </w:rPr>
        <w:t xml:space="preserve"> on REDD+ and </w:t>
      </w:r>
      <w:r w:rsidR="00D009EF" w:rsidRPr="00CC061C">
        <w:rPr>
          <w:sz w:val="22"/>
          <w:szCs w:val="22"/>
        </w:rPr>
        <w:t xml:space="preserve">related </w:t>
      </w:r>
      <w:r w:rsidRPr="00CC061C">
        <w:rPr>
          <w:sz w:val="22"/>
          <w:szCs w:val="22"/>
        </w:rPr>
        <w:t>forest</w:t>
      </w:r>
      <w:r w:rsidR="00FE7DC3" w:rsidRPr="00CC061C">
        <w:rPr>
          <w:sz w:val="22"/>
          <w:szCs w:val="22"/>
        </w:rPr>
        <w:t xml:space="preserve"> matters</w:t>
      </w:r>
      <w:r w:rsidRPr="00CC061C">
        <w:rPr>
          <w:sz w:val="22"/>
          <w:szCs w:val="22"/>
        </w:rPr>
        <w:t xml:space="preserve">. </w:t>
      </w:r>
      <w:r w:rsidR="343C47EE" w:rsidRPr="00CC061C">
        <w:rPr>
          <w:sz w:val="22"/>
          <w:szCs w:val="22"/>
        </w:rPr>
        <w:t>The</w:t>
      </w:r>
      <w:r w:rsidR="0033381E" w:rsidRPr="00CC061C">
        <w:rPr>
          <w:sz w:val="22"/>
          <w:szCs w:val="22"/>
        </w:rPr>
        <w:t xml:space="preserve"> AFOLU</w:t>
      </w:r>
      <w:r w:rsidR="343C47EE" w:rsidRPr="00CC061C">
        <w:rPr>
          <w:sz w:val="22"/>
          <w:szCs w:val="22"/>
        </w:rPr>
        <w:t xml:space="preserve"> </w:t>
      </w:r>
      <w:r w:rsidR="00FE7DC3" w:rsidRPr="00CC061C">
        <w:rPr>
          <w:sz w:val="22"/>
          <w:szCs w:val="22"/>
        </w:rPr>
        <w:t>U</w:t>
      </w:r>
      <w:r w:rsidR="343C47EE" w:rsidRPr="00CC061C">
        <w:rPr>
          <w:sz w:val="22"/>
          <w:szCs w:val="22"/>
        </w:rPr>
        <w:t>nit has</w:t>
      </w:r>
      <w:r w:rsidR="0033381E" w:rsidRPr="00CC061C">
        <w:rPr>
          <w:sz w:val="22"/>
          <w:szCs w:val="22"/>
        </w:rPr>
        <w:t xml:space="preserve"> been supporting REDD+ for</w:t>
      </w:r>
      <w:r w:rsidR="343C47EE" w:rsidRPr="00CC061C">
        <w:rPr>
          <w:sz w:val="22"/>
          <w:szCs w:val="22"/>
        </w:rPr>
        <w:t xml:space="preserve"> over a decade</w:t>
      </w:r>
      <w:r w:rsidR="00A42DCA" w:rsidRPr="00CC061C">
        <w:rPr>
          <w:sz w:val="22"/>
          <w:szCs w:val="22"/>
        </w:rPr>
        <w:t>, with</w:t>
      </w:r>
      <w:r w:rsidR="00165E0B" w:rsidRPr="00CC061C">
        <w:rPr>
          <w:sz w:val="22"/>
          <w:szCs w:val="22"/>
        </w:rPr>
        <w:t xml:space="preserve"> its current structure</w:t>
      </w:r>
      <w:r w:rsidR="00683106" w:rsidRPr="00CC061C">
        <w:rPr>
          <w:sz w:val="22"/>
          <w:szCs w:val="22"/>
        </w:rPr>
        <w:t xml:space="preserve"> established follow the Paris Agreement.</w:t>
      </w:r>
      <w:r w:rsidR="00A42DCA" w:rsidRPr="00CC061C">
        <w:rPr>
          <w:sz w:val="22"/>
          <w:szCs w:val="22"/>
        </w:rPr>
        <w:t xml:space="preserve"> </w:t>
      </w:r>
      <w:r w:rsidR="00683106" w:rsidRPr="00CC061C">
        <w:rPr>
          <w:sz w:val="22"/>
          <w:szCs w:val="22"/>
        </w:rPr>
        <w:t>T</w:t>
      </w:r>
      <w:r w:rsidR="00A42DCA" w:rsidRPr="00CC061C">
        <w:rPr>
          <w:sz w:val="22"/>
          <w:szCs w:val="22"/>
        </w:rPr>
        <w:t xml:space="preserve">he current structure </w:t>
      </w:r>
      <w:r w:rsidR="343C47EE" w:rsidRPr="00CC061C">
        <w:rPr>
          <w:sz w:val="22"/>
          <w:szCs w:val="22"/>
        </w:rPr>
        <w:t>deliver</w:t>
      </w:r>
      <w:r w:rsidR="00683106" w:rsidRPr="00CC061C">
        <w:rPr>
          <w:sz w:val="22"/>
          <w:szCs w:val="22"/>
        </w:rPr>
        <w:t xml:space="preserve">s </w:t>
      </w:r>
      <w:r w:rsidR="343C47EE" w:rsidRPr="00CC061C">
        <w:rPr>
          <w:sz w:val="22"/>
          <w:szCs w:val="22"/>
        </w:rPr>
        <w:t xml:space="preserve">technical and policy support to countries on </w:t>
      </w:r>
      <w:r w:rsidR="00371641" w:rsidRPr="00CC061C">
        <w:rPr>
          <w:sz w:val="22"/>
          <w:szCs w:val="22"/>
        </w:rPr>
        <w:t xml:space="preserve">REDD+ implementation and reporting under </w:t>
      </w:r>
      <w:r w:rsidR="343C47EE" w:rsidRPr="00CC061C">
        <w:rPr>
          <w:sz w:val="22"/>
          <w:szCs w:val="22"/>
        </w:rPr>
        <w:t>the Warsaw Framework for REDD+</w:t>
      </w:r>
      <w:r w:rsidR="00371641" w:rsidRPr="00CC061C">
        <w:rPr>
          <w:sz w:val="22"/>
          <w:szCs w:val="22"/>
        </w:rPr>
        <w:t>/Article 5.2</w:t>
      </w:r>
      <w:r w:rsidR="343C47EE" w:rsidRPr="00CC061C">
        <w:rPr>
          <w:sz w:val="22"/>
          <w:szCs w:val="22"/>
        </w:rPr>
        <w:t xml:space="preserve"> and improving transparency on REDD+ results</w:t>
      </w:r>
      <w:r w:rsidR="1B79D01F" w:rsidRPr="00CC061C">
        <w:rPr>
          <w:sz w:val="22"/>
          <w:szCs w:val="22"/>
        </w:rPr>
        <w:t>, which directly supports Outcome 1</w:t>
      </w:r>
      <w:r w:rsidR="2B002D59" w:rsidRPr="00CC061C">
        <w:rPr>
          <w:sz w:val="22"/>
          <w:szCs w:val="22"/>
        </w:rPr>
        <w:t xml:space="preserve">. Its strong relationships with </w:t>
      </w:r>
      <w:r w:rsidR="5272C9CF" w:rsidRPr="00CC061C">
        <w:rPr>
          <w:sz w:val="22"/>
          <w:szCs w:val="22"/>
        </w:rPr>
        <w:t xml:space="preserve">governmental and non-governmental </w:t>
      </w:r>
      <w:r w:rsidR="3C09255D" w:rsidRPr="00CC061C">
        <w:rPr>
          <w:sz w:val="22"/>
          <w:szCs w:val="22"/>
        </w:rPr>
        <w:t>bodie</w:t>
      </w:r>
      <w:r w:rsidR="5272C9CF" w:rsidRPr="00CC061C">
        <w:rPr>
          <w:sz w:val="22"/>
          <w:szCs w:val="22"/>
        </w:rPr>
        <w:t>s fosters</w:t>
      </w:r>
      <w:r w:rsidR="03549F11" w:rsidRPr="00CC061C">
        <w:rPr>
          <w:sz w:val="22"/>
          <w:szCs w:val="22"/>
        </w:rPr>
        <w:t xml:space="preserve"> coordination and knowledge-sharing, which </w:t>
      </w:r>
      <w:r w:rsidR="13992FBA" w:rsidRPr="00CC061C">
        <w:rPr>
          <w:sz w:val="22"/>
          <w:szCs w:val="22"/>
        </w:rPr>
        <w:t>directly feeds into Outcome 2.</w:t>
      </w:r>
    </w:p>
    <w:p w14:paraId="7E4314CB" w14:textId="3AFE38CC" w:rsidR="1BD6857D" w:rsidRPr="00CC061C" w:rsidRDefault="1BD6857D" w:rsidP="1BD6857D">
      <w:pPr>
        <w:rPr>
          <w:sz w:val="22"/>
          <w:szCs w:val="22"/>
        </w:rPr>
      </w:pPr>
    </w:p>
    <w:p w14:paraId="0A1A6EB4" w14:textId="395C4B5D" w:rsidR="1BD6857D" w:rsidRPr="00CC061C" w:rsidRDefault="008C4A12" w:rsidP="1BD6857D">
      <w:pPr>
        <w:rPr>
          <w:sz w:val="22"/>
          <w:szCs w:val="22"/>
        </w:rPr>
      </w:pPr>
      <w:r w:rsidRPr="00CC061C">
        <w:rPr>
          <w:sz w:val="22"/>
          <w:szCs w:val="22"/>
        </w:rPr>
        <w:lastRenderedPageBreak/>
        <w:t>Since July 2025, t</w:t>
      </w:r>
      <w:r w:rsidR="74B3627B" w:rsidRPr="00CC061C">
        <w:rPr>
          <w:sz w:val="22"/>
          <w:szCs w:val="22"/>
        </w:rPr>
        <w:t xml:space="preserve">he </w:t>
      </w:r>
      <w:r w:rsidR="008B56F6" w:rsidRPr="00CC061C">
        <w:rPr>
          <w:sz w:val="22"/>
          <w:szCs w:val="22"/>
        </w:rPr>
        <w:t>U</w:t>
      </w:r>
      <w:r w:rsidR="74B3627B" w:rsidRPr="00CC061C">
        <w:rPr>
          <w:sz w:val="22"/>
          <w:szCs w:val="22"/>
        </w:rPr>
        <w:t xml:space="preserve">nit has delivered </w:t>
      </w:r>
      <w:proofErr w:type="gramStart"/>
      <w:r w:rsidR="74B3627B" w:rsidRPr="00CC061C">
        <w:rPr>
          <w:sz w:val="22"/>
          <w:szCs w:val="22"/>
        </w:rPr>
        <w:t>a number of</w:t>
      </w:r>
      <w:proofErr w:type="gramEnd"/>
      <w:r w:rsidR="74B3627B" w:rsidRPr="00CC061C">
        <w:rPr>
          <w:sz w:val="22"/>
          <w:szCs w:val="22"/>
        </w:rPr>
        <w:t xml:space="preserve"> activities </w:t>
      </w:r>
      <w:r w:rsidR="6A5C9BEC" w:rsidRPr="00CC061C">
        <w:rPr>
          <w:sz w:val="22"/>
          <w:szCs w:val="22"/>
        </w:rPr>
        <w:t>as a direct result of UK ICF</w:t>
      </w:r>
      <w:r w:rsidR="74B3627B" w:rsidRPr="00CC061C">
        <w:rPr>
          <w:sz w:val="22"/>
          <w:szCs w:val="22"/>
        </w:rPr>
        <w:t>, includin</w:t>
      </w:r>
      <w:r w:rsidR="702BD13A" w:rsidRPr="00CC061C">
        <w:rPr>
          <w:sz w:val="22"/>
          <w:szCs w:val="22"/>
        </w:rPr>
        <w:t>g:</w:t>
      </w:r>
    </w:p>
    <w:p w14:paraId="0166B1EC" w14:textId="79E56FE2" w:rsidR="2244DE3E" w:rsidRPr="00CC061C" w:rsidRDefault="2244DE3E" w:rsidP="2244DE3E">
      <w:pPr>
        <w:rPr>
          <w:sz w:val="22"/>
          <w:szCs w:val="22"/>
        </w:rPr>
      </w:pPr>
    </w:p>
    <w:p w14:paraId="4AAC980D" w14:textId="5B891602" w:rsidR="702BD13A" w:rsidRPr="00CC061C" w:rsidRDefault="702BD13A" w:rsidP="2244DE3E">
      <w:pPr>
        <w:pStyle w:val="ListParagraph"/>
        <w:numPr>
          <w:ilvl w:val="0"/>
          <w:numId w:val="14"/>
        </w:numPr>
        <w:rPr>
          <w:sz w:val="22"/>
          <w:szCs w:val="22"/>
        </w:rPr>
      </w:pPr>
      <w:r w:rsidRPr="00CC061C">
        <w:rPr>
          <w:sz w:val="22"/>
          <w:szCs w:val="22"/>
        </w:rPr>
        <w:t>Technical assessments of REDD+ reference levels for seven countries</w:t>
      </w:r>
    </w:p>
    <w:p w14:paraId="3625DF0E" w14:textId="20CC493F" w:rsidR="702BD13A" w:rsidRPr="00CC061C" w:rsidRDefault="702BD13A" w:rsidP="37EF20D0">
      <w:pPr>
        <w:pStyle w:val="ListParagraph"/>
        <w:numPr>
          <w:ilvl w:val="0"/>
          <w:numId w:val="14"/>
        </w:numPr>
        <w:rPr>
          <w:sz w:val="22"/>
          <w:szCs w:val="22"/>
        </w:rPr>
      </w:pPr>
      <w:r w:rsidRPr="00CC061C">
        <w:rPr>
          <w:sz w:val="22"/>
          <w:szCs w:val="22"/>
        </w:rPr>
        <w:t>Technical analyses of REDD+ results for six countries</w:t>
      </w:r>
    </w:p>
    <w:p w14:paraId="3781A9A9" w14:textId="2203813A" w:rsidR="702BD13A" w:rsidRPr="00CC061C" w:rsidRDefault="702BD13A" w:rsidP="37EF20D0">
      <w:pPr>
        <w:pStyle w:val="ListParagraph"/>
        <w:numPr>
          <w:ilvl w:val="0"/>
          <w:numId w:val="14"/>
        </w:numPr>
        <w:rPr>
          <w:sz w:val="22"/>
          <w:szCs w:val="22"/>
        </w:rPr>
      </w:pPr>
      <w:r w:rsidRPr="00CC061C">
        <w:rPr>
          <w:sz w:val="22"/>
          <w:szCs w:val="22"/>
        </w:rPr>
        <w:t xml:space="preserve">Updating the </w:t>
      </w:r>
      <w:r w:rsidR="008C4A12" w:rsidRPr="00CC061C">
        <w:rPr>
          <w:sz w:val="22"/>
          <w:szCs w:val="22"/>
        </w:rPr>
        <w:t xml:space="preserve">UNFCCC </w:t>
      </w:r>
      <w:r w:rsidRPr="00CC061C">
        <w:rPr>
          <w:sz w:val="22"/>
          <w:szCs w:val="22"/>
        </w:rPr>
        <w:t xml:space="preserve">REDD+ </w:t>
      </w:r>
      <w:r w:rsidR="008C4A12" w:rsidRPr="00CC061C">
        <w:rPr>
          <w:sz w:val="22"/>
          <w:szCs w:val="22"/>
        </w:rPr>
        <w:t>W</w:t>
      </w:r>
      <w:r w:rsidRPr="00CC061C">
        <w:rPr>
          <w:sz w:val="22"/>
          <w:szCs w:val="22"/>
        </w:rPr>
        <w:t xml:space="preserve">eb </w:t>
      </w:r>
      <w:r w:rsidR="008C4A12" w:rsidRPr="00CC061C">
        <w:rPr>
          <w:sz w:val="22"/>
          <w:szCs w:val="22"/>
        </w:rPr>
        <w:t>P</w:t>
      </w:r>
      <w:r w:rsidRPr="00CC061C">
        <w:rPr>
          <w:sz w:val="22"/>
          <w:szCs w:val="22"/>
        </w:rPr>
        <w:t>latform</w:t>
      </w:r>
      <w:r w:rsidR="008C4A12" w:rsidRPr="00CC061C">
        <w:rPr>
          <w:sz w:val="22"/>
          <w:szCs w:val="22"/>
        </w:rPr>
        <w:t xml:space="preserve"> and Lima REDD+ Information Hub</w:t>
      </w:r>
      <w:r w:rsidRPr="00CC061C">
        <w:rPr>
          <w:sz w:val="22"/>
          <w:szCs w:val="22"/>
        </w:rPr>
        <w:t>, with user surveying to further enhance</w:t>
      </w:r>
      <w:r w:rsidR="008C4A12" w:rsidRPr="00CC061C">
        <w:rPr>
          <w:sz w:val="22"/>
          <w:szCs w:val="22"/>
        </w:rPr>
        <w:t xml:space="preserve"> both</w:t>
      </w:r>
      <w:r w:rsidRPr="00CC061C">
        <w:rPr>
          <w:sz w:val="22"/>
          <w:szCs w:val="22"/>
        </w:rPr>
        <w:t xml:space="preserve"> </w:t>
      </w:r>
    </w:p>
    <w:p w14:paraId="33B49B89" w14:textId="7CA9C5AB" w:rsidR="4B8DAA4D" w:rsidRPr="00CC061C" w:rsidRDefault="334F39E8" w:rsidP="0D2EA3BB">
      <w:pPr>
        <w:pStyle w:val="ListParagraph"/>
        <w:numPr>
          <w:ilvl w:val="0"/>
          <w:numId w:val="14"/>
        </w:numPr>
        <w:rPr>
          <w:sz w:val="22"/>
          <w:szCs w:val="22"/>
        </w:rPr>
      </w:pPr>
      <w:r w:rsidRPr="00CC061C">
        <w:rPr>
          <w:sz w:val="22"/>
          <w:szCs w:val="22"/>
        </w:rPr>
        <w:t>Hosted an implementation</w:t>
      </w:r>
      <w:r w:rsidR="02002B51" w:rsidRPr="00CC061C">
        <w:rPr>
          <w:sz w:val="22"/>
          <w:szCs w:val="22"/>
        </w:rPr>
        <w:t xml:space="preserve"> forum</w:t>
      </w:r>
      <w:r w:rsidRPr="00CC061C">
        <w:rPr>
          <w:sz w:val="22"/>
          <w:szCs w:val="22"/>
        </w:rPr>
        <w:t xml:space="preserve"> at Africa Climate Week</w:t>
      </w:r>
    </w:p>
    <w:p w14:paraId="482E930A" w14:textId="592FE13F" w:rsidR="702BD13A" w:rsidRPr="00CC061C" w:rsidRDefault="007E3A13" w:rsidP="55947409">
      <w:pPr>
        <w:pStyle w:val="ListParagraph"/>
        <w:numPr>
          <w:ilvl w:val="0"/>
          <w:numId w:val="14"/>
        </w:numPr>
        <w:rPr>
          <w:sz w:val="22"/>
          <w:szCs w:val="22"/>
        </w:rPr>
      </w:pPr>
      <w:r w:rsidRPr="00CC061C">
        <w:rPr>
          <w:sz w:val="22"/>
          <w:szCs w:val="22"/>
        </w:rPr>
        <w:t xml:space="preserve">Formally launched the </w:t>
      </w:r>
      <w:r w:rsidR="702BD13A" w:rsidRPr="00CC061C">
        <w:rPr>
          <w:sz w:val="22"/>
          <w:szCs w:val="22"/>
        </w:rPr>
        <w:t xml:space="preserve">REDD+ Community of Practice </w:t>
      </w:r>
      <w:r w:rsidRPr="00CC061C">
        <w:rPr>
          <w:sz w:val="22"/>
          <w:szCs w:val="22"/>
        </w:rPr>
        <w:t xml:space="preserve">through </w:t>
      </w:r>
      <w:r w:rsidR="702BD13A" w:rsidRPr="00CC061C">
        <w:rPr>
          <w:sz w:val="22"/>
          <w:szCs w:val="22"/>
        </w:rPr>
        <w:t>webinar</w:t>
      </w:r>
      <w:r w:rsidR="004F4C5A" w:rsidRPr="00CC061C">
        <w:rPr>
          <w:sz w:val="22"/>
          <w:szCs w:val="22"/>
        </w:rPr>
        <w:t xml:space="preserve">s for national REDD+ focal and other stakeholders and </w:t>
      </w:r>
      <w:r w:rsidR="00982FE5" w:rsidRPr="00CC061C">
        <w:rPr>
          <w:sz w:val="22"/>
          <w:szCs w:val="22"/>
        </w:rPr>
        <w:t xml:space="preserve">held the first in-person regional CoP meeting of national focal points </w:t>
      </w:r>
      <w:r w:rsidR="0033581C" w:rsidRPr="00CC061C">
        <w:rPr>
          <w:sz w:val="22"/>
          <w:szCs w:val="22"/>
        </w:rPr>
        <w:t>in LAC</w:t>
      </w:r>
      <w:r w:rsidR="00982FE5" w:rsidRPr="00CC061C">
        <w:rPr>
          <w:sz w:val="22"/>
          <w:szCs w:val="22"/>
        </w:rPr>
        <w:t xml:space="preserve"> hosted by Brazil</w:t>
      </w:r>
      <w:r w:rsidR="0033581C" w:rsidRPr="00CC061C">
        <w:rPr>
          <w:sz w:val="22"/>
          <w:szCs w:val="22"/>
        </w:rPr>
        <w:t xml:space="preserve"> </w:t>
      </w:r>
    </w:p>
    <w:p w14:paraId="68D44245" w14:textId="63BBE0F8" w:rsidR="003D222C" w:rsidRPr="00CC061C" w:rsidRDefault="0033581C" w:rsidP="632FAE60">
      <w:pPr>
        <w:pStyle w:val="ListParagraph"/>
        <w:numPr>
          <w:ilvl w:val="0"/>
          <w:numId w:val="14"/>
        </w:numPr>
        <w:rPr>
          <w:sz w:val="22"/>
          <w:szCs w:val="22"/>
        </w:rPr>
      </w:pPr>
      <w:r w:rsidRPr="00CC061C">
        <w:rPr>
          <w:sz w:val="22"/>
          <w:szCs w:val="22"/>
        </w:rPr>
        <w:t>Started develop</w:t>
      </w:r>
      <w:r w:rsidR="00BB6F8E" w:rsidRPr="00CC061C">
        <w:rPr>
          <w:sz w:val="22"/>
          <w:szCs w:val="22"/>
        </w:rPr>
        <w:t>ing</w:t>
      </w:r>
      <w:r w:rsidR="702BD13A" w:rsidRPr="00CC061C">
        <w:rPr>
          <w:sz w:val="22"/>
          <w:szCs w:val="22"/>
        </w:rPr>
        <w:t xml:space="preserve"> a voluntary training course for REDD+ reviewers on monitoring, reporting, and verification</w:t>
      </w:r>
    </w:p>
    <w:p w14:paraId="3F85A19D" w14:textId="233095B5" w:rsidR="702BD13A" w:rsidRPr="00CC061C" w:rsidRDefault="702BD13A" w:rsidP="237274D7">
      <w:pPr>
        <w:pStyle w:val="ListParagraph"/>
        <w:numPr>
          <w:ilvl w:val="0"/>
          <w:numId w:val="14"/>
        </w:numPr>
        <w:rPr>
          <w:sz w:val="22"/>
          <w:szCs w:val="22"/>
        </w:rPr>
      </w:pPr>
      <w:r w:rsidRPr="00CC061C">
        <w:rPr>
          <w:sz w:val="22"/>
          <w:szCs w:val="22"/>
        </w:rPr>
        <w:t>Hosted several events on forests and REDD+ at COP30 in Brazil</w:t>
      </w:r>
    </w:p>
    <w:p w14:paraId="17DE9E5B" w14:textId="2F0A455E" w:rsidR="702BD13A" w:rsidRPr="00CC061C" w:rsidRDefault="702BD13A" w:rsidP="2AAA2E22">
      <w:pPr>
        <w:pStyle w:val="ListParagraph"/>
        <w:numPr>
          <w:ilvl w:val="0"/>
          <w:numId w:val="14"/>
        </w:numPr>
        <w:rPr>
          <w:sz w:val="22"/>
          <w:szCs w:val="22"/>
        </w:rPr>
      </w:pPr>
      <w:r w:rsidRPr="00CC061C">
        <w:rPr>
          <w:sz w:val="22"/>
          <w:szCs w:val="22"/>
        </w:rPr>
        <w:t xml:space="preserve">Continued partnerships with organisations providing support for REDD+ schemes, including </w:t>
      </w:r>
      <w:r w:rsidR="33C343F2" w:rsidRPr="00CC061C">
        <w:rPr>
          <w:sz w:val="22"/>
          <w:szCs w:val="22"/>
        </w:rPr>
        <w:t xml:space="preserve">the </w:t>
      </w:r>
      <w:r w:rsidRPr="00CC061C">
        <w:rPr>
          <w:sz w:val="22"/>
          <w:szCs w:val="22"/>
        </w:rPr>
        <w:t>FAO, G</w:t>
      </w:r>
      <w:r w:rsidR="01419B16" w:rsidRPr="00CC061C">
        <w:rPr>
          <w:sz w:val="22"/>
          <w:szCs w:val="22"/>
        </w:rPr>
        <w:t>reen Climate Fund</w:t>
      </w:r>
      <w:r w:rsidRPr="00CC061C">
        <w:rPr>
          <w:sz w:val="22"/>
          <w:szCs w:val="22"/>
        </w:rPr>
        <w:t>, G</w:t>
      </w:r>
      <w:r w:rsidR="17C89ED4" w:rsidRPr="00CC061C">
        <w:rPr>
          <w:sz w:val="22"/>
          <w:szCs w:val="22"/>
        </w:rPr>
        <w:t>lobal Forest Observations Initiative</w:t>
      </w:r>
      <w:r w:rsidRPr="00CC061C">
        <w:rPr>
          <w:sz w:val="22"/>
          <w:szCs w:val="22"/>
        </w:rPr>
        <w:t xml:space="preserve">, UN-REDD Programme, </w:t>
      </w:r>
      <w:r w:rsidR="68F6B2A3" w:rsidRPr="00CC061C">
        <w:rPr>
          <w:sz w:val="22"/>
          <w:szCs w:val="22"/>
        </w:rPr>
        <w:t xml:space="preserve">and </w:t>
      </w:r>
      <w:r w:rsidRPr="00CC061C">
        <w:rPr>
          <w:sz w:val="22"/>
          <w:szCs w:val="22"/>
        </w:rPr>
        <w:t>World Bank</w:t>
      </w:r>
      <w:r w:rsidR="74F57BAC" w:rsidRPr="00CC061C">
        <w:rPr>
          <w:sz w:val="22"/>
          <w:szCs w:val="22"/>
        </w:rPr>
        <w:t>.</w:t>
      </w:r>
    </w:p>
    <w:p w14:paraId="616140BD" w14:textId="7D3B1751" w:rsidR="7922950E" w:rsidRPr="00CC061C" w:rsidRDefault="74F57BAC" w:rsidP="7922950E">
      <w:pPr>
        <w:rPr>
          <w:sz w:val="22"/>
          <w:szCs w:val="22"/>
        </w:rPr>
      </w:pPr>
      <w:r w:rsidRPr="00CC061C">
        <w:rPr>
          <w:sz w:val="22"/>
          <w:szCs w:val="22"/>
        </w:rPr>
        <w:t>Whilst we do not have data to assess the efficiency of the programme, the UNFCCC’s deep expertise on forests and REDD+, as well as the unit’s fast turnaround after delays to deliver tangible work, gives us confidence in the programme.</w:t>
      </w:r>
    </w:p>
    <w:p w14:paraId="31A3BBF5" w14:textId="43FC8C31" w:rsidR="0C4A83E9" w:rsidRPr="00CC061C" w:rsidRDefault="0C4A83E9" w:rsidP="0C4A83E9">
      <w:pPr>
        <w:rPr>
          <w:sz w:val="22"/>
          <w:szCs w:val="22"/>
        </w:rPr>
      </w:pPr>
    </w:p>
    <w:p w14:paraId="7F05C4F5" w14:textId="44F1D3EA" w:rsidR="0C4A83E9" w:rsidRPr="00CC061C" w:rsidRDefault="2B334940" w:rsidP="2F841125">
      <w:pPr>
        <w:rPr>
          <w:i/>
          <w:iCs/>
          <w:sz w:val="22"/>
          <w:szCs w:val="22"/>
        </w:rPr>
      </w:pPr>
      <w:r w:rsidRPr="00CC061C">
        <w:rPr>
          <w:i/>
          <w:iCs/>
          <w:sz w:val="22"/>
          <w:szCs w:val="22"/>
        </w:rPr>
        <w:t>Effectiveness and cost-effectiveness</w:t>
      </w:r>
    </w:p>
    <w:p w14:paraId="26403459" w14:textId="06E64A0E" w:rsidR="2F841125" w:rsidRPr="00CC061C" w:rsidRDefault="2F841125" w:rsidP="2F841125">
      <w:pPr>
        <w:rPr>
          <w:i/>
          <w:iCs/>
          <w:sz w:val="22"/>
          <w:szCs w:val="22"/>
        </w:rPr>
      </w:pPr>
    </w:p>
    <w:p w14:paraId="6D7FEEA8" w14:textId="4F550D28" w:rsidR="672ACB36" w:rsidRPr="00CC061C" w:rsidRDefault="2B334940" w:rsidP="2E4A5CAC">
      <w:pPr>
        <w:rPr>
          <w:sz w:val="22"/>
          <w:szCs w:val="22"/>
        </w:rPr>
      </w:pPr>
      <w:r w:rsidRPr="00CC061C">
        <w:rPr>
          <w:sz w:val="22"/>
          <w:szCs w:val="22"/>
        </w:rPr>
        <w:t xml:space="preserve">Effectiveness refers to the likelihood that programme outputs achieve desired outcomes and ICF KPIs, whilst cost-effectiveness refers to </w:t>
      </w:r>
      <w:r w:rsidR="5BA5DDC7" w:rsidRPr="00CC061C">
        <w:rPr>
          <w:sz w:val="22"/>
          <w:szCs w:val="22"/>
        </w:rPr>
        <w:t>rate at which</w:t>
      </w:r>
      <w:r w:rsidR="6E7C9711" w:rsidRPr="00CC061C">
        <w:rPr>
          <w:sz w:val="22"/>
          <w:szCs w:val="22"/>
        </w:rPr>
        <w:t xml:space="preserve"> </w:t>
      </w:r>
      <w:r w:rsidR="5BA5DDC7" w:rsidRPr="00CC061C">
        <w:rPr>
          <w:sz w:val="22"/>
          <w:szCs w:val="22"/>
        </w:rPr>
        <w:t>funding transforms into desired outcomes and impacts, relative to the cost of inputs. Maximising economy, efficiency, effectiveness, and equity will ultimately increase cost-effectiveness.</w:t>
      </w:r>
    </w:p>
    <w:p w14:paraId="780B1B6D" w14:textId="43951165" w:rsidR="225DADF0" w:rsidRPr="00CC061C" w:rsidRDefault="225DADF0" w:rsidP="225DADF0">
      <w:pPr>
        <w:rPr>
          <w:sz w:val="22"/>
          <w:szCs w:val="22"/>
        </w:rPr>
      </w:pPr>
    </w:p>
    <w:p w14:paraId="50BF4A05" w14:textId="17FF389D" w:rsidR="2F841125" w:rsidRPr="00CC061C" w:rsidRDefault="5564B101" w:rsidP="2F841125">
      <w:pPr>
        <w:rPr>
          <w:sz w:val="22"/>
          <w:szCs w:val="22"/>
        </w:rPr>
      </w:pPr>
      <w:r w:rsidRPr="00CC061C">
        <w:rPr>
          <w:sz w:val="22"/>
          <w:szCs w:val="22"/>
        </w:rPr>
        <w:t>Given that we do not yet have data on the impacts of the programme’s first year of activities, we are unable to make a</w:t>
      </w:r>
      <w:r w:rsidR="58E4D701" w:rsidRPr="00CC061C">
        <w:rPr>
          <w:sz w:val="22"/>
          <w:szCs w:val="22"/>
        </w:rPr>
        <w:t xml:space="preserve"> quantit</w:t>
      </w:r>
      <w:r w:rsidR="348B50C4" w:rsidRPr="00CC061C">
        <w:rPr>
          <w:sz w:val="22"/>
          <w:szCs w:val="22"/>
        </w:rPr>
        <w:t>a</w:t>
      </w:r>
      <w:r w:rsidR="58E4D701" w:rsidRPr="00CC061C">
        <w:rPr>
          <w:sz w:val="22"/>
          <w:szCs w:val="22"/>
        </w:rPr>
        <w:t>tive</w:t>
      </w:r>
      <w:r w:rsidRPr="00CC061C">
        <w:rPr>
          <w:sz w:val="22"/>
          <w:szCs w:val="22"/>
        </w:rPr>
        <w:t xml:space="preserve"> assessment of effectiveness or cost-effectiveness in this Annual Review. </w:t>
      </w:r>
      <w:r w:rsidR="44208CFC" w:rsidRPr="00CC061C">
        <w:rPr>
          <w:sz w:val="22"/>
          <w:szCs w:val="22"/>
        </w:rPr>
        <w:t>We will work with the delivery partner to receive results as soon as is practicable and scrutinise them in due course</w:t>
      </w:r>
      <w:r w:rsidR="27A4354A" w:rsidRPr="00CC061C">
        <w:rPr>
          <w:sz w:val="22"/>
          <w:szCs w:val="22"/>
        </w:rPr>
        <w:t>. The next Annual Review will provide a comprehensive review of both effectiveness and cost-effectiveness.</w:t>
      </w:r>
      <w:r w:rsidR="1011E050" w:rsidRPr="00CC061C">
        <w:rPr>
          <w:sz w:val="22"/>
          <w:szCs w:val="22"/>
        </w:rPr>
        <w:t xml:space="preserve"> </w:t>
      </w:r>
      <w:r w:rsidR="0DCA3CE2" w:rsidRPr="00CC061C">
        <w:rPr>
          <w:sz w:val="22"/>
          <w:szCs w:val="22"/>
        </w:rPr>
        <w:t>We do expect the programme to perform positively on both Es, given the UNFCCC’s deep expertise and experience with forests and REDD+</w:t>
      </w:r>
    </w:p>
    <w:p w14:paraId="27AAD418" w14:textId="5C070BBF" w:rsidR="6104D186" w:rsidRPr="00CC061C" w:rsidRDefault="6104D186" w:rsidP="6104D186">
      <w:pPr>
        <w:rPr>
          <w:sz w:val="22"/>
          <w:szCs w:val="22"/>
        </w:rPr>
      </w:pPr>
    </w:p>
    <w:p w14:paraId="17FE2902" w14:textId="0C0F43F6" w:rsidR="27A4354A" w:rsidRPr="00CC061C" w:rsidRDefault="27A4354A" w:rsidP="7B28A1ED">
      <w:pPr>
        <w:rPr>
          <w:i/>
          <w:iCs/>
          <w:sz w:val="22"/>
          <w:szCs w:val="22"/>
        </w:rPr>
      </w:pPr>
      <w:r w:rsidRPr="00CC061C">
        <w:rPr>
          <w:i/>
          <w:iCs/>
          <w:sz w:val="22"/>
          <w:szCs w:val="22"/>
        </w:rPr>
        <w:t>Equity</w:t>
      </w:r>
    </w:p>
    <w:p w14:paraId="7DD31135" w14:textId="14630075" w:rsidR="7B28A1ED" w:rsidRPr="00CC061C" w:rsidRDefault="7B28A1ED" w:rsidP="7B28A1ED">
      <w:pPr>
        <w:rPr>
          <w:i/>
          <w:iCs/>
          <w:sz w:val="22"/>
          <w:szCs w:val="22"/>
        </w:rPr>
      </w:pPr>
    </w:p>
    <w:p w14:paraId="2A81874C" w14:textId="58829F5B" w:rsidR="7B28A1ED" w:rsidRPr="00CC061C" w:rsidRDefault="03F8404E" w:rsidP="7B28A1ED">
      <w:pPr>
        <w:rPr>
          <w:sz w:val="22"/>
          <w:szCs w:val="22"/>
        </w:rPr>
      </w:pPr>
      <w:r w:rsidRPr="00CC061C">
        <w:rPr>
          <w:sz w:val="22"/>
          <w:szCs w:val="22"/>
        </w:rPr>
        <w:t>Equity refers to how programme benefits are distributed among target populations.</w:t>
      </w:r>
    </w:p>
    <w:p w14:paraId="6805B6D1" w14:textId="0738BCD1" w:rsidR="1FAAC4A9" w:rsidRPr="00CC061C" w:rsidRDefault="1FAAC4A9" w:rsidP="1FAAC4A9">
      <w:pPr>
        <w:rPr>
          <w:sz w:val="22"/>
          <w:szCs w:val="22"/>
        </w:rPr>
      </w:pPr>
    </w:p>
    <w:p w14:paraId="01CE2BF9" w14:textId="6EDBF8DB" w:rsidR="2F841125" w:rsidRPr="00CC061C" w:rsidRDefault="3880E633" w:rsidP="7F1D24E4">
      <w:pPr>
        <w:rPr>
          <w:sz w:val="22"/>
          <w:szCs w:val="22"/>
        </w:rPr>
      </w:pPr>
      <w:r w:rsidRPr="00CC061C">
        <w:rPr>
          <w:sz w:val="22"/>
          <w:szCs w:val="22"/>
        </w:rPr>
        <w:t>By design, this</w:t>
      </w:r>
      <w:r w:rsidR="3F34AC16" w:rsidRPr="00CC061C">
        <w:rPr>
          <w:sz w:val="22"/>
          <w:szCs w:val="22"/>
        </w:rPr>
        <w:t xml:space="preserve"> programme </w:t>
      </w:r>
      <w:r w:rsidR="36B90C6E" w:rsidRPr="00CC061C">
        <w:rPr>
          <w:sz w:val="22"/>
          <w:szCs w:val="22"/>
        </w:rPr>
        <w:t>will not have</w:t>
      </w:r>
      <w:r w:rsidRPr="00CC061C">
        <w:rPr>
          <w:sz w:val="22"/>
          <w:szCs w:val="22"/>
        </w:rPr>
        <w:t xml:space="preserve"> direct impacts on any groups with protected characteristics, such as sex or race. However, </w:t>
      </w:r>
      <w:r w:rsidR="2E9038DB" w:rsidRPr="00CC061C">
        <w:rPr>
          <w:sz w:val="22"/>
          <w:szCs w:val="22"/>
        </w:rPr>
        <w:t>the overarching intention of the programme is combating deforestation, which indirectly benefit</w:t>
      </w:r>
      <w:r w:rsidR="346CED57" w:rsidRPr="00CC061C">
        <w:rPr>
          <w:sz w:val="22"/>
          <w:szCs w:val="22"/>
        </w:rPr>
        <w:t>s</w:t>
      </w:r>
      <w:r w:rsidR="2E9038DB" w:rsidRPr="00CC061C">
        <w:rPr>
          <w:sz w:val="22"/>
          <w:szCs w:val="22"/>
        </w:rPr>
        <w:t xml:space="preserve"> </w:t>
      </w:r>
      <w:r w:rsidR="4CD748C4" w:rsidRPr="00CC061C">
        <w:rPr>
          <w:sz w:val="22"/>
          <w:szCs w:val="22"/>
        </w:rPr>
        <w:t>the more-than 1.6 billion people</w:t>
      </w:r>
      <w:r w:rsidRPr="00CC061C">
        <w:rPr>
          <w:rStyle w:val="FootnoteReference"/>
          <w:sz w:val="22"/>
          <w:szCs w:val="22"/>
        </w:rPr>
        <w:footnoteReference w:id="4"/>
      </w:r>
      <w:r w:rsidR="2E9038DB" w:rsidRPr="00CC061C">
        <w:rPr>
          <w:sz w:val="22"/>
          <w:szCs w:val="22"/>
        </w:rPr>
        <w:t xml:space="preserve"> who live in forests and depend on them for their livelihoods</w:t>
      </w:r>
      <w:r w:rsidR="2E38B06A" w:rsidRPr="00CC061C">
        <w:rPr>
          <w:sz w:val="22"/>
          <w:szCs w:val="22"/>
        </w:rPr>
        <w:t>, using them as a primary source of food, fuel, and medicine</w:t>
      </w:r>
      <w:r w:rsidR="2E9038DB" w:rsidRPr="00CC061C">
        <w:rPr>
          <w:sz w:val="22"/>
          <w:szCs w:val="22"/>
        </w:rPr>
        <w:t>.</w:t>
      </w:r>
      <w:r w:rsidR="1974257C" w:rsidRPr="00CC061C">
        <w:rPr>
          <w:sz w:val="22"/>
          <w:szCs w:val="22"/>
        </w:rPr>
        <w:t xml:space="preserve"> The programme supports the implementation of national safeguards for REDD+ which recognise and mitigate potential adverse impacts on marginalised groups. Lastly, UN organisations like the UNFCCC are required to consider and monitor gender in their policies and programming.</w:t>
      </w:r>
    </w:p>
    <w:p w14:paraId="6E5C3F32" w14:textId="2B1943B3" w:rsidR="2F841125" w:rsidRPr="00CC061C" w:rsidRDefault="2F841125" w:rsidP="7F1D24E4">
      <w:pPr>
        <w:rPr>
          <w:sz w:val="22"/>
          <w:szCs w:val="22"/>
        </w:rPr>
      </w:pPr>
    </w:p>
    <w:p w14:paraId="222BD191" w14:textId="2E707740" w:rsidR="1974257C" w:rsidRPr="00CC061C" w:rsidRDefault="1974257C" w:rsidP="5417A566">
      <w:pPr>
        <w:rPr>
          <w:sz w:val="22"/>
          <w:szCs w:val="22"/>
        </w:rPr>
      </w:pPr>
      <w:r w:rsidRPr="00CC061C">
        <w:rPr>
          <w:sz w:val="22"/>
          <w:szCs w:val="22"/>
        </w:rPr>
        <w:t>Again, whilst we do not have data on the impacts on marginalised groups, we have strong grounds to believe that this programme will deliver on equity.</w:t>
      </w:r>
    </w:p>
    <w:p w14:paraId="6A5FFDF4" w14:textId="1BBBD73B" w:rsidR="74D0C0A4" w:rsidRPr="00CC061C" w:rsidRDefault="74D0C0A4" w:rsidP="74D0C0A4">
      <w:pPr>
        <w:rPr>
          <w:sz w:val="22"/>
          <w:szCs w:val="22"/>
        </w:rPr>
      </w:pPr>
    </w:p>
    <w:tbl>
      <w:tblPr>
        <w:tblStyle w:val="TableGrid"/>
        <w:tblW w:w="0" w:type="auto"/>
        <w:tblInd w:w="-5" w:type="dxa"/>
        <w:tblLook w:val="04A0" w:firstRow="1" w:lastRow="0" w:firstColumn="1" w:lastColumn="0" w:noHBand="0" w:noVBand="1"/>
      </w:tblPr>
      <w:tblGrid>
        <w:gridCol w:w="4508"/>
        <w:gridCol w:w="2268"/>
      </w:tblGrid>
      <w:tr w:rsidR="003D222C" w:rsidRPr="00CC061C" w14:paraId="237FE329" w14:textId="77777777" w:rsidTr="00830D08">
        <w:tc>
          <w:tcPr>
            <w:tcW w:w="45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FF5132" w14:textId="77777777" w:rsidR="003D222C" w:rsidRPr="00CC061C" w:rsidRDefault="003D222C" w:rsidP="00830D08">
            <w:pPr>
              <w:rPr>
                <w:rFonts w:cs="Arial"/>
                <w:sz w:val="22"/>
                <w:szCs w:val="22"/>
              </w:rPr>
            </w:pPr>
            <w:r w:rsidRPr="00CC061C">
              <w:rPr>
                <w:rFonts w:cs="Arial"/>
                <w:sz w:val="22"/>
                <w:szCs w:val="22"/>
              </w:rPr>
              <w:t>Date of last narrative financial report</w:t>
            </w:r>
          </w:p>
        </w:tc>
        <w:tc>
          <w:tcPr>
            <w:tcW w:w="2268" w:type="dxa"/>
            <w:tcBorders>
              <w:top w:val="single" w:sz="4" w:space="0" w:color="auto"/>
              <w:left w:val="single" w:sz="4" w:space="0" w:color="auto"/>
              <w:bottom w:val="single" w:sz="4" w:space="0" w:color="auto"/>
              <w:right w:val="single" w:sz="4" w:space="0" w:color="auto"/>
            </w:tcBorders>
          </w:tcPr>
          <w:p w14:paraId="2ADAB5DF" w14:textId="52309D8A" w:rsidR="003D222C" w:rsidRPr="00CC061C" w:rsidRDefault="001136F8" w:rsidP="00830D08">
            <w:pPr>
              <w:rPr>
                <w:rFonts w:cs="Arial"/>
                <w:sz w:val="22"/>
                <w:szCs w:val="22"/>
              </w:rPr>
            </w:pPr>
            <w:r w:rsidRPr="00CC061C">
              <w:rPr>
                <w:rFonts w:cs="Arial"/>
                <w:sz w:val="22"/>
                <w:szCs w:val="22"/>
              </w:rPr>
              <w:t>N/A</w:t>
            </w:r>
          </w:p>
        </w:tc>
      </w:tr>
      <w:tr w:rsidR="003D222C" w:rsidRPr="00CC061C" w14:paraId="1FE89B21" w14:textId="77777777" w:rsidTr="00830D08">
        <w:tc>
          <w:tcPr>
            <w:tcW w:w="45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3A69BE" w14:textId="77777777" w:rsidR="003D222C" w:rsidRPr="00CC061C" w:rsidRDefault="003D222C" w:rsidP="00830D08">
            <w:pPr>
              <w:rPr>
                <w:rFonts w:cs="Arial"/>
                <w:sz w:val="22"/>
                <w:szCs w:val="22"/>
              </w:rPr>
            </w:pPr>
            <w:r w:rsidRPr="00CC061C">
              <w:rPr>
                <w:rFonts w:cs="Arial"/>
                <w:sz w:val="22"/>
                <w:szCs w:val="22"/>
              </w:rPr>
              <w:t>Date of last audited annual statement</w:t>
            </w:r>
          </w:p>
        </w:tc>
        <w:tc>
          <w:tcPr>
            <w:tcW w:w="2268" w:type="dxa"/>
            <w:tcBorders>
              <w:top w:val="single" w:sz="4" w:space="0" w:color="auto"/>
              <w:left w:val="single" w:sz="4" w:space="0" w:color="auto"/>
              <w:bottom w:val="single" w:sz="4" w:space="0" w:color="auto"/>
              <w:right w:val="single" w:sz="4" w:space="0" w:color="auto"/>
            </w:tcBorders>
          </w:tcPr>
          <w:p w14:paraId="67F793A9" w14:textId="48EDBF79" w:rsidR="003D222C" w:rsidRPr="00CC061C" w:rsidRDefault="001136F8" w:rsidP="00830D08">
            <w:pPr>
              <w:rPr>
                <w:rFonts w:cs="Arial"/>
                <w:sz w:val="22"/>
                <w:szCs w:val="22"/>
              </w:rPr>
            </w:pPr>
            <w:r w:rsidRPr="00CC061C">
              <w:rPr>
                <w:rFonts w:cs="Arial"/>
                <w:sz w:val="22"/>
                <w:szCs w:val="22"/>
              </w:rPr>
              <w:t>N/A</w:t>
            </w:r>
          </w:p>
        </w:tc>
      </w:tr>
    </w:tbl>
    <w:p w14:paraId="4AB97E44" w14:textId="77777777" w:rsidR="003D222C" w:rsidRPr="00CC061C" w:rsidRDefault="003D222C">
      <w:pPr>
        <w:rPr>
          <w:sz w:val="22"/>
          <w:szCs w:val="22"/>
        </w:rPr>
      </w:pPr>
    </w:p>
    <w:sectPr w:rsidR="003D222C" w:rsidRPr="00CC061C" w:rsidSect="00830D08">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E16C" w14:textId="77777777" w:rsidR="006162BA" w:rsidRDefault="006162BA" w:rsidP="003D222C">
      <w:r>
        <w:separator/>
      </w:r>
    </w:p>
  </w:endnote>
  <w:endnote w:type="continuationSeparator" w:id="0">
    <w:p w14:paraId="3F7AE217" w14:textId="77777777" w:rsidR="006162BA" w:rsidRDefault="006162BA" w:rsidP="003D222C">
      <w:r>
        <w:continuationSeparator/>
      </w:r>
    </w:p>
  </w:endnote>
  <w:endnote w:type="continuationNotice" w:id="1">
    <w:p w14:paraId="069260E3" w14:textId="77777777" w:rsidR="006162BA" w:rsidRDefault="00616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4BC5" w14:textId="77777777" w:rsidR="006162BA" w:rsidRDefault="006162BA" w:rsidP="003D222C">
      <w:r>
        <w:separator/>
      </w:r>
    </w:p>
  </w:footnote>
  <w:footnote w:type="continuationSeparator" w:id="0">
    <w:p w14:paraId="2E20BCD8" w14:textId="77777777" w:rsidR="006162BA" w:rsidRDefault="006162BA" w:rsidP="003D222C">
      <w:r>
        <w:continuationSeparator/>
      </w:r>
    </w:p>
  </w:footnote>
  <w:footnote w:type="continuationNotice" w:id="1">
    <w:p w14:paraId="56054B80" w14:textId="77777777" w:rsidR="006162BA" w:rsidRDefault="006162BA"/>
  </w:footnote>
  <w:footnote w:id="2">
    <w:p w14:paraId="5FBB0DA3" w14:textId="43EA6BEE" w:rsidR="00F153C6" w:rsidRPr="00BE01FA" w:rsidRDefault="00F153C6" w:rsidP="009E3824">
      <w:pPr>
        <w:pStyle w:val="FootnoteText"/>
        <w:jc w:val="both"/>
        <w:rPr>
          <w:rStyle w:val="FootnoteReference"/>
        </w:rPr>
      </w:pPr>
      <w:r w:rsidRPr="00E26BEB">
        <w:rPr>
          <w:rStyle w:val="FootnoteReference"/>
        </w:rPr>
        <w:footnoteRef/>
      </w:r>
      <w:r w:rsidRPr="00E26BEB">
        <w:t xml:space="preserve"> </w:t>
      </w:r>
      <w:r w:rsidR="00F830A4" w:rsidRPr="00921BB2">
        <w:t>A reference level</w:t>
      </w:r>
      <w:r w:rsidR="00833812" w:rsidRPr="00921BB2">
        <w:t xml:space="preserve"> </w:t>
      </w:r>
      <w:r w:rsidR="00904264">
        <w:t xml:space="preserve">(FREL/FRL) </w:t>
      </w:r>
      <w:r w:rsidR="00833812" w:rsidRPr="00921BB2">
        <w:t>is one of the elements to be developed by developing country Parties implementing REDD+ activities</w:t>
      </w:r>
      <w:r w:rsidR="00F830A4" w:rsidRPr="00921BB2">
        <w:t xml:space="preserve"> under Article 5.2</w:t>
      </w:r>
      <w:r w:rsidR="00833812" w:rsidRPr="00921BB2">
        <w:t xml:space="preserve"> (according to </w:t>
      </w:r>
      <w:hyperlink r:id="rId1" w:anchor="page=12" w:tgtFrame="_blank" w:history="1">
        <w:r w:rsidR="00833812" w:rsidRPr="00921BB2">
          <w:rPr>
            <w:rStyle w:val="Hyperlink"/>
          </w:rPr>
          <w:t>paragraph 70 of decision 1/CP.16</w:t>
        </w:r>
      </w:hyperlink>
      <w:r w:rsidR="00833812" w:rsidRPr="00921BB2">
        <w:t>)</w:t>
      </w:r>
      <w:r w:rsidR="0076063D" w:rsidRPr="00921BB2">
        <w:t>.</w:t>
      </w:r>
      <w:r w:rsidR="00833812" w:rsidRPr="00921BB2">
        <w:t xml:space="preserve"> Reference levels are expressed as tonnes of CO2 equivalent per year for a reference period against which the emissions and removals from a results period will be compared. Thus, reference levels serve as benchmarks for assessing each country’s performance in implementing REDD+ activities</w:t>
      </w:r>
      <w:r w:rsidR="00921BB2" w:rsidRPr="00921BB2">
        <w:t xml:space="preserve"> </w:t>
      </w:r>
      <w:hyperlink r:id="rId2" w:history="1">
        <w:r w:rsidR="00921BB2" w:rsidRPr="00921BB2">
          <w:rPr>
            <w:rStyle w:val="Hyperlink"/>
          </w:rPr>
          <w:t>Forest reference emission levels / REDD+ - UNFCCC</w:t>
        </w:r>
      </w:hyperlink>
      <w:r w:rsidR="00833812" w:rsidRPr="00921BB2">
        <w:t xml:space="preserve">. </w:t>
      </w:r>
      <w:r w:rsidR="00997538" w:rsidRPr="00921BB2">
        <w:t xml:space="preserve"> Some distinguish between  FRELs and FRLs</w:t>
      </w:r>
      <w:r w:rsidR="00D85F0E" w:rsidRPr="00921BB2">
        <w:t>, using the term</w:t>
      </w:r>
      <w:r w:rsidR="00997538" w:rsidRPr="00921BB2">
        <w:t xml:space="preserve"> </w:t>
      </w:r>
      <w:r w:rsidRPr="00921BB2">
        <w:t>FREL</w:t>
      </w:r>
      <w:r w:rsidR="00D85F0E" w:rsidRPr="00921BB2">
        <w:t xml:space="preserve"> to refer to </w:t>
      </w:r>
      <w:r w:rsidRPr="00921BB2">
        <w:t xml:space="preserve">emissions reductions from deforestation and forest degradation, </w:t>
      </w:r>
      <w:r w:rsidR="00D85F0E" w:rsidRPr="00921BB2">
        <w:t xml:space="preserve">and </w:t>
      </w:r>
      <w:r w:rsidRPr="00921BB2">
        <w:t>FRL</w:t>
      </w:r>
      <w:r w:rsidR="00D85F0E" w:rsidRPr="00921BB2">
        <w:t xml:space="preserve"> </w:t>
      </w:r>
      <w:r w:rsidR="00ED5DAE" w:rsidRPr="00921BB2">
        <w:t xml:space="preserve"> to </w:t>
      </w:r>
      <w:r w:rsidRPr="00921BB2">
        <w:t>includ</w:t>
      </w:r>
      <w:r w:rsidR="00ED5DAE" w:rsidRPr="00921BB2">
        <w:t>e</w:t>
      </w:r>
      <w:r w:rsidRPr="00921BB2">
        <w:t xml:space="preserve"> both emissions reductions and </w:t>
      </w:r>
      <w:r w:rsidR="00B827E5" w:rsidRPr="00921BB2">
        <w:t>removals</w:t>
      </w:r>
      <w:r w:rsidR="002034E1">
        <w:t xml:space="preserve"> from </w:t>
      </w:r>
      <w:r w:rsidR="005C62E9">
        <w:t>changes in carbon stocks</w:t>
      </w:r>
      <w:r w:rsidR="00B827E5" w:rsidRPr="00921BB2">
        <w:t>.</w:t>
      </w:r>
      <w:r w:rsidRPr="00921BB2">
        <w:t xml:space="preserve">  </w:t>
      </w:r>
    </w:p>
  </w:footnote>
  <w:footnote w:id="3">
    <w:p w14:paraId="3FE83B24" w14:textId="77777777" w:rsidR="00CB63D9" w:rsidRPr="00CB63D9" w:rsidRDefault="00CB63D9" w:rsidP="00CB5429">
      <w:pPr>
        <w:pStyle w:val="FootnoteText"/>
        <w:rPr>
          <w:lang w:val="en-US"/>
        </w:rPr>
      </w:pPr>
      <w:r>
        <w:rPr>
          <w:rStyle w:val="FootnoteReference"/>
        </w:rPr>
        <w:footnoteRef/>
      </w:r>
      <w:r>
        <w:t xml:space="preserve"> </w:t>
      </w:r>
      <w:r w:rsidRPr="00CB63D9">
        <w:rPr>
          <w:lang w:val="en-US"/>
        </w:rPr>
        <w:t xml:space="preserve">Nationally determined contributions under the Paris Agreement (Document FCCC/PA/CMA/2025/8, </w:t>
      </w:r>
      <w:hyperlink r:id="rId3" w:history="1">
        <w:r w:rsidRPr="00CB63D9">
          <w:rPr>
            <w:rStyle w:val="Hyperlink"/>
            <w:lang w:val="en-US"/>
          </w:rPr>
          <w:t>https://unfccc.int/sites/default/files/resource/cma2025_08.pdf</w:t>
        </w:r>
      </w:hyperlink>
      <w:r w:rsidRPr="00CB63D9">
        <w:rPr>
          <w:lang w:val="en-US"/>
        </w:rPr>
        <w:t>), with a section on forests on pages 25-27;</w:t>
      </w:r>
    </w:p>
    <w:p w14:paraId="4B31A3F4" w14:textId="77777777" w:rsidR="00CB63D9" w:rsidRPr="00CB63D9" w:rsidRDefault="00CB63D9" w:rsidP="00CB5429">
      <w:pPr>
        <w:pStyle w:val="FootnoteText"/>
        <w:rPr>
          <w:lang w:val="en-US"/>
        </w:rPr>
      </w:pPr>
      <w:r w:rsidRPr="00CB63D9">
        <w:rPr>
          <w:lang w:val="en-US"/>
        </w:rPr>
        <w:t xml:space="preserve">Biennial transparency reports and national inventory reports (Document FCCC/PA/CMA/2025/16, </w:t>
      </w:r>
      <w:hyperlink r:id="rId4" w:history="1">
        <w:r w:rsidRPr="00CB63D9">
          <w:rPr>
            <w:rStyle w:val="Hyperlink"/>
            <w:lang w:val="en-US"/>
          </w:rPr>
          <w:t>https://unfccc.int/sites/default/files/resource/cma2025_16.pdf</w:t>
        </w:r>
      </w:hyperlink>
      <w:r w:rsidRPr="00CB63D9">
        <w:rPr>
          <w:lang w:val="en-US"/>
        </w:rPr>
        <w:t>), with a section on Land use, land-use change and forestry sector on pages 22-23;</w:t>
      </w:r>
    </w:p>
    <w:p w14:paraId="4A6B933E" w14:textId="77777777" w:rsidR="00CB63D9" w:rsidRPr="00CB63D9" w:rsidRDefault="00CB63D9" w:rsidP="00CB5429">
      <w:pPr>
        <w:pStyle w:val="FootnoteText"/>
        <w:rPr>
          <w:lang w:val="en-US"/>
        </w:rPr>
      </w:pPr>
      <w:r w:rsidRPr="00CB63D9">
        <w:rPr>
          <w:lang w:val="en-US"/>
        </w:rPr>
        <w:t xml:space="preserve">Technical expert review of biennial transparency reports (Document FCCC/PA/CMA/2025/17, </w:t>
      </w:r>
      <w:hyperlink r:id="rId5" w:history="1">
        <w:r w:rsidRPr="00CB63D9">
          <w:rPr>
            <w:rStyle w:val="Hyperlink"/>
            <w:lang w:val="en-US"/>
          </w:rPr>
          <w:t>https://unfccc.int/sites/default/files/resource/cma2025_17E.pdf</w:t>
        </w:r>
      </w:hyperlink>
      <w:r w:rsidRPr="00CB63D9">
        <w:rPr>
          <w:lang w:val="en-US"/>
        </w:rPr>
        <w:t>), with Annex I on REDD+ technical analysis on pages 19-21.</w:t>
      </w:r>
    </w:p>
    <w:p w14:paraId="3306CA00" w14:textId="1BFC95EE" w:rsidR="00CB63D9" w:rsidRDefault="00CB63D9">
      <w:pPr>
        <w:pStyle w:val="FootnoteText"/>
      </w:pPr>
    </w:p>
  </w:footnote>
  <w:footnote w:id="4">
    <w:p w14:paraId="2F47D252" w14:textId="77777777" w:rsidR="231E3692" w:rsidRDefault="231E3692" w:rsidP="231E3692">
      <w:pPr>
        <w:pStyle w:val="FootnoteText"/>
      </w:pPr>
      <w:r w:rsidRPr="231E3692">
        <w:rPr>
          <w:rStyle w:val="FootnoteReference"/>
        </w:rPr>
        <w:footnoteRef/>
      </w:r>
      <w:r>
        <w:t xml:space="preserve"> </w:t>
      </w:r>
      <w:hyperlink r:id="rId6">
        <w:r w:rsidRPr="231E3692">
          <w:rPr>
            <w:rStyle w:val="Hyperlink"/>
          </w:rPr>
          <w:t>United Nations Forum on Forests » UNFF » DESA Voice: 5 things you should know about how forests benefit people and planet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D26"/>
    <w:multiLevelType w:val="multilevel"/>
    <w:tmpl w:val="FFB2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35234"/>
    <w:multiLevelType w:val="hybridMultilevel"/>
    <w:tmpl w:val="C9B8428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B13E5F"/>
    <w:multiLevelType w:val="hybridMultilevel"/>
    <w:tmpl w:val="1EDE7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56490D"/>
    <w:multiLevelType w:val="hybridMultilevel"/>
    <w:tmpl w:val="90A452C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5426D5"/>
    <w:multiLevelType w:val="hybridMultilevel"/>
    <w:tmpl w:val="25967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D610B"/>
    <w:multiLevelType w:val="hybridMultilevel"/>
    <w:tmpl w:val="3CDC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67EE2"/>
    <w:multiLevelType w:val="hybridMultilevel"/>
    <w:tmpl w:val="148C98AA"/>
    <w:lvl w:ilvl="0" w:tplc="D63693FC">
      <w:start w:val="1"/>
      <w:numFmt w:val="bullet"/>
      <w:lvlText w:val="-"/>
      <w:lvlJc w:val="left"/>
      <w:pPr>
        <w:ind w:left="1080" w:hanging="360"/>
      </w:pPr>
      <w:rPr>
        <w:rFonts w:ascii="Courier New" w:hAnsi="Courier New" w:hint="default"/>
      </w:rPr>
    </w:lvl>
    <w:lvl w:ilvl="1" w:tplc="D63693FC">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F97A37"/>
    <w:multiLevelType w:val="hybridMultilevel"/>
    <w:tmpl w:val="B306879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4D2674"/>
    <w:multiLevelType w:val="hybridMultilevel"/>
    <w:tmpl w:val="D78A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222B2"/>
    <w:multiLevelType w:val="hybridMultilevel"/>
    <w:tmpl w:val="7024841E"/>
    <w:lvl w:ilvl="0" w:tplc="76D674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001B62"/>
    <w:multiLevelType w:val="hybridMultilevel"/>
    <w:tmpl w:val="735A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B4838"/>
    <w:multiLevelType w:val="hybridMultilevel"/>
    <w:tmpl w:val="8C703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1CE62E1"/>
    <w:multiLevelType w:val="multilevel"/>
    <w:tmpl w:val="1A9A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2187C"/>
    <w:multiLevelType w:val="hybridMultilevel"/>
    <w:tmpl w:val="274CF84A"/>
    <w:lvl w:ilvl="0" w:tplc="F16C69D2">
      <w:start w:val="1"/>
      <w:numFmt w:val="decimal"/>
      <w:lvlText w:val="%1."/>
      <w:lvlJc w:val="left"/>
      <w:pPr>
        <w:ind w:left="1020" w:hanging="360"/>
      </w:pPr>
    </w:lvl>
    <w:lvl w:ilvl="1" w:tplc="07D277A0">
      <w:start w:val="1"/>
      <w:numFmt w:val="decimal"/>
      <w:lvlText w:val="%2."/>
      <w:lvlJc w:val="left"/>
      <w:pPr>
        <w:ind w:left="1020" w:hanging="360"/>
      </w:pPr>
    </w:lvl>
    <w:lvl w:ilvl="2" w:tplc="CF962C96">
      <w:start w:val="1"/>
      <w:numFmt w:val="decimal"/>
      <w:lvlText w:val="%3."/>
      <w:lvlJc w:val="left"/>
      <w:pPr>
        <w:ind w:left="1020" w:hanging="360"/>
      </w:pPr>
    </w:lvl>
    <w:lvl w:ilvl="3" w:tplc="ECA41184">
      <w:start w:val="1"/>
      <w:numFmt w:val="decimal"/>
      <w:lvlText w:val="%4."/>
      <w:lvlJc w:val="left"/>
      <w:pPr>
        <w:ind w:left="1020" w:hanging="360"/>
      </w:pPr>
    </w:lvl>
    <w:lvl w:ilvl="4" w:tplc="51FEDB64">
      <w:start w:val="1"/>
      <w:numFmt w:val="decimal"/>
      <w:lvlText w:val="%5."/>
      <w:lvlJc w:val="left"/>
      <w:pPr>
        <w:ind w:left="1020" w:hanging="360"/>
      </w:pPr>
    </w:lvl>
    <w:lvl w:ilvl="5" w:tplc="4F8063D8">
      <w:start w:val="1"/>
      <w:numFmt w:val="decimal"/>
      <w:lvlText w:val="%6."/>
      <w:lvlJc w:val="left"/>
      <w:pPr>
        <w:ind w:left="1020" w:hanging="360"/>
      </w:pPr>
    </w:lvl>
    <w:lvl w:ilvl="6" w:tplc="D262B85E">
      <w:start w:val="1"/>
      <w:numFmt w:val="decimal"/>
      <w:lvlText w:val="%7."/>
      <w:lvlJc w:val="left"/>
      <w:pPr>
        <w:ind w:left="1020" w:hanging="360"/>
      </w:pPr>
    </w:lvl>
    <w:lvl w:ilvl="7" w:tplc="96B4E358">
      <w:start w:val="1"/>
      <w:numFmt w:val="decimal"/>
      <w:lvlText w:val="%8."/>
      <w:lvlJc w:val="left"/>
      <w:pPr>
        <w:ind w:left="1020" w:hanging="360"/>
      </w:pPr>
    </w:lvl>
    <w:lvl w:ilvl="8" w:tplc="5F1AD090">
      <w:start w:val="1"/>
      <w:numFmt w:val="decimal"/>
      <w:lvlText w:val="%9."/>
      <w:lvlJc w:val="left"/>
      <w:pPr>
        <w:ind w:left="1020" w:hanging="360"/>
      </w:pPr>
    </w:lvl>
  </w:abstractNum>
  <w:abstractNum w:abstractNumId="14" w15:restartNumberingAfterBreak="0">
    <w:nsid w:val="66924B92"/>
    <w:multiLevelType w:val="hybridMultilevel"/>
    <w:tmpl w:val="B4B4E50C"/>
    <w:lvl w:ilvl="0" w:tplc="FFFFFFFF">
      <w:start w:val="1"/>
      <w:numFmt w:val="bullet"/>
      <w:lvlText w:val=""/>
      <w:lvlJc w:val="left"/>
      <w:pPr>
        <w:ind w:left="720" w:hanging="360"/>
      </w:pPr>
      <w:rPr>
        <w:rFonts w:ascii="Symbol" w:hAnsi="Symbo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8117E1"/>
    <w:multiLevelType w:val="hybridMultilevel"/>
    <w:tmpl w:val="6E46E3C6"/>
    <w:lvl w:ilvl="0" w:tplc="8814E3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7DF965"/>
    <w:multiLevelType w:val="hybridMultilevel"/>
    <w:tmpl w:val="FFFFFFFF"/>
    <w:lvl w:ilvl="0" w:tplc="A12221CE">
      <w:start w:val="1"/>
      <w:numFmt w:val="bullet"/>
      <w:lvlText w:val="-"/>
      <w:lvlJc w:val="left"/>
      <w:pPr>
        <w:ind w:left="720" w:hanging="360"/>
      </w:pPr>
      <w:rPr>
        <w:rFonts w:ascii="Aptos" w:hAnsi="Aptos" w:hint="default"/>
      </w:rPr>
    </w:lvl>
    <w:lvl w:ilvl="1" w:tplc="29EA7A86">
      <w:start w:val="1"/>
      <w:numFmt w:val="bullet"/>
      <w:lvlText w:val="o"/>
      <w:lvlJc w:val="left"/>
      <w:pPr>
        <w:ind w:left="1440" w:hanging="360"/>
      </w:pPr>
      <w:rPr>
        <w:rFonts w:ascii="Courier New" w:hAnsi="Courier New" w:hint="default"/>
      </w:rPr>
    </w:lvl>
    <w:lvl w:ilvl="2" w:tplc="FE24661A">
      <w:start w:val="1"/>
      <w:numFmt w:val="bullet"/>
      <w:lvlText w:val=""/>
      <w:lvlJc w:val="left"/>
      <w:pPr>
        <w:ind w:left="2160" w:hanging="360"/>
      </w:pPr>
      <w:rPr>
        <w:rFonts w:ascii="Wingdings" w:hAnsi="Wingdings" w:hint="default"/>
      </w:rPr>
    </w:lvl>
    <w:lvl w:ilvl="3" w:tplc="515EE032">
      <w:start w:val="1"/>
      <w:numFmt w:val="bullet"/>
      <w:lvlText w:val=""/>
      <w:lvlJc w:val="left"/>
      <w:pPr>
        <w:ind w:left="2880" w:hanging="360"/>
      </w:pPr>
      <w:rPr>
        <w:rFonts w:ascii="Symbol" w:hAnsi="Symbol" w:hint="default"/>
      </w:rPr>
    </w:lvl>
    <w:lvl w:ilvl="4" w:tplc="7AF45946">
      <w:start w:val="1"/>
      <w:numFmt w:val="bullet"/>
      <w:lvlText w:val="o"/>
      <w:lvlJc w:val="left"/>
      <w:pPr>
        <w:ind w:left="3600" w:hanging="360"/>
      </w:pPr>
      <w:rPr>
        <w:rFonts w:ascii="Courier New" w:hAnsi="Courier New" w:hint="default"/>
      </w:rPr>
    </w:lvl>
    <w:lvl w:ilvl="5" w:tplc="29724F48">
      <w:start w:val="1"/>
      <w:numFmt w:val="bullet"/>
      <w:lvlText w:val=""/>
      <w:lvlJc w:val="left"/>
      <w:pPr>
        <w:ind w:left="4320" w:hanging="360"/>
      </w:pPr>
      <w:rPr>
        <w:rFonts w:ascii="Wingdings" w:hAnsi="Wingdings" w:hint="default"/>
      </w:rPr>
    </w:lvl>
    <w:lvl w:ilvl="6" w:tplc="0D96987C">
      <w:start w:val="1"/>
      <w:numFmt w:val="bullet"/>
      <w:lvlText w:val=""/>
      <w:lvlJc w:val="left"/>
      <w:pPr>
        <w:ind w:left="5040" w:hanging="360"/>
      </w:pPr>
      <w:rPr>
        <w:rFonts w:ascii="Symbol" w:hAnsi="Symbol" w:hint="default"/>
      </w:rPr>
    </w:lvl>
    <w:lvl w:ilvl="7" w:tplc="6122CAB8">
      <w:start w:val="1"/>
      <w:numFmt w:val="bullet"/>
      <w:lvlText w:val="o"/>
      <w:lvlJc w:val="left"/>
      <w:pPr>
        <w:ind w:left="5760" w:hanging="360"/>
      </w:pPr>
      <w:rPr>
        <w:rFonts w:ascii="Courier New" w:hAnsi="Courier New" w:hint="default"/>
      </w:rPr>
    </w:lvl>
    <w:lvl w:ilvl="8" w:tplc="6B76EE44">
      <w:start w:val="1"/>
      <w:numFmt w:val="bullet"/>
      <w:lvlText w:val=""/>
      <w:lvlJc w:val="left"/>
      <w:pPr>
        <w:ind w:left="6480" w:hanging="360"/>
      </w:pPr>
      <w:rPr>
        <w:rFonts w:ascii="Wingdings" w:hAnsi="Wingdings" w:hint="default"/>
      </w:rPr>
    </w:lvl>
  </w:abstractNum>
  <w:abstractNum w:abstractNumId="17" w15:restartNumberingAfterBreak="0">
    <w:nsid w:val="6FA15164"/>
    <w:multiLevelType w:val="hybridMultilevel"/>
    <w:tmpl w:val="6062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95B7A"/>
    <w:multiLevelType w:val="multilevel"/>
    <w:tmpl w:val="38A68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A3358"/>
    <w:multiLevelType w:val="hybridMultilevel"/>
    <w:tmpl w:val="EADA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13718"/>
    <w:multiLevelType w:val="hybridMultilevel"/>
    <w:tmpl w:val="8CB2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920116">
    <w:abstractNumId w:val="2"/>
  </w:num>
  <w:num w:numId="2" w16cid:durableId="714812672">
    <w:abstractNumId w:val="10"/>
  </w:num>
  <w:num w:numId="3" w16cid:durableId="748505300">
    <w:abstractNumId w:val="4"/>
  </w:num>
  <w:num w:numId="4" w16cid:durableId="1302731980">
    <w:abstractNumId w:val="7"/>
  </w:num>
  <w:num w:numId="5" w16cid:durableId="554388160">
    <w:abstractNumId w:val="3"/>
  </w:num>
  <w:num w:numId="6" w16cid:durableId="1329014394">
    <w:abstractNumId w:val="1"/>
  </w:num>
  <w:num w:numId="7" w16cid:durableId="611786646">
    <w:abstractNumId w:val="6"/>
  </w:num>
  <w:num w:numId="8" w16cid:durableId="1066686501">
    <w:abstractNumId w:val="18"/>
  </w:num>
  <w:num w:numId="9" w16cid:durableId="273175543">
    <w:abstractNumId w:val="17"/>
  </w:num>
  <w:num w:numId="10" w16cid:durableId="1358047173">
    <w:abstractNumId w:val="19"/>
  </w:num>
  <w:num w:numId="11" w16cid:durableId="1327199064">
    <w:abstractNumId w:val="8"/>
  </w:num>
  <w:num w:numId="12" w16cid:durableId="406807334">
    <w:abstractNumId w:val="20"/>
  </w:num>
  <w:num w:numId="13" w16cid:durableId="819537178">
    <w:abstractNumId w:val="14"/>
  </w:num>
  <w:num w:numId="14" w16cid:durableId="710425266">
    <w:abstractNumId w:val="16"/>
  </w:num>
  <w:num w:numId="15" w16cid:durableId="841317485">
    <w:abstractNumId w:val="9"/>
  </w:num>
  <w:num w:numId="16" w16cid:durableId="327057171">
    <w:abstractNumId w:val="15"/>
  </w:num>
  <w:num w:numId="17" w16cid:durableId="1335454548">
    <w:abstractNumId w:val="13"/>
  </w:num>
  <w:num w:numId="18" w16cid:durableId="669599431">
    <w:abstractNumId w:val="12"/>
  </w:num>
  <w:num w:numId="19" w16cid:durableId="1429422130">
    <w:abstractNumId w:val="0"/>
  </w:num>
  <w:num w:numId="20" w16cid:durableId="1009214411">
    <w:abstractNumId w:val="5"/>
  </w:num>
  <w:num w:numId="21" w16cid:durableId="1014235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06E7"/>
    <w:rsid w:val="0000089A"/>
    <w:rsid w:val="00000F52"/>
    <w:rsid w:val="00001CD7"/>
    <w:rsid w:val="0000238C"/>
    <w:rsid w:val="00002F03"/>
    <w:rsid w:val="00003F01"/>
    <w:rsid w:val="000043ED"/>
    <w:rsid w:val="000044C9"/>
    <w:rsid w:val="00005041"/>
    <w:rsid w:val="000056E5"/>
    <w:rsid w:val="00005F9D"/>
    <w:rsid w:val="000062C1"/>
    <w:rsid w:val="000066E7"/>
    <w:rsid w:val="0000791A"/>
    <w:rsid w:val="0001058C"/>
    <w:rsid w:val="00010A81"/>
    <w:rsid w:val="00011B0D"/>
    <w:rsid w:val="00012100"/>
    <w:rsid w:val="000127D8"/>
    <w:rsid w:val="00012B7C"/>
    <w:rsid w:val="00014822"/>
    <w:rsid w:val="00014B67"/>
    <w:rsid w:val="00014C49"/>
    <w:rsid w:val="00015479"/>
    <w:rsid w:val="000159BD"/>
    <w:rsid w:val="00015B39"/>
    <w:rsid w:val="00015C00"/>
    <w:rsid w:val="00015D7B"/>
    <w:rsid w:val="000161D9"/>
    <w:rsid w:val="0001620E"/>
    <w:rsid w:val="000171A1"/>
    <w:rsid w:val="00017477"/>
    <w:rsid w:val="000175AD"/>
    <w:rsid w:val="0001792E"/>
    <w:rsid w:val="00017BF6"/>
    <w:rsid w:val="000208A6"/>
    <w:rsid w:val="00020934"/>
    <w:rsid w:val="0002157B"/>
    <w:rsid w:val="00022618"/>
    <w:rsid w:val="00022F24"/>
    <w:rsid w:val="00022FBB"/>
    <w:rsid w:val="00023123"/>
    <w:rsid w:val="000231CA"/>
    <w:rsid w:val="00023454"/>
    <w:rsid w:val="00023AB1"/>
    <w:rsid w:val="0002449E"/>
    <w:rsid w:val="00024997"/>
    <w:rsid w:val="00024C2A"/>
    <w:rsid w:val="000250A1"/>
    <w:rsid w:val="00025101"/>
    <w:rsid w:val="0002580F"/>
    <w:rsid w:val="00025900"/>
    <w:rsid w:val="000266A9"/>
    <w:rsid w:val="00026BA0"/>
    <w:rsid w:val="00027058"/>
    <w:rsid w:val="00027351"/>
    <w:rsid w:val="00031473"/>
    <w:rsid w:val="000315B2"/>
    <w:rsid w:val="00032690"/>
    <w:rsid w:val="00032A66"/>
    <w:rsid w:val="00032C14"/>
    <w:rsid w:val="00033AFF"/>
    <w:rsid w:val="00034702"/>
    <w:rsid w:val="00034CF2"/>
    <w:rsid w:val="00035E90"/>
    <w:rsid w:val="0003664F"/>
    <w:rsid w:val="000369F7"/>
    <w:rsid w:val="00036C7E"/>
    <w:rsid w:val="00036E1D"/>
    <w:rsid w:val="00036E54"/>
    <w:rsid w:val="00036E99"/>
    <w:rsid w:val="00037078"/>
    <w:rsid w:val="0003714E"/>
    <w:rsid w:val="00037928"/>
    <w:rsid w:val="00037A7F"/>
    <w:rsid w:val="00037BA1"/>
    <w:rsid w:val="00040661"/>
    <w:rsid w:val="00040872"/>
    <w:rsid w:val="00040A4C"/>
    <w:rsid w:val="00040A8C"/>
    <w:rsid w:val="00040AF9"/>
    <w:rsid w:val="000415CC"/>
    <w:rsid w:val="00041B99"/>
    <w:rsid w:val="00041CF2"/>
    <w:rsid w:val="00041F02"/>
    <w:rsid w:val="00041F7A"/>
    <w:rsid w:val="00042E02"/>
    <w:rsid w:val="00043214"/>
    <w:rsid w:val="000439C1"/>
    <w:rsid w:val="00043B57"/>
    <w:rsid w:val="00044179"/>
    <w:rsid w:val="00044310"/>
    <w:rsid w:val="000447BF"/>
    <w:rsid w:val="00044BA3"/>
    <w:rsid w:val="000464FF"/>
    <w:rsid w:val="000475CA"/>
    <w:rsid w:val="00047FB2"/>
    <w:rsid w:val="0005162B"/>
    <w:rsid w:val="00051919"/>
    <w:rsid w:val="00051931"/>
    <w:rsid w:val="00051F4B"/>
    <w:rsid w:val="00052118"/>
    <w:rsid w:val="000522A9"/>
    <w:rsid w:val="000529A9"/>
    <w:rsid w:val="00052A51"/>
    <w:rsid w:val="00052BB7"/>
    <w:rsid w:val="00052FB1"/>
    <w:rsid w:val="00053840"/>
    <w:rsid w:val="00053B1A"/>
    <w:rsid w:val="00054277"/>
    <w:rsid w:val="00054466"/>
    <w:rsid w:val="0005478A"/>
    <w:rsid w:val="00054B33"/>
    <w:rsid w:val="00054F6F"/>
    <w:rsid w:val="00054FEA"/>
    <w:rsid w:val="000555CE"/>
    <w:rsid w:val="00055C61"/>
    <w:rsid w:val="00056718"/>
    <w:rsid w:val="00056A17"/>
    <w:rsid w:val="00056E55"/>
    <w:rsid w:val="0005742A"/>
    <w:rsid w:val="000578C9"/>
    <w:rsid w:val="0006008C"/>
    <w:rsid w:val="000614DC"/>
    <w:rsid w:val="0006151C"/>
    <w:rsid w:val="00062745"/>
    <w:rsid w:val="00062C9E"/>
    <w:rsid w:val="000632E5"/>
    <w:rsid w:val="00063575"/>
    <w:rsid w:val="0006423C"/>
    <w:rsid w:val="00064266"/>
    <w:rsid w:val="00065033"/>
    <w:rsid w:val="0006594D"/>
    <w:rsid w:val="00065BB0"/>
    <w:rsid w:val="000661C8"/>
    <w:rsid w:val="00066327"/>
    <w:rsid w:val="0006642A"/>
    <w:rsid w:val="000667C8"/>
    <w:rsid w:val="000671C2"/>
    <w:rsid w:val="0006758C"/>
    <w:rsid w:val="000704F1"/>
    <w:rsid w:val="000707BF"/>
    <w:rsid w:val="00070DC0"/>
    <w:rsid w:val="00070FF4"/>
    <w:rsid w:val="00071100"/>
    <w:rsid w:val="00071639"/>
    <w:rsid w:val="00071640"/>
    <w:rsid w:val="000716AB"/>
    <w:rsid w:val="00072F98"/>
    <w:rsid w:val="000731C5"/>
    <w:rsid w:val="00073416"/>
    <w:rsid w:val="000740C2"/>
    <w:rsid w:val="000749FD"/>
    <w:rsid w:val="00074E7F"/>
    <w:rsid w:val="00075049"/>
    <w:rsid w:val="0007505C"/>
    <w:rsid w:val="0007584A"/>
    <w:rsid w:val="0007609C"/>
    <w:rsid w:val="000766ED"/>
    <w:rsid w:val="00076890"/>
    <w:rsid w:val="00077583"/>
    <w:rsid w:val="00077629"/>
    <w:rsid w:val="000779AD"/>
    <w:rsid w:val="000800B2"/>
    <w:rsid w:val="00080399"/>
    <w:rsid w:val="00081234"/>
    <w:rsid w:val="00081236"/>
    <w:rsid w:val="00081503"/>
    <w:rsid w:val="00081536"/>
    <w:rsid w:val="000817FB"/>
    <w:rsid w:val="00081835"/>
    <w:rsid w:val="000818C4"/>
    <w:rsid w:val="00082A62"/>
    <w:rsid w:val="00082B98"/>
    <w:rsid w:val="000831BD"/>
    <w:rsid w:val="0008346B"/>
    <w:rsid w:val="00083BF0"/>
    <w:rsid w:val="00083E43"/>
    <w:rsid w:val="0008405F"/>
    <w:rsid w:val="00084150"/>
    <w:rsid w:val="00084955"/>
    <w:rsid w:val="000854F4"/>
    <w:rsid w:val="000858EB"/>
    <w:rsid w:val="00085C34"/>
    <w:rsid w:val="00085F9E"/>
    <w:rsid w:val="0008631D"/>
    <w:rsid w:val="000863CB"/>
    <w:rsid w:val="0008644B"/>
    <w:rsid w:val="0008744D"/>
    <w:rsid w:val="00087D12"/>
    <w:rsid w:val="00090C7E"/>
    <w:rsid w:val="00090FB0"/>
    <w:rsid w:val="000911E1"/>
    <w:rsid w:val="0009186F"/>
    <w:rsid w:val="00092523"/>
    <w:rsid w:val="00092588"/>
    <w:rsid w:val="000929A8"/>
    <w:rsid w:val="00092A2A"/>
    <w:rsid w:val="0009386B"/>
    <w:rsid w:val="00093C62"/>
    <w:rsid w:val="00093D0B"/>
    <w:rsid w:val="00094139"/>
    <w:rsid w:val="00094A12"/>
    <w:rsid w:val="00095041"/>
    <w:rsid w:val="000952C9"/>
    <w:rsid w:val="000956D3"/>
    <w:rsid w:val="00095936"/>
    <w:rsid w:val="00095C1B"/>
    <w:rsid w:val="0009660F"/>
    <w:rsid w:val="00096E36"/>
    <w:rsid w:val="0009773B"/>
    <w:rsid w:val="00097DC6"/>
    <w:rsid w:val="00097F06"/>
    <w:rsid w:val="000A0152"/>
    <w:rsid w:val="000A0466"/>
    <w:rsid w:val="000A0584"/>
    <w:rsid w:val="000A087B"/>
    <w:rsid w:val="000A1033"/>
    <w:rsid w:val="000A1236"/>
    <w:rsid w:val="000A14F2"/>
    <w:rsid w:val="000A157C"/>
    <w:rsid w:val="000A1D84"/>
    <w:rsid w:val="000A1E8A"/>
    <w:rsid w:val="000A2B8A"/>
    <w:rsid w:val="000A2FD0"/>
    <w:rsid w:val="000A355E"/>
    <w:rsid w:val="000A3A31"/>
    <w:rsid w:val="000A3CEB"/>
    <w:rsid w:val="000A4120"/>
    <w:rsid w:val="000A5D80"/>
    <w:rsid w:val="000A6468"/>
    <w:rsid w:val="000A65E7"/>
    <w:rsid w:val="000A6983"/>
    <w:rsid w:val="000A6F8B"/>
    <w:rsid w:val="000A730C"/>
    <w:rsid w:val="000A759E"/>
    <w:rsid w:val="000A76D8"/>
    <w:rsid w:val="000B042B"/>
    <w:rsid w:val="000B05F4"/>
    <w:rsid w:val="000B0BF9"/>
    <w:rsid w:val="000B0C91"/>
    <w:rsid w:val="000B12F2"/>
    <w:rsid w:val="000B1BDB"/>
    <w:rsid w:val="000B1D7E"/>
    <w:rsid w:val="000B1DC3"/>
    <w:rsid w:val="000B254A"/>
    <w:rsid w:val="000B27BE"/>
    <w:rsid w:val="000B2B79"/>
    <w:rsid w:val="000B312B"/>
    <w:rsid w:val="000B464B"/>
    <w:rsid w:val="000B5565"/>
    <w:rsid w:val="000B574E"/>
    <w:rsid w:val="000B5A29"/>
    <w:rsid w:val="000B6A8A"/>
    <w:rsid w:val="000B6E32"/>
    <w:rsid w:val="000B7487"/>
    <w:rsid w:val="000B7643"/>
    <w:rsid w:val="000B7A1D"/>
    <w:rsid w:val="000B7E01"/>
    <w:rsid w:val="000C0306"/>
    <w:rsid w:val="000C0485"/>
    <w:rsid w:val="000C160F"/>
    <w:rsid w:val="000C2187"/>
    <w:rsid w:val="000C2438"/>
    <w:rsid w:val="000C378B"/>
    <w:rsid w:val="000C3834"/>
    <w:rsid w:val="000C436D"/>
    <w:rsid w:val="000C4456"/>
    <w:rsid w:val="000C4483"/>
    <w:rsid w:val="000C487C"/>
    <w:rsid w:val="000C496F"/>
    <w:rsid w:val="000C4DCB"/>
    <w:rsid w:val="000C503C"/>
    <w:rsid w:val="000C5070"/>
    <w:rsid w:val="000C5AE9"/>
    <w:rsid w:val="000C5D87"/>
    <w:rsid w:val="000C62AA"/>
    <w:rsid w:val="000C6819"/>
    <w:rsid w:val="000C774B"/>
    <w:rsid w:val="000C78E9"/>
    <w:rsid w:val="000C7D31"/>
    <w:rsid w:val="000C7E10"/>
    <w:rsid w:val="000C7E8F"/>
    <w:rsid w:val="000D024C"/>
    <w:rsid w:val="000D04E7"/>
    <w:rsid w:val="000D0658"/>
    <w:rsid w:val="000D0F40"/>
    <w:rsid w:val="000D12FE"/>
    <w:rsid w:val="000D14B2"/>
    <w:rsid w:val="000D2440"/>
    <w:rsid w:val="000D2C49"/>
    <w:rsid w:val="000D2D4F"/>
    <w:rsid w:val="000D2E54"/>
    <w:rsid w:val="000D4ED7"/>
    <w:rsid w:val="000D51C3"/>
    <w:rsid w:val="000D5283"/>
    <w:rsid w:val="000D6635"/>
    <w:rsid w:val="000D7019"/>
    <w:rsid w:val="000D732B"/>
    <w:rsid w:val="000D74D0"/>
    <w:rsid w:val="000D7811"/>
    <w:rsid w:val="000E0140"/>
    <w:rsid w:val="000E033F"/>
    <w:rsid w:val="000E0451"/>
    <w:rsid w:val="000E0465"/>
    <w:rsid w:val="000E057A"/>
    <w:rsid w:val="000E0593"/>
    <w:rsid w:val="000E0625"/>
    <w:rsid w:val="000E2B2B"/>
    <w:rsid w:val="000E2C55"/>
    <w:rsid w:val="000E2F77"/>
    <w:rsid w:val="000E4DA8"/>
    <w:rsid w:val="000E55D5"/>
    <w:rsid w:val="000E578D"/>
    <w:rsid w:val="000E5FB7"/>
    <w:rsid w:val="000E624F"/>
    <w:rsid w:val="000E6567"/>
    <w:rsid w:val="000E6579"/>
    <w:rsid w:val="000E69A8"/>
    <w:rsid w:val="000E6C50"/>
    <w:rsid w:val="000E7678"/>
    <w:rsid w:val="000E77CB"/>
    <w:rsid w:val="000E78BB"/>
    <w:rsid w:val="000E79F8"/>
    <w:rsid w:val="000E7B9F"/>
    <w:rsid w:val="000F104D"/>
    <w:rsid w:val="000F1327"/>
    <w:rsid w:val="000F1547"/>
    <w:rsid w:val="000F18A6"/>
    <w:rsid w:val="000F1FFE"/>
    <w:rsid w:val="000F2B1C"/>
    <w:rsid w:val="000F2EA2"/>
    <w:rsid w:val="000F30FC"/>
    <w:rsid w:val="000F3830"/>
    <w:rsid w:val="000F3B24"/>
    <w:rsid w:val="000F42F5"/>
    <w:rsid w:val="000F456E"/>
    <w:rsid w:val="000F53B5"/>
    <w:rsid w:val="000F56BE"/>
    <w:rsid w:val="000F58C5"/>
    <w:rsid w:val="000F5CBD"/>
    <w:rsid w:val="000F653C"/>
    <w:rsid w:val="000F6991"/>
    <w:rsid w:val="000F7880"/>
    <w:rsid w:val="000F7CEC"/>
    <w:rsid w:val="000F7E0B"/>
    <w:rsid w:val="0010040B"/>
    <w:rsid w:val="00100982"/>
    <w:rsid w:val="00100F06"/>
    <w:rsid w:val="00101EA3"/>
    <w:rsid w:val="0010279D"/>
    <w:rsid w:val="00102D5A"/>
    <w:rsid w:val="00102E11"/>
    <w:rsid w:val="00102FD3"/>
    <w:rsid w:val="001033D9"/>
    <w:rsid w:val="00103576"/>
    <w:rsid w:val="00103945"/>
    <w:rsid w:val="00103D62"/>
    <w:rsid w:val="00104792"/>
    <w:rsid w:val="00105C14"/>
    <w:rsid w:val="00105F72"/>
    <w:rsid w:val="00106303"/>
    <w:rsid w:val="001079DD"/>
    <w:rsid w:val="00107F5F"/>
    <w:rsid w:val="00110879"/>
    <w:rsid w:val="00110898"/>
    <w:rsid w:val="00110951"/>
    <w:rsid w:val="00110A80"/>
    <w:rsid w:val="00111993"/>
    <w:rsid w:val="00111B50"/>
    <w:rsid w:val="00111DCD"/>
    <w:rsid w:val="001123BE"/>
    <w:rsid w:val="00112643"/>
    <w:rsid w:val="001126BC"/>
    <w:rsid w:val="0011273C"/>
    <w:rsid w:val="001136C2"/>
    <w:rsid w:val="001136F8"/>
    <w:rsid w:val="001137BC"/>
    <w:rsid w:val="001148F7"/>
    <w:rsid w:val="00114DD2"/>
    <w:rsid w:val="00114F05"/>
    <w:rsid w:val="00114F90"/>
    <w:rsid w:val="00115153"/>
    <w:rsid w:val="00115B5D"/>
    <w:rsid w:val="00116351"/>
    <w:rsid w:val="0011641F"/>
    <w:rsid w:val="00116D0F"/>
    <w:rsid w:val="00116F1D"/>
    <w:rsid w:val="00117590"/>
    <w:rsid w:val="00117643"/>
    <w:rsid w:val="001177E8"/>
    <w:rsid w:val="00117DDA"/>
    <w:rsid w:val="00117F78"/>
    <w:rsid w:val="00120654"/>
    <w:rsid w:val="001209BA"/>
    <w:rsid w:val="00121715"/>
    <w:rsid w:val="00121FD6"/>
    <w:rsid w:val="001220C4"/>
    <w:rsid w:val="00123150"/>
    <w:rsid w:val="0012331F"/>
    <w:rsid w:val="0012391B"/>
    <w:rsid w:val="00123E46"/>
    <w:rsid w:val="00123F27"/>
    <w:rsid w:val="001249F5"/>
    <w:rsid w:val="0012533E"/>
    <w:rsid w:val="00125C8C"/>
    <w:rsid w:val="00125D16"/>
    <w:rsid w:val="00126203"/>
    <w:rsid w:val="00126274"/>
    <w:rsid w:val="0012644F"/>
    <w:rsid w:val="00126697"/>
    <w:rsid w:val="0012769C"/>
    <w:rsid w:val="00127E7E"/>
    <w:rsid w:val="001287E5"/>
    <w:rsid w:val="001301F7"/>
    <w:rsid w:val="0013032D"/>
    <w:rsid w:val="00130BE0"/>
    <w:rsid w:val="0013116D"/>
    <w:rsid w:val="00131C0A"/>
    <w:rsid w:val="00131C24"/>
    <w:rsid w:val="00132652"/>
    <w:rsid w:val="00132697"/>
    <w:rsid w:val="00132E92"/>
    <w:rsid w:val="0013303C"/>
    <w:rsid w:val="0013308A"/>
    <w:rsid w:val="001332C5"/>
    <w:rsid w:val="001342E3"/>
    <w:rsid w:val="001343A1"/>
    <w:rsid w:val="00134933"/>
    <w:rsid w:val="00134C86"/>
    <w:rsid w:val="00134EBF"/>
    <w:rsid w:val="001356EA"/>
    <w:rsid w:val="00135777"/>
    <w:rsid w:val="00135B6D"/>
    <w:rsid w:val="00136975"/>
    <w:rsid w:val="00137108"/>
    <w:rsid w:val="001372B1"/>
    <w:rsid w:val="00140744"/>
    <w:rsid w:val="00140C06"/>
    <w:rsid w:val="00140EDB"/>
    <w:rsid w:val="00141CE0"/>
    <w:rsid w:val="00141F26"/>
    <w:rsid w:val="001422EE"/>
    <w:rsid w:val="0014257A"/>
    <w:rsid w:val="0014273F"/>
    <w:rsid w:val="00142D26"/>
    <w:rsid w:val="00142DC7"/>
    <w:rsid w:val="00143DA4"/>
    <w:rsid w:val="00143F86"/>
    <w:rsid w:val="00144A91"/>
    <w:rsid w:val="00145201"/>
    <w:rsid w:val="00145207"/>
    <w:rsid w:val="00145798"/>
    <w:rsid w:val="00145826"/>
    <w:rsid w:val="00145DE1"/>
    <w:rsid w:val="00145DF5"/>
    <w:rsid w:val="001466CC"/>
    <w:rsid w:val="00146F05"/>
    <w:rsid w:val="001471BD"/>
    <w:rsid w:val="0014762C"/>
    <w:rsid w:val="00150353"/>
    <w:rsid w:val="001513FA"/>
    <w:rsid w:val="0015261C"/>
    <w:rsid w:val="00152BE1"/>
    <w:rsid w:val="00152BE9"/>
    <w:rsid w:val="00152CE4"/>
    <w:rsid w:val="001531BA"/>
    <w:rsid w:val="0015326C"/>
    <w:rsid w:val="001533DE"/>
    <w:rsid w:val="001534E6"/>
    <w:rsid w:val="00153B61"/>
    <w:rsid w:val="00154810"/>
    <w:rsid w:val="00154F06"/>
    <w:rsid w:val="00155250"/>
    <w:rsid w:val="00155A76"/>
    <w:rsid w:val="00155E57"/>
    <w:rsid w:val="00155F37"/>
    <w:rsid w:val="00156F2E"/>
    <w:rsid w:val="0015704E"/>
    <w:rsid w:val="001571A8"/>
    <w:rsid w:val="00157A5D"/>
    <w:rsid w:val="00157B42"/>
    <w:rsid w:val="00160BC2"/>
    <w:rsid w:val="001610BE"/>
    <w:rsid w:val="0016125D"/>
    <w:rsid w:val="00162045"/>
    <w:rsid w:val="00162218"/>
    <w:rsid w:val="001627CC"/>
    <w:rsid w:val="00162FFA"/>
    <w:rsid w:val="00164668"/>
    <w:rsid w:val="00164A42"/>
    <w:rsid w:val="00164C69"/>
    <w:rsid w:val="00165E0B"/>
    <w:rsid w:val="001664B6"/>
    <w:rsid w:val="001665BC"/>
    <w:rsid w:val="0016714C"/>
    <w:rsid w:val="00167159"/>
    <w:rsid w:val="001672E2"/>
    <w:rsid w:val="00167855"/>
    <w:rsid w:val="001702B7"/>
    <w:rsid w:val="001703BB"/>
    <w:rsid w:val="00170EE7"/>
    <w:rsid w:val="0017109C"/>
    <w:rsid w:val="001712D2"/>
    <w:rsid w:val="00171C3E"/>
    <w:rsid w:val="00171F7F"/>
    <w:rsid w:val="001721BA"/>
    <w:rsid w:val="00172753"/>
    <w:rsid w:val="001728B2"/>
    <w:rsid w:val="00172E54"/>
    <w:rsid w:val="001731BE"/>
    <w:rsid w:val="00173D1D"/>
    <w:rsid w:val="00173FEE"/>
    <w:rsid w:val="0017419F"/>
    <w:rsid w:val="001749A3"/>
    <w:rsid w:val="00174D20"/>
    <w:rsid w:val="00175781"/>
    <w:rsid w:val="001762FC"/>
    <w:rsid w:val="001764CC"/>
    <w:rsid w:val="00177548"/>
    <w:rsid w:val="00177740"/>
    <w:rsid w:val="00180048"/>
    <w:rsid w:val="00180138"/>
    <w:rsid w:val="0018023F"/>
    <w:rsid w:val="00180A07"/>
    <w:rsid w:val="001814BF"/>
    <w:rsid w:val="00181D10"/>
    <w:rsid w:val="00181EA0"/>
    <w:rsid w:val="00182313"/>
    <w:rsid w:val="001825A0"/>
    <w:rsid w:val="0018263F"/>
    <w:rsid w:val="00183165"/>
    <w:rsid w:val="001837D1"/>
    <w:rsid w:val="00183953"/>
    <w:rsid w:val="00183FE0"/>
    <w:rsid w:val="00184C02"/>
    <w:rsid w:val="001859B9"/>
    <w:rsid w:val="00186578"/>
    <w:rsid w:val="00186ACE"/>
    <w:rsid w:val="00186E1C"/>
    <w:rsid w:val="0018704D"/>
    <w:rsid w:val="001871F3"/>
    <w:rsid w:val="001876C2"/>
    <w:rsid w:val="00187E5B"/>
    <w:rsid w:val="00190248"/>
    <w:rsid w:val="001905B9"/>
    <w:rsid w:val="00191140"/>
    <w:rsid w:val="0019117E"/>
    <w:rsid w:val="00191B05"/>
    <w:rsid w:val="00192140"/>
    <w:rsid w:val="001934D2"/>
    <w:rsid w:val="0019382C"/>
    <w:rsid w:val="00193C4F"/>
    <w:rsid w:val="00195833"/>
    <w:rsid w:val="00197245"/>
    <w:rsid w:val="00197AE7"/>
    <w:rsid w:val="00197C25"/>
    <w:rsid w:val="00197E18"/>
    <w:rsid w:val="00197FD7"/>
    <w:rsid w:val="001A0865"/>
    <w:rsid w:val="001A0FB7"/>
    <w:rsid w:val="001A1019"/>
    <w:rsid w:val="001A1030"/>
    <w:rsid w:val="001A2725"/>
    <w:rsid w:val="001A2CBF"/>
    <w:rsid w:val="001A2D27"/>
    <w:rsid w:val="001A2FAD"/>
    <w:rsid w:val="001A30C3"/>
    <w:rsid w:val="001A43F3"/>
    <w:rsid w:val="001A4772"/>
    <w:rsid w:val="001A4AA4"/>
    <w:rsid w:val="001A4BC4"/>
    <w:rsid w:val="001A4C22"/>
    <w:rsid w:val="001A4C2A"/>
    <w:rsid w:val="001A52A8"/>
    <w:rsid w:val="001A564F"/>
    <w:rsid w:val="001A6244"/>
    <w:rsid w:val="001A65A5"/>
    <w:rsid w:val="001A7120"/>
    <w:rsid w:val="001A72B7"/>
    <w:rsid w:val="001A739C"/>
    <w:rsid w:val="001A7730"/>
    <w:rsid w:val="001A7A93"/>
    <w:rsid w:val="001B02B0"/>
    <w:rsid w:val="001B1203"/>
    <w:rsid w:val="001B12D9"/>
    <w:rsid w:val="001B1F52"/>
    <w:rsid w:val="001B250B"/>
    <w:rsid w:val="001B2667"/>
    <w:rsid w:val="001B2ACB"/>
    <w:rsid w:val="001B2C8C"/>
    <w:rsid w:val="001B2F7D"/>
    <w:rsid w:val="001B3BF4"/>
    <w:rsid w:val="001B5991"/>
    <w:rsid w:val="001B5D5B"/>
    <w:rsid w:val="001B69CA"/>
    <w:rsid w:val="001B6A59"/>
    <w:rsid w:val="001B6CAC"/>
    <w:rsid w:val="001B70B0"/>
    <w:rsid w:val="001B735F"/>
    <w:rsid w:val="001C07F3"/>
    <w:rsid w:val="001C0DB5"/>
    <w:rsid w:val="001C0E54"/>
    <w:rsid w:val="001C1537"/>
    <w:rsid w:val="001C1639"/>
    <w:rsid w:val="001C1C5E"/>
    <w:rsid w:val="001C1D62"/>
    <w:rsid w:val="001C1D83"/>
    <w:rsid w:val="001C21E7"/>
    <w:rsid w:val="001C2BA5"/>
    <w:rsid w:val="001C2CB5"/>
    <w:rsid w:val="001C2DAD"/>
    <w:rsid w:val="001C2EB5"/>
    <w:rsid w:val="001C339F"/>
    <w:rsid w:val="001C38EE"/>
    <w:rsid w:val="001C3B4D"/>
    <w:rsid w:val="001C3EAA"/>
    <w:rsid w:val="001C41C6"/>
    <w:rsid w:val="001C4405"/>
    <w:rsid w:val="001C5307"/>
    <w:rsid w:val="001C5A11"/>
    <w:rsid w:val="001C5C47"/>
    <w:rsid w:val="001C6397"/>
    <w:rsid w:val="001C6554"/>
    <w:rsid w:val="001C6C3E"/>
    <w:rsid w:val="001C6F49"/>
    <w:rsid w:val="001C7EEF"/>
    <w:rsid w:val="001D0107"/>
    <w:rsid w:val="001D04D3"/>
    <w:rsid w:val="001D17C1"/>
    <w:rsid w:val="001D1925"/>
    <w:rsid w:val="001D2484"/>
    <w:rsid w:val="001D29AB"/>
    <w:rsid w:val="001D2BDC"/>
    <w:rsid w:val="001D2E9D"/>
    <w:rsid w:val="001D43BC"/>
    <w:rsid w:val="001D43D1"/>
    <w:rsid w:val="001D49C4"/>
    <w:rsid w:val="001D4BFB"/>
    <w:rsid w:val="001D541B"/>
    <w:rsid w:val="001D5DFB"/>
    <w:rsid w:val="001D6BF4"/>
    <w:rsid w:val="001D7439"/>
    <w:rsid w:val="001D7A80"/>
    <w:rsid w:val="001E084D"/>
    <w:rsid w:val="001E08AD"/>
    <w:rsid w:val="001E0E4B"/>
    <w:rsid w:val="001E111E"/>
    <w:rsid w:val="001E115F"/>
    <w:rsid w:val="001E276B"/>
    <w:rsid w:val="001E2BFB"/>
    <w:rsid w:val="001E33C8"/>
    <w:rsid w:val="001E344C"/>
    <w:rsid w:val="001E3573"/>
    <w:rsid w:val="001E40AF"/>
    <w:rsid w:val="001E4554"/>
    <w:rsid w:val="001E4D76"/>
    <w:rsid w:val="001E4E48"/>
    <w:rsid w:val="001E52BF"/>
    <w:rsid w:val="001E5A05"/>
    <w:rsid w:val="001E6114"/>
    <w:rsid w:val="001E649F"/>
    <w:rsid w:val="001E730D"/>
    <w:rsid w:val="001E7D32"/>
    <w:rsid w:val="001F0044"/>
    <w:rsid w:val="001F0773"/>
    <w:rsid w:val="001F0C91"/>
    <w:rsid w:val="001F1F64"/>
    <w:rsid w:val="001F2360"/>
    <w:rsid w:val="001F26FA"/>
    <w:rsid w:val="001F2C04"/>
    <w:rsid w:val="001F2CF1"/>
    <w:rsid w:val="001F2FB5"/>
    <w:rsid w:val="001F31B4"/>
    <w:rsid w:val="001F3486"/>
    <w:rsid w:val="001F3F90"/>
    <w:rsid w:val="001F41B3"/>
    <w:rsid w:val="001F741D"/>
    <w:rsid w:val="001F7615"/>
    <w:rsid w:val="001F7702"/>
    <w:rsid w:val="001F79BD"/>
    <w:rsid w:val="001F7A5E"/>
    <w:rsid w:val="0020045A"/>
    <w:rsid w:val="002029B1"/>
    <w:rsid w:val="002029F5"/>
    <w:rsid w:val="00203446"/>
    <w:rsid w:val="002034E1"/>
    <w:rsid w:val="002035D6"/>
    <w:rsid w:val="00204CEF"/>
    <w:rsid w:val="002053E8"/>
    <w:rsid w:val="00205880"/>
    <w:rsid w:val="002059FC"/>
    <w:rsid w:val="00206E2B"/>
    <w:rsid w:val="00207344"/>
    <w:rsid w:val="00207480"/>
    <w:rsid w:val="00207A6A"/>
    <w:rsid w:val="00210108"/>
    <w:rsid w:val="002104A7"/>
    <w:rsid w:val="002108C1"/>
    <w:rsid w:val="002114B8"/>
    <w:rsid w:val="00211965"/>
    <w:rsid w:val="002130CC"/>
    <w:rsid w:val="00213643"/>
    <w:rsid w:val="002138FB"/>
    <w:rsid w:val="002139BD"/>
    <w:rsid w:val="00213B3F"/>
    <w:rsid w:val="00213F34"/>
    <w:rsid w:val="002147DF"/>
    <w:rsid w:val="00215F4B"/>
    <w:rsid w:val="00216CD9"/>
    <w:rsid w:val="00217C95"/>
    <w:rsid w:val="00217FE7"/>
    <w:rsid w:val="002207B6"/>
    <w:rsid w:val="00221578"/>
    <w:rsid w:val="002215B4"/>
    <w:rsid w:val="00221E06"/>
    <w:rsid w:val="00221EF9"/>
    <w:rsid w:val="00222A93"/>
    <w:rsid w:val="002230B8"/>
    <w:rsid w:val="00223B66"/>
    <w:rsid w:val="00224659"/>
    <w:rsid w:val="002246DA"/>
    <w:rsid w:val="00224B32"/>
    <w:rsid w:val="00224BBD"/>
    <w:rsid w:val="00225339"/>
    <w:rsid w:val="0022553F"/>
    <w:rsid w:val="0022554F"/>
    <w:rsid w:val="00225C62"/>
    <w:rsid w:val="00225D4D"/>
    <w:rsid w:val="00226997"/>
    <w:rsid w:val="00227846"/>
    <w:rsid w:val="00230971"/>
    <w:rsid w:val="00230BC8"/>
    <w:rsid w:val="002315AC"/>
    <w:rsid w:val="00231697"/>
    <w:rsid w:val="002317CB"/>
    <w:rsid w:val="0023237C"/>
    <w:rsid w:val="002325AA"/>
    <w:rsid w:val="00232E32"/>
    <w:rsid w:val="00233376"/>
    <w:rsid w:val="00233F0E"/>
    <w:rsid w:val="0023409F"/>
    <w:rsid w:val="00234228"/>
    <w:rsid w:val="00234902"/>
    <w:rsid w:val="00234AEA"/>
    <w:rsid w:val="00234D78"/>
    <w:rsid w:val="0023552F"/>
    <w:rsid w:val="00235A84"/>
    <w:rsid w:val="00236626"/>
    <w:rsid w:val="0023685B"/>
    <w:rsid w:val="00236D48"/>
    <w:rsid w:val="00237B53"/>
    <w:rsid w:val="00240BA8"/>
    <w:rsid w:val="00240E42"/>
    <w:rsid w:val="0024102A"/>
    <w:rsid w:val="002411D7"/>
    <w:rsid w:val="00241572"/>
    <w:rsid w:val="0024175B"/>
    <w:rsid w:val="00241BEC"/>
    <w:rsid w:val="00241C59"/>
    <w:rsid w:val="00241C6F"/>
    <w:rsid w:val="0024205A"/>
    <w:rsid w:val="00242A5A"/>
    <w:rsid w:val="00242AEA"/>
    <w:rsid w:val="00242EDD"/>
    <w:rsid w:val="0024320D"/>
    <w:rsid w:val="00244318"/>
    <w:rsid w:val="002443C7"/>
    <w:rsid w:val="00244800"/>
    <w:rsid w:val="00244B7D"/>
    <w:rsid w:val="00244F96"/>
    <w:rsid w:val="00245A19"/>
    <w:rsid w:val="00245CA1"/>
    <w:rsid w:val="00245EF0"/>
    <w:rsid w:val="00246AB6"/>
    <w:rsid w:val="00246BA1"/>
    <w:rsid w:val="00247BCC"/>
    <w:rsid w:val="00247F35"/>
    <w:rsid w:val="0025047A"/>
    <w:rsid w:val="00250B61"/>
    <w:rsid w:val="00250F9D"/>
    <w:rsid w:val="00251276"/>
    <w:rsid w:val="00251380"/>
    <w:rsid w:val="0025157A"/>
    <w:rsid w:val="00253969"/>
    <w:rsid w:val="00253989"/>
    <w:rsid w:val="002539E2"/>
    <w:rsid w:val="002544B4"/>
    <w:rsid w:val="00254622"/>
    <w:rsid w:val="00254D4C"/>
    <w:rsid w:val="00255053"/>
    <w:rsid w:val="00255212"/>
    <w:rsid w:val="00255530"/>
    <w:rsid w:val="00255664"/>
    <w:rsid w:val="00255761"/>
    <w:rsid w:val="002559D1"/>
    <w:rsid w:val="00255F3D"/>
    <w:rsid w:val="0025604B"/>
    <w:rsid w:val="00256A82"/>
    <w:rsid w:val="0025729D"/>
    <w:rsid w:val="00257B6C"/>
    <w:rsid w:val="00257CB1"/>
    <w:rsid w:val="002613AF"/>
    <w:rsid w:val="00261D68"/>
    <w:rsid w:val="00262232"/>
    <w:rsid w:val="0026258F"/>
    <w:rsid w:val="00262C3C"/>
    <w:rsid w:val="00262CC8"/>
    <w:rsid w:val="00262DDB"/>
    <w:rsid w:val="00263773"/>
    <w:rsid w:val="00263907"/>
    <w:rsid w:val="002639D4"/>
    <w:rsid w:val="00263D6E"/>
    <w:rsid w:val="002642CF"/>
    <w:rsid w:val="00264548"/>
    <w:rsid w:val="0026465F"/>
    <w:rsid w:val="00264772"/>
    <w:rsid w:val="00264E4C"/>
    <w:rsid w:val="00264EF8"/>
    <w:rsid w:val="0026513E"/>
    <w:rsid w:val="00266106"/>
    <w:rsid w:val="002663C2"/>
    <w:rsid w:val="0026651A"/>
    <w:rsid w:val="002665C6"/>
    <w:rsid w:val="00266F71"/>
    <w:rsid w:val="00266FBB"/>
    <w:rsid w:val="002670C1"/>
    <w:rsid w:val="002673C6"/>
    <w:rsid w:val="00267966"/>
    <w:rsid w:val="00267F59"/>
    <w:rsid w:val="00270021"/>
    <w:rsid w:val="00270A13"/>
    <w:rsid w:val="00270BDE"/>
    <w:rsid w:val="0027164A"/>
    <w:rsid w:val="00272920"/>
    <w:rsid w:val="00272F3F"/>
    <w:rsid w:val="00273132"/>
    <w:rsid w:val="002734B3"/>
    <w:rsid w:val="00273524"/>
    <w:rsid w:val="00273B07"/>
    <w:rsid w:val="002741C5"/>
    <w:rsid w:val="002747B1"/>
    <w:rsid w:val="00274EC6"/>
    <w:rsid w:val="002758C6"/>
    <w:rsid w:val="002763E6"/>
    <w:rsid w:val="002765E9"/>
    <w:rsid w:val="00276B80"/>
    <w:rsid w:val="002778A3"/>
    <w:rsid w:val="002778E1"/>
    <w:rsid w:val="002779A8"/>
    <w:rsid w:val="00277DDE"/>
    <w:rsid w:val="00277EBD"/>
    <w:rsid w:val="00277F8A"/>
    <w:rsid w:val="002807F9"/>
    <w:rsid w:val="00281699"/>
    <w:rsid w:val="00281937"/>
    <w:rsid w:val="0028290A"/>
    <w:rsid w:val="00282943"/>
    <w:rsid w:val="00282947"/>
    <w:rsid w:val="00282A62"/>
    <w:rsid w:val="00282FBF"/>
    <w:rsid w:val="00283ED0"/>
    <w:rsid w:val="00284396"/>
    <w:rsid w:val="002845BB"/>
    <w:rsid w:val="00285044"/>
    <w:rsid w:val="002850F9"/>
    <w:rsid w:val="0028686F"/>
    <w:rsid w:val="00286E29"/>
    <w:rsid w:val="002870A5"/>
    <w:rsid w:val="002877D9"/>
    <w:rsid w:val="00287C49"/>
    <w:rsid w:val="00290CAE"/>
    <w:rsid w:val="002917EC"/>
    <w:rsid w:val="00292068"/>
    <w:rsid w:val="00292398"/>
    <w:rsid w:val="00292560"/>
    <w:rsid w:val="002927EC"/>
    <w:rsid w:val="00292D2B"/>
    <w:rsid w:val="00293266"/>
    <w:rsid w:val="00293277"/>
    <w:rsid w:val="00293513"/>
    <w:rsid w:val="00293F19"/>
    <w:rsid w:val="002942AD"/>
    <w:rsid w:val="0029464F"/>
    <w:rsid w:val="0029494A"/>
    <w:rsid w:val="002952F9"/>
    <w:rsid w:val="0029552D"/>
    <w:rsid w:val="00295A0E"/>
    <w:rsid w:val="00295ADD"/>
    <w:rsid w:val="00295E2F"/>
    <w:rsid w:val="0029616A"/>
    <w:rsid w:val="00296431"/>
    <w:rsid w:val="00296442"/>
    <w:rsid w:val="00297124"/>
    <w:rsid w:val="0029768E"/>
    <w:rsid w:val="002A0EF0"/>
    <w:rsid w:val="002A0F48"/>
    <w:rsid w:val="002A117D"/>
    <w:rsid w:val="002A1935"/>
    <w:rsid w:val="002A2C78"/>
    <w:rsid w:val="002A3026"/>
    <w:rsid w:val="002A30C7"/>
    <w:rsid w:val="002A330C"/>
    <w:rsid w:val="002A54C6"/>
    <w:rsid w:val="002A593B"/>
    <w:rsid w:val="002A5CE7"/>
    <w:rsid w:val="002A5F37"/>
    <w:rsid w:val="002A5FB2"/>
    <w:rsid w:val="002A68FE"/>
    <w:rsid w:val="002A70B8"/>
    <w:rsid w:val="002A73EF"/>
    <w:rsid w:val="002A7722"/>
    <w:rsid w:val="002A7D61"/>
    <w:rsid w:val="002B043C"/>
    <w:rsid w:val="002B0E35"/>
    <w:rsid w:val="002B1BAC"/>
    <w:rsid w:val="002B1D05"/>
    <w:rsid w:val="002B1E7C"/>
    <w:rsid w:val="002B298F"/>
    <w:rsid w:val="002B4255"/>
    <w:rsid w:val="002B4490"/>
    <w:rsid w:val="002B47A8"/>
    <w:rsid w:val="002B4892"/>
    <w:rsid w:val="002B4994"/>
    <w:rsid w:val="002B4F1A"/>
    <w:rsid w:val="002B52E1"/>
    <w:rsid w:val="002B5944"/>
    <w:rsid w:val="002B5B83"/>
    <w:rsid w:val="002B5BC1"/>
    <w:rsid w:val="002B61AC"/>
    <w:rsid w:val="002C0C2B"/>
    <w:rsid w:val="002C2C60"/>
    <w:rsid w:val="002C3BA8"/>
    <w:rsid w:val="002C3C72"/>
    <w:rsid w:val="002C3D27"/>
    <w:rsid w:val="002C4527"/>
    <w:rsid w:val="002C4A72"/>
    <w:rsid w:val="002C52A4"/>
    <w:rsid w:val="002C5776"/>
    <w:rsid w:val="002C5C0D"/>
    <w:rsid w:val="002C5DBF"/>
    <w:rsid w:val="002C6C88"/>
    <w:rsid w:val="002C7238"/>
    <w:rsid w:val="002C7961"/>
    <w:rsid w:val="002D0486"/>
    <w:rsid w:val="002D075A"/>
    <w:rsid w:val="002D0786"/>
    <w:rsid w:val="002D0ACE"/>
    <w:rsid w:val="002D0E1A"/>
    <w:rsid w:val="002D0E56"/>
    <w:rsid w:val="002D0EEE"/>
    <w:rsid w:val="002D10E5"/>
    <w:rsid w:val="002D1936"/>
    <w:rsid w:val="002D2646"/>
    <w:rsid w:val="002D303C"/>
    <w:rsid w:val="002D421E"/>
    <w:rsid w:val="002D434A"/>
    <w:rsid w:val="002D4611"/>
    <w:rsid w:val="002D631C"/>
    <w:rsid w:val="002D6C5F"/>
    <w:rsid w:val="002D72F1"/>
    <w:rsid w:val="002D7357"/>
    <w:rsid w:val="002D739E"/>
    <w:rsid w:val="002D7AA7"/>
    <w:rsid w:val="002D7D5D"/>
    <w:rsid w:val="002D7E4A"/>
    <w:rsid w:val="002D7E69"/>
    <w:rsid w:val="002E061D"/>
    <w:rsid w:val="002E080A"/>
    <w:rsid w:val="002E1503"/>
    <w:rsid w:val="002E3395"/>
    <w:rsid w:val="002E38ED"/>
    <w:rsid w:val="002E47F9"/>
    <w:rsid w:val="002E5320"/>
    <w:rsid w:val="002E59F0"/>
    <w:rsid w:val="002E5D9B"/>
    <w:rsid w:val="002E61D7"/>
    <w:rsid w:val="002E648D"/>
    <w:rsid w:val="002E690B"/>
    <w:rsid w:val="002E6D4E"/>
    <w:rsid w:val="002E6E9A"/>
    <w:rsid w:val="002E72FE"/>
    <w:rsid w:val="002E7812"/>
    <w:rsid w:val="002F0076"/>
    <w:rsid w:val="002F0FB2"/>
    <w:rsid w:val="002F1546"/>
    <w:rsid w:val="002F1DEF"/>
    <w:rsid w:val="002F1E11"/>
    <w:rsid w:val="002F1E81"/>
    <w:rsid w:val="002F2260"/>
    <w:rsid w:val="002F29D6"/>
    <w:rsid w:val="002F2B00"/>
    <w:rsid w:val="002F2C71"/>
    <w:rsid w:val="002F2CB4"/>
    <w:rsid w:val="002F2CBE"/>
    <w:rsid w:val="002F2D11"/>
    <w:rsid w:val="002F3EBB"/>
    <w:rsid w:val="002F4292"/>
    <w:rsid w:val="002F4300"/>
    <w:rsid w:val="002F43E4"/>
    <w:rsid w:val="002F4626"/>
    <w:rsid w:val="002F59E8"/>
    <w:rsid w:val="002F6273"/>
    <w:rsid w:val="002F6571"/>
    <w:rsid w:val="002F6912"/>
    <w:rsid w:val="002F726E"/>
    <w:rsid w:val="002F7768"/>
    <w:rsid w:val="003006B2"/>
    <w:rsid w:val="003007D2"/>
    <w:rsid w:val="00300A00"/>
    <w:rsid w:val="00300D24"/>
    <w:rsid w:val="00300DD2"/>
    <w:rsid w:val="00301133"/>
    <w:rsid w:val="003015C5"/>
    <w:rsid w:val="00301AC6"/>
    <w:rsid w:val="00301CEF"/>
    <w:rsid w:val="00302F6F"/>
    <w:rsid w:val="003036D9"/>
    <w:rsid w:val="00303925"/>
    <w:rsid w:val="003041C7"/>
    <w:rsid w:val="0030431A"/>
    <w:rsid w:val="003047E6"/>
    <w:rsid w:val="003059B6"/>
    <w:rsid w:val="003064BC"/>
    <w:rsid w:val="003064DF"/>
    <w:rsid w:val="00306708"/>
    <w:rsid w:val="0030685F"/>
    <w:rsid w:val="003069B1"/>
    <w:rsid w:val="00307368"/>
    <w:rsid w:val="003078AE"/>
    <w:rsid w:val="00307A27"/>
    <w:rsid w:val="00307C39"/>
    <w:rsid w:val="00310519"/>
    <w:rsid w:val="00310DB3"/>
    <w:rsid w:val="00310DD1"/>
    <w:rsid w:val="003110F9"/>
    <w:rsid w:val="00311220"/>
    <w:rsid w:val="00311AF8"/>
    <w:rsid w:val="00312340"/>
    <w:rsid w:val="0031250A"/>
    <w:rsid w:val="00312731"/>
    <w:rsid w:val="003127ED"/>
    <w:rsid w:val="00312899"/>
    <w:rsid w:val="00313530"/>
    <w:rsid w:val="0031395F"/>
    <w:rsid w:val="00313A1A"/>
    <w:rsid w:val="00314573"/>
    <w:rsid w:val="003145DD"/>
    <w:rsid w:val="00314D07"/>
    <w:rsid w:val="0031523C"/>
    <w:rsid w:val="0031532B"/>
    <w:rsid w:val="00315A4B"/>
    <w:rsid w:val="00315A94"/>
    <w:rsid w:val="00315D3E"/>
    <w:rsid w:val="0031610A"/>
    <w:rsid w:val="00316196"/>
    <w:rsid w:val="00316494"/>
    <w:rsid w:val="00316E31"/>
    <w:rsid w:val="0031703E"/>
    <w:rsid w:val="00317176"/>
    <w:rsid w:val="003174BB"/>
    <w:rsid w:val="003179C0"/>
    <w:rsid w:val="00320485"/>
    <w:rsid w:val="00320ADA"/>
    <w:rsid w:val="00320B89"/>
    <w:rsid w:val="00320BA8"/>
    <w:rsid w:val="00320F3D"/>
    <w:rsid w:val="0032171E"/>
    <w:rsid w:val="00322498"/>
    <w:rsid w:val="003225AF"/>
    <w:rsid w:val="003233BF"/>
    <w:rsid w:val="003236C1"/>
    <w:rsid w:val="0032393C"/>
    <w:rsid w:val="00323A09"/>
    <w:rsid w:val="0032423A"/>
    <w:rsid w:val="00324674"/>
    <w:rsid w:val="00324D95"/>
    <w:rsid w:val="003251AE"/>
    <w:rsid w:val="00325429"/>
    <w:rsid w:val="00325764"/>
    <w:rsid w:val="00325986"/>
    <w:rsid w:val="00325BDC"/>
    <w:rsid w:val="0032688F"/>
    <w:rsid w:val="003268EC"/>
    <w:rsid w:val="0032784A"/>
    <w:rsid w:val="00327924"/>
    <w:rsid w:val="00327D22"/>
    <w:rsid w:val="003301AF"/>
    <w:rsid w:val="003301F4"/>
    <w:rsid w:val="00330C8F"/>
    <w:rsid w:val="003326A4"/>
    <w:rsid w:val="00332AC9"/>
    <w:rsid w:val="00332AD3"/>
    <w:rsid w:val="00332CAB"/>
    <w:rsid w:val="0033381E"/>
    <w:rsid w:val="00333934"/>
    <w:rsid w:val="00334401"/>
    <w:rsid w:val="003347F9"/>
    <w:rsid w:val="00334CE8"/>
    <w:rsid w:val="003355D8"/>
    <w:rsid w:val="0033581C"/>
    <w:rsid w:val="00335DFF"/>
    <w:rsid w:val="003368EB"/>
    <w:rsid w:val="00337104"/>
    <w:rsid w:val="00337759"/>
    <w:rsid w:val="00337D29"/>
    <w:rsid w:val="003404B5"/>
    <w:rsid w:val="00340918"/>
    <w:rsid w:val="003409F8"/>
    <w:rsid w:val="00340E31"/>
    <w:rsid w:val="003411AC"/>
    <w:rsid w:val="003414B9"/>
    <w:rsid w:val="00342011"/>
    <w:rsid w:val="00342127"/>
    <w:rsid w:val="00342EF9"/>
    <w:rsid w:val="00342FDF"/>
    <w:rsid w:val="003437D2"/>
    <w:rsid w:val="003451CA"/>
    <w:rsid w:val="003454DB"/>
    <w:rsid w:val="00346038"/>
    <w:rsid w:val="00346073"/>
    <w:rsid w:val="00346438"/>
    <w:rsid w:val="00346FE4"/>
    <w:rsid w:val="00347112"/>
    <w:rsid w:val="00347D7C"/>
    <w:rsid w:val="00350249"/>
    <w:rsid w:val="003502D4"/>
    <w:rsid w:val="0035038B"/>
    <w:rsid w:val="003508A4"/>
    <w:rsid w:val="00351139"/>
    <w:rsid w:val="00351176"/>
    <w:rsid w:val="0035260F"/>
    <w:rsid w:val="00352714"/>
    <w:rsid w:val="003527F8"/>
    <w:rsid w:val="00352B22"/>
    <w:rsid w:val="0035362A"/>
    <w:rsid w:val="00354387"/>
    <w:rsid w:val="003548CD"/>
    <w:rsid w:val="00354DED"/>
    <w:rsid w:val="00355B9F"/>
    <w:rsid w:val="0035646A"/>
    <w:rsid w:val="00356ECF"/>
    <w:rsid w:val="00357111"/>
    <w:rsid w:val="003574BE"/>
    <w:rsid w:val="00360214"/>
    <w:rsid w:val="00360960"/>
    <w:rsid w:val="003615F4"/>
    <w:rsid w:val="00361DE9"/>
    <w:rsid w:val="00362BF5"/>
    <w:rsid w:val="003636BB"/>
    <w:rsid w:val="00364089"/>
    <w:rsid w:val="003641B3"/>
    <w:rsid w:val="0036455E"/>
    <w:rsid w:val="00364B65"/>
    <w:rsid w:val="00365338"/>
    <w:rsid w:val="00365AD0"/>
    <w:rsid w:val="003666A6"/>
    <w:rsid w:val="003668A0"/>
    <w:rsid w:val="00367022"/>
    <w:rsid w:val="00367402"/>
    <w:rsid w:val="00367663"/>
    <w:rsid w:val="0036797B"/>
    <w:rsid w:val="003703B5"/>
    <w:rsid w:val="003703C9"/>
    <w:rsid w:val="0037054D"/>
    <w:rsid w:val="00371247"/>
    <w:rsid w:val="0037141E"/>
    <w:rsid w:val="00371636"/>
    <w:rsid w:val="00371641"/>
    <w:rsid w:val="0037168D"/>
    <w:rsid w:val="003723EC"/>
    <w:rsid w:val="00372485"/>
    <w:rsid w:val="00372C9C"/>
    <w:rsid w:val="00372CD0"/>
    <w:rsid w:val="003738E9"/>
    <w:rsid w:val="00373D8D"/>
    <w:rsid w:val="00373F12"/>
    <w:rsid w:val="00373F36"/>
    <w:rsid w:val="00374A87"/>
    <w:rsid w:val="003750D4"/>
    <w:rsid w:val="00375311"/>
    <w:rsid w:val="00375757"/>
    <w:rsid w:val="00376044"/>
    <w:rsid w:val="00376B9F"/>
    <w:rsid w:val="0037734B"/>
    <w:rsid w:val="003779BA"/>
    <w:rsid w:val="00377A02"/>
    <w:rsid w:val="00377F45"/>
    <w:rsid w:val="00380100"/>
    <w:rsid w:val="00380883"/>
    <w:rsid w:val="00380FF0"/>
    <w:rsid w:val="00381282"/>
    <w:rsid w:val="003816BD"/>
    <w:rsid w:val="00381E3A"/>
    <w:rsid w:val="00381F74"/>
    <w:rsid w:val="00382399"/>
    <w:rsid w:val="003831D1"/>
    <w:rsid w:val="00383BCC"/>
    <w:rsid w:val="00383C71"/>
    <w:rsid w:val="00383DA8"/>
    <w:rsid w:val="00383E16"/>
    <w:rsid w:val="00383E85"/>
    <w:rsid w:val="00384089"/>
    <w:rsid w:val="0038434A"/>
    <w:rsid w:val="00384423"/>
    <w:rsid w:val="003848A2"/>
    <w:rsid w:val="00384D00"/>
    <w:rsid w:val="003852BE"/>
    <w:rsid w:val="00386C24"/>
    <w:rsid w:val="00386DFC"/>
    <w:rsid w:val="00387942"/>
    <w:rsid w:val="00387CA3"/>
    <w:rsid w:val="003901D7"/>
    <w:rsid w:val="00390232"/>
    <w:rsid w:val="00390C38"/>
    <w:rsid w:val="00390E00"/>
    <w:rsid w:val="00392004"/>
    <w:rsid w:val="003920DE"/>
    <w:rsid w:val="00392250"/>
    <w:rsid w:val="0039286B"/>
    <w:rsid w:val="003928D3"/>
    <w:rsid w:val="00392BBA"/>
    <w:rsid w:val="00392E8F"/>
    <w:rsid w:val="00392EFC"/>
    <w:rsid w:val="003933E3"/>
    <w:rsid w:val="0039450D"/>
    <w:rsid w:val="003949DA"/>
    <w:rsid w:val="00394B1C"/>
    <w:rsid w:val="00394BD9"/>
    <w:rsid w:val="00394DEC"/>
    <w:rsid w:val="00394F1D"/>
    <w:rsid w:val="00395ABA"/>
    <w:rsid w:val="00395C62"/>
    <w:rsid w:val="00396C12"/>
    <w:rsid w:val="003975C5"/>
    <w:rsid w:val="003A0E97"/>
    <w:rsid w:val="003A0FAD"/>
    <w:rsid w:val="003A1013"/>
    <w:rsid w:val="003A1AC9"/>
    <w:rsid w:val="003A26B5"/>
    <w:rsid w:val="003A2B5B"/>
    <w:rsid w:val="003A2BA5"/>
    <w:rsid w:val="003A38FB"/>
    <w:rsid w:val="003A4191"/>
    <w:rsid w:val="003A472C"/>
    <w:rsid w:val="003A4832"/>
    <w:rsid w:val="003A5089"/>
    <w:rsid w:val="003A5D79"/>
    <w:rsid w:val="003A5EA5"/>
    <w:rsid w:val="003A5F24"/>
    <w:rsid w:val="003A65F2"/>
    <w:rsid w:val="003A67C1"/>
    <w:rsid w:val="003A7467"/>
    <w:rsid w:val="003A7E6E"/>
    <w:rsid w:val="003B0349"/>
    <w:rsid w:val="003B077A"/>
    <w:rsid w:val="003B07B9"/>
    <w:rsid w:val="003B0DB6"/>
    <w:rsid w:val="003B0E1B"/>
    <w:rsid w:val="003B0F5D"/>
    <w:rsid w:val="003B156E"/>
    <w:rsid w:val="003B18EB"/>
    <w:rsid w:val="003B20EA"/>
    <w:rsid w:val="003B2314"/>
    <w:rsid w:val="003B2605"/>
    <w:rsid w:val="003B2C3D"/>
    <w:rsid w:val="003B2FA7"/>
    <w:rsid w:val="003B31DC"/>
    <w:rsid w:val="003B3936"/>
    <w:rsid w:val="003B398D"/>
    <w:rsid w:val="003B3BBE"/>
    <w:rsid w:val="003B4004"/>
    <w:rsid w:val="003B4060"/>
    <w:rsid w:val="003B42C3"/>
    <w:rsid w:val="003B4690"/>
    <w:rsid w:val="003B5CE9"/>
    <w:rsid w:val="003B6CF1"/>
    <w:rsid w:val="003B7246"/>
    <w:rsid w:val="003B7488"/>
    <w:rsid w:val="003B77B3"/>
    <w:rsid w:val="003C018C"/>
    <w:rsid w:val="003C04D5"/>
    <w:rsid w:val="003C0E87"/>
    <w:rsid w:val="003C1077"/>
    <w:rsid w:val="003C125E"/>
    <w:rsid w:val="003C1366"/>
    <w:rsid w:val="003C1D48"/>
    <w:rsid w:val="003C2574"/>
    <w:rsid w:val="003C2D27"/>
    <w:rsid w:val="003C30D1"/>
    <w:rsid w:val="003C3EC6"/>
    <w:rsid w:val="003C52AB"/>
    <w:rsid w:val="003C53AD"/>
    <w:rsid w:val="003C5861"/>
    <w:rsid w:val="003C5A75"/>
    <w:rsid w:val="003C6324"/>
    <w:rsid w:val="003C7141"/>
    <w:rsid w:val="003C7263"/>
    <w:rsid w:val="003C7467"/>
    <w:rsid w:val="003C7A48"/>
    <w:rsid w:val="003C7EF4"/>
    <w:rsid w:val="003D03E2"/>
    <w:rsid w:val="003D0934"/>
    <w:rsid w:val="003D0F3A"/>
    <w:rsid w:val="003D12C6"/>
    <w:rsid w:val="003D135C"/>
    <w:rsid w:val="003D1380"/>
    <w:rsid w:val="003D175F"/>
    <w:rsid w:val="003D1F13"/>
    <w:rsid w:val="003D1FF6"/>
    <w:rsid w:val="003D222C"/>
    <w:rsid w:val="003D26CD"/>
    <w:rsid w:val="003D2810"/>
    <w:rsid w:val="003D2DC4"/>
    <w:rsid w:val="003D2DCE"/>
    <w:rsid w:val="003D35B6"/>
    <w:rsid w:val="003D3BEA"/>
    <w:rsid w:val="003D3CE4"/>
    <w:rsid w:val="003D3DF8"/>
    <w:rsid w:val="003D41F0"/>
    <w:rsid w:val="003D4907"/>
    <w:rsid w:val="003D4C1B"/>
    <w:rsid w:val="003D4C9D"/>
    <w:rsid w:val="003D5297"/>
    <w:rsid w:val="003D56DF"/>
    <w:rsid w:val="003D5E67"/>
    <w:rsid w:val="003D5EC6"/>
    <w:rsid w:val="003D5EF8"/>
    <w:rsid w:val="003D66D2"/>
    <w:rsid w:val="003D70F0"/>
    <w:rsid w:val="003E0B5C"/>
    <w:rsid w:val="003E0D1D"/>
    <w:rsid w:val="003E194A"/>
    <w:rsid w:val="003E19F5"/>
    <w:rsid w:val="003E1FA2"/>
    <w:rsid w:val="003E3189"/>
    <w:rsid w:val="003E34D3"/>
    <w:rsid w:val="003E36DC"/>
    <w:rsid w:val="003E37BB"/>
    <w:rsid w:val="003E3C7F"/>
    <w:rsid w:val="003E3CF7"/>
    <w:rsid w:val="003E3D0D"/>
    <w:rsid w:val="003E4041"/>
    <w:rsid w:val="003E5158"/>
    <w:rsid w:val="003E5547"/>
    <w:rsid w:val="003E57CF"/>
    <w:rsid w:val="003E5894"/>
    <w:rsid w:val="003E5E2F"/>
    <w:rsid w:val="003E634C"/>
    <w:rsid w:val="003E63B9"/>
    <w:rsid w:val="003E6789"/>
    <w:rsid w:val="003E6B47"/>
    <w:rsid w:val="003E6B9B"/>
    <w:rsid w:val="003E720F"/>
    <w:rsid w:val="003E723E"/>
    <w:rsid w:val="003E76FD"/>
    <w:rsid w:val="003E7857"/>
    <w:rsid w:val="003F030C"/>
    <w:rsid w:val="003F037E"/>
    <w:rsid w:val="003F1240"/>
    <w:rsid w:val="003F18BC"/>
    <w:rsid w:val="003F2709"/>
    <w:rsid w:val="003F3586"/>
    <w:rsid w:val="003F363C"/>
    <w:rsid w:val="003F3682"/>
    <w:rsid w:val="003F369E"/>
    <w:rsid w:val="003F3A65"/>
    <w:rsid w:val="003F3B76"/>
    <w:rsid w:val="003F43D3"/>
    <w:rsid w:val="003F4ADC"/>
    <w:rsid w:val="003F532C"/>
    <w:rsid w:val="003F581D"/>
    <w:rsid w:val="003F5B58"/>
    <w:rsid w:val="003F5F66"/>
    <w:rsid w:val="003F655E"/>
    <w:rsid w:val="003F670A"/>
    <w:rsid w:val="003F6C8C"/>
    <w:rsid w:val="003F7209"/>
    <w:rsid w:val="003F7980"/>
    <w:rsid w:val="00401CD0"/>
    <w:rsid w:val="004031D8"/>
    <w:rsid w:val="00403514"/>
    <w:rsid w:val="00403560"/>
    <w:rsid w:val="00403973"/>
    <w:rsid w:val="0040440E"/>
    <w:rsid w:val="00404B0F"/>
    <w:rsid w:val="00404B98"/>
    <w:rsid w:val="004056CF"/>
    <w:rsid w:val="00406090"/>
    <w:rsid w:val="00406322"/>
    <w:rsid w:val="0040649A"/>
    <w:rsid w:val="00406850"/>
    <w:rsid w:val="00407106"/>
    <w:rsid w:val="00407266"/>
    <w:rsid w:val="004072D2"/>
    <w:rsid w:val="00407791"/>
    <w:rsid w:val="004077A0"/>
    <w:rsid w:val="004079E3"/>
    <w:rsid w:val="00410080"/>
    <w:rsid w:val="0041044F"/>
    <w:rsid w:val="004107A4"/>
    <w:rsid w:val="0041080A"/>
    <w:rsid w:val="00410F4E"/>
    <w:rsid w:val="00411AF3"/>
    <w:rsid w:val="00411CEE"/>
    <w:rsid w:val="00411F2B"/>
    <w:rsid w:val="00412045"/>
    <w:rsid w:val="00412752"/>
    <w:rsid w:val="00412B72"/>
    <w:rsid w:val="00414933"/>
    <w:rsid w:val="00414D9C"/>
    <w:rsid w:val="00415C9E"/>
    <w:rsid w:val="004160C6"/>
    <w:rsid w:val="0041652E"/>
    <w:rsid w:val="004173B2"/>
    <w:rsid w:val="00417C4D"/>
    <w:rsid w:val="00420ABE"/>
    <w:rsid w:val="00421157"/>
    <w:rsid w:val="00421183"/>
    <w:rsid w:val="00421893"/>
    <w:rsid w:val="00421E85"/>
    <w:rsid w:val="00422CA6"/>
    <w:rsid w:val="0042330A"/>
    <w:rsid w:val="004239BF"/>
    <w:rsid w:val="00423AC0"/>
    <w:rsid w:val="004261F6"/>
    <w:rsid w:val="0042669E"/>
    <w:rsid w:val="00426E26"/>
    <w:rsid w:val="00426E4A"/>
    <w:rsid w:val="004279E3"/>
    <w:rsid w:val="00427D61"/>
    <w:rsid w:val="00427F8A"/>
    <w:rsid w:val="00430256"/>
    <w:rsid w:val="00430451"/>
    <w:rsid w:val="00430582"/>
    <w:rsid w:val="00430D1A"/>
    <w:rsid w:val="00431696"/>
    <w:rsid w:val="00431AE9"/>
    <w:rsid w:val="00431D22"/>
    <w:rsid w:val="00431FA3"/>
    <w:rsid w:val="0043253E"/>
    <w:rsid w:val="004327F9"/>
    <w:rsid w:val="00432CA0"/>
    <w:rsid w:val="00433B82"/>
    <w:rsid w:val="00433DFC"/>
    <w:rsid w:val="00435759"/>
    <w:rsid w:val="00435836"/>
    <w:rsid w:val="00435D84"/>
    <w:rsid w:val="00435EDA"/>
    <w:rsid w:val="00436462"/>
    <w:rsid w:val="004364E7"/>
    <w:rsid w:val="004369ED"/>
    <w:rsid w:val="0043799D"/>
    <w:rsid w:val="00437B31"/>
    <w:rsid w:val="0044067D"/>
    <w:rsid w:val="004408E7"/>
    <w:rsid w:val="00440F25"/>
    <w:rsid w:val="00441225"/>
    <w:rsid w:val="004413AA"/>
    <w:rsid w:val="00441585"/>
    <w:rsid w:val="00441843"/>
    <w:rsid w:val="00442C54"/>
    <w:rsid w:val="00442E68"/>
    <w:rsid w:val="00442FDD"/>
    <w:rsid w:val="004436C1"/>
    <w:rsid w:val="00444C40"/>
    <w:rsid w:val="004451BB"/>
    <w:rsid w:val="00445455"/>
    <w:rsid w:val="0044569C"/>
    <w:rsid w:val="00445DBA"/>
    <w:rsid w:val="0044608D"/>
    <w:rsid w:val="004467DE"/>
    <w:rsid w:val="00446902"/>
    <w:rsid w:val="00446AB9"/>
    <w:rsid w:val="00446CDB"/>
    <w:rsid w:val="0045097D"/>
    <w:rsid w:val="00450B70"/>
    <w:rsid w:val="00450CC4"/>
    <w:rsid w:val="00451038"/>
    <w:rsid w:val="00451356"/>
    <w:rsid w:val="004516DD"/>
    <w:rsid w:val="00451920"/>
    <w:rsid w:val="0045237E"/>
    <w:rsid w:val="004523BE"/>
    <w:rsid w:val="0045293F"/>
    <w:rsid w:val="00452E21"/>
    <w:rsid w:val="004533FE"/>
    <w:rsid w:val="00453477"/>
    <w:rsid w:val="00453681"/>
    <w:rsid w:val="0045371E"/>
    <w:rsid w:val="00453903"/>
    <w:rsid w:val="00453C13"/>
    <w:rsid w:val="00453CBF"/>
    <w:rsid w:val="0045468C"/>
    <w:rsid w:val="004548C9"/>
    <w:rsid w:val="004549C0"/>
    <w:rsid w:val="00454B1A"/>
    <w:rsid w:val="00454C8E"/>
    <w:rsid w:val="00454EB7"/>
    <w:rsid w:val="004555F6"/>
    <w:rsid w:val="004555FC"/>
    <w:rsid w:val="00455778"/>
    <w:rsid w:val="00456BFE"/>
    <w:rsid w:val="00456D59"/>
    <w:rsid w:val="0045749C"/>
    <w:rsid w:val="00457C54"/>
    <w:rsid w:val="00457C7A"/>
    <w:rsid w:val="00457CA3"/>
    <w:rsid w:val="00457EF4"/>
    <w:rsid w:val="004600A1"/>
    <w:rsid w:val="004604A2"/>
    <w:rsid w:val="004607D4"/>
    <w:rsid w:val="004608D1"/>
    <w:rsid w:val="004610C3"/>
    <w:rsid w:val="0046124E"/>
    <w:rsid w:val="0046199B"/>
    <w:rsid w:val="0046267E"/>
    <w:rsid w:val="00462771"/>
    <w:rsid w:val="0046279F"/>
    <w:rsid w:val="00463DFF"/>
    <w:rsid w:val="004649D8"/>
    <w:rsid w:val="00465FE9"/>
    <w:rsid w:val="004660CB"/>
    <w:rsid w:val="00467159"/>
    <w:rsid w:val="004674E7"/>
    <w:rsid w:val="00470E1F"/>
    <w:rsid w:val="00470FE3"/>
    <w:rsid w:val="00471130"/>
    <w:rsid w:val="004711DA"/>
    <w:rsid w:val="004712D7"/>
    <w:rsid w:val="0047138D"/>
    <w:rsid w:val="0047145A"/>
    <w:rsid w:val="00471B17"/>
    <w:rsid w:val="00472CEC"/>
    <w:rsid w:val="00472EEC"/>
    <w:rsid w:val="004731A9"/>
    <w:rsid w:val="00473798"/>
    <w:rsid w:val="004737BE"/>
    <w:rsid w:val="00473D1D"/>
    <w:rsid w:val="00474543"/>
    <w:rsid w:val="00474E3F"/>
    <w:rsid w:val="00475461"/>
    <w:rsid w:val="004755B3"/>
    <w:rsid w:val="00475804"/>
    <w:rsid w:val="00475BA2"/>
    <w:rsid w:val="00476086"/>
    <w:rsid w:val="00476780"/>
    <w:rsid w:val="00476A4D"/>
    <w:rsid w:val="00476B65"/>
    <w:rsid w:val="00476E33"/>
    <w:rsid w:val="00477299"/>
    <w:rsid w:val="004779F4"/>
    <w:rsid w:val="004809FB"/>
    <w:rsid w:val="0048113C"/>
    <w:rsid w:val="00482242"/>
    <w:rsid w:val="0048537C"/>
    <w:rsid w:val="00485CD0"/>
    <w:rsid w:val="00486114"/>
    <w:rsid w:val="00486E08"/>
    <w:rsid w:val="00486F02"/>
    <w:rsid w:val="00486F34"/>
    <w:rsid w:val="00487324"/>
    <w:rsid w:val="0048739C"/>
    <w:rsid w:val="004873B3"/>
    <w:rsid w:val="00487CD6"/>
    <w:rsid w:val="0049003B"/>
    <w:rsid w:val="004908B2"/>
    <w:rsid w:val="00491A0E"/>
    <w:rsid w:val="00491B5E"/>
    <w:rsid w:val="00491D28"/>
    <w:rsid w:val="004923C3"/>
    <w:rsid w:val="004925E5"/>
    <w:rsid w:val="00492689"/>
    <w:rsid w:val="0049355B"/>
    <w:rsid w:val="00493D47"/>
    <w:rsid w:val="004942D8"/>
    <w:rsid w:val="004949CA"/>
    <w:rsid w:val="00494D4B"/>
    <w:rsid w:val="004950CA"/>
    <w:rsid w:val="00495BEA"/>
    <w:rsid w:val="00495C60"/>
    <w:rsid w:val="00495C91"/>
    <w:rsid w:val="00495D2A"/>
    <w:rsid w:val="00496021"/>
    <w:rsid w:val="004960D2"/>
    <w:rsid w:val="00496A70"/>
    <w:rsid w:val="00496A9A"/>
    <w:rsid w:val="00496F81"/>
    <w:rsid w:val="00497595"/>
    <w:rsid w:val="00497D91"/>
    <w:rsid w:val="004A0077"/>
    <w:rsid w:val="004A0503"/>
    <w:rsid w:val="004A0D2A"/>
    <w:rsid w:val="004A0FEF"/>
    <w:rsid w:val="004A12AE"/>
    <w:rsid w:val="004A1E84"/>
    <w:rsid w:val="004A1ECC"/>
    <w:rsid w:val="004A23D0"/>
    <w:rsid w:val="004A2649"/>
    <w:rsid w:val="004A2965"/>
    <w:rsid w:val="004A2B99"/>
    <w:rsid w:val="004A3BBF"/>
    <w:rsid w:val="004A3CA3"/>
    <w:rsid w:val="004A47F9"/>
    <w:rsid w:val="004A5413"/>
    <w:rsid w:val="004A57CC"/>
    <w:rsid w:val="004A69F4"/>
    <w:rsid w:val="004A6CB8"/>
    <w:rsid w:val="004A6DC1"/>
    <w:rsid w:val="004A7404"/>
    <w:rsid w:val="004A7C15"/>
    <w:rsid w:val="004A7D6D"/>
    <w:rsid w:val="004B01E6"/>
    <w:rsid w:val="004B0DBD"/>
    <w:rsid w:val="004B0DE7"/>
    <w:rsid w:val="004B11D6"/>
    <w:rsid w:val="004B1692"/>
    <w:rsid w:val="004B1A18"/>
    <w:rsid w:val="004B1A42"/>
    <w:rsid w:val="004B1B29"/>
    <w:rsid w:val="004B21B2"/>
    <w:rsid w:val="004B2344"/>
    <w:rsid w:val="004B262C"/>
    <w:rsid w:val="004B3566"/>
    <w:rsid w:val="004B368F"/>
    <w:rsid w:val="004B51A4"/>
    <w:rsid w:val="004B52C8"/>
    <w:rsid w:val="004B53F7"/>
    <w:rsid w:val="004B5DAB"/>
    <w:rsid w:val="004B648B"/>
    <w:rsid w:val="004B7885"/>
    <w:rsid w:val="004B7CAF"/>
    <w:rsid w:val="004C0D50"/>
    <w:rsid w:val="004C0F4F"/>
    <w:rsid w:val="004C1212"/>
    <w:rsid w:val="004C2A65"/>
    <w:rsid w:val="004C2A8B"/>
    <w:rsid w:val="004C2F4D"/>
    <w:rsid w:val="004C34DA"/>
    <w:rsid w:val="004C3BB1"/>
    <w:rsid w:val="004C506C"/>
    <w:rsid w:val="004C519D"/>
    <w:rsid w:val="004C5323"/>
    <w:rsid w:val="004C5DDD"/>
    <w:rsid w:val="004C5E2B"/>
    <w:rsid w:val="004C64EC"/>
    <w:rsid w:val="004C678D"/>
    <w:rsid w:val="004C6F2C"/>
    <w:rsid w:val="004C7115"/>
    <w:rsid w:val="004C75AF"/>
    <w:rsid w:val="004D00B7"/>
    <w:rsid w:val="004D040C"/>
    <w:rsid w:val="004D089B"/>
    <w:rsid w:val="004D2202"/>
    <w:rsid w:val="004D3010"/>
    <w:rsid w:val="004D39DE"/>
    <w:rsid w:val="004D3E74"/>
    <w:rsid w:val="004D42D3"/>
    <w:rsid w:val="004D4618"/>
    <w:rsid w:val="004D4F8B"/>
    <w:rsid w:val="004D51FA"/>
    <w:rsid w:val="004D545B"/>
    <w:rsid w:val="004D6335"/>
    <w:rsid w:val="004D693F"/>
    <w:rsid w:val="004D6D3C"/>
    <w:rsid w:val="004D71FD"/>
    <w:rsid w:val="004D72CB"/>
    <w:rsid w:val="004D746E"/>
    <w:rsid w:val="004D7E81"/>
    <w:rsid w:val="004E0697"/>
    <w:rsid w:val="004E0B1D"/>
    <w:rsid w:val="004E106C"/>
    <w:rsid w:val="004E13BD"/>
    <w:rsid w:val="004E1E25"/>
    <w:rsid w:val="004E2A72"/>
    <w:rsid w:val="004E3A2D"/>
    <w:rsid w:val="004E41D0"/>
    <w:rsid w:val="004E4BA4"/>
    <w:rsid w:val="004E4F6D"/>
    <w:rsid w:val="004E5068"/>
    <w:rsid w:val="004E573A"/>
    <w:rsid w:val="004E58C7"/>
    <w:rsid w:val="004E5A55"/>
    <w:rsid w:val="004E6A9E"/>
    <w:rsid w:val="004E77B4"/>
    <w:rsid w:val="004E7895"/>
    <w:rsid w:val="004F136A"/>
    <w:rsid w:val="004F18BE"/>
    <w:rsid w:val="004F197E"/>
    <w:rsid w:val="004F1BB5"/>
    <w:rsid w:val="004F2199"/>
    <w:rsid w:val="004F24EC"/>
    <w:rsid w:val="004F2670"/>
    <w:rsid w:val="004F2B29"/>
    <w:rsid w:val="004F2D5B"/>
    <w:rsid w:val="004F3767"/>
    <w:rsid w:val="004F3FED"/>
    <w:rsid w:val="004F458B"/>
    <w:rsid w:val="004F4932"/>
    <w:rsid w:val="004F4B38"/>
    <w:rsid w:val="004F4C5A"/>
    <w:rsid w:val="004F54DD"/>
    <w:rsid w:val="004F5820"/>
    <w:rsid w:val="004F5DD3"/>
    <w:rsid w:val="004F5E1F"/>
    <w:rsid w:val="005000AC"/>
    <w:rsid w:val="005017FE"/>
    <w:rsid w:val="00501D60"/>
    <w:rsid w:val="00502043"/>
    <w:rsid w:val="0050222A"/>
    <w:rsid w:val="00502718"/>
    <w:rsid w:val="00503330"/>
    <w:rsid w:val="00503858"/>
    <w:rsid w:val="005048EE"/>
    <w:rsid w:val="00504C83"/>
    <w:rsid w:val="00504E6E"/>
    <w:rsid w:val="00504EE8"/>
    <w:rsid w:val="005051DD"/>
    <w:rsid w:val="00505C90"/>
    <w:rsid w:val="00506005"/>
    <w:rsid w:val="00506023"/>
    <w:rsid w:val="0050614D"/>
    <w:rsid w:val="0050673A"/>
    <w:rsid w:val="00506847"/>
    <w:rsid w:val="0050733F"/>
    <w:rsid w:val="00507A07"/>
    <w:rsid w:val="00507A53"/>
    <w:rsid w:val="00510290"/>
    <w:rsid w:val="0051043B"/>
    <w:rsid w:val="005106AD"/>
    <w:rsid w:val="00511364"/>
    <w:rsid w:val="0051188E"/>
    <w:rsid w:val="00511BC1"/>
    <w:rsid w:val="00511E1B"/>
    <w:rsid w:val="00511E7F"/>
    <w:rsid w:val="00512927"/>
    <w:rsid w:val="00512E75"/>
    <w:rsid w:val="00512F58"/>
    <w:rsid w:val="005137FA"/>
    <w:rsid w:val="00513A82"/>
    <w:rsid w:val="00513BA9"/>
    <w:rsid w:val="00514900"/>
    <w:rsid w:val="00514F3A"/>
    <w:rsid w:val="00515776"/>
    <w:rsid w:val="005166C4"/>
    <w:rsid w:val="0051685D"/>
    <w:rsid w:val="00516E0A"/>
    <w:rsid w:val="0051725C"/>
    <w:rsid w:val="005174C2"/>
    <w:rsid w:val="0051757E"/>
    <w:rsid w:val="00517F06"/>
    <w:rsid w:val="00520498"/>
    <w:rsid w:val="00520532"/>
    <w:rsid w:val="00520655"/>
    <w:rsid w:val="00520A64"/>
    <w:rsid w:val="00520EF2"/>
    <w:rsid w:val="00520F2A"/>
    <w:rsid w:val="00521BB8"/>
    <w:rsid w:val="00521C9A"/>
    <w:rsid w:val="00521CB6"/>
    <w:rsid w:val="00522167"/>
    <w:rsid w:val="00522203"/>
    <w:rsid w:val="00522502"/>
    <w:rsid w:val="00522843"/>
    <w:rsid w:val="00522B52"/>
    <w:rsid w:val="0052347E"/>
    <w:rsid w:val="00523F35"/>
    <w:rsid w:val="00524363"/>
    <w:rsid w:val="0052473D"/>
    <w:rsid w:val="00524CA1"/>
    <w:rsid w:val="005250E2"/>
    <w:rsid w:val="0052538C"/>
    <w:rsid w:val="00525412"/>
    <w:rsid w:val="00525C5D"/>
    <w:rsid w:val="00525E81"/>
    <w:rsid w:val="005262AE"/>
    <w:rsid w:val="00526494"/>
    <w:rsid w:val="00526D36"/>
    <w:rsid w:val="005275E4"/>
    <w:rsid w:val="0053055A"/>
    <w:rsid w:val="00530881"/>
    <w:rsid w:val="00531744"/>
    <w:rsid w:val="00531BB5"/>
    <w:rsid w:val="005327DE"/>
    <w:rsid w:val="00533119"/>
    <w:rsid w:val="00533847"/>
    <w:rsid w:val="00533ECC"/>
    <w:rsid w:val="00534035"/>
    <w:rsid w:val="0053441F"/>
    <w:rsid w:val="005345E4"/>
    <w:rsid w:val="00534638"/>
    <w:rsid w:val="00534D70"/>
    <w:rsid w:val="005352BD"/>
    <w:rsid w:val="005358F0"/>
    <w:rsid w:val="005365B0"/>
    <w:rsid w:val="00536C59"/>
    <w:rsid w:val="005372BA"/>
    <w:rsid w:val="005402C1"/>
    <w:rsid w:val="005404E7"/>
    <w:rsid w:val="005404FE"/>
    <w:rsid w:val="0054064B"/>
    <w:rsid w:val="00540689"/>
    <w:rsid w:val="00541AAB"/>
    <w:rsid w:val="00541AE7"/>
    <w:rsid w:val="00541C50"/>
    <w:rsid w:val="00542AC5"/>
    <w:rsid w:val="00542BB0"/>
    <w:rsid w:val="00543268"/>
    <w:rsid w:val="005435C7"/>
    <w:rsid w:val="00544169"/>
    <w:rsid w:val="0054427E"/>
    <w:rsid w:val="00544377"/>
    <w:rsid w:val="00545E04"/>
    <w:rsid w:val="00546684"/>
    <w:rsid w:val="00546B27"/>
    <w:rsid w:val="0054703F"/>
    <w:rsid w:val="00547AEF"/>
    <w:rsid w:val="00547F6C"/>
    <w:rsid w:val="005506C0"/>
    <w:rsid w:val="005506F0"/>
    <w:rsid w:val="0055073F"/>
    <w:rsid w:val="00550CD9"/>
    <w:rsid w:val="00551680"/>
    <w:rsid w:val="00551F30"/>
    <w:rsid w:val="0055296C"/>
    <w:rsid w:val="00552A7A"/>
    <w:rsid w:val="00552AE7"/>
    <w:rsid w:val="00552FC3"/>
    <w:rsid w:val="00553393"/>
    <w:rsid w:val="005544CF"/>
    <w:rsid w:val="00554C8A"/>
    <w:rsid w:val="00554E80"/>
    <w:rsid w:val="00554F6B"/>
    <w:rsid w:val="005551B0"/>
    <w:rsid w:val="00556207"/>
    <w:rsid w:val="0055660D"/>
    <w:rsid w:val="005567CF"/>
    <w:rsid w:val="00556851"/>
    <w:rsid w:val="00556D48"/>
    <w:rsid w:val="00556E16"/>
    <w:rsid w:val="005579DF"/>
    <w:rsid w:val="00557C92"/>
    <w:rsid w:val="00560AA2"/>
    <w:rsid w:val="00560CF4"/>
    <w:rsid w:val="005618C3"/>
    <w:rsid w:val="00561D7F"/>
    <w:rsid w:val="005622A0"/>
    <w:rsid w:val="00562328"/>
    <w:rsid w:val="0056350B"/>
    <w:rsid w:val="00563B6A"/>
    <w:rsid w:val="00563BEE"/>
    <w:rsid w:val="00564529"/>
    <w:rsid w:val="005654A5"/>
    <w:rsid w:val="0056587F"/>
    <w:rsid w:val="0056596E"/>
    <w:rsid w:val="00565BFB"/>
    <w:rsid w:val="00566B34"/>
    <w:rsid w:val="00566E50"/>
    <w:rsid w:val="005670F5"/>
    <w:rsid w:val="005671A1"/>
    <w:rsid w:val="00567965"/>
    <w:rsid w:val="00567A8E"/>
    <w:rsid w:val="00567E2F"/>
    <w:rsid w:val="00567E51"/>
    <w:rsid w:val="00570A3C"/>
    <w:rsid w:val="00570AC0"/>
    <w:rsid w:val="00570CC3"/>
    <w:rsid w:val="00570E14"/>
    <w:rsid w:val="00571984"/>
    <w:rsid w:val="00571A90"/>
    <w:rsid w:val="00571EFA"/>
    <w:rsid w:val="00573E34"/>
    <w:rsid w:val="00573F3D"/>
    <w:rsid w:val="00574393"/>
    <w:rsid w:val="0057472D"/>
    <w:rsid w:val="00574877"/>
    <w:rsid w:val="00574DAC"/>
    <w:rsid w:val="00574F52"/>
    <w:rsid w:val="0057533F"/>
    <w:rsid w:val="00575383"/>
    <w:rsid w:val="00575D31"/>
    <w:rsid w:val="00576213"/>
    <w:rsid w:val="00576514"/>
    <w:rsid w:val="00576814"/>
    <w:rsid w:val="00576A9D"/>
    <w:rsid w:val="00576D9E"/>
    <w:rsid w:val="00577B07"/>
    <w:rsid w:val="005800AD"/>
    <w:rsid w:val="00580163"/>
    <w:rsid w:val="00580D65"/>
    <w:rsid w:val="00580EF8"/>
    <w:rsid w:val="005810DB"/>
    <w:rsid w:val="00581A69"/>
    <w:rsid w:val="00582082"/>
    <w:rsid w:val="005820BC"/>
    <w:rsid w:val="0058308F"/>
    <w:rsid w:val="005834ED"/>
    <w:rsid w:val="005836AB"/>
    <w:rsid w:val="00583BE0"/>
    <w:rsid w:val="00584FE1"/>
    <w:rsid w:val="00585B1A"/>
    <w:rsid w:val="00585F5D"/>
    <w:rsid w:val="005869B8"/>
    <w:rsid w:val="005870A1"/>
    <w:rsid w:val="005877B4"/>
    <w:rsid w:val="00590CD0"/>
    <w:rsid w:val="00591219"/>
    <w:rsid w:val="005926A9"/>
    <w:rsid w:val="00593285"/>
    <w:rsid w:val="005933BF"/>
    <w:rsid w:val="005938E9"/>
    <w:rsid w:val="00594E9C"/>
    <w:rsid w:val="00595120"/>
    <w:rsid w:val="00595457"/>
    <w:rsid w:val="005956F6"/>
    <w:rsid w:val="00595CBC"/>
    <w:rsid w:val="005964A7"/>
    <w:rsid w:val="005965FF"/>
    <w:rsid w:val="00596E6C"/>
    <w:rsid w:val="00597031"/>
    <w:rsid w:val="005970F4"/>
    <w:rsid w:val="005971C1"/>
    <w:rsid w:val="005971FF"/>
    <w:rsid w:val="00597333"/>
    <w:rsid w:val="005A0039"/>
    <w:rsid w:val="005A05B3"/>
    <w:rsid w:val="005A07B8"/>
    <w:rsid w:val="005A1376"/>
    <w:rsid w:val="005A15B4"/>
    <w:rsid w:val="005A2160"/>
    <w:rsid w:val="005A226C"/>
    <w:rsid w:val="005A239D"/>
    <w:rsid w:val="005A23A5"/>
    <w:rsid w:val="005A2B71"/>
    <w:rsid w:val="005A32C7"/>
    <w:rsid w:val="005A37C9"/>
    <w:rsid w:val="005A3816"/>
    <w:rsid w:val="005A3850"/>
    <w:rsid w:val="005A3E95"/>
    <w:rsid w:val="005A42BE"/>
    <w:rsid w:val="005A531F"/>
    <w:rsid w:val="005A5901"/>
    <w:rsid w:val="005A60AB"/>
    <w:rsid w:val="005A71D1"/>
    <w:rsid w:val="005A72B5"/>
    <w:rsid w:val="005A7524"/>
    <w:rsid w:val="005A7AF3"/>
    <w:rsid w:val="005A7E49"/>
    <w:rsid w:val="005A7E56"/>
    <w:rsid w:val="005B0586"/>
    <w:rsid w:val="005B0CF9"/>
    <w:rsid w:val="005B1BFE"/>
    <w:rsid w:val="005B29F7"/>
    <w:rsid w:val="005B39F8"/>
    <w:rsid w:val="005B3BD8"/>
    <w:rsid w:val="005B3FBF"/>
    <w:rsid w:val="005B4495"/>
    <w:rsid w:val="005B4EB0"/>
    <w:rsid w:val="005B596C"/>
    <w:rsid w:val="005B5F1A"/>
    <w:rsid w:val="005B6A24"/>
    <w:rsid w:val="005B76D2"/>
    <w:rsid w:val="005B78BA"/>
    <w:rsid w:val="005B7EC7"/>
    <w:rsid w:val="005B7F03"/>
    <w:rsid w:val="005C0171"/>
    <w:rsid w:val="005C061C"/>
    <w:rsid w:val="005C0B70"/>
    <w:rsid w:val="005C19BC"/>
    <w:rsid w:val="005C2333"/>
    <w:rsid w:val="005C2AEB"/>
    <w:rsid w:val="005C2CD1"/>
    <w:rsid w:val="005C33A5"/>
    <w:rsid w:val="005C33CD"/>
    <w:rsid w:val="005C3CB2"/>
    <w:rsid w:val="005C4023"/>
    <w:rsid w:val="005C4498"/>
    <w:rsid w:val="005C471E"/>
    <w:rsid w:val="005C4AD6"/>
    <w:rsid w:val="005C62E9"/>
    <w:rsid w:val="005C6E71"/>
    <w:rsid w:val="005C7716"/>
    <w:rsid w:val="005C7985"/>
    <w:rsid w:val="005C7BD8"/>
    <w:rsid w:val="005C7CD5"/>
    <w:rsid w:val="005D092A"/>
    <w:rsid w:val="005D0C4D"/>
    <w:rsid w:val="005D0DD1"/>
    <w:rsid w:val="005D13B7"/>
    <w:rsid w:val="005D1449"/>
    <w:rsid w:val="005D2979"/>
    <w:rsid w:val="005D2A4F"/>
    <w:rsid w:val="005D310E"/>
    <w:rsid w:val="005D31A7"/>
    <w:rsid w:val="005D3DC9"/>
    <w:rsid w:val="005D3FCD"/>
    <w:rsid w:val="005D464A"/>
    <w:rsid w:val="005D592A"/>
    <w:rsid w:val="005D5A01"/>
    <w:rsid w:val="005D5A27"/>
    <w:rsid w:val="005D5A8A"/>
    <w:rsid w:val="005D608D"/>
    <w:rsid w:val="005D64BC"/>
    <w:rsid w:val="005D67A1"/>
    <w:rsid w:val="005D71D4"/>
    <w:rsid w:val="005D727F"/>
    <w:rsid w:val="005D77E4"/>
    <w:rsid w:val="005D7A3C"/>
    <w:rsid w:val="005D7C50"/>
    <w:rsid w:val="005E0CC3"/>
    <w:rsid w:val="005E0D74"/>
    <w:rsid w:val="005E17DC"/>
    <w:rsid w:val="005E2FCD"/>
    <w:rsid w:val="005E36F6"/>
    <w:rsid w:val="005E3B29"/>
    <w:rsid w:val="005E405F"/>
    <w:rsid w:val="005E43CD"/>
    <w:rsid w:val="005E4478"/>
    <w:rsid w:val="005E4699"/>
    <w:rsid w:val="005E474E"/>
    <w:rsid w:val="005E5480"/>
    <w:rsid w:val="005E56E7"/>
    <w:rsid w:val="005E59DF"/>
    <w:rsid w:val="005E5D3A"/>
    <w:rsid w:val="005E6597"/>
    <w:rsid w:val="005E67D1"/>
    <w:rsid w:val="005E6D59"/>
    <w:rsid w:val="005E7027"/>
    <w:rsid w:val="005E7310"/>
    <w:rsid w:val="005E7A02"/>
    <w:rsid w:val="005F02BC"/>
    <w:rsid w:val="005F03CA"/>
    <w:rsid w:val="005F0886"/>
    <w:rsid w:val="005F0C49"/>
    <w:rsid w:val="005F0CE6"/>
    <w:rsid w:val="005F1C75"/>
    <w:rsid w:val="005F2CB3"/>
    <w:rsid w:val="005F2DFD"/>
    <w:rsid w:val="005F2FB9"/>
    <w:rsid w:val="005F3D5E"/>
    <w:rsid w:val="005F4A7B"/>
    <w:rsid w:val="005F56B9"/>
    <w:rsid w:val="005F5B78"/>
    <w:rsid w:val="005F6492"/>
    <w:rsid w:val="005F6787"/>
    <w:rsid w:val="005F6B22"/>
    <w:rsid w:val="005F6C2D"/>
    <w:rsid w:val="005F6FB0"/>
    <w:rsid w:val="005F74D5"/>
    <w:rsid w:val="005F7CDD"/>
    <w:rsid w:val="005F7DDA"/>
    <w:rsid w:val="00600425"/>
    <w:rsid w:val="006012A9"/>
    <w:rsid w:val="00601322"/>
    <w:rsid w:val="0060154B"/>
    <w:rsid w:val="006019DD"/>
    <w:rsid w:val="0060291A"/>
    <w:rsid w:val="00602AA5"/>
    <w:rsid w:val="00602D62"/>
    <w:rsid w:val="00602F0D"/>
    <w:rsid w:val="00603DDC"/>
    <w:rsid w:val="00604357"/>
    <w:rsid w:val="00604D3D"/>
    <w:rsid w:val="006051AC"/>
    <w:rsid w:val="00605924"/>
    <w:rsid w:val="006066AF"/>
    <w:rsid w:val="006070C0"/>
    <w:rsid w:val="006074BD"/>
    <w:rsid w:val="00607F0C"/>
    <w:rsid w:val="00611197"/>
    <w:rsid w:val="006117E9"/>
    <w:rsid w:val="00611B1F"/>
    <w:rsid w:val="00611E6E"/>
    <w:rsid w:val="006121D2"/>
    <w:rsid w:val="00612965"/>
    <w:rsid w:val="0061300A"/>
    <w:rsid w:val="00613A20"/>
    <w:rsid w:val="00613DC5"/>
    <w:rsid w:val="00613FF2"/>
    <w:rsid w:val="00614A77"/>
    <w:rsid w:val="00615431"/>
    <w:rsid w:val="006156A8"/>
    <w:rsid w:val="00615FB5"/>
    <w:rsid w:val="006162BA"/>
    <w:rsid w:val="0061657B"/>
    <w:rsid w:val="006166FC"/>
    <w:rsid w:val="00617FBE"/>
    <w:rsid w:val="00621165"/>
    <w:rsid w:val="006214B6"/>
    <w:rsid w:val="00621DF9"/>
    <w:rsid w:val="00623395"/>
    <w:rsid w:val="006235BD"/>
    <w:rsid w:val="00623AFC"/>
    <w:rsid w:val="006243F9"/>
    <w:rsid w:val="00624B42"/>
    <w:rsid w:val="00624C70"/>
    <w:rsid w:val="0062524C"/>
    <w:rsid w:val="00625996"/>
    <w:rsid w:val="00625E68"/>
    <w:rsid w:val="006260D1"/>
    <w:rsid w:val="00627549"/>
    <w:rsid w:val="00630642"/>
    <w:rsid w:val="006307DB"/>
    <w:rsid w:val="00631AD6"/>
    <w:rsid w:val="0063311B"/>
    <w:rsid w:val="00633718"/>
    <w:rsid w:val="00633B0C"/>
    <w:rsid w:val="00633B1F"/>
    <w:rsid w:val="00633EB0"/>
    <w:rsid w:val="006342CF"/>
    <w:rsid w:val="00634641"/>
    <w:rsid w:val="00636C45"/>
    <w:rsid w:val="0063728E"/>
    <w:rsid w:val="0063777D"/>
    <w:rsid w:val="0063799D"/>
    <w:rsid w:val="00637A45"/>
    <w:rsid w:val="00637D50"/>
    <w:rsid w:val="0064041E"/>
    <w:rsid w:val="00640701"/>
    <w:rsid w:val="00640951"/>
    <w:rsid w:val="00640EA8"/>
    <w:rsid w:val="006412D3"/>
    <w:rsid w:val="006416B2"/>
    <w:rsid w:val="00641A5C"/>
    <w:rsid w:val="00641A97"/>
    <w:rsid w:val="0064238D"/>
    <w:rsid w:val="00642C1A"/>
    <w:rsid w:val="00643466"/>
    <w:rsid w:val="006436B7"/>
    <w:rsid w:val="0064394D"/>
    <w:rsid w:val="00643AB8"/>
    <w:rsid w:val="0064426E"/>
    <w:rsid w:val="00644602"/>
    <w:rsid w:val="0064508D"/>
    <w:rsid w:val="00645104"/>
    <w:rsid w:val="00645614"/>
    <w:rsid w:val="006474AC"/>
    <w:rsid w:val="0064769E"/>
    <w:rsid w:val="00647C18"/>
    <w:rsid w:val="00647EB9"/>
    <w:rsid w:val="0065055B"/>
    <w:rsid w:val="006505D8"/>
    <w:rsid w:val="00650AC8"/>
    <w:rsid w:val="00650F73"/>
    <w:rsid w:val="00652170"/>
    <w:rsid w:val="0065297C"/>
    <w:rsid w:val="00652A60"/>
    <w:rsid w:val="006537A8"/>
    <w:rsid w:val="00653FBE"/>
    <w:rsid w:val="00654043"/>
    <w:rsid w:val="00654492"/>
    <w:rsid w:val="006544CC"/>
    <w:rsid w:val="00654535"/>
    <w:rsid w:val="00654E0F"/>
    <w:rsid w:val="006557EA"/>
    <w:rsid w:val="00655FE9"/>
    <w:rsid w:val="0065657B"/>
    <w:rsid w:val="00656912"/>
    <w:rsid w:val="00656ADD"/>
    <w:rsid w:val="00656B9C"/>
    <w:rsid w:val="00657F16"/>
    <w:rsid w:val="006608DD"/>
    <w:rsid w:val="0066099B"/>
    <w:rsid w:val="00660F73"/>
    <w:rsid w:val="00661009"/>
    <w:rsid w:val="006612D9"/>
    <w:rsid w:val="006617C3"/>
    <w:rsid w:val="00662007"/>
    <w:rsid w:val="00662699"/>
    <w:rsid w:val="006634DB"/>
    <w:rsid w:val="0066395A"/>
    <w:rsid w:val="00663F4D"/>
    <w:rsid w:val="0066453B"/>
    <w:rsid w:val="00664995"/>
    <w:rsid w:val="00665364"/>
    <w:rsid w:val="006656C3"/>
    <w:rsid w:val="006658C7"/>
    <w:rsid w:val="00666A38"/>
    <w:rsid w:val="00667143"/>
    <w:rsid w:val="006675B4"/>
    <w:rsid w:val="00667A4A"/>
    <w:rsid w:val="00667ACA"/>
    <w:rsid w:val="00667E3C"/>
    <w:rsid w:val="00670079"/>
    <w:rsid w:val="006700CE"/>
    <w:rsid w:val="00670447"/>
    <w:rsid w:val="00670473"/>
    <w:rsid w:val="0067079E"/>
    <w:rsid w:val="0067093A"/>
    <w:rsid w:val="00670EB4"/>
    <w:rsid w:val="00671E1E"/>
    <w:rsid w:val="00672181"/>
    <w:rsid w:val="0067265B"/>
    <w:rsid w:val="00672703"/>
    <w:rsid w:val="006728A8"/>
    <w:rsid w:val="0067357A"/>
    <w:rsid w:val="00674689"/>
    <w:rsid w:val="00674F09"/>
    <w:rsid w:val="006754FC"/>
    <w:rsid w:val="006755FB"/>
    <w:rsid w:val="00675F1D"/>
    <w:rsid w:val="00675FE2"/>
    <w:rsid w:val="0067632E"/>
    <w:rsid w:val="0067646D"/>
    <w:rsid w:val="00677765"/>
    <w:rsid w:val="0067784C"/>
    <w:rsid w:val="00677D7A"/>
    <w:rsid w:val="006805BE"/>
    <w:rsid w:val="006806B1"/>
    <w:rsid w:val="00680997"/>
    <w:rsid w:val="00680C5C"/>
    <w:rsid w:val="00681402"/>
    <w:rsid w:val="00681A29"/>
    <w:rsid w:val="00681B1F"/>
    <w:rsid w:val="00681CA9"/>
    <w:rsid w:val="00681DC4"/>
    <w:rsid w:val="0068217E"/>
    <w:rsid w:val="0068230A"/>
    <w:rsid w:val="00682EE0"/>
    <w:rsid w:val="00683106"/>
    <w:rsid w:val="006831D5"/>
    <w:rsid w:val="0068428B"/>
    <w:rsid w:val="006842A0"/>
    <w:rsid w:val="00684701"/>
    <w:rsid w:val="00684787"/>
    <w:rsid w:val="00684D59"/>
    <w:rsid w:val="00684DF4"/>
    <w:rsid w:val="00684F93"/>
    <w:rsid w:val="006851FB"/>
    <w:rsid w:val="006852ED"/>
    <w:rsid w:val="00685555"/>
    <w:rsid w:val="00685B70"/>
    <w:rsid w:val="00685C3A"/>
    <w:rsid w:val="00686CE3"/>
    <w:rsid w:val="0068705D"/>
    <w:rsid w:val="00687DD3"/>
    <w:rsid w:val="006903F7"/>
    <w:rsid w:val="006905BE"/>
    <w:rsid w:val="00691616"/>
    <w:rsid w:val="0069177C"/>
    <w:rsid w:val="00691957"/>
    <w:rsid w:val="0069248D"/>
    <w:rsid w:val="006924AE"/>
    <w:rsid w:val="00692637"/>
    <w:rsid w:val="006926F4"/>
    <w:rsid w:val="006928EF"/>
    <w:rsid w:val="00692BB2"/>
    <w:rsid w:val="00693D13"/>
    <w:rsid w:val="0069464C"/>
    <w:rsid w:val="00694754"/>
    <w:rsid w:val="00694F00"/>
    <w:rsid w:val="00694F87"/>
    <w:rsid w:val="00696084"/>
    <w:rsid w:val="006965E8"/>
    <w:rsid w:val="00696810"/>
    <w:rsid w:val="00697530"/>
    <w:rsid w:val="00697860"/>
    <w:rsid w:val="00697BEB"/>
    <w:rsid w:val="00697CA0"/>
    <w:rsid w:val="006A0EF6"/>
    <w:rsid w:val="006A1464"/>
    <w:rsid w:val="006A28B3"/>
    <w:rsid w:val="006A2A7A"/>
    <w:rsid w:val="006A2D1F"/>
    <w:rsid w:val="006A2DDE"/>
    <w:rsid w:val="006A3069"/>
    <w:rsid w:val="006A3188"/>
    <w:rsid w:val="006A3284"/>
    <w:rsid w:val="006A3B2E"/>
    <w:rsid w:val="006A3F38"/>
    <w:rsid w:val="006A41E5"/>
    <w:rsid w:val="006A4A5F"/>
    <w:rsid w:val="006A4D38"/>
    <w:rsid w:val="006A5424"/>
    <w:rsid w:val="006A5A8A"/>
    <w:rsid w:val="006A5E8E"/>
    <w:rsid w:val="006A62B2"/>
    <w:rsid w:val="006A68C7"/>
    <w:rsid w:val="006A695E"/>
    <w:rsid w:val="006A6EDD"/>
    <w:rsid w:val="006A727D"/>
    <w:rsid w:val="006A7566"/>
    <w:rsid w:val="006A757E"/>
    <w:rsid w:val="006A79E4"/>
    <w:rsid w:val="006B084F"/>
    <w:rsid w:val="006B0CB9"/>
    <w:rsid w:val="006B0E36"/>
    <w:rsid w:val="006B0E37"/>
    <w:rsid w:val="006B1AA8"/>
    <w:rsid w:val="006B1BBD"/>
    <w:rsid w:val="006B256D"/>
    <w:rsid w:val="006B266C"/>
    <w:rsid w:val="006B31F3"/>
    <w:rsid w:val="006B3358"/>
    <w:rsid w:val="006B37D4"/>
    <w:rsid w:val="006B3A2F"/>
    <w:rsid w:val="006B4A51"/>
    <w:rsid w:val="006B4D92"/>
    <w:rsid w:val="006B4EFD"/>
    <w:rsid w:val="006B5C9C"/>
    <w:rsid w:val="006B5D24"/>
    <w:rsid w:val="006B6D33"/>
    <w:rsid w:val="006B706A"/>
    <w:rsid w:val="006B7474"/>
    <w:rsid w:val="006B787F"/>
    <w:rsid w:val="006B7A89"/>
    <w:rsid w:val="006C003D"/>
    <w:rsid w:val="006C0B70"/>
    <w:rsid w:val="006C10F0"/>
    <w:rsid w:val="006C13BD"/>
    <w:rsid w:val="006C19CE"/>
    <w:rsid w:val="006C1C02"/>
    <w:rsid w:val="006C2066"/>
    <w:rsid w:val="006C2270"/>
    <w:rsid w:val="006C270A"/>
    <w:rsid w:val="006C276B"/>
    <w:rsid w:val="006C2933"/>
    <w:rsid w:val="006C3C87"/>
    <w:rsid w:val="006C3F1C"/>
    <w:rsid w:val="006C42C6"/>
    <w:rsid w:val="006C4C64"/>
    <w:rsid w:val="006C4D6F"/>
    <w:rsid w:val="006C5108"/>
    <w:rsid w:val="006C5B58"/>
    <w:rsid w:val="006C5BF6"/>
    <w:rsid w:val="006C627E"/>
    <w:rsid w:val="006C67B6"/>
    <w:rsid w:val="006C71BD"/>
    <w:rsid w:val="006C7307"/>
    <w:rsid w:val="006C740A"/>
    <w:rsid w:val="006C7CF3"/>
    <w:rsid w:val="006C7E5D"/>
    <w:rsid w:val="006D0147"/>
    <w:rsid w:val="006D0960"/>
    <w:rsid w:val="006D0C7E"/>
    <w:rsid w:val="006D1136"/>
    <w:rsid w:val="006D11B7"/>
    <w:rsid w:val="006D301E"/>
    <w:rsid w:val="006D3355"/>
    <w:rsid w:val="006D41BB"/>
    <w:rsid w:val="006D489A"/>
    <w:rsid w:val="006D4ABA"/>
    <w:rsid w:val="006D4BB8"/>
    <w:rsid w:val="006D4C5F"/>
    <w:rsid w:val="006D56CA"/>
    <w:rsid w:val="006D6589"/>
    <w:rsid w:val="006D69C6"/>
    <w:rsid w:val="006D7619"/>
    <w:rsid w:val="006E1182"/>
    <w:rsid w:val="006E149A"/>
    <w:rsid w:val="006E1E7B"/>
    <w:rsid w:val="006E2D8E"/>
    <w:rsid w:val="006E2D8F"/>
    <w:rsid w:val="006E2E0D"/>
    <w:rsid w:val="006E387B"/>
    <w:rsid w:val="006E3A30"/>
    <w:rsid w:val="006E3B1F"/>
    <w:rsid w:val="006E3EDC"/>
    <w:rsid w:val="006E4B18"/>
    <w:rsid w:val="006E4D34"/>
    <w:rsid w:val="006E500B"/>
    <w:rsid w:val="006E5237"/>
    <w:rsid w:val="006E5740"/>
    <w:rsid w:val="006E5887"/>
    <w:rsid w:val="006E59F2"/>
    <w:rsid w:val="006E6048"/>
    <w:rsid w:val="006E68B6"/>
    <w:rsid w:val="006E70C9"/>
    <w:rsid w:val="006E7674"/>
    <w:rsid w:val="006E7869"/>
    <w:rsid w:val="006E7F3D"/>
    <w:rsid w:val="006E7F57"/>
    <w:rsid w:val="006F0120"/>
    <w:rsid w:val="006F0BBB"/>
    <w:rsid w:val="006F2109"/>
    <w:rsid w:val="006F22C2"/>
    <w:rsid w:val="006F24D0"/>
    <w:rsid w:val="006F2525"/>
    <w:rsid w:val="006F2B72"/>
    <w:rsid w:val="006F2EA6"/>
    <w:rsid w:val="006F30B8"/>
    <w:rsid w:val="006F30D1"/>
    <w:rsid w:val="006F321A"/>
    <w:rsid w:val="006F3593"/>
    <w:rsid w:val="006F3964"/>
    <w:rsid w:val="006F448E"/>
    <w:rsid w:val="006F4566"/>
    <w:rsid w:val="006F4D8F"/>
    <w:rsid w:val="006F4DFE"/>
    <w:rsid w:val="006F57C3"/>
    <w:rsid w:val="006F5887"/>
    <w:rsid w:val="006F5A40"/>
    <w:rsid w:val="006F6B2E"/>
    <w:rsid w:val="006F7C04"/>
    <w:rsid w:val="0070056A"/>
    <w:rsid w:val="0070097B"/>
    <w:rsid w:val="00700E0D"/>
    <w:rsid w:val="00700E56"/>
    <w:rsid w:val="00700F98"/>
    <w:rsid w:val="007018B4"/>
    <w:rsid w:val="00701A09"/>
    <w:rsid w:val="00701CCC"/>
    <w:rsid w:val="0070293B"/>
    <w:rsid w:val="00702AF5"/>
    <w:rsid w:val="00704B4C"/>
    <w:rsid w:val="0070514A"/>
    <w:rsid w:val="00705CB9"/>
    <w:rsid w:val="00705D62"/>
    <w:rsid w:val="007067F1"/>
    <w:rsid w:val="0070779F"/>
    <w:rsid w:val="00707A23"/>
    <w:rsid w:val="00707B78"/>
    <w:rsid w:val="00707C57"/>
    <w:rsid w:val="00707C96"/>
    <w:rsid w:val="00707E42"/>
    <w:rsid w:val="00710BAC"/>
    <w:rsid w:val="00710EBC"/>
    <w:rsid w:val="00711B88"/>
    <w:rsid w:val="00711CE1"/>
    <w:rsid w:val="00711D53"/>
    <w:rsid w:val="00712472"/>
    <w:rsid w:val="00712724"/>
    <w:rsid w:val="00712AD1"/>
    <w:rsid w:val="00712DED"/>
    <w:rsid w:val="00713215"/>
    <w:rsid w:val="0071327B"/>
    <w:rsid w:val="00713395"/>
    <w:rsid w:val="007137F5"/>
    <w:rsid w:val="00714099"/>
    <w:rsid w:val="00716174"/>
    <w:rsid w:val="00716344"/>
    <w:rsid w:val="007166DE"/>
    <w:rsid w:val="00716739"/>
    <w:rsid w:val="00716766"/>
    <w:rsid w:val="00717780"/>
    <w:rsid w:val="0071795E"/>
    <w:rsid w:val="0072020C"/>
    <w:rsid w:val="00720485"/>
    <w:rsid w:val="0072056C"/>
    <w:rsid w:val="007205A0"/>
    <w:rsid w:val="007208CE"/>
    <w:rsid w:val="00720B69"/>
    <w:rsid w:val="00721893"/>
    <w:rsid w:val="00721B2B"/>
    <w:rsid w:val="0072203D"/>
    <w:rsid w:val="007222C7"/>
    <w:rsid w:val="007225B9"/>
    <w:rsid w:val="00722BE0"/>
    <w:rsid w:val="00722C4F"/>
    <w:rsid w:val="0072320B"/>
    <w:rsid w:val="00723993"/>
    <w:rsid w:val="00723A8F"/>
    <w:rsid w:val="00723E91"/>
    <w:rsid w:val="0072450A"/>
    <w:rsid w:val="00724D1B"/>
    <w:rsid w:val="00725643"/>
    <w:rsid w:val="00725912"/>
    <w:rsid w:val="00726548"/>
    <w:rsid w:val="007274D3"/>
    <w:rsid w:val="00727868"/>
    <w:rsid w:val="00727A1B"/>
    <w:rsid w:val="00727DCF"/>
    <w:rsid w:val="007311D6"/>
    <w:rsid w:val="007315B2"/>
    <w:rsid w:val="00731B1D"/>
    <w:rsid w:val="00731CCE"/>
    <w:rsid w:val="00731D84"/>
    <w:rsid w:val="007320FF"/>
    <w:rsid w:val="007328BD"/>
    <w:rsid w:val="00732F42"/>
    <w:rsid w:val="00733110"/>
    <w:rsid w:val="00733A18"/>
    <w:rsid w:val="00733ED7"/>
    <w:rsid w:val="00734791"/>
    <w:rsid w:val="00735589"/>
    <w:rsid w:val="0073566B"/>
    <w:rsid w:val="00735F75"/>
    <w:rsid w:val="0073614A"/>
    <w:rsid w:val="007362FA"/>
    <w:rsid w:val="00736498"/>
    <w:rsid w:val="00736B1A"/>
    <w:rsid w:val="0073748D"/>
    <w:rsid w:val="00737C26"/>
    <w:rsid w:val="00737F0A"/>
    <w:rsid w:val="007403E7"/>
    <w:rsid w:val="0074057F"/>
    <w:rsid w:val="007412C4"/>
    <w:rsid w:val="0074157B"/>
    <w:rsid w:val="007417A3"/>
    <w:rsid w:val="007417F0"/>
    <w:rsid w:val="007418E8"/>
    <w:rsid w:val="00743101"/>
    <w:rsid w:val="00743D31"/>
    <w:rsid w:val="00744232"/>
    <w:rsid w:val="00744F7B"/>
    <w:rsid w:val="00745C1B"/>
    <w:rsid w:val="00745F6C"/>
    <w:rsid w:val="007462FE"/>
    <w:rsid w:val="00746E36"/>
    <w:rsid w:val="00747810"/>
    <w:rsid w:val="00750208"/>
    <w:rsid w:val="0075119C"/>
    <w:rsid w:val="007515C7"/>
    <w:rsid w:val="00751697"/>
    <w:rsid w:val="007518CF"/>
    <w:rsid w:val="007519EA"/>
    <w:rsid w:val="00751E98"/>
    <w:rsid w:val="007520BC"/>
    <w:rsid w:val="007520C5"/>
    <w:rsid w:val="007539BA"/>
    <w:rsid w:val="00753C80"/>
    <w:rsid w:val="00753FC4"/>
    <w:rsid w:val="007547C3"/>
    <w:rsid w:val="00755368"/>
    <w:rsid w:val="00755FB2"/>
    <w:rsid w:val="00756930"/>
    <w:rsid w:val="00756A84"/>
    <w:rsid w:val="00756DD3"/>
    <w:rsid w:val="0075723F"/>
    <w:rsid w:val="007572E5"/>
    <w:rsid w:val="00757349"/>
    <w:rsid w:val="00757427"/>
    <w:rsid w:val="0076063D"/>
    <w:rsid w:val="00761A0B"/>
    <w:rsid w:val="007622C1"/>
    <w:rsid w:val="00762523"/>
    <w:rsid w:val="007625BF"/>
    <w:rsid w:val="00762A63"/>
    <w:rsid w:val="007638AB"/>
    <w:rsid w:val="0076398B"/>
    <w:rsid w:val="0076483B"/>
    <w:rsid w:val="00764898"/>
    <w:rsid w:val="0076514A"/>
    <w:rsid w:val="00765535"/>
    <w:rsid w:val="007663FC"/>
    <w:rsid w:val="007665CB"/>
    <w:rsid w:val="00766B2C"/>
    <w:rsid w:val="0076BA02"/>
    <w:rsid w:val="00770585"/>
    <w:rsid w:val="0077083F"/>
    <w:rsid w:val="0077182D"/>
    <w:rsid w:val="0077198A"/>
    <w:rsid w:val="00771E09"/>
    <w:rsid w:val="00771ED0"/>
    <w:rsid w:val="00771F54"/>
    <w:rsid w:val="00772268"/>
    <w:rsid w:val="007722A4"/>
    <w:rsid w:val="00772E0E"/>
    <w:rsid w:val="00772EC2"/>
    <w:rsid w:val="007733AF"/>
    <w:rsid w:val="007734BD"/>
    <w:rsid w:val="007736F7"/>
    <w:rsid w:val="00773792"/>
    <w:rsid w:val="00773C54"/>
    <w:rsid w:val="00773D5F"/>
    <w:rsid w:val="00774FE6"/>
    <w:rsid w:val="007754D8"/>
    <w:rsid w:val="007755C3"/>
    <w:rsid w:val="007757FA"/>
    <w:rsid w:val="00776114"/>
    <w:rsid w:val="007776C1"/>
    <w:rsid w:val="00777FF4"/>
    <w:rsid w:val="007810A2"/>
    <w:rsid w:val="00781774"/>
    <w:rsid w:val="007817F0"/>
    <w:rsid w:val="00781819"/>
    <w:rsid w:val="00781F76"/>
    <w:rsid w:val="007820EA"/>
    <w:rsid w:val="0078340E"/>
    <w:rsid w:val="007842C5"/>
    <w:rsid w:val="007842FB"/>
    <w:rsid w:val="0078437B"/>
    <w:rsid w:val="00784973"/>
    <w:rsid w:val="00784F0C"/>
    <w:rsid w:val="00786275"/>
    <w:rsid w:val="0078698E"/>
    <w:rsid w:val="007874B1"/>
    <w:rsid w:val="00787C86"/>
    <w:rsid w:val="007905BD"/>
    <w:rsid w:val="00790ECD"/>
    <w:rsid w:val="00790FF4"/>
    <w:rsid w:val="00791700"/>
    <w:rsid w:val="0079221F"/>
    <w:rsid w:val="0079286E"/>
    <w:rsid w:val="00792979"/>
    <w:rsid w:val="00793D41"/>
    <w:rsid w:val="00794231"/>
    <w:rsid w:val="007959C5"/>
    <w:rsid w:val="007961A3"/>
    <w:rsid w:val="00796DB9"/>
    <w:rsid w:val="007973ED"/>
    <w:rsid w:val="007A06FD"/>
    <w:rsid w:val="007A0FF4"/>
    <w:rsid w:val="007A1A15"/>
    <w:rsid w:val="007A1C6E"/>
    <w:rsid w:val="007A1D0A"/>
    <w:rsid w:val="007A1FAA"/>
    <w:rsid w:val="007A27E5"/>
    <w:rsid w:val="007A2BEB"/>
    <w:rsid w:val="007A2C57"/>
    <w:rsid w:val="007A2E0D"/>
    <w:rsid w:val="007A3832"/>
    <w:rsid w:val="007A3988"/>
    <w:rsid w:val="007A41A9"/>
    <w:rsid w:val="007A58C0"/>
    <w:rsid w:val="007A5AB4"/>
    <w:rsid w:val="007A677B"/>
    <w:rsid w:val="007A6C21"/>
    <w:rsid w:val="007A6C9A"/>
    <w:rsid w:val="007A6E6A"/>
    <w:rsid w:val="007A70D5"/>
    <w:rsid w:val="007A73B4"/>
    <w:rsid w:val="007A777B"/>
    <w:rsid w:val="007B0514"/>
    <w:rsid w:val="007B05C8"/>
    <w:rsid w:val="007B09E4"/>
    <w:rsid w:val="007B0DAD"/>
    <w:rsid w:val="007B1F48"/>
    <w:rsid w:val="007B2AFF"/>
    <w:rsid w:val="007B2C6A"/>
    <w:rsid w:val="007B2D5E"/>
    <w:rsid w:val="007B2F31"/>
    <w:rsid w:val="007B3203"/>
    <w:rsid w:val="007B3AD4"/>
    <w:rsid w:val="007B3BB9"/>
    <w:rsid w:val="007B4210"/>
    <w:rsid w:val="007B42A5"/>
    <w:rsid w:val="007B434B"/>
    <w:rsid w:val="007B4C7D"/>
    <w:rsid w:val="007B5387"/>
    <w:rsid w:val="007B66C7"/>
    <w:rsid w:val="007B6AD7"/>
    <w:rsid w:val="007B6B7A"/>
    <w:rsid w:val="007B782C"/>
    <w:rsid w:val="007B7EBA"/>
    <w:rsid w:val="007C069A"/>
    <w:rsid w:val="007C0A52"/>
    <w:rsid w:val="007C0A90"/>
    <w:rsid w:val="007C1014"/>
    <w:rsid w:val="007C15E9"/>
    <w:rsid w:val="007C16AC"/>
    <w:rsid w:val="007C1877"/>
    <w:rsid w:val="007C2282"/>
    <w:rsid w:val="007C2855"/>
    <w:rsid w:val="007C2A2D"/>
    <w:rsid w:val="007C3BDF"/>
    <w:rsid w:val="007C3E75"/>
    <w:rsid w:val="007C447D"/>
    <w:rsid w:val="007C4608"/>
    <w:rsid w:val="007C4C36"/>
    <w:rsid w:val="007C5BA5"/>
    <w:rsid w:val="007C6195"/>
    <w:rsid w:val="007C6332"/>
    <w:rsid w:val="007C6870"/>
    <w:rsid w:val="007C690D"/>
    <w:rsid w:val="007C6CE4"/>
    <w:rsid w:val="007C7198"/>
    <w:rsid w:val="007C78E3"/>
    <w:rsid w:val="007C78E6"/>
    <w:rsid w:val="007C7B5A"/>
    <w:rsid w:val="007C7D8C"/>
    <w:rsid w:val="007D041A"/>
    <w:rsid w:val="007D17F9"/>
    <w:rsid w:val="007D38EF"/>
    <w:rsid w:val="007D3CCC"/>
    <w:rsid w:val="007D3E7E"/>
    <w:rsid w:val="007D3F82"/>
    <w:rsid w:val="007D46E0"/>
    <w:rsid w:val="007D574C"/>
    <w:rsid w:val="007D5792"/>
    <w:rsid w:val="007D5CDA"/>
    <w:rsid w:val="007D61B7"/>
    <w:rsid w:val="007D63A8"/>
    <w:rsid w:val="007D6AD5"/>
    <w:rsid w:val="007D7A91"/>
    <w:rsid w:val="007E0010"/>
    <w:rsid w:val="007E123C"/>
    <w:rsid w:val="007E183B"/>
    <w:rsid w:val="007E1BE0"/>
    <w:rsid w:val="007E2C9F"/>
    <w:rsid w:val="007E2D89"/>
    <w:rsid w:val="007E2D9B"/>
    <w:rsid w:val="007E37B5"/>
    <w:rsid w:val="007E37C9"/>
    <w:rsid w:val="007E3842"/>
    <w:rsid w:val="007E3A13"/>
    <w:rsid w:val="007E3AD1"/>
    <w:rsid w:val="007E3BF2"/>
    <w:rsid w:val="007E3F3C"/>
    <w:rsid w:val="007E41A0"/>
    <w:rsid w:val="007E44D0"/>
    <w:rsid w:val="007E5FB4"/>
    <w:rsid w:val="007E6750"/>
    <w:rsid w:val="007E677F"/>
    <w:rsid w:val="007E6EC0"/>
    <w:rsid w:val="007E7751"/>
    <w:rsid w:val="007E7DC9"/>
    <w:rsid w:val="007F0359"/>
    <w:rsid w:val="007F06A6"/>
    <w:rsid w:val="007F17FF"/>
    <w:rsid w:val="007F1896"/>
    <w:rsid w:val="007F1ED5"/>
    <w:rsid w:val="007F242D"/>
    <w:rsid w:val="007F2543"/>
    <w:rsid w:val="007F28D0"/>
    <w:rsid w:val="007F2991"/>
    <w:rsid w:val="007F2CDF"/>
    <w:rsid w:val="007F2F97"/>
    <w:rsid w:val="007F3060"/>
    <w:rsid w:val="007F3689"/>
    <w:rsid w:val="007F3781"/>
    <w:rsid w:val="007F38C7"/>
    <w:rsid w:val="007F39CB"/>
    <w:rsid w:val="007F53AF"/>
    <w:rsid w:val="007F53EA"/>
    <w:rsid w:val="007F5AF6"/>
    <w:rsid w:val="007F5F74"/>
    <w:rsid w:val="007F608B"/>
    <w:rsid w:val="007F62B4"/>
    <w:rsid w:val="007F743B"/>
    <w:rsid w:val="00800467"/>
    <w:rsid w:val="00800698"/>
    <w:rsid w:val="00800CAD"/>
    <w:rsid w:val="008014DB"/>
    <w:rsid w:val="008027C1"/>
    <w:rsid w:val="00802877"/>
    <w:rsid w:val="00802B87"/>
    <w:rsid w:val="00802EB3"/>
    <w:rsid w:val="00803819"/>
    <w:rsid w:val="00804375"/>
    <w:rsid w:val="00804850"/>
    <w:rsid w:val="0080559B"/>
    <w:rsid w:val="00806570"/>
    <w:rsid w:val="008066C5"/>
    <w:rsid w:val="00806EF2"/>
    <w:rsid w:val="00806F44"/>
    <w:rsid w:val="0080781E"/>
    <w:rsid w:val="00807A14"/>
    <w:rsid w:val="00812DDA"/>
    <w:rsid w:val="008131C6"/>
    <w:rsid w:val="00813710"/>
    <w:rsid w:val="00813BC0"/>
    <w:rsid w:val="00813DE1"/>
    <w:rsid w:val="0081445E"/>
    <w:rsid w:val="00814965"/>
    <w:rsid w:val="00814B26"/>
    <w:rsid w:val="008168E0"/>
    <w:rsid w:val="00817017"/>
    <w:rsid w:val="0081769A"/>
    <w:rsid w:val="00820B96"/>
    <w:rsid w:val="0082100A"/>
    <w:rsid w:val="00821603"/>
    <w:rsid w:val="00822A55"/>
    <w:rsid w:val="00823DB3"/>
    <w:rsid w:val="00823E58"/>
    <w:rsid w:val="00823FED"/>
    <w:rsid w:val="00824D8D"/>
    <w:rsid w:val="0082592A"/>
    <w:rsid w:val="00825BA6"/>
    <w:rsid w:val="00825CB3"/>
    <w:rsid w:val="008260EE"/>
    <w:rsid w:val="0082641D"/>
    <w:rsid w:val="008264F6"/>
    <w:rsid w:val="00826ABD"/>
    <w:rsid w:val="0082734F"/>
    <w:rsid w:val="008277DB"/>
    <w:rsid w:val="00827AA1"/>
    <w:rsid w:val="00830D08"/>
    <w:rsid w:val="00831453"/>
    <w:rsid w:val="008319BA"/>
    <w:rsid w:val="00831B3D"/>
    <w:rsid w:val="00832587"/>
    <w:rsid w:val="008327B7"/>
    <w:rsid w:val="008329D9"/>
    <w:rsid w:val="0083305F"/>
    <w:rsid w:val="00833079"/>
    <w:rsid w:val="00833812"/>
    <w:rsid w:val="0083397F"/>
    <w:rsid w:val="00833CA2"/>
    <w:rsid w:val="00833D84"/>
    <w:rsid w:val="00833EC5"/>
    <w:rsid w:val="00834C29"/>
    <w:rsid w:val="00835934"/>
    <w:rsid w:val="00836AAD"/>
    <w:rsid w:val="008378F0"/>
    <w:rsid w:val="00837B08"/>
    <w:rsid w:val="00837F03"/>
    <w:rsid w:val="0084003B"/>
    <w:rsid w:val="0084018E"/>
    <w:rsid w:val="0084099F"/>
    <w:rsid w:val="008409FD"/>
    <w:rsid w:val="008411FA"/>
    <w:rsid w:val="00842411"/>
    <w:rsid w:val="008425D6"/>
    <w:rsid w:val="008427C0"/>
    <w:rsid w:val="00843587"/>
    <w:rsid w:val="008441DD"/>
    <w:rsid w:val="00844894"/>
    <w:rsid w:val="008451FD"/>
    <w:rsid w:val="00845BBB"/>
    <w:rsid w:val="008461BD"/>
    <w:rsid w:val="008463F2"/>
    <w:rsid w:val="00847543"/>
    <w:rsid w:val="00847DFD"/>
    <w:rsid w:val="00850276"/>
    <w:rsid w:val="0085041A"/>
    <w:rsid w:val="008508B4"/>
    <w:rsid w:val="00850B52"/>
    <w:rsid w:val="00850C0C"/>
    <w:rsid w:val="0085139F"/>
    <w:rsid w:val="00851E4C"/>
    <w:rsid w:val="0085318C"/>
    <w:rsid w:val="0085334E"/>
    <w:rsid w:val="00853952"/>
    <w:rsid w:val="00853AB7"/>
    <w:rsid w:val="00854A34"/>
    <w:rsid w:val="0085520F"/>
    <w:rsid w:val="008554B5"/>
    <w:rsid w:val="00855BEA"/>
    <w:rsid w:val="00855DA9"/>
    <w:rsid w:val="00855E08"/>
    <w:rsid w:val="00855F72"/>
    <w:rsid w:val="0085612B"/>
    <w:rsid w:val="008574C0"/>
    <w:rsid w:val="00857F2F"/>
    <w:rsid w:val="00857F67"/>
    <w:rsid w:val="00860D19"/>
    <w:rsid w:val="00860E32"/>
    <w:rsid w:val="008612A9"/>
    <w:rsid w:val="008612BB"/>
    <w:rsid w:val="0086235E"/>
    <w:rsid w:val="008623E1"/>
    <w:rsid w:val="00862AE4"/>
    <w:rsid w:val="0086338D"/>
    <w:rsid w:val="00863B8C"/>
    <w:rsid w:val="00863D37"/>
    <w:rsid w:val="008647BE"/>
    <w:rsid w:val="00864E2E"/>
    <w:rsid w:val="008650A5"/>
    <w:rsid w:val="008651EF"/>
    <w:rsid w:val="008653B6"/>
    <w:rsid w:val="0086548F"/>
    <w:rsid w:val="00865B2F"/>
    <w:rsid w:val="00866230"/>
    <w:rsid w:val="00867917"/>
    <w:rsid w:val="00867A55"/>
    <w:rsid w:val="00867C2D"/>
    <w:rsid w:val="00867DC1"/>
    <w:rsid w:val="00870DF3"/>
    <w:rsid w:val="00870E8C"/>
    <w:rsid w:val="00870F1E"/>
    <w:rsid w:val="008715EB"/>
    <w:rsid w:val="00871D16"/>
    <w:rsid w:val="00872192"/>
    <w:rsid w:val="0087264C"/>
    <w:rsid w:val="00872F0F"/>
    <w:rsid w:val="00873776"/>
    <w:rsid w:val="00873EB1"/>
    <w:rsid w:val="00873F3A"/>
    <w:rsid w:val="0087422A"/>
    <w:rsid w:val="0087455C"/>
    <w:rsid w:val="0087521A"/>
    <w:rsid w:val="00875248"/>
    <w:rsid w:val="008752AD"/>
    <w:rsid w:val="0087593A"/>
    <w:rsid w:val="00875C82"/>
    <w:rsid w:val="00875F40"/>
    <w:rsid w:val="00876517"/>
    <w:rsid w:val="00876BEE"/>
    <w:rsid w:val="00877469"/>
    <w:rsid w:val="00877EAF"/>
    <w:rsid w:val="008802FE"/>
    <w:rsid w:val="008804F0"/>
    <w:rsid w:val="00880F4C"/>
    <w:rsid w:val="0088161A"/>
    <w:rsid w:val="00881B28"/>
    <w:rsid w:val="00882832"/>
    <w:rsid w:val="00882A84"/>
    <w:rsid w:val="00882C21"/>
    <w:rsid w:val="008834B7"/>
    <w:rsid w:val="008841DD"/>
    <w:rsid w:val="00884B7F"/>
    <w:rsid w:val="00884F68"/>
    <w:rsid w:val="008852A6"/>
    <w:rsid w:val="00886103"/>
    <w:rsid w:val="00886273"/>
    <w:rsid w:val="008863A0"/>
    <w:rsid w:val="008864DA"/>
    <w:rsid w:val="00890138"/>
    <w:rsid w:val="0089017E"/>
    <w:rsid w:val="008905D9"/>
    <w:rsid w:val="0089072E"/>
    <w:rsid w:val="008909D2"/>
    <w:rsid w:val="00890A41"/>
    <w:rsid w:val="00890C0A"/>
    <w:rsid w:val="00890DAD"/>
    <w:rsid w:val="00890EAD"/>
    <w:rsid w:val="00890F5C"/>
    <w:rsid w:val="0089120A"/>
    <w:rsid w:val="00891871"/>
    <w:rsid w:val="00891C74"/>
    <w:rsid w:val="00891E5E"/>
    <w:rsid w:val="00891F3A"/>
    <w:rsid w:val="00891FFA"/>
    <w:rsid w:val="00892229"/>
    <w:rsid w:val="0089336F"/>
    <w:rsid w:val="0089345D"/>
    <w:rsid w:val="00893D55"/>
    <w:rsid w:val="00894838"/>
    <w:rsid w:val="00894E47"/>
    <w:rsid w:val="00895543"/>
    <w:rsid w:val="00896100"/>
    <w:rsid w:val="00896116"/>
    <w:rsid w:val="0089618B"/>
    <w:rsid w:val="008A0BA8"/>
    <w:rsid w:val="008A0E93"/>
    <w:rsid w:val="008A0FBB"/>
    <w:rsid w:val="008A15BD"/>
    <w:rsid w:val="008A1617"/>
    <w:rsid w:val="008A2F2B"/>
    <w:rsid w:val="008A342B"/>
    <w:rsid w:val="008A35E5"/>
    <w:rsid w:val="008A42A4"/>
    <w:rsid w:val="008A445B"/>
    <w:rsid w:val="008A507E"/>
    <w:rsid w:val="008A51D3"/>
    <w:rsid w:val="008A5677"/>
    <w:rsid w:val="008A67D0"/>
    <w:rsid w:val="008A790F"/>
    <w:rsid w:val="008B0B14"/>
    <w:rsid w:val="008B0B38"/>
    <w:rsid w:val="008B1226"/>
    <w:rsid w:val="008B1A27"/>
    <w:rsid w:val="008B1FDF"/>
    <w:rsid w:val="008B28FE"/>
    <w:rsid w:val="008B2E75"/>
    <w:rsid w:val="008B30B4"/>
    <w:rsid w:val="008B3B9D"/>
    <w:rsid w:val="008B3D5D"/>
    <w:rsid w:val="008B4CA2"/>
    <w:rsid w:val="008B4D62"/>
    <w:rsid w:val="008B56F6"/>
    <w:rsid w:val="008B6131"/>
    <w:rsid w:val="008B6479"/>
    <w:rsid w:val="008B6E08"/>
    <w:rsid w:val="008B72BF"/>
    <w:rsid w:val="008B789D"/>
    <w:rsid w:val="008B78E1"/>
    <w:rsid w:val="008C0387"/>
    <w:rsid w:val="008C059F"/>
    <w:rsid w:val="008C0FC8"/>
    <w:rsid w:val="008C0FF9"/>
    <w:rsid w:val="008C1174"/>
    <w:rsid w:val="008C12C9"/>
    <w:rsid w:val="008C12D7"/>
    <w:rsid w:val="008C1833"/>
    <w:rsid w:val="008C1C7C"/>
    <w:rsid w:val="008C1CAF"/>
    <w:rsid w:val="008C2BDB"/>
    <w:rsid w:val="008C34C4"/>
    <w:rsid w:val="008C3604"/>
    <w:rsid w:val="008C3E5E"/>
    <w:rsid w:val="008C4A12"/>
    <w:rsid w:val="008C54FD"/>
    <w:rsid w:val="008C5C83"/>
    <w:rsid w:val="008C5F78"/>
    <w:rsid w:val="008C6A85"/>
    <w:rsid w:val="008C6D3C"/>
    <w:rsid w:val="008C70C8"/>
    <w:rsid w:val="008C710F"/>
    <w:rsid w:val="008C7D66"/>
    <w:rsid w:val="008D0459"/>
    <w:rsid w:val="008D095E"/>
    <w:rsid w:val="008D0C81"/>
    <w:rsid w:val="008D1424"/>
    <w:rsid w:val="008D1EFD"/>
    <w:rsid w:val="008D2351"/>
    <w:rsid w:val="008D2671"/>
    <w:rsid w:val="008D28FA"/>
    <w:rsid w:val="008D29ED"/>
    <w:rsid w:val="008D33E5"/>
    <w:rsid w:val="008D373C"/>
    <w:rsid w:val="008D3A7F"/>
    <w:rsid w:val="008D3D39"/>
    <w:rsid w:val="008D3F6C"/>
    <w:rsid w:val="008D423D"/>
    <w:rsid w:val="008D512C"/>
    <w:rsid w:val="008D5699"/>
    <w:rsid w:val="008D58C3"/>
    <w:rsid w:val="008D63C1"/>
    <w:rsid w:val="008D6400"/>
    <w:rsid w:val="008D64A7"/>
    <w:rsid w:val="008D6FA1"/>
    <w:rsid w:val="008D70B7"/>
    <w:rsid w:val="008E0275"/>
    <w:rsid w:val="008E05A7"/>
    <w:rsid w:val="008E05AC"/>
    <w:rsid w:val="008E0C9D"/>
    <w:rsid w:val="008E0CCA"/>
    <w:rsid w:val="008E1646"/>
    <w:rsid w:val="008E1D42"/>
    <w:rsid w:val="008E1F5E"/>
    <w:rsid w:val="008E2920"/>
    <w:rsid w:val="008E3DE0"/>
    <w:rsid w:val="008E3F94"/>
    <w:rsid w:val="008E419F"/>
    <w:rsid w:val="008E4896"/>
    <w:rsid w:val="008E4FFA"/>
    <w:rsid w:val="008E5FE9"/>
    <w:rsid w:val="008E646E"/>
    <w:rsid w:val="008E651F"/>
    <w:rsid w:val="008E68B0"/>
    <w:rsid w:val="008E6A15"/>
    <w:rsid w:val="008E7B9F"/>
    <w:rsid w:val="008E7D5C"/>
    <w:rsid w:val="008E7F40"/>
    <w:rsid w:val="008F0747"/>
    <w:rsid w:val="008F07B8"/>
    <w:rsid w:val="008F0851"/>
    <w:rsid w:val="008F0A66"/>
    <w:rsid w:val="008F0C03"/>
    <w:rsid w:val="008F0D9E"/>
    <w:rsid w:val="008F0E60"/>
    <w:rsid w:val="008F104E"/>
    <w:rsid w:val="008F122C"/>
    <w:rsid w:val="008F1328"/>
    <w:rsid w:val="008F179D"/>
    <w:rsid w:val="008F2497"/>
    <w:rsid w:val="008F24AA"/>
    <w:rsid w:val="008F2FDD"/>
    <w:rsid w:val="008F30B5"/>
    <w:rsid w:val="008F325E"/>
    <w:rsid w:val="008F36B6"/>
    <w:rsid w:val="008F425C"/>
    <w:rsid w:val="008F48E6"/>
    <w:rsid w:val="008F531F"/>
    <w:rsid w:val="008F56A7"/>
    <w:rsid w:val="008F6652"/>
    <w:rsid w:val="008F68D1"/>
    <w:rsid w:val="008F75A9"/>
    <w:rsid w:val="008F7A45"/>
    <w:rsid w:val="008F7FD1"/>
    <w:rsid w:val="00900326"/>
    <w:rsid w:val="00900BDB"/>
    <w:rsid w:val="009022DB"/>
    <w:rsid w:val="00902624"/>
    <w:rsid w:val="009026B6"/>
    <w:rsid w:val="00902B1B"/>
    <w:rsid w:val="0090340C"/>
    <w:rsid w:val="009041A3"/>
    <w:rsid w:val="00904264"/>
    <w:rsid w:val="00904705"/>
    <w:rsid w:val="00904BDB"/>
    <w:rsid w:val="00905576"/>
    <w:rsid w:val="00906BE5"/>
    <w:rsid w:val="00906C86"/>
    <w:rsid w:val="00906D76"/>
    <w:rsid w:val="00906F22"/>
    <w:rsid w:val="009072C0"/>
    <w:rsid w:val="009076A0"/>
    <w:rsid w:val="009102D2"/>
    <w:rsid w:val="00910F87"/>
    <w:rsid w:val="0091198A"/>
    <w:rsid w:val="00911D4B"/>
    <w:rsid w:val="009121F5"/>
    <w:rsid w:val="009126A6"/>
    <w:rsid w:val="0091313F"/>
    <w:rsid w:val="009131DC"/>
    <w:rsid w:val="0091322B"/>
    <w:rsid w:val="00913AD1"/>
    <w:rsid w:val="00913EFE"/>
    <w:rsid w:val="009146D7"/>
    <w:rsid w:val="00915471"/>
    <w:rsid w:val="009157CC"/>
    <w:rsid w:val="009163EC"/>
    <w:rsid w:val="0091646D"/>
    <w:rsid w:val="0091659C"/>
    <w:rsid w:val="00916DFB"/>
    <w:rsid w:val="009172D0"/>
    <w:rsid w:val="00917645"/>
    <w:rsid w:val="00917679"/>
    <w:rsid w:val="009176FD"/>
    <w:rsid w:val="009200E4"/>
    <w:rsid w:val="00920D02"/>
    <w:rsid w:val="00920FCC"/>
    <w:rsid w:val="00921A1F"/>
    <w:rsid w:val="00921BB2"/>
    <w:rsid w:val="0092207D"/>
    <w:rsid w:val="00924203"/>
    <w:rsid w:val="00924BF4"/>
    <w:rsid w:val="00926239"/>
    <w:rsid w:val="009265EA"/>
    <w:rsid w:val="00927277"/>
    <w:rsid w:val="0092729B"/>
    <w:rsid w:val="0092777F"/>
    <w:rsid w:val="00927983"/>
    <w:rsid w:val="00927986"/>
    <w:rsid w:val="00927FF5"/>
    <w:rsid w:val="00930ECA"/>
    <w:rsid w:val="00930F8C"/>
    <w:rsid w:val="009312BA"/>
    <w:rsid w:val="009312DF"/>
    <w:rsid w:val="009328F3"/>
    <w:rsid w:val="009329F0"/>
    <w:rsid w:val="00932DCE"/>
    <w:rsid w:val="00932EF4"/>
    <w:rsid w:val="009332C3"/>
    <w:rsid w:val="00933638"/>
    <w:rsid w:val="009346A5"/>
    <w:rsid w:val="009349EA"/>
    <w:rsid w:val="00934CB4"/>
    <w:rsid w:val="009351A8"/>
    <w:rsid w:val="009351E1"/>
    <w:rsid w:val="00935243"/>
    <w:rsid w:val="00935293"/>
    <w:rsid w:val="00935CE6"/>
    <w:rsid w:val="00935D1B"/>
    <w:rsid w:val="00935F83"/>
    <w:rsid w:val="00936142"/>
    <w:rsid w:val="00940596"/>
    <w:rsid w:val="00940704"/>
    <w:rsid w:val="00940A81"/>
    <w:rsid w:val="00941807"/>
    <w:rsid w:val="009418F4"/>
    <w:rsid w:val="00941CBE"/>
    <w:rsid w:val="009421E2"/>
    <w:rsid w:val="009422F9"/>
    <w:rsid w:val="00942BD5"/>
    <w:rsid w:val="00943227"/>
    <w:rsid w:val="00943810"/>
    <w:rsid w:val="009451FA"/>
    <w:rsid w:val="00945233"/>
    <w:rsid w:val="00945330"/>
    <w:rsid w:val="00945422"/>
    <w:rsid w:val="00945433"/>
    <w:rsid w:val="00945D62"/>
    <w:rsid w:val="00945F62"/>
    <w:rsid w:val="009469C9"/>
    <w:rsid w:val="00947AEE"/>
    <w:rsid w:val="00947F07"/>
    <w:rsid w:val="00950280"/>
    <w:rsid w:val="00950333"/>
    <w:rsid w:val="0095096D"/>
    <w:rsid w:val="00950FF3"/>
    <w:rsid w:val="009520CC"/>
    <w:rsid w:val="009521AF"/>
    <w:rsid w:val="00952804"/>
    <w:rsid w:val="0095297C"/>
    <w:rsid w:val="00952AC3"/>
    <w:rsid w:val="0095315A"/>
    <w:rsid w:val="00953438"/>
    <w:rsid w:val="00953500"/>
    <w:rsid w:val="00953713"/>
    <w:rsid w:val="00953E33"/>
    <w:rsid w:val="00953EC0"/>
    <w:rsid w:val="00954054"/>
    <w:rsid w:val="009540DC"/>
    <w:rsid w:val="009541F7"/>
    <w:rsid w:val="009547B3"/>
    <w:rsid w:val="00954AEC"/>
    <w:rsid w:val="00955045"/>
    <w:rsid w:val="009554C7"/>
    <w:rsid w:val="00955860"/>
    <w:rsid w:val="00955CD1"/>
    <w:rsid w:val="00955F1A"/>
    <w:rsid w:val="00955FF3"/>
    <w:rsid w:val="0095652C"/>
    <w:rsid w:val="00956651"/>
    <w:rsid w:val="0095667D"/>
    <w:rsid w:val="0095677C"/>
    <w:rsid w:val="00956BC3"/>
    <w:rsid w:val="0095792F"/>
    <w:rsid w:val="00957B57"/>
    <w:rsid w:val="0096096A"/>
    <w:rsid w:val="00961F50"/>
    <w:rsid w:val="00962345"/>
    <w:rsid w:val="009630CF"/>
    <w:rsid w:val="00963112"/>
    <w:rsid w:val="00964981"/>
    <w:rsid w:val="00965D4D"/>
    <w:rsid w:val="00966684"/>
    <w:rsid w:val="009670B6"/>
    <w:rsid w:val="009671C4"/>
    <w:rsid w:val="0096731E"/>
    <w:rsid w:val="0097044B"/>
    <w:rsid w:val="009710FE"/>
    <w:rsid w:val="0097145B"/>
    <w:rsid w:val="00971DF2"/>
    <w:rsid w:val="00971ED2"/>
    <w:rsid w:val="009731A7"/>
    <w:rsid w:val="00973297"/>
    <w:rsid w:val="00974375"/>
    <w:rsid w:val="009745B7"/>
    <w:rsid w:val="00975244"/>
    <w:rsid w:val="00975798"/>
    <w:rsid w:val="0097581E"/>
    <w:rsid w:val="009759F2"/>
    <w:rsid w:val="00975CE0"/>
    <w:rsid w:val="00975DCB"/>
    <w:rsid w:val="00975EEE"/>
    <w:rsid w:val="009763AC"/>
    <w:rsid w:val="00976DC3"/>
    <w:rsid w:val="009779CA"/>
    <w:rsid w:val="009803D6"/>
    <w:rsid w:val="009808E6"/>
    <w:rsid w:val="00980A8C"/>
    <w:rsid w:val="00980BA8"/>
    <w:rsid w:val="0098153F"/>
    <w:rsid w:val="00981AC7"/>
    <w:rsid w:val="00981FBA"/>
    <w:rsid w:val="0098251B"/>
    <w:rsid w:val="00982FE5"/>
    <w:rsid w:val="00983D2B"/>
    <w:rsid w:val="00984053"/>
    <w:rsid w:val="0098421B"/>
    <w:rsid w:val="00984441"/>
    <w:rsid w:val="0098462A"/>
    <w:rsid w:val="00984C41"/>
    <w:rsid w:val="00985655"/>
    <w:rsid w:val="00985BD7"/>
    <w:rsid w:val="00985D42"/>
    <w:rsid w:val="00985F48"/>
    <w:rsid w:val="009860BE"/>
    <w:rsid w:val="00986E3E"/>
    <w:rsid w:val="00986EE3"/>
    <w:rsid w:val="0098717C"/>
    <w:rsid w:val="00987594"/>
    <w:rsid w:val="00987D87"/>
    <w:rsid w:val="00987DE5"/>
    <w:rsid w:val="00987F75"/>
    <w:rsid w:val="009903BD"/>
    <w:rsid w:val="009906B9"/>
    <w:rsid w:val="00990BF1"/>
    <w:rsid w:val="009911F8"/>
    <w:rsid w:val="0099168A"/>
    <w:rsid w:val="00991F71"/>
    <w:rsid w:val="00992129"/>
    <w:rsid w:val="00992361"/>
    <w:rsid w:val="009924D3"/>
    <w:rsid w:val="009928FF"/>
    <w:rsid w:val="00992E4D"/>
    <w:rsid w:val="009932B5"/>
    <w:rsid w:val="0099367D"/>
    <w:rsid w:val="00993698"/>
    <w:rsid w:val="00993E63"/>
    <w:rsid w:val="0099409C"/>
    <w:rsid w:val="009942E5"/>
    <w:rsid w:val="00994D02"/>
    <w:rsid w:val="00994D63"/>
    <w:rsid w:val="00994E87"/>
    <w:rsid w:val="009950AC"/>
    <w:rsid w:val="0099535C"/>
    <w:rsid w:val="00995B6A"/>
    <w:rsid w:val="009967C2"/>
    <w:rsid w:val="009972C6"/>
    <w:rsid w:val="00997538"/>
    <w:rsid w:val="00997E43"/>
    <w:rsid w:val="009A01D4"/>
    <w:rsid w:val="009A05BC"/>
    <w:rsid w:val="009A0FFD"/>
    <w:rsid w:val="009A1172"/>
    <w:rsid w:val="009A1482"/>
    <w:rsid w:val="009A1705"/>
    <w:rsid w:val="009A1B33"/>
    <w:rsid w:val="009A1E0C"/>
    <w:rsid w:val="009A2316"/>
    <w:rsid w:val="009A232B"/>
    <w:rsid w:val="009A2490"/>
    <w:rsid w:val="009A321D"/>
    <w:rsid w:val="009A3500"/>
    <w:rsid w:val="009A35E1"/>
    <w:rsid w:val="009A3C44"/>
    <w:rsid w:val="009A3DD8"/>
    <w:rsid w:val="009A3ED9"/>
    <w:rsid w:val="009A4640"/>
    <w:rsid w:val="009A47B7"/>
    <w:rsid w:val="009A52AF"/>
    <w:rsid w:val="009A546A"/>
    <w:rsid w:val="009A5DC8"/>
    <w:rsid w:val="009A6163"/>
    <w:rsid w:val="009A66A9"/>
    <w:rsid w:val="009A755E"/>
    <w:rsid w:val="009A78CE"/>
    <w:rsid w:val="009A7CE3"/>
    <w:rsid w:val="009B021C"/>
    <w:rsid w:val="009B07FD"/>
    <w:rsid w:val="009B2442"/>
    <w:rsid w:val="009B28D3"/>
    <w:rsid w:val="009B2AB4"/>
    <w:rsid w:val="009B2D8D"/>
    <w:rsid w:val="009B2F69"/>
    <w:rsid w:val="009B30C8"/>
    <w:rsid w:val="009B3432"/>
    <w:rsid w:val="009B381F"/>
    <w:rsid w:val="009B3C30"/>
    <w:rsid w:val="009B48FE"/>
    <w:rsid w:val="009B49B3"/>
    <w:rsid w:val="009B4DCA"/>
    <w:rsid w:val="009B5385"/>
    <w:rsid w:val="009B6492"/>
    <w:rsid w:val="009B7AEF"/>
    <w:rsid w:val="009B7F22"/>
    <w:rsid w:val="009C0240"/>
    <w:rsid w:val="009C0BF5"/>
    <w:rsid w:val="009C1AE2"/>
    <w:rsid w:val="009C2582"/>
    <w:rsid w:val="009C2F7C"/>
    <w:rsid w:val="009C318B"/>
    <w:rsid w:val="009C39D1"/>
    <w:rsid w:val="009C4F6D"/>
    <w:rsid w:val="009C5591"/>
    <w:rsid w:val="009C5E08"/>
    <w:rsid w:val="009C5F0E"/>
    <w:rsid w:val="009C6974"/>
    <w:rsid w:val="009C69A9"/>
    <w:rsid w:val="009C77D6"/>
    <w:rsid w:val="009C7887"/>
    <w:rsid w:val="009C7B46"/>
    <w:rsid w:val="009C7CA9"/>
    <w:rsid w:val="009C7F6F"/>
    <w:rsid w:val="009D0A71"/>
    <w:rsid w:val="009D1BEA"/>
    <w:rsid w:val="009D20F2"/>
    <w:rsid w:val="009D28E4"/>
    <w:rsid w:val="009D2C3B"/>
    <w:rsid w:val="009D2E9F"/>
    <w:rsid w:val="009D3CF7"/>
    <w:rsid w:val="009D3E1E"/>
    <w:rsid w:val="009D4581"/>
    <w:rsid w:val="009D477F"/>
    <w:rsid w:val="009D4CF3"/>
    <w:rsid w:val="009D50A4"/>
    <w:rsid w:val="009D6962"/>
    <w:rsid w:val="009D6BA6"/>
    <w:rsid w:val="009D765E"/>
    <w:rsid w:val="009D7D8C"/>
    <w:rsid w:val="009D7FFB"/>
    <w:rsid w:val="009E050F"/>
    <w:rsid w:val="009E0664"/>
    <w:rsid w:val="009E0C4F"/>
    <w:rsid w:val="009E1230"/>
    <w:rsid w:val="009E18ED"/>
    <w:rsid w:val="009E1D66"/>
    <w:rsid w:val="009E2445"/>
    <w:rsid w:val="009E3824"/>
    <w:rsid w:val="009E3F69"/>
    <w:rsid w:val="009E4063"/>
    <w:rsid w:val="009E456F"/>
    <w:rsid w:val="009E4A03"/>
    <w:rsid w:val="009E4AB9"/>
    <w:rsid w:val="009E520E"/>
    <w:rsid w:val="009E56C8"/>
    <w:rsid w:val="009E5FCE"/>
    <w:rsid w:val="009E650A"/>
    <w:rsid w:val="009E6D5A"/>
    <w:rsid w:val="009E6FCA"/>
    <w:rsid w:val="009E7169"/>
    <w:rsid w:val="009E7501"/>
    <w:rsid w:val="009E7EF8"/>
    <w:rsid w:val="009F00B2"/>
    <w:rsid w:val="009F0AB6"/>
    <w:rsid w:val="009F0CE8"/>
    <w:rsid w:val="009F0E6A"/>
    <w:rsid w:val="009F1395"/>
    <w:rsid w:val="009F19D8"/>
    <w:rsid w:val="009F1D26"/>
    <w:rsid w:val="009F1EFE"/>
    <w:rsid w:val="009F2F92"/>
    <w:rsid w:val="009F3853"/>
    <w:rsid w:val="009F39E4"/>
    <w:rsid w:val="009F409A"/>
    <w:rsid w:val="009F4214"/>
    <w:rsid w:val="009F42CC"/>
    <w:rsid w:val="009F5028"/>
    <w:rsid w:val="009F5106"/>
    <w:rsid w:val="009F57AF"/>
    <w:rsid w:val="009F5CDA"/>
    <w:rsid w:val="009F638E"/>
    <w:rsid w:val="009F64ED"/>
    <w:rsid w:val="009F653A"/>
    <w:rsid w:val="009F65D5"/>
    <w:rsid w:val="009F6D7E"/>
    <w:rsid w:val="009F6ED6"/>
    <w:rsid w:val="009F738E"/>
    <w:rsid w:val="009F7527"/>
    <w:rsid w:val="009F75A3"/>
    <w:rsid w:val="009F7613"/>
    <w:rsid w:val="00A00050"/>
    <w:rsid w:val="00A00435"/>
    <w:rsid w:val="00A00533"/>
    <w:rsid w:val="00A00EB8"/>
    <w:rsid w:val="00A00F6B"/>
    <w:rsid w:val="00A01701"/>
    <w:rsid w:val="00A01B21"/>
    <w:rsid w:val="00A01D68"/>
    <w:rsid w:val="00A02140"/>
    <w:rsid w:val="00A0270B"/>
    <w:rsid w:val="00A02787"/>
    <w:rsid w:val="00A031A5"/>
    <w:rsid w:val="00A0373B"/>
    <w:rsid w:val="00A04685"/>
    <w:rsid w:val="00A046BE"/>
    <w:rsid w:val="00A04E35"/>
    <w:rsid w:val="00A05664"/>
    <w:rsid w:val="00A05B3E"/>
    <w:rsid w:val="00A06088"/>
    <w:rsid w:val="00A0703E"/>
    <w:rsid w:val="00A07737"/>
    <w:rsid w:val="00A07804"/>
    <w:rsid w:val="00A07C98"/>
    <w:rsid w:val="00A100F9"/>
    <w:rsid w:val="00A10317"/>
    <w:rsid w:val="00A1085B"/>
    <w:rsid w:val="00A10B72"/>
    <w:rsid w:val="00A10BDB"/>
    <w:rsid w:val="00A10F90"/>
    <w:rsid w:val="00A1119F"/>
    <w:rsid w:val="00A11636"/>
    <w:rsid w:val="00A11980"/>
    <w:rsid w:val="00A123CD"/>
    <w:rsid w:val="00A1242B"/>
    <w:rsid w:val="00A12DA9"/>
    <w:rsid w:val="00A12E13"/>
    <w:rsid w:val="00A13142"/>
    <w:rsid w:val="00A13594"/>
    <w:rsid w:val="00A135C1"/>
    <w:rsid w:val="00A1362E"/>
    <w:rsid w:val="00A13874"/>
    <w:rsid w:val="00A13E46"/>
    <w:rsid w:val="00A13EDB"/>
    <w:rsid w:val="00A1420F"/>
    <w:rsid w:val="00A15165"/>
    <w:rsid w:val="00A15C89"/>
    <w:rsid w:val="00A167B0"/>
    <w:rsid w:val="00A17684"/>
    <w:rsid w:val="00A17976"/>
    <w:rsid w:val="00A17C45"/>
    <w:rsid w:val="00A201FD"/>
    <w:rsid w:val="00A20C28"/>
    <w:rsid w:val="00A20F9B"/>
    <w:rsid w:val="00A218F4"/>
    <w:rsid w:val="00A21FCD"/>
    <w:rsid w:val="00A2206F"/>
    <w:rsid w:val="00A22616"/>
    <w:rsid w:val="00A228DC"/>
    <w:rsid w:val="00A22AAB"/>
    <w:rsid w:val="00A22AEA"/>
    <w:rsid w:val="00A22DF8"/>
    <w:rsid w:val="00A2360A"/>
    <w:rsid w:val="00A2428D"/>
    <w:rsid w:val="00A242A3"/>
    <w:rsid w:val="00A242AA"/>
    <w:rsid w:val="00A242C3"/>
    <w:rsid w:val="00A24A9A"/>
    <w:rsid w:val="00A24C79"/>
    <w:rsid w:val="00A2546F"/>
    <w:rsid w:val="00A2547D"/>
    <w:rsid w:val="00A25A75"/>
    <w:rsid w:val="00A25CF3"/>
    <w:rsid w:val="00A26430"/>
    <w:rsid w:val="00A2674D"/>
    <w:rsid w:val="00A26E8B"/>
    <w:rsid w:val="00A2710C"/>
    <w:rsid w:val="00A27F06"/>
    <w:rsid w:val="00A300C9"/>
    <w:rsid w:val="00A3078B"/>
    <w:rsid w:val="00A307CB"/>
    <w:rsid w:val="00A317D8"/>
    <w:rsid w:val="00A321B7"/>
    <w:rsid w:val="00A32544"/>
    <w:rsid w:val="00A32CFF"/>
    <w:rsid w:val="00A331CC"/>
    <w:rsid w:val="00A33AA0"/>
    <w:rsid w:val="00A33E88"/>
    <w:rsid w:val="00A34647"/>
    <w:rsid w:val="00A3543C"/>
    <w:rsid w:val="00A35D83"/>
    <w:rsid w:val="00A35E16"/>
    <w:rsid w:val="00A3601C"/>
    <w:rsid w:val="00A3638A"/>
    <w:rsid w:val="00A36A50"/>
    <w:rsid w:val="00A36ACE"/>
    <w:rsid w:val="00A37080"/>
    <w:rsid w:val="00A3723D"/>
    <w:rsid w:val="00A37E65"/>
    <w:rsid w:val="00A37FE4"/>
    <w:rsid w:val="00A40776"/>
    <w:rsid w:val="00A409ED"/>
    <w:rsid w:val="00A41093"/>
    <w:rsid w:val="00A41579"/>
    <w:rsid w:val="00A41897"/>
    <w:rsid w:val="00A41A4B"/>
    <w:rsid w:val="00A41A72"/>
    <w:rsid w:val="00A41E95"/>
    <w:rsid w:val="00A42DCA"/>
    <w:rsid w:val="00A42F46"/>
    <w:rsid w:val="00A4317A"/>
    <w:rsid w:val="00A43234"/>
    <w:rsid w:val="00A43304"/>
    <w:rsid w:val="00A43308"/>
    <w:rsid w:val="00A44568"/>
    <w:rsid w:val="00A45971"/>
    <w:rsid w:val="00A45B4F"/>
    <w:rsid w:val="00A47AC4"/>
    <w:rsid w:val="00A5065A"/>
    <w:rsid w:val="00A507B8"/>
    <w:rsid w:val="00A50DDF"/>
    <w:rsid w:val="00A512AB"/>
    <w:rsid w:val="00A512CA"/>
    <w:rsid w:val="00A5195E"/>
    <w:rsid w:val="00A519A2"/>
    <w:rsid w:val="00A519DC"/>
    <w:rsid w:val="00A5252F"/>
    <w:rsid w:val="00A52A7F"/>
    <w:rsid w:val="00A53587"/>
    <w:rsid w:val="00A536FF"/>
    <w:rsid w:val="00A53FFB"/>
    <w:rsid w:val="00A54801"/>
    <w:rsid w:val="00A558E4"/>
    <w:rsid w:val="00A568B2"/>
    <w:rsid w:val="00A573C8"/>
    <w:rsid w:val="00A5775A"/>
    <w:rsid w:val="00A57BAE"/>
    <w:rsid w:val="00A6022B"/>
    <w:rsid w:val="00A60F0C"/>
    <w:rsid w:val="00A611D4"/>
    <w:rsid w:val="00A61420"/>
    <w:rsid w:val="00A627E7"/>
    <w:rsid w:val="00A62A7A"/>
    <w:rsid w:val="00A633BC"/>
    <w:rsid w:val="00A6395B"/>
    <w:rsid w:val="00A644E0"/>
    <w:rsid w:val="00A64D50"/>
    <w:rsid w:val="00A64DFD"/>
    <w:rsid w:val="00A64EDE"/>
    <w:rsid w:val="00A64EF2"/>
    <w:rsid w:val="00A65029"/>
    <w:rsid w:val="00A6586B"/>
    <w:rsid w:val="00A659FA"/>
    <w:rsid w:val="00A65B9A"/>
    <w:rsid w:val="00A65F32"/>
    <w:rsid w:val="00A70103"/>
    <w:rsid w:val="00A70120"/>
    <w:rsid w:val="00A7058B"/>
    <w:rsid w:val="00A70B6A"/>
    <w:rsid w:val="00A712B0"/>
    <w:rsid w:val="00A713F1"/>
    <w:rsid w:val="00A71569"/>
    <w:rsid w:val="00A71963"/>
    <w:rsid w:val="00A71992"/>
    <w:rsid w:val="00A71C9E"/>
    <w:rsid w:val="00A72A1C"/>
    <w:rsid w:val="00A72DCD"/>
    <w:rsid w:val="00A733BC"/>
    <w:rsid w:val="00A73592"/>
    <w:rsid w:val="00A745A4"/>
    <w:rsid w:val="00A74F96"/>
    <w:rsid w:val="00A74FB2"/>
    <w:rsid w:val="00A752CD"/>
    <w:rsid w:val="00A752E2"/>
    <w:rsid w:val="00A7538E"/>
    <w:rsid w:val="00A7569A"/>
    <w:rsid w:val="00A75883"/>
    <w:rsid w:val="00A75B0E"/>
    <w:rsid w:val="00A76196"/>
    <w:rsid w:val="00A76A55"/>
    <w:rsid w:val="00A77024"/>
    <w:rsid w:val="00A77681"/>
    <w:rsid w:val="00A7771B"/>
    <w:rsid w:val="00A8037C"/>
    <w:rsid w:val="00A807B7"/>
    <w:rsid w:val="00A82784"/>
    <w:rsid w:val="00A829D9"/>
    <w:rsid w:val="00A82C57"/>
    <w:rsid w:val="00A82CA3"/>
    <w:rsid w:val="00A83463"/>
    <w:rsid w:val="00A838C8"/>
    <w:rsid w:val="00A83A32"/>
    <w:rsid w:val="00A83B81"/>
    <w:rsid w:val="00A83C09"/>
    <w:rsid w:val="00A83C36"/>
    <w:rsid w:val="00A83F63"/>
    <w:rsid w:val="00A85982"/>
    <w:rsid w:val="00A8687E"/>
    <w:rsid w:val="00A869DE"/>
    <w:rsid w:val="00A86C7D"/>
    <w:rsid w:val="00A86EBC"/>
    <w:rsid w:val="00A86F08"/>
    <w:rsid w:val="00A87F8B"/>
    <w:rsid w:val="00A900B5"/>
    <w:rsid w:val="00A901B7"/>
    <w:rsid w:val="00A9039F"/>
    <w:rsid w:val="00A908B4"/>
    <w:rsid w:val="00A908C9"/>
    <w:rsid w:val="00A90A92"/>
    <w:rsid w:val="00A91176"/>
    <w:rsid w:val="00A923B9"/>
    <w:rsid w:val="00A929BE"/>
    <w:rsid w:val="00A935BC"/>
    <w:rsid w:val="00A936EA"/>
    <w:rsid w:val="00A93789"/>
    <w:rsid w:val="00A939BB"/>
    <w:rsid w:val="00A944B4"/>
    <w:rsid w:val="00A945BD"/>
    <w:rsid w:val="00A94EAF"/>
    <w:rsid w:val="00A951ED"/>
    <w:rsid w:val="00A95AB0"/>
    <w:rsid w:val="00A95F79"/>
    <w:rsid w:val="00A96069"/>
    <w:rsid w:val="00A96393"/>
    <w:rsid w:val="00A9662C"/>
    <w:rsid w:val="00A96C26"/>
    <w:rsid w:val="00A96EE3"/>
    <w:rsid w:val="00A9745C"/>
    <w:rsid w:val="00AA05A0"/>
    <w:rsid w:val="00AA0B49"/>
    <w:rsid w:val="00AA0DD5"/>
    <w:rsid w:val="00AA1647"/>
    <w:rsid w:val="00AA1841"/>
    <w:rsid w:val="00AA1B64"/>
    <w:rsid w:val="00AA221D"/>
    <w:rsid w:val="00AA26BC"/>
    <w:rsid w:val="00AA28AB"/>
    <w:rsid w:val="00AA32C2"/>
    <w:rsid w:val="00AA33BE"/>
    <w:rsid w:val="00AA34AD"/>
    <w:rsid w:val="00AA38C3"/>
    <w:rsid w:val="00AA5746"/>
    <w:rsid w:val="00AA5898"/>
    <w:rsid w:val="00AA5A33"/>
    <w:rsid w:val="00AA6257"/>
    <w:rsid w:val="00AA66D8"/>
    <w:rsid w:val="00AA6760"/>
    <w:rsid w:val="00AA67D6"/>
    <w:rsid w:val="00AA6FF1"/>
    <w:rsid w:val="00AA7218"/>
    <w:rsid w:val="00AB1793"/>
    <w:rsid w:val="00AB1C24"/>
    <w:rsid w:val="00AB2165"/>
    <w:rsid w:val="00AB27B3"/>
    <w:rsid w:val="00AB2AC9"/>
    <w:rsid w:val="00AB39AF"/>
    <w:rsid w:val="00AB3C68"/>
    <w:rsid w:val="00AB4660"/>
    <w:rsid w:val="00AB4664"/>
    <w:rsid w:val="00AB4E43"/>
    <w:rsid w:val="00AB54BE"/>
    <w:rsid w:val="00AB58ED"/>
    <w:rsid w:val="00AB5E04"/>
    <w:rsid w:val="00AB770E"/>
    <w:rsid w:val="00AB7F2A"/>
    <w:rsid w:val="00AC0155"/>
    <w:rsid w:val="00AC0C5D"/>
    <w:rsid w:val="00AC1491"/>
    <w:rsid w:val="00AC167D"/>
    <w:rsid w:val="00AC1A1F"/>
    <w:rsid w:val="00AC22D6"/>
    <w:rsid w:val="00AC2428"/>
    <w:rsid w:val="00AC2AB9"/>
    <w:rsid w:val="00AC2F3B"/>
    <w:rsid w:val="00AC3104"/>
    <w:rsid w:val="00AC494E"/>
    <w:rsid w:val="00AC4EED"/>
    <w:rsid w:val="00AC597B"/>
    <w:rsid w:val="00AC756F"/>
    <w:rsid w:val="00AC75C7"/>
    <w:rsid w:val="00AC7628"/>
    <w:rsid w:val="00AC76F3"/>
    <w:rsid w:val="00AC7874"/>
    <w:rsid w:val="00AC7F38"/>
    <w:rsid w:val="00AD0A23"/>
    <w:rsid w:val="00AD13A3"/>
    <w:rsid w:val="00AD2151"/>
    <w:rsid w:val="00AD21B4"/>
    <w:rsid w:val="00AD25FF"/>
    <w:rsid w:val="00AD2828"/>
    <w:rsid w:val="00AD2C88"/>
    <w:rsid w:val="00AD310F"/>
    <w:rsid w:val="00AD3524"/>
    <w:rsid w:val="00AD39B9"/>
    <w:rsid w:val="00AD3AC6"/>
    <w:rsid w:val="00AD3C2A"/>
    <w:rsid w:val="00AD3D02"/>
    <w:rsid w:val="00AD44EC"/>
    <w:rsid w:val="00AD469E"/>
    <w:rsid w:val="00AD4712"/>
    <w:rsid w:val="00AD4938"/>
    <w:rsid w:val="00AD4A0F"/>
    <w:rsid w:val="00AD4AB1"/>
    <w:rsid w:val="00AD655F"/>
    <w:rsid w:val="00AD65B1"/>
    <w:rsid w:val="00AD7628"/>
    <w:rsid w:val="00AD77BD"/>
    <w:rsid w:val="00AD79E0"/>
    <w:rsid w:val="00AE077F"/>
    <w:rsid w:val="00AE1438"/>
    <w:rsid w:val="00AE14F7"/>
    <w:rsid w:val="00AE171C"/>
    <w:rsid w:val="00AE1CC1"/>
    <w:rsid w:val="00AE224D"/>
    <w:rsid w:val="00AE28FD"/>
    <w:rsid w:val="00AE2998"/>
    <w:rsid w:val="00AE2DFC"/>
    <w:rsid w:val="00AE4AFE"/>
    <w:rsid w:val="00AE4B22"/>
    <w:rsid w:val="00AE526C"/>
    <w:rsid w:val="00AE5281"/>
    <w:rsid w:val="00AE5A26"/>
    <w:rsid w:val="00AE61A6"/>
    <w:rsid w:val="00AE646D"/>
    <w:rsid w:val="00AE7100"/>
    <w:rsid w:val="00AE74D6"/>
    <w:rsid w:val="00AF0B0C"/>
    <w:rsid w:val="00AF1362"/>
    <w:rsid w:val="00AF1978"/>
    <w:rsid w:val="00AF1FFA"/>
    <w:rsid w:val="00AF211C"/>
    <w:rsid w:val="00AF213C"/>
    <w:rsid w:val="00AF26E7"/>
    <w:rsid w:val="00AF315D"/>
    <w:rsid w:val="00AF4042"/>
    <w:rsid w:val="00AF48DC"/>
    <w:rsid w:val="00AF4F87"/>
    <w:rsid w:val="00AF5462"/>
    <w:rsid w:val="00AF5765"/>
    <w:rsid w:val="00AF59C3"/>
    <w:rsid w:val="00AF5F32"/>
    <w:rsid w:val="00AF611A"/>
    <w:rsid w:val="00AF7C08"/>
    <w:rsid w:val="00B00A0C"/>
    <w:rsid w:val="00B00C15"/>
    <w:rsid w:val="00B00C6A"/>
    <w:rsid w:val="00B00FF1"/>
    <w:rsid w:val="00B01E5B"/>
    <w:rsid w:val="00B02DC5"/>
    <w:rsid w:val="00B03359"/>
    <w:rsid w:val="00B033EF"/>
    <w:rsid w:val="00B03580"/>
    <w:rsid w:val="00B038BB"/>
    <w:rsid w:val="00B03DDA"/>
    <w:rsid w:val="00B052FE"/>
    <w:rsid w:val="00B0581A"/>
    <w:rsid w:val="00B05D0D"/>
    <w:rsid w:val="00B05ED4"/>
    <w:rsid w:val="00B069BD"/>
    <w:rsid w:val="00B069F2"/>
    <w:rsid w:val="00B06C66"/>
    <w:rsid w:val="00B06EB2"/>
    <w:rsid w:val="00B07AB4"/>
    <w:rsid w:val="00B10E29"/>
    <w:rsid w:val="00B112C1"/>
    <w:rsid w:val="00B1161C"/>
    <w:rsid w:val="00B11BE0"/>
    <w:rsid w:val="00B11BF5"/>
    <w:rsid w:val="00B11EFB"/>
    <w:rsid w:val="00B12639"/>
    <w:rsid w:val="00B12DA8"/>
    <w:rsid w:val="00B1330F"/>
    <w:rsid w:val="00B13D50"/>
    <w:rsid w:val="00B146F7"/>
    <w:rsid w:val="00B1534C"/>
    <w:rsid w:val="00B15F6E"/>
    <w:rsid w:val="00B1610D"/>
    <w:rsid w:val="00B16609"/>
    <w:rsid w:val="00B16A49"/>
    <w:rsid w:val="00B171C2"/>
    <w:rsid w:val="00B173CB"/>
    <w:rsid w:val="00B17A37"/>
    <w:rsid w:val="00B17C2B"/>
    <w:rsid w:val="00B207D0"/>
    <w:rsid w:val="00B20929"/>
    <w:rsid w:val="00B20C20"/>
    <w:rsid w:val="00B21A25"/>
    <w:rsid w:val="00B21D23"/>
    <w:rsid w:val="00B22268"/>
    <w:rsid w:val="00B22356"/>
    <w:rsid w:val="00B22B06"/>
    <w:rsid w:val="00B22F4B"/>
    <w:rsid w:val="00B22FBE"/>
    <w:rsid w:val="00B23605"/>
    <w:rsid w:val="00B237C1"/>
    <w:rsid w:val="00B2389F"/>
    <w:rsid w:val="00B25290"/>
    <w:rsid w:val="00B2587B"/>
    <w:rsid w:val="00B25B55"/>
    <w:rsid w:val="00B26031"/>
    <w:rsid w:val="00B2737A"/>
    <w:rsid w:val="00B275A8"/>
    <w:rsid w:val="00B277BC"/>
    <w:rsid w:val="00B278BF"/>
    <w:rsid w:val="00B30606"/>
    <w:rsid w:val="00B30865"/>
    <w:rsid w:val="00B313EB"/>
    <w:rsid w:val="00B31A88"/>
    <w:rsid w:val="00B32167"/>
    <w:rsid w:val="00B3297F"/>
    <w:rsid w:val="00B32B45"/>
    <w:rsid w:val="00B3444B"/>
    <w:rsid w:val="00B355E6"/>
    <w:rsid w:val="00B3593E"/>
    <w:rsid w:val="00B36D62"/>
    <w:rsid w:val="00B36E51"/>
    <w:rsid w:val="00B37318"/>
    <w:rsid w:val="00B374E5"/>
    <w:rsid w:val="00B37693"/>
    <w:rsid w:val="00B402C1"/>
    <w:rsid w:val="00B4060F"/>
    <w:rsid w:val="00B4061A"/>
    <w:rsid w:val="00B411B6"/>
    <w:rsid w:val="00B419C5"/>
    <w:rsid w:val="00B424F3"/>
    <w:rsid w:val="00B427ED"/>
    <w:rsid w:val="00B42B83"/>
    <w:rsid w:val="00B43126"/>
    <w:rsid w:val="00B43184"/>
    <w:rsid w:val="00B431B8"/>
    <w:rsid w:val="00B443D3"/>
    <w:rsid w:val="00B448EA"/>
    <w:rsid w:val="00B449EA"/>
    <w:rsid w:val="00B459D7"/>
    <w:rsid w:val="00B466FB"/>
    <w:rsid w:val="00B46D10"/>
    <w:rsid w:val="00B46E82"/>
    <w:rsid w:val="00B471F1"/>
    <w:rsid w:val="00B473CF"/>
    <w:rsid w:val="00B473F5"/>
    <w:rsid w:val="00B4775B"/>
    <w:rsid w:val="00B505F7"/>
    <w:rsid w:val="00B509D1"/>
    <w:rsid w:val="00B50C49"/>
    <w:rsid w:val="00B50EEB"/>
    <w:rsid w:val="00B5123C"/>
    <w:rsid w:val="00B516D4"/>
    <w:rsid w:val="00B519F4"/>
    <w:rsid w:val="00B51D79"/>
    <w:rsid w:val="00B521A2"/>
    <w:rsid w:val="00B52315"/>
    <w:rsid w:val="00B525CD"/>
    <w:rsid w:val="00B54145"/>
    <w:rsid w:val="00B542BC"/>
    <w:rsid w:val="00B54593"/>
    <w:rsid w:val="00B55E09"/>
    <w:rsid w:val="00B5683A"/>
    <w:rsid w:val="00B56AFB"/>
    <w:rsid w:val="00B57203"/>
    <w:rsid w:val="00B57A5E"/>
    <w:rsid w:val="00B602AC"/>
    <w:rsid w:val="00B6059B"/>
    <w:rsid w:val="00B60910"/>
    <w:rsid w:val="00B60A5E"/>
    <w:rsid w:val="00B60C14"/>
    <w:rsid w:val="00B61532"/>
    <w:rsid w:val="00B615E1"/>
    <w:rsid w:val="00B617C9"/>
    <w:rsid w:val="00B61D04"/>
    <w:rsid w:val="00B61D40"/>
    <w:rsid w:val="00B6256B"/>
    <w:rsid w:val="00B6284B"/>
    <w:rsid w:val="00B63E5C"/>
    <w:rsid w:val="00B64733"/>
    <w:rsid w:val="00B64BD0"/>
    <w:rsid w:val="00B64EB7"/>
    <w:rsid w:val="00B6509F"/>
    <w:rsid w:val="00B65220"/>
    <w:rsid w:val="00B660A4"/>
    <w:rsid w:val="00B6665E"/>
    <w:rsid w:val="00B671EC"/>
    <w:rsid w:val="00B674AF"/>
    <w:rsid w:val="00B67691"/>
    <w:rsid w:val="00B677AF"/>
    <w:rsid w:val="00B70957"/>
    <w:rsid w:val="00B7145C"/>
    <w:rsid w:val="00B71847"/>
    <w:rsid w:val="00B7187A"/>
    <w:rsid w:val="00B71D21"/>
    <w:rsid w:val="00B71D43"/>
    <w:rsid w:val="00B73196"/>
    <w:rsid w:val="00B73219"/>
    <w:rsid w:val="00B73CB1"/>
    <w:rsid w:val="00B73DD1"/>
    <w:rsid w:val="00B74143"/>
    <w:rsid w:val="00B74224"/>
    <w:rsid w:val="00B74338"/>
    <w:rsid w:val="00B74424"/>
    <w:rsid w:val="00B74715"/>
    <w:rsid w:val="00B748FA"/>
    <w:rsid w:val="00B75204"/>
    <w:rsid w:val="00B7541F"/>
    <w:rsid w:val="00B75E66"/>
    <w:rsid w:val="00B75FD7"/>
    <w:rsid w:val="00B76257"/>
    <w:rsid w:val="00B77022"/>
    <w:rsid w:val="00B77685"/>
    <w:rsid w:val="00B803A5"/>
    <w:rsid w:val="00B806E1"/>
    <w:rsid w:val="00B80B7D"/>
    <w:rsid w:val="00B80D24"/>
    <w:rsid w:val="00B811F4"/>
    <w:rsid w:val="00B81C56"/>
    <w:rsid w:val="00B81E78"/>
    <w:rsid w:val="00B82471"/>
    <w:rsid w:val="00B826C8"/>
    <w:rsid w:val="00B827E5"/>
    <w:rsid w:val="00B828AE"/>
    <w:rsid w:val="00B82905"/>
    <w:rsid w:val="00B83337"/>
    <w:rsid w:val="00B83B6E"/>
    <w:rsid w:val="00B84DCA"/>
    <w:rsid w:val="00B850E0"/>
    <w:rsid w:val="00B859CF"/>
    <w:rsid w:val="00B86411"/>
    <w:rsid w:val="00B86C69"/>
    <w:rsid w:val="00B903C2"/>
    <w:rsid w:val="00B90A3E"/>
    <w:rsid w:val="00B90E1E"/>
    <w:rsid w:val="00B91013"/>
    <w:rsid w:val="00B9137E"/>
    <w:rsid w:val="00B915C8"/>
    <w:rsid w:val="00B93203"/>
    <w:rsid w:val="00B93B6B"/>
    <w:rsid w:val="00B949CF"/>
    <w:rsid w:val="00B94A4D"/>
    <w:rsid w:val="00B94D3E"/>
    <w:rsid w:val="00B9502C"/>
    <w:rsid w:val="00B954B1"/>
    <w:rsid w:val="00B95BB0"/>
    <w:rsid w:val="00B96379"/>
    <w:rsid w:val="00B96768"/>
    <w:rsid w:val="00B96C25"/>
    <w:rsid w:val="00B9717D"/>
    <w:rsid w:val="00B97316"/>
    <w:rsid w:val="00B97692"/>
    <w:rsid w:val="00BA0E61"/>
    <w:rsid w:val="00BA1718"/>
    <w:rsid w:val="00BA1BDF"/>
    <w:rsid w:val="00BA1F11"/>
    <w:rsid w:val="00BA21E4"/>
    <w:rsid w:val="00BA231A"/>
    <w:rsid w:val="00BA2742"/>
    <w:rsid w:val="00BA3959"/>
    <w:rsid w:val="00BA3D5A"/>
    <w:rsid w:val="00BA45B1"/>
    <w:rsid w:val="00BA4DA8"/>
    <w:rsid w:val="00BA50FB"/>
    <w:rsid w:val="00BA5507"/>
    <w:rsid w:val="00BA631B"/>
    <w:rsid w:val="00BA63AC"/>
    <w:rsid w:val="00BA72A5"/>
    <w:rsid w:val="00BA7479"/>
    <w:rsid w:val="00BA74A0"/>
    <w:rsid w:val="00BA77BD"/>
    <w:rsid w:val="00BA7A21"/>
    <w:rsid w:val="00BA7CF5"/>
    <w:rsid w:val="00BA7DE9"/>
    <w:rsid w:val="00BB0C53"/>
    <w:rsid w:val="00BB0DFC"/>
    <w:rsid w:val="00BB1B22"/>
    <w:rsid w:val="00BB39E3"/>
    <w:rsid w:val="00BB3F36"/>
    <w:rsid w:val="00BB41E2"/>
    <w:rsid w:val="00BB57BB"/>
    <w:rsid w:val="00BB5E49"/>
    <w:rsid w:val="00BB5F51"/>
    <w:rsid w:val="00BB6CB5"/>
    <w:rsid w:val="00BB6E95"/>
    <w:rsid w:val="00BB6F8E"/>
    <w:rsid w:val="00BB709F"/>
    <w:rsid w:val="00BB7254"/>
    <w:rsid w:val="00BB7CD5"/>
    <w:rsid w:val="00BC22E7"/>
    <w:rsid w:val="00BC2BFE"/>
    <w:rsid w:val="00BC2C5F"/>
    <w:rsid w:val="00BC304D"/>
    <w:rsid w:val="00BC3115"/>
    <w:rsid w:val="00BC39CB"/>
    <w:rsid w:val="00BC39F4"/>
    <w:rsid w:val="00BC3A81"/>
    <w:rsid w:val="00BC5629"/>
    <w:rsid w:val="00BC5E61"/>
    <w:rsid w:val="00BC7328"/>
    <w:rsid w:val="00BC76F8"/>
    <w:rsid w:val="00BC7AAD"/>
    <w:rsid w:val="00BC7EDC"/>
    <w:rsid w:val="00BD04E7"/>
    <w:rsid w:val="00BD084F"/>
    <w:rsid w:val="00BD09FC"/>
    <w:rsid w:val="00BD101E"/>
    <w:rsid w:val="00BD122C"/>
    <w:rsid w:val="00BD1535"/>
    <w:rsid w:val="00BD2BA8"/>
    <w:rsid w:val="00BD2F12"/>
    <w:rsid w:val="00BD38B9"/>
    <w:rsid w:val="00BD3921"/>
    <w:rsid w:val="00BD3A17"/>
    <w:rsid w:val="00BD3B9D"/>
    <w:rsid w:val="00BD3E47"/>
    <w:rsid w:val="00BD43D9"/>
    <w:rsid w:val="00BD540C"/>
    <w:rsid w:val="00BD5DA4"/>
    <w:rsid w:val="00BD65D0"/>
    <w:rsid w:val="00BD73E6"/>
    <w:rsid w:val="00BE01FA"/>
    <w:rsid w:val="00BE04E1"/>
    <w:rsid w:val="00BE05C4"/>
    <w:rsid w:val="00BE05E2"/>
    <w:rsid w:val="00BE06F9"/>
    <w:rsid w:val="00BE100C"/>
    <w:rsid w:val="00BE1025"/>
    <w:rsid w:val="00BE148D"/>
    <w:rsid w:val="00BE1593"/>
    <w:rsid w:val="00BE16AB"/>
    <w:rsid w:val="00BE1E79"/>
    <w:rsid w:val="00BE1EF4"/>
    <w:rsid w:val="00BE21E7"/>
    <w:rsid w:val="00BE281B"/>
    <w:rsid w:val="00BE2D0E"/>
    <w:rsid w:val="00BE339F"/>
    <w:rsid w:val="00BE3479"/>
    <w:rsid w:val="00BE37D1"/>
    <w:rsid w:val="00BE42F5"/>
    <w:rsid w:val="00BE4B3F"/>
    <w:rsid w:val="00BE55CD"/>
    <w:rsid w:val="00BE55D4"/>
    <w:rsid w:val="00BE56A9"/>
    <w:rsid w:val="00BE5B8B"/>
    <w:rsid w:val="00BE5D2D"/>
    <w:rsid w:val="00BE5EB6"/>
    <w:rsid w:val="00BE6C42"/>
    <w:rsid w:val="00BE6FCC"/>
    <w:rsid w:val="00BE700E"/>
    <w:rsid w:val="00BE734A"/>
    <w:rsid w:val="00BE77A2"/>
    <w:rsid w:val="00BF03F6"/>
    <w:rsid w:val="00BF0E71"/>
    <w:rsid w:val="00BF111E"/>
    <w:rsid w:val="00BF115A"/>
    <w:rsid w:val="00BF18FC"/>
    <w:rsid w:val="00BF1F19"/>
    <w:rsid w:val="00BF217E"/>
    <w:rsid w:val="00BF2359"/>
    <w:rsid w:val="00BF2486"/>
    <w:rsid w:val="00BF3CFD"/>
    <w:rsid w:val="00BF4093"/>
    <w:rsid w:val="00BF4D79"/>
    <w:rsid w:val="00BF5A99"/>
    <w:rsid w:val="00BF5C7C"/>
    <w:rsid w:val="00BF5CF6"/>
    <w:rsid w:val="00BF5E85"/>
    <w:rsid w:val="00BF5FD7"/>
    <w:rsid w:val="00BF5FF9"/>
    <w:rsid w:val="00BF67A1"/>
    <w:rsid w:val="00BF70BC"/>
    <w:rsid w:val="00BF713C"/>
    <w:rsid w:val="00BF71D6"/>
    <w:rsid w:val="00BF7596"/>
    <w:rsid w:val="00BF78AD"/>
    <w:rsid w:val="00BF7EA6"/>
    <w:rsid w:val="00C00831"/>
    <w:rsid w:val="00C00D38"/>
    <w:rsid w:val="00C00FF3"/>
    <w:rsid w:val="00C01E96"/>
    <w:rsid w:val="00C0234F"/>
    <w:rsid w:val="00C02913"/>
    <w:rsid w:val="00C02EA2"/>
    <w:rsid w:val="00C030D3"/>
    <w:rsid w:val="00C0408D"/>
    <w:rsid w:val="00C0457C"/>
    <w:rsid w:val="00C04872"/>
    <w:rsid w:val="00C04C7A"/>
    <w:rsid w:val="00C0568D"/>
    <w:rsid w:val="00C05DC3"/>
    <w:rsid w:val="00C0626E"/>
    <w:rsid w:val="00C06E1B"/>
    <w:rsid w:val="00C07133"/>
    <w:rsid w:val="00C07E1B"/>
    <w:rsid w:val="00C105BF"/>
    <w:rsid w:val="00C10FB0"/>
    <w:rsid w:val="00C11CDC"/>
    <w:rsid w:val="00C121E3"/>
    <w:rsid w:val="00C1240F"/>
    <w:rsid w:val="00C130BA"/>
    <w:rsid w:val="00C13304"/>
    <w:rsid w:val="00C13463"/>
    <w:rsid w:val="00C1347D"/>
    <w:rsid w:val="00C14744"/>
    <w:rsid w:val="00C14991"/>
    <w:rsid w:val="00C14EEC"/>
    <w:rsid w:val="00C14F7C"/>
    <w:rsid w:val="00C15968"/>
    <w:rsid w:val="00C16896"/>
    <w:rsid w:val="00C17A1E"/>
    <w:rsid w:val="00C208DD"/>
    <w:rsid w:val="00C212AA"/>
    <w:rsid w:val="00C21A56"/>
    <w:rsid w:val="00C21A6B"/>
    <w:rsid w:val="00C221E4"/>
    <w:rsid w:val="00C2225F"/>
    <w:rsid w:val="00C22C27"/>
    <w:rsid w:val="00C2354A"/>
    <w:rsid w:val="00C23C8C"/>
    <w:rsid w:val="00C242DB"/>
    <w:rsid w:val="00C244D0"/>
    <w:rsid w:val="00C2460D"/>
    <w:rsid w:val="00C24F65"/>
    <w:rsid w:val="00C2504B"/>
    <w:rsid w:val="00C25E8B"/>
    <w:rsid w:val="00C2678B"/>
    <w:rsid w:val="00C26AD1"/>
    <w:rsid w:val="00C26DFE"/>
    <w:rsid w:val="00C26E3C"/>
    <w:rsid w:val="00C277C1"/>
    <w:rsid w:val="00C279F9"/>
    <w:rsid w:val="00C27B5C"/>
    <w:rsid w:val="00C27F82"/>
    <w:rsid w:val="00C302E8"/>
    <w:rsid w:val="00C3064A"/>
    <w:rsid w:val="00C30917"/>
    <w:rsid w:val="00C30D76"/>
    <w:rsid w:val="00C3291B"/>
    <w:rsid w:val="00C32944"/>
    <w:rsid w:val="00C32C7C"/>
    <w:rsid w:val="00C32EC2"/>
    <w:rsid w:val="00C32FB4"/>
    <w:rsid w:val="00C33390"/>
    <w:rsid w:val="00C33407"/>
    <w:rsid w:val="00C3340C"/>
    <w:rsid w:val="00C336A4"/>
    <w:rsid w:val="00C34259"/>
    <w:rsid w:val="00C346C9"/>
    <w:rsid w:val="00C3480C"/>
    <w:rsid w:val="00C348D1"/>
    <w:rsid w:val="00C3521C"/>
    <w:rsid w:val="00C3553D"/>
    <w:rsid w:val="00C368B6"/>
    <w:rsid w:val="00C368E0"/>
    <w:rsid w:val="00C368F2"/>
    <w:rsid w:val="00C36E1B"/>
    <w:rsid w:val="00C37412"/>
    <w:rsid w:val="00C401B6"/>
    <w:rsid w:val="00C40420"/>
    <w:rsid w:val="00C40A17"/>
    <w:rsid w:val="00C412A0"/>
    <w:rsid w:val="00C41604"/>
    <w:rsid w:val="00C416D2"/>
    <w:rsid w:val="00C42B2C"/>
    <w:rsid w:val="00C42E81"/>
    <w:rsid w:val="00C4359E"/>
    <w:rsid w:val="00C45884"/>
    <w:rsid w:val="00C45BDA"/>
    <w:rsid w:val="00C45EE0"/>
    <w:rsid w:val="00C45FDC"/>
    <w:rsid w:val="00C46088"/>
    <w:rsid w:val="00C46365"/>
    <w:rsid w:val="00C46549"/>
    <w:rsid w:val="00C475B5"/>
    <w:rsid w:val="00C477BB"/>
    <w:rsid w:val="00C5008B"/>
    <w:rsid w:val="00C514FE"/>
    <w:rsid w:val="00C51D83"/>
    <w:rsid w:val="00C522FA"/>
    <w:rsid w:val="00C52C69"/>
    <w:rsid w:val="00C52FFE"/>
    <w:rsid w:val="00C535F1"/>
    <w:rsid w:val="00C539B1"/>
    <w:rsid w:val="00C53A51"/>
    <w:rsid w:val="00C53D02"/>
    <w:rsid w:val="00C54297"/>
    <w:rsid w:val="00C542E9"/>
    <w:rsid w:val="00C543C1"/>
    <w:rsid w:val="00C54429"/>
    <w:rsid w:val="00C546CC"/>
    <w:rsid w:val="00C5565E"/>
    <w:rsid w:val="00C557CD"/>
    <w:rsid w:val="00C559C7"/>
    <w:rsid w:val="00C562E9"/>
    <w:rsid w:val="00C562FD"/>
    <w:rsid w:val="00C568A4"/>
    <w:rsid w:val="00C569D8"/>
    <w:rsid w:val="00C5725A"/>
    <w:rsid w:val="00C57325"/>
    <w:rsid w:val="00C577F2"/>
    <w:rsid w:val="00C57A65"/>
    <w:rsid w:val="00C57C2F"/>
    <w:rsid w:val="00C60305"/>
    <w:rsid w:val="00C60531"/>
    <w:rsid w:val="00C60FD1"/>
    <w:rsid w:val="00C61199"/>
    <w:rsid w:val="00C61FDA"/>
    <w:rsid w:val="00C62EBC"/>
    <w:rsid w:val="00C6370F"/>
    <w:rsid w:val="00C639B5"/>
    <w:rsid w:val="00C6512A"/>
    <w:rsid w:val="00C65615"/>
    <w:rsid w:val="00C6614B"/>
    <w:rsid w:val="00C665A9"/>
    <w:rsid w:val="00C66F81"/>
    <w:rsid w:val="00C67321"/>
    <w:rsid w:val="00C67606"/>
    <w:rsid w:val="00C67C15"/>
    <w:rsid w:val="00C70517"/>
    <w:rsid w:val="00C709B4"/>
    <w:rsid w:val="00C71246"/>
    <w:rsid w:val="00C712EC"/>
    <w:rsid w:val="00C716E6"/>
    <w:rsid w:val="00C71AC4"/>
    <w:rsid w:val="00C727C1"/>
    <w:rsid w:val="00C72FDF"/>
    <w:rsid w:val="00C736BE"/>
    <w:rsid w:val="00C73F4F"/>
    <w:rsid w:val="00C74134"/>
    <w:rsid w:val="00C74212"/>
    <w:rsid w:val="00C742A1"/>
    <w:rsid w:val="00C74E55"/>
    <w:rsid w:val="00C7510B"/>
    <w:rsid w:val="00C75977"/>
    <w:rsid w:val="00C75B3F"/>
    <w:rsid w:val="00C75C83"/>
    <w:rsid w:val="00C75CBE"/>
    <w:rsid w:val="00C764B9"/>
    <w:rsid w:val="00C76876"/>
    <w:rsid w:val="00C76BFD"/>
    <w:rsid w:val="00C772DB"/>
    <w:rsid w:val="00C80629"/>
    <w:rsid w:val="00C80641"/>
    <w:rsid w:val="00C809A1"/>
    <w:rsid w:val="00C81459"/>
    <w:rsid w:val="00C81BD8"/>
    <w:rsid w:val="00C826FB"/>
    <w:rsid w:val="00C8333A"/>
    <w:rsid w:val="00C8465F"/>
    <w:rsid w:val="00C84D27"/>
    <w:rsid w:val="00C8566E"/>
    <w:rsid w:val="00C85C59"/>
    <w:rsid w:val="00C86FA2"/>
    <w:rsid w:val="00C87853"/>
    <w:rsid w:val="00C90252"/>
    <w:rsid w:val="00C9095E"/>
    <w:rsid w:val="00C90F3D"/>
    <w:rsid w:val="00C912CD"/>
    <w:rsid w:val="00C91517"/>
    <w:rsid w:val="00C91810"/>
    <w:rsid w:val="00C918B2"/>
    <w:rsid w:val="00C91C19"/>
    <w:rsid w:val="00C9352A"/>
    <w:rsid w:val="00C93865"/>
    <w:rsid w:val="00C93D47"/>
    <w:rsid w:val="00C93DD2"/>
    <w:rsid w:val="00C941FB"/>
    <w:rsid w:val="00C94393"/>
    <w:rsid w:val="00C94520"/>
    <w:rsid w:val="00C94A4F"/>
    <w:rsid w:val="00C94E5B"/>
    <w:rsid w:val="00C95543"/>
    <w:rsid w:val="00C9595D"/>
    <w:rsid w:val="00C95F1B"/>
    <w:rsid w:val="00C96078"/>
    <w:rsid w:val="00C9634B"/>
    <w:rsid w:val="00C96467"/>
    <w:rsid w:val="00C96E07"/>
    <w:rsid w:val="00C9737C"/>
    <w:rsid w:val="00C975CA"/>
    <w:rsid w:val="00C975FE"/>
    <w:rsid w:val="00C97BCA"/>
    <w:rsid w:val="00CA0137"/>
    <w:rsid w:val="00CA0296"/>
    <w:rsid w:val="00CA132C"/>
    <w:rsid w:val="00CA19C8"/>
    <w:rsid w:val="00CA1AC1"/>
    <w:rsid w:val="00CA1F65"/>
    <w:rsid w:val="00CA2C76"/>
    <w:rsid w:val="00CA306B"/>
    <w:rsid w:val="00CA3BA8"/>
    <w:rsid w:val="00CA4002"/>
    <w:rsid w:val="00CA4D17"/>
    <w:rsid w:val="00CA59A0"/>
    <w:rsid w:val="00CA5AF7"/>
    <w:rsid w:val="00CA5BA4"/>
    <w:rsid w:val="00CA5C14"/>
    <w:rsid w:val="00CA5F76"/>
    <w:rsid w:val="00CA5FE5"/>
    <w:rsid w:val="00CA684E"/>
    <w:rsid w:val="00CA72A6"/>
    <w:rsid w:val="00CA744D"/>
    <w:rsid w:val="00CA7646"/>
    <w:rsid w:val="00CB06FA"/>
    <w:rsid w:val="00CB0958"/>
    <w:rsid w:val="00CB0B1A"/>
    <w:rsid w:val="00CB14C2"/>
    <w:rsid w:val="00CB1937"/>
    <w:rsid w:val="00CB1F01"/>
    <w:rsid w:val="00CB2182"/>
    <w:rsid w:val="00CB2572"/>
    <w:rsid w:val="00CB3646"/>
    <w:rsid w:val="00CB3823"/>
    <w:rsid w:val="00CB3A59"/>
    <w:rsid w:val="00CB3FBC"/>
    <w:rsid w:val="00CB48F6"/>
    <w:rsid w:val="00CB4969"/>
    <w:rsid w:val="00CB4ACE"/>
    <w:rsid w:val="00CB4FB6"/>
    <w:rsid w:val="00CB5429"/>
    <w:rsid w:val="00CB5E05"/>
    <w:rsid w:val="00CB63D9"/>
    <w:rsid w:val="00CB73A6"/>
    <w:rsid w:val="00CB7417"/>
    <w:rsid w:val="00CB7A43"/>
    <w:rsid w:val="00CC0073"/>
    <w:rsid w:val="00CC061C"/>
    <w:rsid w:val="00CC0DA8"/>
    <w:rsid w:val="00CC1982"/>
    <w:rsid w:val="00CC1A91"/>
    <w:rsid w:val="00CC1FCD"/>
    <w:rsid w:val="00CC248B"/>
    <w:rsid w:val="00CC2569"/>
    <w:rsid w:val="00CC278C"/>
    <w:rsid w:val="00CC2BE6"/>
    <w:rsid w:val="00CC32D3"/>
    <w:rsid w:val="00CC3332"/>
    <w:rsid w:val="00CC3B64"/>
    <w:rsid w:val="00CC435D"/>
    <w:rsid w:val="00CC49B2"/>
    <w:rsid w:val="00CC4C18"/>
    <w:rsid w:val="00CC50A9"/>
    <w:rsid w:val="00CC5AF1"/>
    <w:rsid w:val="00CC5B1C"/>
    <w:rsid w:val="00CC5CBF"/>
    <w:rsid w:val="00CC5F08"/>
    <w:rsid w:val="00CC67D1"/>
    <w:rsid w:val="00CC69DB"/>
    <w:rsid w:val="00CD002B"/>
    <w:rsid w:val="00CD0235"/>
    <w:rsid w:val="00CD055B"/>
    <w:rsid w:val="00CD0B36"/>
    <w:rsid w:val="00CD1A35"/>
    <w:rsid w:val="00CD1E36"/>
    <w:rsid w:val="00CD20A5"/>
    <w:rsid w:val="00CD2663"/>
    <w:rsid w:val="00CD2D0B"/>
    <w:rsid w:val="00CD2D59"/>
    <w:rsid w:val="00CD307D"/>
    <w:rsid w:val="00CD3888"/>
    <w:rsid w:val="00CD38AF"/>
    <w:rsid w:val="00CD4CDA"/>
    <w:rsid w:val="00CD5505"/>
    <w:rsid w:val="00CD5925"/>
    <w:rsid w:val="00CD5DCE"/>
    <w:rsid w:val="00CD6358"/>
    <w:rsid w:val="00CD6DC6"/>
    <w:rsid w:val="00CD6F1F"/>
    <w:rsid w:val="00CD7641"/>
    <w:rsid w:val="00CD7696"/>
    <w:rsid w:val="00CD76E0"/>
    <w:rsid w:val="00CD79BD"/>
    <w:rsid w:val="00CD7C17"/>
    <w:rsid w:val="00CE0383"/>
    <w:rsid w:val="00CE06DC"/>
    <w:rsid w:val="00CE1491"/>
    <w:rsid w:val="00CE1517"/>
    <w:rsid w:val="00CE1C67"/>
    <w:rsid w:val="00CE203B"/>
    <w:rsid w:val="00CE21B1"/>
    <w:rsid w:val="00CE2547"/>
    <w:rsid w:val="00CE270A"/>
    <w:rsid w:val="00CE3672"/>
    <w:rsid w:val="00CE3701"/>
    <w:rsid w:val="00CE3C54"/>
    <w:rsid w:val="00CE45F0"/>
    <w:rsid w:val="00CE4B76"/>
    <w:rsid w:val="00CE50ED"/>
    <w:rsid w:val="00CE5AFE"/>
    <w:rsid w:val="00CE5B4A"/>
    <w:rsid w:val="00CE5CCD"/>
    <w:rsid w:val="00CE6484"/>
    <w:rsid w:val="00CE6632"/>
    <w:rsid w:val="00CE6970"/>
    <w:rsid w:val="00CE6B27"/>
    <w:rsid w:val="00CE72DA"/>
    <w:rsid w:val="00CE78C2"/>
    <w:rsid w:val="00CE7B4C"/>
    <w:rsid w:val="00CE7CC3"/>
    <w:rsid w:val="00CF0CD5"/>
    <w:rsid w:val="00CF0DF2"/>
    <w:rsid w:val="00CF0F32"/>
    <w:rsid w:val="00CF0FAA"/>
    <w:rsid w:val="00CF111C"/>
    <w:rsid w:val="00CF13BC"/>
    <w:rsid w:val="00CF1FB8"/>
    <w:rsid w:val="00CF23BD"/>
    <w:rsid w:val="00CF2752"/>
    <w:rsid w:val="00CF2784"/>
    <w:rsid w:val="00CF2D5D"/>
    <w:rsid w:val="00CF3144"/>
    <w:rsid w:val="00CF401D"/>
    <w:rsid w:val="00CF42CC"/>
    <w:rsid w:val="00CF4869"/>
    <w:rsid w:val="00CF50DA"/>
    <w:rsid w:val="00CF5A04"/>
    <w:rsid w:val="00CF5AE1"/>
    <w:rsid w:val="00CF64FF"/>
    <w:rsid w:val="00CF6726"/>
    <w:rsid w:val="00CF6A98"/>
    <w:rsid w:val="00CF711F"/>
    <w:rsid w:val="00CF7630"/>
    <w:rsid w:val="00CF76E2"/>
    <w:rsid w:val="00CF7F64"/>
    <w:rsid w:val="00CF7F8D"/>
    <w:rsid w:val="00D002B8"/>
    <w:rsid w:val="00D004DA"/>
    <w:rsid w:val="00D00937"/>
    <w:rsid w:val="00D009EF"/>
    <w:rsid w:val="00D00E8A"/>
    <w:rsid w:val="00D0111E"/>
    <w:rsid w:val="00D012E9"/>
    <w:rsid w:val="00D01F44"/>
    <w:rsid w:val="00D021E5"/>
    <w:rsid w:val="00D02B3A"/>
    <w:rsid w:val="00D03685"/>
    <w:rsid w:val="00D038CC"/>
    <w:rsid w:val="00D03D18"/>
    <w:rsid w:val="00D05A5A"/>
    <w:rsid w:val="00D062C4"/>
    <w:rsid w:val="00D07D70"/>
    <w:rsid w:val="00D1002A"/>
    <w:rsid w:val="00D10407"/>
    <w:rsid w:val="00D10763"/>
    <w:rsid w:val="00D10AEF"/>
    <w:rsid w:val="00D10CF7"/>
    <w:rsid w:val="00D113D1"/>
    <w:rsid w:val="00D1178F"/>
    <w:rsid w:val="00D125BC"/>
    <w:rsid w:val="00D13146"/>
    <w:rsid w:val="00D13ACE"/>
    <w:rsid w:val="00D13B2C"/>
    <w:rsid w:val="00D14622"/>
    <w:rsid w:val="00D14872"/>
    <w:rsid w:val="00D15A10"/>
    <w:rsid w:val="00D15E44"/>
    <w:rsid w:val="00D167AA"/>
    <w:rsid w:val="00D16B49"/>
    <w:rsid w:val="00D1740C"/>
    <w:rsid w:val="00D17C59"/>
    <w:rsid w:val="00D201C9"/>
    <w:rsid w:val="00D20449"/>
    <w:rsid w:val="00D210AF"/>
    <w:rsid w:val="00D216BB"/>
    <w:rsid w:val="00D22563"/>
    <w:rsid w:val="00D22DB6"/>
    <w:rsid w:val="00D23B36"/>
    <w:rsid w:val="00D242C8"/>
    <w:rsid w:val="00D2445B"/>
    <w:rsid w:val="00D24FEB"/>
    <w:rsid w:val="00D25420"/>
    <w:rsid w:val="00D26FE0"/>
    <w:rsid w:val="00D274E9"/>
    <w:rsid w:val="00D3127D"/>
    <w:rsid w:val="00D3162A"/>
    <w:rsid w:val="00D31858"/>
    <w:rsid w:val="00D3187A"/>
    <w:rsid w:val="00D328DA"/>
    <w:rsid w:val="00D3290E"/>
    <w:rsid w:val="00D33292"/>
    <w:rsid w:val="00D3423A"/>
    <w:rsid w:val="00D343DB"/>
    <w:rsid w:val="00D34BAB"/>
    <w:rsid w:val="00D34E36"/>
    <w:rsid w:val="00D353B7"/>
    <w:rsid w:val="00D366D0"/>
    <w:rsid w:val="00D36960"/>
    <w:rsid w:val="00D369AA"/>
    <w:rsid w:val="00D36E2D"/>
    <w:rsid w:val="00D377D4"/>
    <w:rsid w:val="00D37931"/>
    <w:rsid w:val="00D40506"/>
    <w:rsid w:val="00D41002"/>
    <w:rsid w:val="00D4126D"/>
    <w:rsid w:val="00D414F7"/>
    <w:rsid w:val="00D42027"/>
    <w:rsid w:val="00D427AA"/>
    <w:rsid w:val="00D42FE1"/>
    <w:rsid w:val="00D4333C"/>
    <w:rsid w:val="00D43561"/>
    <w:rsid w:val="00D435BF"/>
    <w:rsid w:val="00D439A2"/>
    <w:rsid w:val="00D43E18"/>
    <w:rsid w:val="00D43E56"/>
    <w:rsid w:val="00D44143"/>
    <w:rsid w:val="00D44379"/>
    <w:rsid w:val="00D4481C"/>
    <w:rsid w:val="00D44D63"/>
    <w:rsid w:val="00D4554A"/>
    <w:rsid w:val="00D456DB"/>
    <w:rsid w:val="00D45B05"/>
    <w:rsid w:val="00D45F1D"/>
    <w:rsid w:val="00D4672F"/>
    <w:rsid w:val="00D46B48"/>
    <w:rsid w:val="00D50A9E"/>
    <w:rsid w:val="00D510B3"/>
    <w:rsid w:val="00D512E0"/>
    <w:rsid w:val="00D51B2C"/>
    <w:rsid w:val="00D5252D"/>
    <w:rsid w:val="00D5253A"/>
    <w:rsid w:val="00D526DA"/>
    <w:rsid w:val="00D52E17"/>
    <w:rsid w:val="00D53033"/>
    <w:rsid w:val="00D53968"/>
    <w:rsid w:val="00D54304"/>
    <w:rsid w:val="00D55097"/>
    <w:rsid w:val="00D55495"/>
    <w:rsid w:val="00D603AD"/>
    <w:rsid w:val="00D605B6"/>
    <w:rsid w:val="00D608DB"/>
    <w:rsid w:val="00D60A81"/>
    <w:rsid w:val="00D60A84"/>
    <w:rsid w:val="00D60BB2"/>
    <w:rsid w:val="00D60DB2"/>
    <w:rsid w:val="00D61720"/>
    <w:rsid w:val="00D61940"/>
    <w:rsid w:val="00D61AE5"/>
    <w:rsid w:val="00D61EFB"/>
    <w:rsid w:val="00D61F19"/>
    <w:rsid w:val="00D6206C"/>
    <w:rsid w:val="00D6231F"/>
    <w:rsid w:val="00D62701"/>
    <w:rsid w:val="00D63B20"/>
    <w:rsid w:val="00D63E4D"/>
    <w:rsid w:val="00D63E68"/>
    <w:rsid w:val="00D64807"/>
    <w:rsid w:val="00D64A0E"/>
    <w:rsid w:val="00D64FF4"/>
    <w:rsid w:val="00D6599C"/>
    <w:rsid w:val="00D660C4"/>
    <w:rsid w:val="00D6648B"/>
    <w:rsid w:val="00D66925"/>
    <w:rsid w:val="00D66A88"/>
    <w:rsid w:val="00D66D8B"/>
    <w:rsid w:val="00D6735A"/>
    <w:rsid w:val="00D676E0"/>
    <w:rsid w:val="00D67B8E"/>
    <w:rsid w:val="00D701A8"/>
    <w:rsid w:val="00D70821"/>
    <w:rsid w:val="00D708E5"/>
    <w:rsid w:val="00D710F5"/>
    <w:rsid w:val="00D72133"/>
    <w:rsid w:val="00D73B03"/>
    <w:rsid w:val="00D73C2E"/>
    <w:rsid w:val="00D73C4B"/>
    <w:rsid w:val="00D73D92"/>
    <w:rsid w:val="00D74B59"/>
    <w:rsid w:val="00D75FB6"/>
    <w:rsid w:val="00D76B04"/>
    <w:rsid w:val="00D76BD7"/>
    <w:rsid w:val="00D77491"/>
    <w:rsid w:val="00D80FE1"/>
    <w:rsid w:val="00D83009"/>
    <w:rsid w:val="00D83A72"/>
    <w:rsid w:val="00D83FAB"/>
    <w:rsid w:val="00D852A6"/>
    <w:rsid w:val="00D8572F"/>
    <w:rsid w:val="00D85813"/>
    <w:rsid w:val="00D858A6"/>
    <w:rsid w:val="00D85CBC"/>
    <w:rsid w:val="00D85F0E"/>
    <w:rsid w:val="00D8640D"/>
    <w:rsid w:val="00D865F0"/>
    <w:rsid w:val="00D86D39"/>
    <w:rsid w:val="00D86FBF"/>
    <w:rsid w:val="00D875D7"/>
    <w:rsid w:val="00D9020D"/>
    <w:rsid w:val="00D90546"/>
    <w:rsid w:val="00D90D22"/>
    <w:rsid w:val="00D91A1B"/>
    <w:rsid w:val="00D924BB"/>
    <w:rsid w:val="00D9342A"/>
    <w:rsid w:val="00D9373E"/>
    <w:rsid w:val="00D93A81"/>
    <w:rsid w:val="00D952FA"/>
    <w:rsid w:val="00D958AF"/>
    <w:rsid w:val="00D958D6"/>
    <w:rsid w:val="00D95B2F"/>
    <w:rsid w:val="00D96B53"/>
    <w:rsid w:val="00D975E5"/>
    <w:rsid w:val="00D97D72"/>
    <w:rsid w:val="00D97E08"/>
    <w:rsid w:val="00D97FA6"/>
    <w:rsid w:val="00DA0813"/>
    <w:rsid w:val="00DA0D16"/>
    <w:rsid w:val="00DA0E9C"/>
    <w:rsid w:val="00DA1562"/>
    <w:rsid w:val="00DA2FB4"/>
    <w:rsid w:val="00DA326F"/>
    <w:rsid w:val="00DA3502"/>
    <w:rsid w:val="00DA3C72"/>
    <w:rsid w:val="00DA3F78"/>
    <w:rsid w:val="00DA4D6E"/>
    <w:rsid w:val="00DA6028"/>
    <w:rsid w:val="00DA663D"/>
    <w:rsid w:val="00DA6B40"/>
    <w:rsid w:val="00DA6F5E"/>
    <w:rsid w:val="00DA713E"/>
    <w:rsid w:val="00DA7984"/>
    <w:rsid w:val="00DB0898"/>
    <w:rsid w:val="00DB0CA7"/>
    <w:rsid w:val="00DB0E4F"/>
    <w:rsid w:val="00DB10D5"/>
    <w:rsid w:val="00DB10EA"/>
    <w:rsid w:val="00DB14E0"/>
    <w:rsid w:val="00DB198D"/>
    <w:rsid w:val="00DB1D49"/>
    <w:rsid w:val="00DB1D7D"/>
    <w:rsid w:val="00DB1F02"/>
    <w:rsid w:val="00DB1F8E"/>
    <w:rsid w:val="00DB2550"/>
    <w:rsid w:val="00DB2C63"/>
    <w:rsid w:val="00DB34BE"/>
    <w:rsid w:val="00DB379B"/>
    <w:rsid w:val="00DB37BC"/>
    <w:rsid w:val="00DB3851"/>
    <w:rsid w:val="00DB3A68"/>
    <w:rsid w:val="00DB4979"/>
    <w:rsid w:val="00DB497F"/>
    <w:rsid w:val="00DB49C6"/>
    <w:rsid w:val="00DB4F82"/>
    <w:rsid w:val="00DB58A0"/>
    <w:rsid w:val="00DB5A45"/>
    <w:rsid w:val="00DB5E83"/>
    <w:rsid w:val="00DB604D"/>
    <w:rsid w:val="00DB6838"/>
    <w:rsid w:val="00DB704A"/>
    <w:rsid w:val="00DB76D4"/>
    <w:rsid w:val="00DB7D46"/>
    <w:rsid w:val="00DB7E31"/>
    <w:rsid w:val="00DC08B9"/>
    <w:rsid w:val="00DC09AB"/>
    <w:rsid w:val="00DC0E10"/>
    <w:rsid w:val="00DC0E69"/>
    <w:rsid w:val="00DC1101"/>
    <w:rsid w:val="00DC1480"/>
    <w:rsid w:val="00DC16F6"/>
    <w:rsid w:val="00DC1A74"/>
    <w:rsid w:val="00DC1C6A"/>
    <w:rsid w:val="00DC1D71"/>
    <w:rsid w:val="00DC34B7"/>
    <w:rsid w:val="00DC3720"/>
    <w:rsid w:val="00DC3A6B"/>
    <w:rsid w:val="00DC3BCB"/>
    <w:rsid w:val="00DC42A2"/>
    <w:rsid w:val="00DC4803"/>
    <w:rsid w:val="00DC5317"/>
    <w:rsid w:val="00DC54D6"/>
    <w:rsid w:val="00DC5615"/>
    <w:rsid w:val="00DC5692"/>
    <w:rsid w:val="00DC5766"/>
    <w:rsid w:val="00DC5A6E"/>
    <w:rsid w:val="00DC5CD7"/>
    <w:rsid w:val="00DC5FAE"/>
    <w:rsid w:val="00DC5FB3"/>
    <w:rsid w:val="00DC630E"/>
    <w:rsid w:val="00DC63CC"/>
    <w:rsid w:val="00DC66C8"/>
    <w:rsid w:val="00DC683F"/>
    <w:rsid w:val="00DC6D16"/>
    <w:rsid w:val="00DC7356"/>
    <w:rsid w:val="00DD0548"/>
    <w:rsid w:val="00DD2551"/>
    <w:rsid w:val="00DD272E"/>
    <w:rsid w:val="00DD2915"/>
    <w:rsid w:val="00DD30D9"/>
    <w:rsid w:val="00DD3143"/>
    <w:rsid w:val="00DD314F"/>
    <w:rsid w:val="00DD3270"/>
    <w:rsid w:val="00DD333C"/>
    <w:rsid w:val="00DD3397"/>
    <w:rsid w:val="00DD3AC7"/>
    <w:rsid w:val="00DD49F0"/>
    <w:rsid w:val="00DD49F9"/>
    <w:rsid w:val="00DD5324"/>
    <w:rsid w:val="00DD58AA"/>
    <w:rsid w:val="00DD5C6E"/>
    <w:rsid w:val="00DD5D65"/>
    <w:rsid w:val="00DD729E"/>
    <w:rsid w:val="00DD73C4"/>
    <w:rsid w:val="00DD7D62"/>
    <w:rsid w:val="00DD7ED6"/>
    <w:rsid w:val="00DE0739"/>
    <w:rsid w:val="00DE0D50"/>
    <w:rsid w:val="00DE0FAF"/>
    <w:rsid w:val="00DE1208"/>
    <w:rsid w:val="00DE1B2F"/>
    <w:rsid w:val="00DE23EA"/>
    <w:rsid w:val="00DE3257"/>
    <w:rsid w:val="00DE32B3"/>
    <w:rsid w:val="00DE352C"/>
    <w:rsid w:val="00DE4B85"/>
    <w:rsid w:val="00DE4FB0"/>
    <w:rsid w:val="00DE526A"/>
    <w:rsid w:val="00DE54FD"/>
    <w:rsid w:val="00DE5A89"/>
    <w:rsid w:val="00DE5D30"/>
    <w:rsid w:val="00DE7FF7"/>
    <w:rsid w:val="00DF0547"/>
    <w:rsid w:val="00DF08C4"/>
    <w:rsid w:val="00DF1138"/>
    <w:rsid w:val="00DF1316"/>
    <w:rsid w:val="00DF1ECB"/>
    <w:rsid w:val="00DF1EFF"/>
    <w:rsid w:val="00DF2B28"/>
    <w:rsid w:val="00DF3E20"/>
    <w:rsid w:val="00DF4220"/>
    <w:rsid w:val="00DF47FB"/>
    <w:rsid w:val="00DF50A6"/>
    <w:rsid w:val="00DF51C6"/>
    <w:rsid w:val="00DF56A0"/>
    <w:rsid w:val="00DF580F"/>
    <w:rsid w:val="00DF5E05"/>
    <w:rsid w:val="00DF5F0C"/>
    <w:rsid w:val="00DF60F5"/>
    <w:rsid w:val="00DF7330"/>
    <w:rsid w:val="00DF7D27"/>
    <w:rsid w:val="00E00004"/>
    <w:rsid w:val="00E00807"/>
    <w:rsid w:val="00E00F81"/>
    <w:rsid w:val="00E01EA3"/>
    <w:rsid w:val="00E0208A"/>
    <w:rsid w:val="00E02281"/>
    <w:rsid w:val="00E02B60"/>
    <w:rsid w:val="00E02DA9"/>
    <w:rsid w:val="00E0304D"/>
    <w:rsid w:val="00E032DB"/>
    <w:rsid w:val="00E0369C"/>
    <w:rsid w:val="00E051C1"/>
    <w:rsid w:val="00E0537F"/>
    <w:rsid w:val="00E05B06"/>
    <w:rsid w:val="00E05FE7"/>
    <w:rsid w:val="00E06689"/>
    <w:rsid w:val="00E07432"/>
    <w:rsid w:val="00E079F4"/>
    <w:rsid w:val="00E100F2"/>
    <w:rsid w:val="00E10D52"/>
    <w:rsid w:val="00E1114B"/>
    <w:rsid w:val="00E11595"/>
    <w:rsid w:val="00E11B85"/>
    <w:rsid w:val="00E11C37"/>
    <w:rsid w:val="00E120B8"/>
    <w:rsid w:val="00E12A85"/>
    <w:rsid w:val="00E13069"/>
    <w:rsid w:val="00E14297"/>
    <w:rsid w:val="00E149F1"/>
    <w:rsid w:val="00E14B96"/>
    <w:rsid w:val="00E14E99"/>
    <w:rsid w:val="00E16231"/>
    <w:rsid w:val="00E1640F"/>
    <w:rsid w:val="00E16A44"/>
    <w:rsid w:val="00E16B28"/>
    <w:rsid w:val="00E16F62"/>
    <w:rsid w:val="00E171EC"/>
    <w:rsid w:val="00E17232"/>
    <w:rsid w:val="00E204ED"/>
    <w:rsid w:val="00E20C1B"/>
    <w:rsid w:val="00E20F18"/>
    <w:rsid w:val="00E224A3"/>
    <w:rsid w:val="00E22B3C"/>
    <w:rsid w:val="00E22EDE"/>
    <w:rsid w:val="00E23A50"/>
    <w:rsid w:val="00E23C82"/>
    <w:rsid w:val="00E240CA"/>
    <w:rsid w:val="00E259EF"/>
    <w:rsid w:val="00E26BEB"/>
    <w:rsid w:val="00E27C0F"/>
    <w:rsid w:val="00E30608"/>
    <w:rsid w:val="00E30655"/>
    <w:rsid w:val="00E30C71"/>
    <w:rsid w:val="00E31C36"/>
    <w:rsid w:val="00E31D0F"/>
    <w:rsid w:val="00E32126"/>
    <w:rsid w:val="00E32276"/>
    <w:rsid w:val="00E322FF"/>
    <w:rsid w:val="00E323BA"/>
    <w:rsid w:val="00E3299C"/>
    <w:rsid w:val="00E32C27"/>
    <w:rsid w:val="00E32E9E"/>
    <w:rsid w:val="00E32F8F"/>
    <w:rsid w:val="00E3323E"/>
    <w:rsid w:val="00E33487"/>
    <w:rsid w:val="00E33545"/>
    <w:rsid w:val="00E336F5"/>
    <w:rsid w:val="00E3395F"/>
    <w:rsid w:val="00E33F11"/>
    <w:rsid w:val="00E3530D"/>
    <w:rsid w:val="00E36447"/>
    <w:rsid w:val="00E36754"/>
    <w:rsid w:val="00E36CFF"/>
    <w:rsid w:val="00E37428"/>
    <w:rsid w:val="00E37E3D"/>
    <w:rsid w:val="00E37FF2"/>
    <w:rsid w:val="00E40154"/>
    <w:rsid w:val="00E41D4D"/>
    <w:rsid w:val="00E41D69"/>
    <w:rsid w:val="00E42C55"/>
    <w:rsid w:val="00E4306F"/>
    <w:rsid w:val="00E4344E"/>
    <w:rsid w:val="00E438C4"/>
    <w:rsid w:val="00E43FC7"/>
    <w:rsid w:val="00E446FA"/>
    <w:rsid w:val="00E447B6"/>
    <w:rsid w:val="00E44920"/>
    <w:rsid w:val="00E4672E"/>
    <w:rsid w:val="00E4682F"/>
    <w:rsid w:val="00E46877"/>
    <w:rsid w:val="00E46EEE"/>
    <w:rsid w:val="00E471EF"/>
    <w:rsid w:val="00E47380"/>
    <w:rsid w:val="00E47CF9"/>
    <w:rsid w:val="00E50146"/>
    <w:rsid w:val="00E50223"/>
    <w:rsid w:val="00E507AF"/>
    <w:rsid w:val="00E5087F"/>
    <w:rsid w:val="00E50C7E"/>
    <w:rsid w:val="00E51980"/>
    <w:rsid w:val="00E51DB2"/>
    <w:rsid w:val="00E52315"/>
    <w:rsid w:val="00E529CF"/>
    <w:rsid w:val="00E52F06"/>
    <w:rsid w:val="00E52FC6"/>
    <w:rsid w:val="00E53073"/>
    <w:rsid w:val="00E535D4"/>
    <w:rsid w:val="00E5365B"/>
    <w:rsid w:val="00E54D5B"/>
    <w:rsid w:val="00E55F3A"/>
    <w:rsid w:val="00E5643F"/>
    <w:rsid w:val="00E56CC2"/>
    <w:rsid w:val="00E5742A"/>
    <w:rsid w:val="00E6018D"/>
    <w:rsid w:val="00E6044C"/>
    <w:rsid w:val="00E60574"/>
    <w:rsid w:val="00E60984"/>
    <w:rsid w:val="00E60D33"/>
    <w:rsid w:val="00E60F13"/>
    <w:rsid w:val="00E610C6"/>
    <w:rsid w:val="00E61303"/>
    <w:rsid w:val="00E61729"/>
    <w:rsid w:val="00E61AF5"/>
    <w:rsid w:val="00E61C1F"/>
    <w:rsid w:val="00E6271D"/>
    <w:rsid w:val="00E628D1"/>
    <w:rsid w:val="00E628F4"/>
    <w:rsid w:val="00E63942"/>
    <w:rsid w:val="00E63B10"/>
    <w:rsid w:val="00E641F5"/>
    <w:rsid w:val="00E64504"/>
    <w:rsid w:val="00E64FC3"/>
    <w:rsid w:val="00E65030"/>
    <w:rsid w:val="00E65493"/>
    <w:rsid w:val="00E66BDB"/>
    <w:rsid w:val="00E6717B"/>
    <w:rsid w:val="00E6729A"/>
    <w:rsid w:val="00E67B99"/>
    <w:rsid w:val="00E67E8D"/>
    <w:rsid w:val="00E67F26"/>
    <w:rsid w:val="00E67F9F"/>
    <w:rsid w:val="00E71AC0"/>
    <w:rsid w:val="00E71FA4"/>
    <w:rsid w:val="00E72465"/>
    <w:rsid w:val="00E7254A"/>
    <w:rsid w:val="00E732E7"/>
    <w:rsid w:val="00E732FB"/>
    <w:rsid w:val="00E73A0F"/>
    <w:rsid w:val="00E743F1"/>
    <w:rsid w:val="00E744C4"/>
    <w:rsid w:val="00E74521"/>
    <w:rsid w:val="00E74A6D"/>
    <w:rsid w:val="00E74B62"/>
    <w:rsid w:val="00E74E4B"/>
    <w:rsid w:val="00E753D0"/>
    <w:rsid w:val="00E76796"/>
    <w:rsid w:val="00E76B29"/>
    <w:rsid w:val="00E76E55"/>
    <w:rsid w:val="00E7763E"/>
    <w:rsid w:val="00E77C5B"/>
    <w:rsid w:val="00E77E97"/>
    <w:rsid w:val="00E80023"/>
    <w:rsid w:val="00E800CF"/>
    <w:rsid w:val="00E8190D"/>
    <w:rsid w:val="00E821CA"/>
    <w:rsid w:val="00E8246B"/>
    <w:rsid w:val="00E82CF2"/>
    <w:rsid w:val="00E83C2D"/>
    <w:rsid w:val="00E8480E"/>
    <w:rsid w:val="00E84A56"/>
    <w:rsid w:val="00E84CDE"/>
    <w:rsid w:val="00E84EC8"/>
    <w:rsid w:val="00E85092"/>
    <w:rsid w:val="00E85ECC"/>
    <w:rsid w:val="00E86468"/>
    <w:rsid w:val="00E8734E"/>
    <w:rsid w:val="00E87A94"/>
    <w:rsid w:val="00E87BFF"/>
    <w:rsid w:val="00E87E67"/>
    <w:rsid w:val="00E9016F"/>
    <w:rsid w:val="00E902D8"/>
    <w:rsid w:val="00E90583"/>
    <w:rsid w:val="00E9065E"/>
    <w:rsid w:val="00E90AB3"/>
    <w:rsid w:val="00E90B18"/>
    <w:rsid w:val="00E90B90"/>
    <w:rsid w:val="00E90B96"/>
    <w:rsid w:val="00E91F32"/>
    <w:rsid w:val="00E923DC"/>
    <w:rsid w:val="00E92517"/>
    <w:rsid w:val="00E9259D"/>
    <w:rsid w:val="00E925AC"/>
    <w:rsid w:val="00E92632"/>
    <w:rsid w:val="00E927E6"/>
    <w:rsid w:val="00E93D87"/>
    <w:rsid w:val="00E93E4D"/>
    <w:rsid w:val="00E94053"/>
    <w:rsid w:val="00E94158"/>
    <w:rsid w:val="00E945DA"/>
    <w:rsid w:val="00E9478A"/>
    <w:rsid w:val="00E9521B"/>
    <w:rsid w:val="00E9523B"/>
    <w:rsid w:val="00E956BF"/>
    <w:rsid w:val="00E958BD"/>
    <w:rsid w:val="00E95A13"/>
    <w:rsid w:val="00E9694F"/>
    <w:rsid w:val="00E9764F"/>
    <w:rsid w:val="00E97743"/>
    <w:rsid w:val="00EA06CD"/>
    <w:rsid w:val="00EA0A71"/>
    <w:rsid w:val="00EA1331"/>
    <w:rsid w:val="00EA187D"/>
    <w:rsid w:val="00EA2815"/>
    <w:rsid w:val="00EA28F4"/>
    <w:rsid w:val="00EA2F64"/>
    <w:rsid w:val="00EA30B5"/>
    <w:rsid w:val="00EA31EB"/>
    <w:rsid w:val="00EA374F"/>
    <w:rsid w:val="00EA3927"/>
    <w:rsid w:val="00EA3C16"/>
    <w:rsid w:val="00EA3E5F"/>
    <w:rsid w:val="00EA4088"/>
    <w:rsid w:val="00EA4B22"/>
    <w:rsid w:val="00EA4E24"/>
    <w:rsid w:val="00EA502B"/>
    <w:rsid w:val="00EA524B"/>
    <w:rsid w:val="00EA55BC"/>
    <w:rsid w:val="00EA60A3"/>
    <w:rsid w:val="00EA64CE"/>
    <w:rsid w:val="00EA6AB2"/>
    <w:rsid w:val="00EA7371"/>
    <w:rsid w:val="00EA7558"/>
    <w:rsid w:val="00EA7EFB"/>
    <w:rsid w:val="00EB0216"/>
    <w:rsid w:val="00EB07ED"/>
    <w:rsid w:val="00EB191A"/>
    <w:rsid w:val="00EB1960"/>
    <w:rsid w:val="00EB2483"/>
    <w:rsid w:val="00EB27AC"/>
    <w:rsid w:val="00EB3013"/>
    <w:rsid w:val="00EB31E0"/>
    <w:rsid w:val="00EB3346"/>
    <w:rsid w:val="00EB399F"/>
    <w:rsid w:val="00EB40EB"/>
    <w:rsid w:val="00EB48F6"/>
    <w:rsid w:val="00EB529F"/>
    <w:rsid w:val="00EB58C8"/>
    <w:rsid w:val="00EB6538"/>
    <w:rsid w:val="00EB6B01"/>
    <w:rsid w:val="00EB6B54"/>
    <w:rsid w:val="00EB7C22"/>
    <w:rsid w:val="00EC09BE"/>
    <w:rsid w:val="00EC0C74"/>
    <w:rsid w:val="00EC148C"/>
    <w:rsid w:val="00EC158F"/>
    <w:rsid w:val="00EC1E4B"/>
    <w:rsid w:val="00EC231B"/>
    <w:rsid w:val="00EC5698"/>
    <w:rsid w:val="00EC696E"/>
    <w:rsid w:val="00EC6B25"/>
    <w:rsid w:val="00EC7848"/>
    <w:rsid w:val="00EC7CEA"/>
    <w:rsid w:val="00ED0537"/>
    <w:rsid w:val="00ED0782"/>
    <w:rsid w:val="00ED07E1"/>
    <w:rsid w:val="00ED0C3C"/>
    <w:rsid w:val="00ED1079"/>
    <w:rsid w:val="00ED1F0B"/>
    <w:rsid w:val="00ED212D"/>
    <w:rsid w:val="00ED21AF"/>
    <w:rsid w:val="00ED2F4E"/>
    <w:rsid w:val="00ED2FD6"/>
    <w:rsid w:val="00ED3398"/>
    <w:rsid w:val="00ED33AE"/>
    <w:rsid w:val="00ED34C4"/>
    <w:rsid w:val="00ED3CCF"/>
    <w:rsid w:val="00ED41C2"/>
    <w:rsid w:val="00ED425B"/>
    <w:rsid w:val="00ED45FF"/>
    <w:rsid w:val="00ED5B33"/>
    <w:rsid w:val="00ED5DAE"/>
    <w:rsid w:val="00ED6730"/>
    <w:rsid w:val="00ED6B32"/>
    <w:rsid w:val="00ED6DE1"/>
    <w:rsid w:val="00ED6E39"/>
    <w:rsid w:val="00ED7010"/>
    <w:rsid w:val="00ED7570"/>
    <w:rsid w:val="00ED7673"/>
    <w:rsid w:val="00ED7B8C"/>
    <w:rsid w:val="00ED7DDB"/>
    <w:rsid w:val="00EE171C"/>
    <w:rsid w:val="00EE1CA2"/>
    <w:rsid w:val="00EE1FA2"/>
    <w:rsid w:val="00EE2139"/>
    <w:rsid w:val="00EE37FB"/>
    <w:rsid w:val="00EE3A3D"/>
    <w:rsid w:val="00EE4AA5"/>
    <w:rsid w:val="00EE51D7"/>
    <w:rsid w:val="00EE5CC7"/>
    <w:rsid w:val="00EE6297"/>
    <w:rsid w:val="00EE62D1"/>
    <w:rsid w:val="00EE6525"/>
    <w:rsid w:val="00EE689F"/>
    <w:rsid w:val="00EE7877"/>
    <w:rsid w:val="00EE7E3B"/>
    <w:rsid w:val="00EE7F15"/>
    <w:rsid w:val="00EF0262"/>
    <w:rsid w:val="00EF0929"/>
    <w:rsid w:val="00EF0D54"/>
    <w:rsid w:val="00EF144D"/>
    <w:rsid w:val="00EF1A1D"/>
    <w:rsid w:val="00EF1F21"/>
    <w:rsid w:val="00EF2BFA"/>
    <w:rsid w:val="00EF35B9"/>
    <w:rsid w:val="00EF466E"/>
    <w:rsid w:val="00EF48A6"/>
    <w:rsid w:val="00EF48EB"/>
    <w:rsid w:val="00EF4C57"/>
    <w:rsid w:val="00EF5ADC"/>
    <w:rsid w:val="00EF6059"/>
    <w:rsid w:val="00EF6181"/>
    <w:rsid w:val="00EF637F"/>
    <w:rsid w:val="00EF64DA"/>
    <w:rsid w:val="00EF6B66"/>
    <w:rsid w:val="00EF6EC2"/>
    <w:rsid w:val="00EF7CC0"/>
    <w:rsid w:val="00F00389"/>
    <w:rsid w:val="00F00757"/>
    <w:rsid w:val="00F00759"/>
    <w:rsid w:val="00F00884"/>
    <w:rsid w:val="00F012B4"/>
    <w:rsid w:val="00F0139C"/>
    <w:rsid w:val="00F01B9C"/>
    <w:rsid w:val="00F01D8F"/>
    <w:rsid w:val="00F024D7"/>
    <w:rsid w:val="00F02ABF"/>
    <w:rsid w:val="00F02AF1"/>
    <w:rsid w:val="00F03910"/>
    <w:rsid w:val="00F04491"/>
    <w:rsid w:val="00F0502D"/>
    <w:rsid w:val="00F050DF"/>
    <w:rsid w:val="00F059CA"/>
    <w:rsid w:val="00F05F6A"/>
    <w:rsid w:val="00F060BA"/>
    <w:rsid w:val="00F06156"/>
    <w:rsid w:val="00F067F1"/>
    <w:rsid w:val="00F06FDD"/>
    <w:rsid w:val="00F07259"/>
    <w:rsid w:val="00F0762A"/>
    <w:rsid w:val="00F07A9F"/>
    <w:rsid w:val="00F1027A"/>
    <w:rsid w:val="00F10550"/>
    <w:rsid w:val="00F10D43"/>
    <w:rsid w:val="00F11048"/>
    <w:rsid w:val="00F11097"/>
    <w:rsid w:val="00F1117E"/>
    <w:rsid w:val="00F1122C"/>
    <w:rsid w:val="00F11745"/>
    <w:rsid w:val="00F11AA7"/>
    <w:rsid w:val="00F11E83"/>
    <w:rsid w:val="00F12005"/>
    <w:rsid w:val="00F121CD"/>
    <w:rsid w:val="00F1343F"/>
    <w:rsid w:val="00F13753"/>
    <w:rsid w:val="00F13905"/>
    <w:rsid w:val="00F14479"/>
    <w:rsid w:val="00F14895"/>
    <w:rsid w:val="00F14945"/>
    <w:rsid w:val="00F14BFA"/>
    <w:rsid w:val="00F153C6"/>
    <w:rsid w:val="00F15B73"/>
    <w:rsid w:val="00F165EB"/>
    <w:rsid w:val="00F16D8D"/>
    <w:rsid w:val="00F16E65"/>
    <w:rsid w:val="00F16EE7"/>
    <w:rsid w:val="00F17032"/>
    <w:rsid w:val="00F179E5"/>
    <w:rsid w:val="00F17B69"/>
    <w:rsid w:val="00F20719"/>
    <w:rsid w:val="00F207EC"/>
    <w:rsid w:val="00F20A49"/>
    <w:rsid w:val="00F20BE0"/>
    <w:rsid w:val="00F2110C"/>
    <w:rsid w:val="00F2246F"/>
    <w:rsid w:val="00F22495"/>
    <w:rsid w:val="00F23111"/>
    <w:rsid w:val="00F2395D"/>
    <w:rsid w:val="00F23A6A"/>
    <w:rsid w:val="00F23D38"/>
    <w:rsid w:val="00F24189"/>
    <w:rsid w:val="00F24715"/>
    <w:rsid w:val="00F2490D"/>
    <w:rsid w:val="00F249D8"/>
    <w:rsid w:val="00F250D3"/>
    <w:rsid w:val="00F260E6"/>
    <w:rsid w:val="00F26555"/>
    <w:rsid w:val="00F26568"/>
    <w:rsid w:val="00F26D46"/>
    <w:rsid w:val="00F27B81"/>
    <w:rsid w:val="00F27C44"/>
    <w:rsid w:val="00F27E8E"/>
    <w:rsid w:val="00F27FCE"/>
    <w:rsid w:val="00F30441"/>
    <w:rsid w:val="00F30551"/>
    <w:rsid w:val="00F3091D"/>
    <w:rsid w:val="00F309AB"/>
    <w:rsid w:val="00F30D4B"/>
    <w:rsid w:val="00F318F6"/>
    <w:rsid w:val="00F328BE"/>
    <w:rsid w:val="00F32A56"/>
    <w:rsid w:val="00F33E5A"/>
    <w:rsid w:val="00F33F17"/>
    <w:rsid w:val="00F348EE"/>
    <w:rsid w:val="00F34E18"/>
    <w:rsid w:val="00F354B7"/>
    <w:rsid w:val="00F35A0E"/>
    <w:rsid w:val="00F35C3B"/>
    <w:rsid w:val="00F366F1"/>
    <w:rsid w:val="00F367CE"/>
    <w:rsid w:val="00F36AD8"/>
    <w:rsid w:val="00F36BA5"/>
    <w:rsid w:val="00F3705C"/>
    <w:rsid w:val="00F37120"/>
    <w:rsid w:val="00F37A13"/>
    <w:rsid w:val="00F37F7D"/>
    <w:rsid w:val="00F415C4"/>
    <w:rsid w:val="00F4191D"/>
    <w:rsid w:val="00F4213D"/>
    <w:rsid w:val="00F4243F"/>
    <w:rsid w:val="00F427F0"/>
    <w:rsid w:val="00F42BA3"/>
    <w:rsid w:val="00F42C12"/>
    <w:rsid w:val="00F43113"/>
    <w:rsid w:val="00F442D8"/>
    <w:rsid w:val="00F44AED"/>
    <w:rsid w:val="00F44E02"/>
    <w:rsid w:val="00F45359"/>
    <w:rsid w:val="00F459CF"/>
    <w:rsid w:val="00F45A36"/>
    <w:rsid w:val="00F45CF4"/>
    <w:rsid w:val="00F4648B"/>
    <w:rsid w:val="00F46BE4"/>
    <w:rsid w:val="00F47A94"/>
    <w:rsid w:val="00F50370"/>
    <w:rsid w:val="00F50402"/>
    <w:rsid w:val="00F50736"/>
    <w:rsid w:val="00F50DC9"/>
    <w:rsid w:val="00F50F90"/>
    <w:rsid w:val="00F5143B"/>
    <w:rsid w:val="00F517CB"/>
    <w:rsid w:val="00F51902"/>
    <w:rsid w:val="00F51AE6"/>
    <w:rsid w:val="00F52386"/>
    <w:rsid w:val="00F52FB5"/>
    <w:rsid w:val="00F53145"/>
    <w:rsid w:val="00F5352D"/>
    <w:rsid w:val="00F536F0"/>
    <w:rsid w:val="00F5375A"/>
    <w:rsid w:val="00F54F3D"/>
    <w:rsid w:val="00F54FDC"/>
    <w:rsid w:val="00F5555F"/>
    <w:rsid w:val="00F5568E"/>
    <w:rsid w:val="00F55CE7"/>
    <w:rsid w:val="00F55D2F"/>
    <w:rsid w:val="00F55DBA"/>
    <w:rsid w:val="00F56275"/>
    <w:rsid w:val="00F568DB"/>
    <w:rsid w:val="00F56AEB"/>
    <w:rsid w:val="00F56BC6"/>
    <w:rsid w:val="00F571CE"/>
    <w:rsid w:val="00F5763D"/>
    <w:rsid w:val="00F576D4"/>
    <w:rsid w:val="00F57EDF"/>
    <w:rsid w:val="00F57F28"/>
    <w:rsid w:val="00F600CB"/>
    <w:rsid w:val="00F60111"/>
    <w:rsid w:val="00F60269"/>
    <w:rsid w:val="00F606C7"/>
    <w:rsid w:val="00F607AA"/>
    <w:rsid w:val="00F6080F"/>
    <w:rsid w:val="00F61CC8"/>
    <w:rsid w:val="00F61DC9"/>
    <w:rsid w:val="00F6227B"/>
    <w:rsid w:val="00F623F8"/>
    <w:rsid w:val="00F626FC"/>
    <w:rsid w:val="00F62BAE"/>
    <w:rsid w:val="00F62F02"/>
    <w:rsid w:val="00F63094"/>
    <w:rsid w:val="00F63368"/>
    <w:rsid w:val="00F63576"/>
    <w:rsid w:val="00F63692"/>
    <w:rsid w:val="00F6383B"/>
    <w:rsid w:val="00F63B3F"/>
    <w:rsid w:val="00F64291"/>
    <w:rsid w:val="00F6557B"/>
    <w:rsid w:val="00F659BF"/>
    <w:rsid w:val="00F6714C"/>
    <w:rsid w:val="00F67A1E"/>
    <w:rsid w:val="00F67FF0"/>
    <w:rsid w:val="00F7028D"/>
    <w:rsid w:val="00F70CF4"/>
    <w:rsid w:val="00F72E82"/>
    <w:rsid w:val="00F730C7"/>
    <w:rsid w:val="00F733B7"/>
    <w:rsid w:val="00F73456"/>
    <w:rsid w:val="00F73835"/>
    <w:rsid w:val="00F73B66"/>
    <w:rsid w:val="00F747DF"/>
    <w:rsid w:val="00F74D04"/>
    <w:rsid w:val="00F75F9D"/>
    <w:rsid w:val="00F7663D"/>
    <w:rsid w:val="00F768F3"/>
    <w:rsid w:val="00F7776E"/>
    <w:rsid w:val="00F81466"/>
    <w:rsid w:val="00F8147D"/>
    <w:rsid w:val="00F81609"/>
    <w:rsid w:val="00F820F5"/>
    <w:rsid w:val="00F82884"/>
    <w:rsid w:val="00F82A4C"/>
    <w:rsid w:val="00F830A4"/>
    <w:rsid w:val="00F83AEA"/>
    <w:rsid w:val="00F85954"/>
    <w:rsid w:val="00F85CD8"/>
    <w:rsid w:val="00F863BE"/>
    <w:rsid w:val="00F86526"/>
    <w:rsid w:val="00F86631"/>
    <w:rsid w:val="00F86771"/>
    <w:rsid w:val="00F86803"/>
    <w:rsid w:val="00F86B77"/>
    <w:rsid w:val="00F86C46"/>
    <w:rsid w:val="00F8781F"/>
    <w:rsid w:val="00F87FE6"/>
    <w:rsid w:val="00F90CD8"/>
    <w:rsid w:val="00F91285"/>
    <w:rsid w:val="00F91628"/>
    <w:rsid w:val="00F9254C"/>
    <w:rsid w:val="00F9363A"/>
    <w:rsid w:val="00F93A67"/>
    <w:rsid w:val="00F93AFD"/>
    <w:rsid w:val="00F9435D"/>
    <w:rsid w:val="00F946DE"/>
    <w:rsid w:val="00F94CDA"/>
    <w:rsid w:val="00F94D59"/>
    <w:rsid w:val="00F95F2E"/>
    <w:rsid w:val="00F96019"/>
    <w:rsid w:val="00F96067"/>
    <w:rsid w:val="00F96AF8"/>
    <w:rsid w:val="00F96E2B"/>
    <w:rsid w:val="00F97EB3"/>
    <w:rsid w:val="00F97EBB"/>
    <w:rsid w:val="00FA0617"/>
    <w:rsid w:val="00FA0C09"/>
    <w:rsid w:val="00FA0C75"/>
    <w:rsid w:val="00FA130D"/>
    <w:rsid w:val="00FA158A"/>
    <w:rsid w:val="00FA290F"/>
    <w:rsid w:val="00FA2FC0"/>
    <w:rsid w:val="00FA36D9"/>
    <w:rsid w:val="00FA38EC"/>
    <w:rsid w:val="00FA3D43"/>
    <w:rsid w:val="00FA43E8"/>
    <w:rsid w:val="00FA5E49"/>
    <w:rsid w:val="00FA666C"/>
    <w:rsid w:val="00FA7646"/>
    <w:rsid w:val="00FB0A1A"/>
    <w:rsid w:val="00FB0DFC"/>
    <w:rsid w:val="00FB0E4F"/>
    <w:rsid w:val="00FB10A6"/>
    <w:rsid w:val="00FB12A3"/>
    <w:rsid w:val="00FB13B7"/>
    <w:rsid w:val="00FB1C9C"/>
    <w:rsid w:val="00FB2784"/>
    <w:rsid w:val="00FB394B"/>
    <w:rsid w:val="00FB464D"/>
    <w:rsid w:val="00FB4F90"/>
    <w:rsid w:val="00FB51DE"/>
    <w:rsid w:val="00FB5F6A"/>
    <w:rsid w:val="00FB60DB"/>
    <w:rsid w:val="00FB7513"/>
    <w:rsid w:val="00FB7B88"/>
    <w:rsid w:val="00FC0304"/>
    <w:rsid w:val="00FC04F7"/>
    <w:rsid w:val="00FC0514"/>
    <w:rsid w:val="00FC063B"/>
    <w:rsid w:val="00FC0C94"/>
    <w:rsid w:val="00FC0F25"/>
    <w:rsid w:val="00FC1401"/>
    <w:rsid w:val="00FC1729"/>
    <w:rsid w:val="00FC1D56"/>
    <w:rsid w:val="00FC210D"/>
    <w:rsid w:val="00FC2700"/>
    <w:rsid w:val="00FC2BDA"/>
    <w:rsid w:val="00FC5B0B"/>
    <w:rsid w:val="00FC5CFE"/>
    <w:rsid w:val="00FC6F81"/>
    <w:rsid w:val="00FC7142"/>
    <w:rsid w:val="00FC750E"/>
    <w:rsid w:val="00FC7B3E"/>
    <w:rsid w:val="00FD0BFC"/>
    <w:rsid w:val="00FD26B4"/>
    <w:rsid w:val="00FD2FB9"/>
    <w:rsid w:val="00FD317D"/>
    <w:rsid w:val="00FD33E9"/>
    <w:rsid w:val="00FD40B6"/>
    <w:rsid w:val="00FD477A"/>
    <w:rsid w:val="00FD47D8"/>
    <w:rsid w:val="00FD5638"/>
    <w:rsid w:val="00FD5713"/>
    <w:rsid w:val="00FD5A98"/>
    <w:rsid w:val="00FD5BF9"/>
    <w:rsid w:val="00FD5E00"/>
    <w:rsid w:val="00FD5E59"/>
    <w:rsid w:val="00FD6305"/>
    <w:rsid w:val="00FD69B4"/>
    <w:rsid w:val="00FD6BAA"/>
    <w:rsid w:val="00FD7467"/>
    <w:rsid w:val="00FD756B"/>
    <w:rsid w:val="00FD7B86"/>
    <w:rsid w:val="00FD7F73"/>
    <w:rsid w:val="00FE032E"/>
    <w:rsid w:val="00FE0A6C"/>
    <w:rsid w:val="00FE0B59"/>
    <w:rsid w:val="00FE151B"/>
    <w:rsid w:val="00FE2013"/>
    <w:rsid w:val="00FE2105"/>
    <w:rsid w:val="00FE309C"/>
    <w:rsid w:val="00FE3B2F"/>
    <w:rsid w:val="00FE4AF0"/>
    <w:rsid w:val="00FE6192"/>
    <w:rsid w:val="00FE6919"/>
    <w:rsid w:val="00FE77F7"/>
    <w:rsid w:val="00FE7DC3"/>
    <w:rsid w:val="00FF0223"/>
    <w:rsid w:val="00FF0A47"/>
    <w:rsid w:val="00FF0C89"/>
    <w:rsid w:val="00FF0CB2"/>
    <w:rsid w:val="00FF133B"/>
    <w:rsid w:val="00FF140F"/>
    <w:rsid w:val="00FF193F"/>
    <w:rsid w:val="00FF1C49"/>
    <w:rsid w:val="00FF1CD7"/>
    <w:rsid w:val="00FF2D48"/>
    <w:rsid w:val="00FF464E"/>
    <w:rsid w:val="00FF5572"/>
    <w:rsid w:val="00FF5C23"/>
    <w:rsid w:val="00FF66DB"/>
    <w:rsid w:val="00FF6D85"/>
    <w:rsid w:val="00FF7B0E"/>
    <w:rsid w:val="011D082C"/>
    <w:rsid w:val="01419B16"/>
    <w:rsid w:val="015D9BB6"/>
    <w:rsid w:val="016E7A31"/>
    <w:rsid w:val="01BFBCE3"/>
    <w:rsid w:val="02002B51"/>
    <w:rsid w:val="0212D2FC"/>
    <w:rsid w:val="022F9B5B"/>
    <w:rsid w:val="0270D4B6"/>
    <w:rsid w:val="0284CD9C"/>
    <w:rsid w:val="02B15CEC"/>
    <w:rsid w:val="0324E70B"/>
    <w:rsid w:val="03549F11"/>
    <w:rsid w:val="03EF4A2D"/>
    <w:rsid w:val="03F8404E"/>
    <w:rsid w:val="047A8214"/>
    <w:rsid w:val="04897572"/>
    <w:rsid w:val="04996C08"/>
    <w:rsid w:val="04B9A3BA"/>
    <w:rsid w:val="04C387C5"/>
    <w:rsid w:val="04EC81A2"/>
    <w:rsid w:val="0538FDDB"/>
    <w:rsid w:val="05DDDCF0"/>
    <w:rsid w:val="063A6C06"/>
    <w:rsid w:val="065488C8"/>
    <w:rsid w:val="07216ECF"/>
    <w:rsid w:val="0734B988"/>
    <w:rsid w:val="0752051B"/>
    <w:rsid w:val="07BCC1CC"/>
    <w:rsid w:val="07BD7BE7"/>
    <w:rsid w:val="086A52EF"/>
    <w:rsid w:val="087BF42E"/>
    <w:rsid w:val="0898DEB4"/>
    <w:rsid w:val="08A0750E"/>
    <w:rsid w:val="08C23023"/>
    <w:rsid w:val="08C725A1"/>
    <w:rsid w:val="08D84892"/>
    <w:rsid w:val="08EF823B"/>
    <w:rsid w:val="0910BDE5"/>
    <w:rsid w:val="0912A4BD"/>
    <w:rsid w:val="09170C8D"/>
    <w:rsid w:val="091EBCA9"/>
    <w:rsid w:val="09237600"/>
    <w:rsid w:val="09403A92"/>
    <w:rsid w:val="09897E72"/>
    <w:rsid w:val="0A04876A"/>
    <w:rsid w:val="0A43FF20"/>
    <w:rsid w:val="0A6C6FBA"/>
    <w:rsid w:val="0AA29BC3"/>
    <w:rsid w:val="0AAB32DE"/>
    <w:rsid w:val="0AF4839E"/>
    <w:rsid w:val="0BB6937D"/>
    <w:rsid w:val="0BD1ED12"/>
    <w:rsid w:val="0C375DC5"/>
    <w:rsid w:val="0C461919"/>
    <w:rsid w:val="0C4A83E9"/>
    <w:rsid w:val="0CD8F3FB"/>
    <w:rsid w:val="0CDD1459"/>
    <w:rsid w:val="0D2EA3BB"/>
    <w:rsid w:val="0D824F1B"/>
    <w:rsid w:val="0D9F4DD8"/>
    <w:rsid w:val="0DCA3CE2"/>
    <w:rsid w:val="0DE99E15"/>
    <w:rsid w:val="0DF0A88C"/>
    <w:rsid w:val="0E332596"/>
    <w:rsid w:val="0E7C0261"/>
    <w:rsid w:val="0E7EC579"/>
    <w:rsid w:val="0E944C08"/>
    <w:rsid w:val="0F08839B"/>
    <w:rsid w:val="0F1DCFCC"/>
    <w:rsid w:val="0F53A54E"/>
    <w:rsid w:val="0F888AED"/>
    <w:rsid w:val="0F8E6A36"/>
    <w:rsid w:val="0FD53598"/>
    <w:rsid w:val="1011E050"/>
    <w:rsid w:val="1040CD07"/>
    <w:rsid w:val="10446F72"/>
    <w:rsid w:val="106862D4"/>
    <w:rsid w:val="10AA635A"/>
    <w:rsid w:val="10C37C7E"/>
    <w:rsid w:val="1119FB8F"/>
    <w:rsid w:val="12389F74"/>
    <w:rsid w:val="1287F06C"/>
    <w:rsid w:val="13310D30"/>
    <w:rsid w:val="13527F70"/>
    <w:rsid w:val="136B6F4E"/>
    <w:rsid w:val="13992FBA"/>
    <w:rsid w:val="13C8A90C"/>
    <w:rsid w:val="13DA178C"/>
    <w:rsid w:val="1407CB9D"/>
    <w:rsid w:val="1444C809"/>
    <w:rsid w:val="146302A4"/>
    <w:rsid w:val="149AB184"/>
    <w:rsid w:val="1545D01A"/>
    <w:rsid w:val="15BE8162"/>
    <w:rsid w:val="165F9653"/>
    <w:rsid w:val="1676B01D"/>
    <w:rsid w:val="16A4FC64"/>
    <w:rsid w:val="16BEBFD8"/>
    <w:rsid w:val="16D2A47B"/>
    <w:rsid w:val="175698F4"/>
    <w:rsid w:val="175FC8B3"/>
    <w:rsid w:val="17620490"/>
    <w:rsid w:val="17A31EA9"/>
    <w:rsid w:val="17C89ED4"/>
    <w:rsid w:val="18688104"/>
    <w:rsid w:val="18BAE42D"/>
    <w:rsid w:val="18F86461"/>
    <w:rsid w:val="1945B5B7"/>
    <w:rsid w:val="1974257C"/>
    <w:rsid w:val="198F8C93"/>
    <w:rsid w:val="19958257"/>
    <w:rsid w:val="19C519F6"/>
    <w:rsid w:val="1A233E36"/>
    <w:rsid w:val="1A8AC893"/>
    <w:rsid w:val="1AAE3FDC"/>
    <w:rsid w:val="1AD82269"/>
    <w:rsid w:val="1B6D9FF3"/>
    <w:rsid w:val="1B773991"/>
    <w:rsid w:val="1B79D01F"/>
    <w:rsid w:val="1B804BEB"/>
    <w:rsid w:val="1BBD55B9"/>
    <w:rsid w:val="1BD6857D"/>
    <w:rsid w:val="1C7E3CE8"/>
    <w:rsid w:val="1CCFB5C0"/>
    <w:rsid w:val="1CEFE054"/>
    <w:rsid w:val="1D2C7D60"/>
    <w:rsid w:val="1D34A49A"/>
    <w:rsid w:val="1D52F7A7"/>
    <w:rsid w:val="1D5A238D"/>
    <w:rsid w:val="1D74CF40"/>
    <w:rsid w:val="1E2CC329"/>
    <w:rsid w:val="1E36C0A8"/>
    <w:rsid w:val="1E3E799B"/>
    <w:rsid w:val="1E4E1873"/>
    <w:rsid w:val="1E52D6AF"/>
    <w:rsid w:val="1EB1D6ED"/>
    <w:rsid w:val="1EB56F2F"/>
    <w:rsid w:val="1EDEC000"/>
    <w:rsid w:val="1EF43935"/>
    <w:rsid w:val="1FAAC4A9"/>
    <w:rsid w:val="1FEBDFB1"/>
    <w:rsid w:val="201EA25A"/>
    <w:rsid w:val="203DE22F"/>
    <w:rsid w:val="2073EAD5"/>
    <w:rsid w:val="20C6B7F8"/>
    <w:rsid w:val="20EE8200"/>
    <w:rsid w:val="20F1545B"/>
    <w:rsid w:val="213A6EB1"/>
    <w:rsid w:val="215C15D6"/>
    <w:rsid w:val="215D5E5A"/>
    <w:rsid w:val="21CD5CA4"/>
    <w:rsid w:val="21D1F470"/>
    <w:rsid w:val="21D8447B"/>
    <w:rsid w:val="21E457C7"/>
    <w:rsid w:val="2244DE3E"/>
    <w:rsid w:val="224FCF50"/>
    <w:rsid w:val="225DADF0"/>
    <w:rsid w:val="22628B2E"/>
    <w:rsid w:val="22BFEBB5"/>
    <w:rsid w:val="231E3692"/>
    <w:rsid w:val="233E1E21"/>
    <w:rsid w:val="235D8C6C"/>
    <w:rsid w:val="237274D7"/>
    <w:rsid w:val="23D2E2BE"/>
    <w:rsid w:val="2411DAE5"/>
    <w:rsid w:val="248B1569"/>
    <w:rsid w:val="249AA770"/>
    <w:rsid w:val="24F4DEB8"/>
    <w:rsid w:val="2500F485"/>
    <w:rsid w:val="2528600D"/>
    <w:rsid w:val="25680E2D"/>
    <w:rsid w:val="25DA4527"/>
    <w:rsid w:val="25F80224"/>
    <w:rsid w:val="260841B0"/>
    <w:rsid w:val="26737143"/>
    <w:rsid w:val="26AB4835"/>
    <w:rsid w:val="27389C26"/>
    <w:rsid w:val="276A6FC3"/>
    <w:rsid w:val="27A4354A"/>
    <w:rsid w:val="27D9740B"/>
    <w:rsid w:val="27DD3A32"/>
    <w:rsid w:val="280ECFFE"/>
    <w:rsid w:val="28277347"/>
    <w:rsid w:val="2839189C"/>
    <w:rsid w:val="287168BB"/>
    <w:rsid w:val="28917185"/>
    <w:rsid w:val="28B59190"/>
    <w:rsid w:val="291DCB0D"/>
    <w:rsid w:val="2930F215"/>
    <w:rsid w:val="298FDC1F"/>
    <w:rsid w:val="2999A757"/>
    <w:rsid w:val="29AB0822"/>
    <w:rsid w:val="2A3E9214"/>
    <w:rsid w:val="2A7618E6"/>
    <w:rsid w:val="2A7BF0F7"/>
    <w:rsid w:val="2A7C92C5"/>
    <w:rsid w:val="2AAA2E22"/>
    <w:rsid w:val="2B002D59"/>
    <w:rsid w:val="2B334940"/>
    <w:rsid w:val="2BA0166A"/>
    <w:rsid w:val="2BB3EE5F"/>
    <w:rsid w:val="2C07C240"/>
    <w:rsid w:val="2C6211C2"/>
    <w:rsid w:val="2C811251"/>
    <w:rsid w:val="2CAA60A2"/>
    <w:rsid w:val="2CB5A198"/>
    <w:rsid w:val="2D213BE4"/>
    <w:rsid w:val="2D368991"/>
    <w:rsid w:val="2D7A8304"/>
    <w:rsid w:val="2D8DF0D4"/>
    <w:rsid w:val="2E136016"/>
    <w:rsid w:val="2E38B06A"/>
    <w:rsid w:val="2E4A5CAC"/>
    <w:rsid w:val="2E4CFA7B"/>
    <w:rsid w:val="2E8FCC2A"/>
    <w:rsid w:val="2E9038DB"/>
    <w:rsid w:val="2EE8A7B3"/>
    <w:rsid w:val="2EFA0882"/>
    <w:rsid w:val="2F647D32"/>
    <w:rsid w:val="2F7313A3"/>
    <w:rsid w:val="2F76BE83"/>
    <w:rsid w:val="2F7C6B6F"/>
    <w:rsid w:val="2F841125"/>
    <w:rsid w:val="2F86B235"/>
    <w:rsid w:val="2F9FCE47"/>
    <w:rsid w:val="30193D0A"/>
    <w:rsid w:val="30550E71"/>
    <w:rsid w:val="308C0147"/>
    <w:rsid w:val="308DA9BA"/>
    <w:rsid w:val="30DDB426"/>
    <w:rsid w:val="30F81174"/>
    <w:rsid w:val="3113E572"/>
    <w:rsid w:val="3135028A"/>
    <w:rsid w:val="31968E1C"/>
    <w:rsid w:val="31B2FD09"/>
    <w:rsid w:val="31BCA3C4"/>
    <w:rsid w:val="32B5212B"/>
    <w:rsid w:val="32B5BD6A"/>
    <w:rsid w:val="32F0D4AD"/>
    <w:rsid w:val="33095E7B"/>
    <w:rsid w:val="334F39E8"/>
    <w:rsid w:val="3384B93E"/>
    <w:rsid w:val="339204A8"/>
    <w:rsid w:val="33C343F2"/>
    <w:rsid w:val="3407F7BD"/>
    <w:rsid w:val="343C47EE"/>
    <w:rsid w:val="345C5F4B"/>
    <w:rsid w:val="346CED57"/>
    <w:rsid w:val="34867426"/>
    <w:rsid w:val="348B50C4"/>
    <w:rsid w:val="3499A907"/>
    <w:rsid w:val="34B5D001"/>
    <w:rsid w:val="352BFD08"/>
    <w:rsid w:val="3590FD52"/>
    <w:rsid w:val="35A85FEA"/>
    <w:rsid w:val="35BC32BA"/>
    <w:rsid w:val="35DC6AFA"/>
    <w:rsid w:val="35E5D3FC"/>
    <w:rsid w:val="36671520"/>
    <w:rsid w:val="36797F44"/>
    <w:rsid w:val="36B90C6E"/>
    <w:rsid w:val="36B935E4"/>
    <w:rsid w:val="37E30FEA"/>
    <w:rsid w:val="37EF20D0"/>
    <w:rsid w:val="37F13583"/>
    <w:rsid w:val="37F951BB"/>
    <w:rsid w:val="3811BC65"/>
    <w:rsid w:val="38197B3A"/>
    <w:rsid w:val="385A0540"/>
    <w:rsid w:val="3880E633"/>
    <w:rsid w:val="38974ADC"/>
    <w:rsid w:val="38ABAC8F"/>
    <w:rsid w:val="38AC88E3"/>
    <w:rsid w:val="38D6181B"/>
    <w:rsid w:val="392E95DF"/>
    <w:rsid w:val="39A4CC69"/>
    <w:rsid w:val="39CD9EB6"/>
    <w:rsid w:val="3A04F6E2"/>
    <w:rsid w:val="3A275D57"/>
    <w:rsid w:val="3A7563E3"/>
    <w:rsid w:val="3ABB631B"/>
    <w:rsid w:val="3AD1477E"/>
    <w:rsid w:val="3AFCC77A"/>
    <w:rsid w:val="3B9272DC"/>
    <w:rsid w:val="3BCE353E"/>
    <w:rsid w:val="3BCF80D3"/>
    <w:rsid w:val="3C09255D"/>
    <w:rsid w:val="3C62738F"/>
    <w:rsid w:val="3D08C60F"/>
    <w:rsid w:val="3D3D5030"/>
    <w:rsid w:val="3D50E533"/>
    <w:rsid w:val="3D617B0A"/>
    <w:rsid w:val="3DFA3F6D"/>
    <w:rsid w:val="3E2E6F2A"/>
    <w:rsid w:val="3E3F55FE"/>
    <w:rsid w:val="3E64D7C1"/>
    <w:rsid w:val="3EE35F1B"/>
    <w:rsid w:val="3F34AC16"/>
    <w:rsid w:val="3F871758"/>
    <w:rsid w:val="3FC5AF02"/>
    <w:rsid w:val="400EB0F5"/>
    <w:rsid w:val="40138945"/>
    <w:rsid w:val="4028DB3D"/>
    <w:rsid w:val="40609755"/>
    <w:rsid w:val="41171A71"/>
    <w:rsid w:val="4129BF47"/>
    <w:rsid w:val="412FB315"/>
    <w:rsid w:val="41925C6C"/>
    <w:rsid w:val="41AA6FED"/>
    <w:rsid w:val="41B43C67"/>
    <w:rsid w:val="41CC6E29"/>
    <w:rsid w:val="41D99F46"/>
    <w:rsid w:val="41F04112"/>
    <w:rsid w:val="42595D26"/>
    <w:rsid w:val="42C9F056"/>
    <w:rsid w:val="434834B0"/>
    <w:rsid w:val="436C3D80"/>
    <w:rsid w:val="438AA531"/>
    <w:rsid w:val="43C1376B"/>
    <w:rsid w:val="43EA4C8D"/>
    <w:rsid w:val="44208CFC"/>
    <w:rsid w:val="44570499"/>
    <w:rsid w:val="452FDE90"/>
    <w:rsid w:val="4537AC11"/>
    <w:rsid w:val="453CE036"/>
    <w:rsid w:val="454F7BC5"/>
    <w:rsid w:val="4554AB61"/>
    <w:rsid w:val="455C3EC0"/>
    <w:rsid w:val="457FE75F"/>
    <w:rsid w:val="4663457E"/>
    <w:rsid w:val="46A671EA"/>
    <w:rsid w:val="46FC6F2D"/>
    <w:rsid w:val="47BBC2E1"/>
    <w:rsid w:val="48552ED5"/>
    <w:rsid w:val="48736D1D"/>
    <w:rsid w:val="488EE6CE"/>
    <w:rsid w:val="48B70904"/>
    <w:rsid w:val="49835E5E"/>
    <w:rsid w:val="49B4F745"/>
    <w:rsid w:val="49B8A2E3"/>
    <w:rsid w:val="49C13C4E"/>
    <w:rsid w:val="49D7FBD6"/>
    <w:rsid w:val="4A04E6A1"/>
    <w:rsid w:val="4A4F9107"/>
    <w:rsid w:val="4A5E5A99"/>
    <w:rsid w:val="4AA639E4"/>
    <w:rsid w:val="4ACBA7FD"/>
    <w:rsid w:val="4AD08309"/>
    <w:rsid w:val="4B2CA204"/>
    <w:rsid w:val="4B8DAA4D"/>
    <w:rsid w:val="4BDB69B2"/>
    <w:rsid w:val="4C4B00DE"/>
    <w:rsid w:val="4CD748C4"/>
    <w:rsid w:val="4D44BA76"/>
    <w:rsid w:val="4D48FED7"/>
    <w:rsid w:val="4DAD4253"/>
    <w:rsid w:val="4DD20291"/>
    <w:rsid w:val="4E02AA2A"/>
    <w:rsid w:val="4E3FA426"/>
    <w:rsid w:val="4E709814"/>
    <w:rsid w:val="4E70CD47"/>
    <w:rsid w:val="4E7BF170"/>
    <w:rsid w:val="4EBDE31F"/>
    <w:rsid w:val="4EDD30A1"/>
    <w:rsid w:val="4EEBF547"/>
    <w:rsid w:val="4F225D49"/>
    <w:rsid w:val="4F45497D"/>
    <w:rsid w:val="4FB23768"/>
    <w:rsid w:val="4FEDED39"/>
    <w:rsid w:val="4FEF7EFC"/>
    <w:rsid w:val="503D85BA"/>
    <w:rsid w:val="50935B3B"/>
    <w:rsid w:val="50AE9DC2"/>
    <w:rsid w:val="50B402EF"/>
    <w:rsid w:val="50C1E015"/>
    <w:rsid w:val="50F78DEA"/>
    <w:rsid w:val="5138E6FD"/>
    <w:rsid w:val="51ACA19F"/>
    <w:rsid w:val="51E28C0A"/>
    <w:rsid w:val="5210D83F"/>
    <w:rsid w:val="523ACCE8"/>
    <w:rsid w:val="5272C9CF"/>
    <w:rsid w:val="527D2505"/>
    <w:rsid w:val="52DDB590"/>
    <w:rsid w:val="53022966"/>
    <w:rsid w:val="533E8649"/>
    <w:rsid w:val="534026D6"/>
    <w:rsid w:val="534D822B"/>
    <w:rsid w:val="53654642"/>
    <w:rsid w:val="53CECC2C"/>
    <w:rsid w:val="53E8393D"/>
    <w:rsid w:val="53EB8EFA"/>
    <w:rsid w:val="540F1721"/>
    <w:rsid w:val="5417A566"/>
    <w:rsid w:val="54A33E16"/>
    <w:rsid w:val="551825CF"/>
    <w:rsid w:val="552103D7"/>
    <w:rsid w:val="5564B101"/>
    <w:rsid w:val="5580E979"/>
    <w:rsid w:val="55947409"/>
    <w:rsid w:val="56EAF699"/>
    <w:rsid w:val="570416CB"/>
    <w:rsid w:val="584C0A61"/>
    <w:rsid w:val="58E4D701"/>
    <w:rsid w:val="5933140A"/>
    <w:rsid w:val="59736221"/>
    <w:rsid w:val="59816040"/>
    <w:rsid w:val="59C85FD1"/>
    <w:rsid w:val="5AA7F347"/>
    <w:rsid w:val="5AD1F679"/>
    <w:rsid w:val="5AFAB7F8"/>
    <w:rsid w:val="5B42B23B"/>
    <w:rsid w:val="5BA5DDC7"/>
    <w:rsid w:val="5BCF7430"/>
    <w:rsid w:val="5C3B4374"/>
    <w:rsid w:val="5C570F73"/>
    <w:rsid w:val="5C75DF89"/>
    <w:rsid w:val="5CFE1801"/>
    <w:rsid w:val="5D407EC7"/>
    <w:rsid w:val="5D7330FB"/>
    <w:rsid w:val="5D76751C"/>
    <w:rsid w:val="5DB476A0"/>
    <w:rsid w:val="5DBDE8FB"/>
    <w:rsid w:val="5DDF6444"/>
    <w:rsid w:val="5DE553F5"/>
    <w:rsid w:val="5E00F28F"/>
    <w:rsid w:val="5E5D4225"/>
    <w:rsid w:val="5E62C5BD"/>
    <w:rsid w:val="5F3BC335"/>
    <w:rsid w:val="5F5BF85B"/>
    <w:rsid w:val="5F898225"/>
    <w:rsid w:val="5F964C10"/>
    <w:rsid w:val="5FAC7D13"/>
    <w:rsid w:val="5FE00C61"/>
    <w:rsid w:val="60339DBD"/>
    <w:rsid w:val="605CD81A"/>
    <w:rsid w:val="606249CB"/>
    <w:rsid w:val="6062D30B"/>
    <w:rsid w:val="606A6091"/>
    <w:rsid w:val="60B9653C"/>
    <w:rsid w:val="6104D186"/>
    <w:rsid w:val="611517FE"/>
    <w:rsid w:val="612D3747"/>
    <w:rsid w:val="619B2483"/>
    <w:rsid w:val="61C39FBA"/>
    <w:rsid w:val="61FF0FC5"/>
    <w:rsid w:val="62D80B02"/>
    <w:rsid w:val="632FAE60"/>
    <w:rsid w:val="63689D0B"/>
    <w:rsid w:val="639C45CA"/>
    <w:rsid w:val="63D4B4C1"/>
    <w:rsid w:val="63D677F6"/>
    <w:rsid w:val="63DE0DCC"/>
    <w:rsid w:val="63FBFD1B"/>
    <w:rsid w:val="640ED888"/>
    <w:rsid w:val="641EA53C"/>
    <w:rsid w:val="643DF90A"/>
    <w:rsid w:val="644D4C5C"/>
    <w:rsid w:val="64F2566D"/>
    <w:rsid w:val="658869E3"/>
    <w:rsid w:val="6590FE67"/>
    <w:rsid w:val="65D116C2"/>
    <w:rsid w:val="65EC4A82"/>
    <w:rsid w:val="6609DFFB"/>
    <w:rsid w:val="663DC2CE"/>
    <w:rsid w:val="672ACB36"/>
    <w:rsid w:val="673302FB"/>
    <w:rsid w:val="6746ADF5"/>
    <w:rsid w:val="674E1447"/>
    <w:rsid w:val="677FD324"/>
    <w:rsid w:val="67823035"/>
    <w:rsid w:val="67C9F75B"/>
    <w:rsid w:val="67D772C5"/>
    <w:rsid w:val="686DCF51"/>
    <w:rsid w:val="68C5F018"/>
    <w:rsid w:val="68F1E247"/>
    <w:rsid w:val="68F6B2A3"/>
    <w:rsid w:val="6993B62D"/>
    <w:rsid w:val="69A05AEB"/>
    <w:rsid w:val="69A45BBC"/>
    <w:rsid w:val="69BCFDBF"/>
    <w:rsid w:val="69C9D8F2"/>
    <w:rsid w:val="69F2BBCE"/>
    <w:rsid w:val="69FBFAB7"/>
    <w:rsid w:val="6A5569B1"/>
    <w:rsid w:val="6A5C9BEC"/>
    <w:rsid w:val="6A958D68"/>
    <w:rsid w:val="6A98FC29"/>
    <w:rsid w:val="6AA0D4FC"/>
    <w:rsid w:val="6BABBDBF"/>
    <w:rsid w:val="6BD3A16A"/>
    <w:rsid w:val="6BD959C0"/>
    <w:rsid w:val="6BE7B078"/>
    <w:rsid w:val="6C0BA2C1"/>
    <w:rsid w:val="6C63F761"/>
    <w:rsid w:val="6C907E67"/>
    <w:rsid w:val="6D1932D3"/>
    <w:rsid w:val="6D5E9EC8"/>
    <w:rsid w:val="6D6ABD51"/>
    <w:rsid w:val="6D7C71B5"/>
    <w:rsid w:val="6DA1DDE8"/>
    <w:rsid w:val="6DE4ECFC"/>
    <w:rsid w:val="6E24BDC9"/>
    <w:rsid w:val="6E7C9711"/>
    <w:rsid w:val="6E7D653E"/>
    <w:rsid w:val="6EB68C98"/>
    <w:rsid w:val="6EB68FA4"/>
    <w:rsid w:val="6F40BB2B"/>
    <w:rsid w:val="6FC6D232"/>
    <w:rsid w:val="702BD13A"/>
    <w:rsid w:val="7055D837"/>
    <w:rsid w:val="707D0CCE"/>
    <w:rsid w:val="70C2F5AC"/>
    <w:rsid w:val="70D67740"/>
    <w:rsid w:val="70E924AC"/>
    <w:rsid w:val="70F58BF3"/>
    <w:rsid w:val="71755655"/>
    <w:rsid w:val="71CF54CA"/>
    <w:rsid w:val="71F80F81"/>
    <w:rsid w:val="7219197D"/>
    <w:rsid w:val="7256A6F8"/>
    <w:rsid w:val="733A68DA"/>
    <w:rsid w:val="734B17DA"/>
    <w:rsid w:val="73715A4A"/>
    <w:rsid w:val="73885108"/>
    <w:rsid w:val="73B27188"/>
    <w:rsid w:val="743ED027"/>
    <w:rsid w:val="74B3627B"/>
    <w:rsid w:val="74D0C0A4"/>
    <w:rsid w:val="74D20062"/>
    <w:rsid w:val="74DDAA70"/>
    <w:rsid w:val="74F57BAC"/>
    <w:rsid w:val="7521AFEA"/>
    <w:rsid w:val="754199A7"/>
    <w:rsid w:val="75484687"/>
    <w:rsid w:val="7568C932"/>
    <w:rsid w:val="758B5111"/>
    <w:rsid w:val="7592008E"/>
    <w:rsid w:val="75A4DF28"/>
    <w:rsid w:val="75B762D6"/>
    <w:rsid w:val="75BEEEC0"/>
    <w:rsid w:val="75E08171"/>
    <w:rsid w:val="768C6783"/>
    <w:rsid w:val="76D5419F"/>
    <w:rsid w:val="76EB357A"/>
    <w:rsid w:val="775A85CD"/>
    <w:rsid w:val="776C4882"/>
    <w:rsid w:val="778CC3C0"/>
    <w:rsid w:val="789EF841"/>
    <w:rsid w:val="78DBF465"/>
    <w:rsid w:val="7922950E"/>
    <w:rsid w:val="79E76632"/>
    <w:rsid w:val="79FF6973"/>
    <w:rsid w:val="7A00F734"/>
    <w:rsid w:val="7A1A10DF"/>
    <w:rsid w:val="7ADFF878"/>
    <w:rsid w:val="7AE280C0"/>
    <w:rsid w:val="7AEA9C97"/>
    <w:rsid w:val="7B05AD17"/>
    <w:rsid w:val="7B0EF66E"/>
    <w:rsid w:val="7B28A1ED"/>
    <w:rsid w:val="7B6AA2B0"/>
    <w:rsid w:val="7BBE87E9"/>
    <w:rsid w:val="7BCDA58E"/>
    <w:rsid w:val="7BDC11C1"/>
    <w:rsid w:val="7C054946"/>
    <w:rsid w:val="7C1C6048"/>
    <w:rsid w:val="7C2E9CEC"/>
    <w:rsid w:val="7C4371F5"/>
    <w:rsid w:val="7C4DF9F3"/>
    <w:rsid w:val="7C89F096"/>
    <w:rsid w:val="7CACBD60"/>
    <w:rsid w:val="7CCE1DAB"/>
    <w:rsid w:val="7CFF753D"/>
    <w:rsid w:val="7DFE07D4"/>
    <w:rsid w:val="7E3E87A7"/>
    <w:rsid w:val="7E58BB06"/>
    <w:rsid w:val="7EB0868A"/>
    <w:rsid w:val="7F1D24E4"/>
    <w:rsid w:val="7F7FF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802B79D9-2DE7-4E69-AD39-8029069C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222C"/>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2C"/>
    <w:rPr>
      <w:rFonts w:ascii="Segoe UI" w:hAnsi="Segoe UI" w:cs="Segoe UI"/>
      <w:sz w:val="18"/>
      <w:szCs w:val="18"/>
    </w:rPr>
  </w:style>
  <w:style w:type="character" w:customStyle="1" w:styleId="Heading2Char">
    <w:name w:val="Heading 2 Char"/>
    <w:basedOn w:val="DefaultParagraphFont"/>
    <w:link w:val="Heading2"/>
    <w:rsid w:val="003D222C"/>
    <w:rPr>
      <w:rFonts w:ascii="Arial" w:eastAsia="Times New Roman" w:hAnsi="Arial"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eastAsia="Times New Roman" w:hAnsi="Arial" w:cs="Times New Roman"/>
      <w:sz w:val="24"/>
      <w:szCs w:val="20"/>
      <w:lang w:eastAsia="en-GB"/>
    </w:rPr>
  </w:style>
  <w:style w:type="table" w:styleId="TableGrid">
    <w:name w:val="Table Grid"/>
    <w:basedOn w:val="TableNormal"/>
    <w:rsid w:val="003D22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customStyle="1" w:styleId="HeaderChar">
    <w:name w:val="Header Char"/>
    <w:basedOn w:val="DefaultParagraphFont"/>
    <w:link w:val="Header"/>
    <w:uiPriority w:val="99"/>
    <w:rsid w:val="003D222C"/>
    <w:rPr>
      <w:rFonts w:ascii="Arial" w:eastAsia="Times New Roman" w:hAnsi="Arial"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customStyle="1" w:styleId="FooterChar">
    <w:name w:val="Footer Char"/>
    <w:basedOn w:val="DefaultParagraphFont"/>
    <w:link w:val="Footer"/>
    <w:uiPriority w:val="99"/>
    <w:rsid w:val="001A4AA4"/>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107A4"/>
    <w:rPr>
      <w:sz w:val="16"/>
      <w:szCs w:val="16"/>
    </w:rPr>
  </w:style>
  <w:style w:type="paragraph" w:styleId="CommentText">
    <w:name w:val="annotation text"/>
    <w:basedOn w:val="Normal"/>
    <w:link w:val="CommentTextChar"/>
    <w:uiPriority w:val="99"/>
    <w:unhideWhenUsed/>
    <w:rsid w:val="004107A4"/>
    <w:rPr>
      <w:sz w:val="20"/>
      <w:szCs w:val="20"/>
    </w:rPr>
  </w:style>
  <w:style w:type="character" w:customStyle="1" w:styleId="CommentTextChar">
    <w:name w:val="Comment Text Char"/>
    <w:basedOn w:val="DefaultParagraphFont"/>
    <w:link w:val="CommentText"/>
    <w:uiPriority w:val="99"/>
    <w:rsid w:val="004107A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107A4"/>
    <w:rPr>
      <w:b/>
      <w:bCs/>
    </w:rPr>
  </w:style>
  <w:style w:type="character" w:customStyle="1" w:styleId="CommentSubjectChar">
    <w:name w:val="Comment Subject Char"/>
    <w:basedOn w:val="CommentTextChar"/>
    <w:link w:val="CommentSubject"/>
    <w:uiPriority w:val="99"/>
    <w:semiHidden/>
    <w:rsid w:val="004107A4"/>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EA7EFB"/>
    <w:rPr>
      <w:sz w:val="20"/>
      <w:szCs w:val="20"/>
    </w:rPr>
  </w:style>
  <w:style w:type="character" w:customStyle="1" w:styleId="FootnoteTextChar">
    <w:name w:val="Footnote Text Char"/>
    <w:basedOn w:val="DefaultParagraphFont"/>
    <w:link w:val="FootnoteText"/>
    <w:uiPriority w:val="99"/>
    <w:semiHidden/>
    <w:rsid w:val="00EA7EF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EA7EFB"/>
    <w:rPr>
      <w:vertAlign w:val="superscript"/>
    </w:rPr>
  </w:style>
  <w:style w:type="paragraph" w:styleId="NormalWeb">
    <w:name w:val="Normal (Web)"/>
    <w:basedOn w:val="Normal"/>
    <w:uiPriority w:val="99"/>
    <w:semiHidden/>
    <w:unhideWhenUsed/>
    <w:rsid w:val="00894E47"/>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3B4004"/>
    <w:rPr>
      <w:b/>
      <w:bCs/>
    </w:rPr>
  </w:style>
  <w:style w:type="character" w:styleId="Mention">
    <w:name w:val="Mention"/>
    <w:basedOn w:val="DefaultParagraphFont"/>
    <w:uiPriority w:val="99"/>
    <w:unhideWhenUsed/>
    <w:rsid w:val="00E84E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eisgov.sharepoint.com/:x:/r/sites/InternationalForests-EXT-OS/Shared%20Documents/REDD+%20Strategy/UNFCCC/MEL/Logframe/UNFCCC%20Logframe%20-%20Final%20version%20.xlsx?d=wf706546cd8cd4546ab10dbfff23cd0c2&amp;csf=1&amp;web=1&amp;e=Juhv33"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eisgov.sharepoint.com/:w:/r/sites/InternationalForests-EXT-OS/Shared%20Documents/REDD+%20Strategy/UNFCCC/Annual%20Review/UNFCCC%20AR%20-%20Drafts/ANNEX%20C%20-%20UNFCCC%20REDD+%20Business%20Case.docx?d=w1f04f368461547a093046dbc15b83345&amp;csf=1&amp;web=1&amp;e=G16m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02.safelinks.protection.outlook.com/?url=https%3A%2F%2Funfccc.int%2Fsites%2Fdefault%2Ffiles%2Fresource%2Fcma2025_08.pdf&amp;data=05%7C02%7CGiverny.Helliar2%40energysecurity.gov.uk%7Caad1d3c62ee2438cacd208de5b3a53d9%7Ccbac700502c143ebb497e6492d1b2dd8%7C0%7C0%7C639048503235947097%7CUnknown%7CTWFpbGZsb3d8eyJFbXB0eU1hcGkiOnRydWUsIlYiOiIwLjAuMDAwMCIsIlAiOiJXaW4zMiIsIkFOIjoiTWFpbCIsIldUIjoyfQ%3D%3D%7C0%7C%7C%7C&amp;sdata=5Ct0RkhvlcTWzAWqSZeciPrc8CkpYlQNaAKPZM%2Faxeg%3D&amp;reserved=0" TargetMode="External"/><Relationship Id="rId2" Type="http://schemas.openxmlformats.org/officeDocument/2006/relationships/hyperlink" Target="https://redd.unfccc.int/fact-sheets/forest-reference-emission-levels.html" TargetMode="External"/><Relationship Id="rId1" Type="http://schemas.openxmlformats.org/officeDocument/2006/relationships/hyperlink" Target="https://unfccc.int/resource/docs/2010/cop16/eng/07a01.pdf" TargetMode="External"/><Relationship Id="rId6" Type="http://schemas.openxmlformats.org/officeDocument/2006/relationships/hyperlink" Target="https://www.un.org/esa/forests/news/2023/05/5-things-you-should-know-about-how-forests-benefit-people-and-planet/index.html" TargetMode="External"/><Relationship Id="rId5" Type="http://schemas.openxmlformats.org/officeDocument/2006/relationships/hyperlink" Target="https://eur02.safelinks.protection.outlook.com/?url=https%3A%2F%2Funfccc.int%2Fsites%2Fdefault%2Ffiles%2Fresource%2Fcma2025_17E.pdf&amp;data=05%7C02%7CGiverny.Helliar2%40energysecurity.gov.uk%7Caad1d3c62ee2438cacd208de5b3a53d9%7Ccbac700502c143ebb497e6492d1b2dd8%7C0%7C0%7C639048503236006564%7CUnknown%7CTWFpbGZsb3d8eyJFbXB0eU1hcGkiOnRydWUsIlYiOiIwLjAuMDAwMCIsIlAiOiJXaW4zMiIsIkFOIjoiTWFpbCIsIldUIjoyfQ%3D%3D%7C0%7C%7C%7C&amp;sdata=zel0xbWFpVNB9qPIzW4fMtfb6Z5fYH3YLJLae%2B%2F0ej4%3D&amp;reserved=0" TargetMode="External"/><Relationship Id="rId4" Type="http://schemas.openxmlformats.org/officeDocument/2006/relationships/hyperlink" Target="https://eur02.safelinks.protection.outlook.com/?url=https%3A%2F%2Funfccc.int%2Fsites%2Fdefault%2Ffiles%2Fresource%2Fcma2025_16.pdf&amp;data=05%7C02%7CGiverny.Helliar2%40energysecurity.gov.uk%7Caad1d3c62ee2438cacd208de5b3a53d9%7Ccbac700502c143ebb497e6492d1b2dd8%7C0%7C0%7C639048503235986081%7CUnknown%7CTWFpbGZsb3d8eyJFbXB0eU1hcGkiOnRydWUsIlYiOiIwLjAuMDAwMCIsIlAiOiJXaW4zMiIsIkFOIjoiTWFpbCIsIldUIjoyfQ%3D%3D%7C0%7C%7C%7C&amp;sdata=WLRQ1hCwRQbZWXOV4HwrWlhxuehxCqIaq96jts01eA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EDB4F82A4FD31439328CBC569C1149B" ma:contentTypeVersion="20" ma:contentTypeDescription="Create a new document." ma:contentTypeScope="" ma:versionID="0947c0795017b0d6fc2f8a77ba52331f">
  <xsd:schema xmlns:xsd="http://www.w3.org/2001/XMLSchema" xmlns:xs="http://www.w3.org/2001/XMLSchema" xmlns:p="http://schemas.microsoft.com/office/2006/metadata/properties" xmlns:ns2="0f9fa326-da26-4ea8-b6a9-645e8136fe1d" xmlns:ns3="839018be-1fd5-46c8-bb5f-8e5f297ce001" xmlns:ns4="aaacb922-5235-4a66-b188-303b9b46fbd7" xmlns:ns5="b3d83fe4-f584-44c1-ada4-cced241b61b0" targetNamespace="http://schemas.microsoft.com/office/2006/metadata/properties" ma:root="true" ma:fieldsID="489c208ec5bd1c4e33e60824d79b5d86" ns2:_="" ns3:_="" ns4:_="" ns5:_="">
    <xsd:import namespace="0f9fa326-da26-4ea8-b6a9-645e8136fe1d"/>
    <xsd:import namespace="839018be-1fd5-46c8-bb5f-8e5f297ce001"/>
    <xsd:import namespace="aaacb922-5235-4a66-b188-303b9b46fbd7"/>
    <xsd:import namespace="b3d83fe4-f584-44c1-ada4-cced241b61b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 and Energy,|8ce3479e-0228-4d4b-8382-a951e8f3cec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9018be-1fd5-46c8-bb5f-8e5f297ce00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7848f78-89dd-4aa4-a5d3-4bc706e8013d}" ma:internalName="TaxCatchAll" ma:showField="CatchAllData"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848f78-89dd-4aa4-a5d3-4bc706e8013d}" ma:internalName="TaxCatchAllLabel" ma:readOnly="true" ma:showField="CatchAllDataLabel"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83fe4-f584-44c1-ada4-cced241b61b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"Name": "BEIS Annual Review Template April 2020.docx",
  "Title": "Annual Review Template_April 2020",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"2020-04-17T10:35:13.0000000Z",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"2020-04-17T10:35:16.0000000Z",
  "Document Modified By": "i:0#.f|membership|william.smithers@beis.gov.uk",
  "Document Created By": "i:0#.f|membership|william.smithers@beis.gov.uk",
  "Document ID Value": "2QFN7KK647Q6-169810503-3609",
  "Modified": "2020-06-12T15:11:14.0000000Z",
  "Original Location": "/sites/beis/201/Portfolio/Project Monitoring and Delivery/Annual Reviews/BEIS Annual Review Template April 2020.docx"
}</LegacyData>
    <_dlc_DocId xmlns="839018be-1fd5-46c8-bb5f-8e5f297ce001">N3MC4NMT5URJ-1164569100-20299</_dlc_DocId>
    <TaxCatchAll xmlns="839018be-1fd5-46c8-bb5f-8e5f297ce001">
      <Value>3</Value>
      <Value>2</Value>
      <Value>1</Value>
    </TaxCatchAll>
    <_dlc_DocIdUrl xmlns="839018be-1fd5-46c8-bb5f-8e5f297ce001">
      <Url>https://beisgov.sharepoint.com/sites/InternationalForests-EXT-OS/_layouts/15/DocIdRedir.aspx?ID=N3MC4NMT5URJ-1164569100-20299</Url>
      <Description>N3MC4NMT5URJ-1164569100-20299</Description>
    </_dlc_DocIdUrl>
    <SharedWithUsers xmlns="839018be-1fd5-46c8-bb5f-8e5f297ce001">
      <UserInfo>
        <DisplayName>zz_Bray, Callum (BEIS)</DisplayName>
        <AccountId>1135</AccountId>
        <AccountType/>
      </UserInfo>
      <UserInfo>
        <DisplayName>zz_Lugt, Ellie (International - Climate and Energy)</DisplayName>
        <AccountId>1134</AccountId>
        <AccountType/>
      </UserInfo>
      <UserInfo>
        <DisplayName>White, James (International - Climate and Energy)</DisplayName>
        <AccountId>1136</AccountId>
        <AccountType/>
      </UserInfo>
      <UserInfo>
        <DisplayName>Walter, Poppy (NZBI - Domestic)</DisplayName>
        <AccountId>1489</AccountId>
        <AccountType/>
      </UserInfo>
      <UserInfo>
        <DisplayName>zz_Robinson, Giulia (International - Climate and Energy)</DisplayName>
        <AccountId>1436</AccountId>
        <AccountType/>
      </UserInfo>
      <UserInfo>
        <DisplayName>Hughes, Catriona (Business Sectors - Infrastructure &amp; Materials)</DisplayName>
        <AccountId>1191</AccountId>
        <AccountType/>
      </UserInfo>
      <UserInfo>
        <DisplayName>White, Alastair (NZSI - International Net Zero)</DisplayName>
        <AccountId>1268</AccountId>
        <AccountType/>
      </UserInfo>
      <UserInfo>
        <DisplayName>zz_Andrews, Sophie (International - Climate and Energy)</DisplayName>
        <AccountId>1433</AccountId>
        <AccountType/>
      </UserInfo>
      <UserInfo>
        <DisplayName>Patrick, Niall (International - Climate and Energy)</DisplayName>
        <AccountId>534</AccountId>
        <AccountType/>
      </UserInfo>
      <UserInfo>
        <DisplayName>zz_Stathakopoulou, Christina (NZSI - International Net Zero)</DisplayName>
        <AccountId>1518</AccountId>
        <AccountType/>
      </UserInfo>
      <UserInfo>
        <DisplayName>zz_Sardeson, Lottie (Intl Climate Finance - Investments)</DisplayName>
        <AccountId>282</AccountId>
        <AccountType/>
      </UserInfo>
      <UserInfo>
        <DisplayName>Donegan, Brendan (Intl Climate Finance - Partnerships)</DisplayName>
        <AccountId>539</AccountId>
        <AccountType/>
      </UserInfo>
      <UserInfo>
        <DisplayName>zz_Gibbs, Douglas (Intl Climate Finance - Investments)</DisplayName>
        <AccountId>13</AccountId>
        <AccountType/>
      </UserInfo>
      <UserInfo>
        <DisplayName>zz_Mills, Sarah (Intl Climate Finance - Investments)</DisplayName>
        <AccountId>66</AccountId>
        <AccountType/>
      </UserInfo>
      <UserInfo>
        <DisplayName>Farmer, Will (NZSI - International Net Zero)</DisplayName>
        <AccountId>142</AccountId>
        <AccountType/>
      </UserInfo>
      <UserInfo>
        <DisplayName>Ahmed, Tajbee (NZSI - International Net Zero)</DisplayName>
        <AccountId>219</AccountId>
        <AccountType/>
      </UserInfo>
      <UserInfo>
        <DisplayName>Evans, Sian (Intl Climate Finance - Partnerships)</DisplayName>
        <AccountId>104</AccountId>
        <AccountType/>
      </UserInfo>
      <UserInfo>
        <DisplayName>Davis, Owen (NZBI - Domestic)</DisplayName>
        <AccountId>245</AccountId>
        <AccountType/>
      </UserInfo>
      <UserInfo>
        <DisplayName>Paton, Ellen (NZSI - International Net Zero)</DisplayName>
        <AccountId>37</AccountId>
        <AccountType/>
      </UserInfo>
      <UserInfo>
        <DisplayName>zz_Kasliwal, Pritika (Intl Climate Finance - Partnerships)</DisplayName>
        <AccountId>81</AccountId>
        <AccountType/>
      </UserInfo>
      <UserInfo>
        <DisplayName>Hirschhausen, Lara (NZSI - International Net Zero)</DisplayName>
        <AccountId>218</AccountId>
        <AccountType/>
      </UserInfo>
      <UserInfo>
        <DisplayName>zz_Le Quesne, Felicity (NZSI - International Forests Hub)</DisplayName>
        <AccountId>72</AccountId>
        <AccountType/>
      </UserInfo>
      <UserInfo>
        <DisplayName>zz_Ashworth, Francesca (Science, Research &amp; Innovation)</DisplayName>
        <AccountId>2123</AccountId>
        <AccountType/>
      </UserInfo>
      <UserInfo>
        <DisplayName>zz_Tomlinson, Luke (Intl Climate Finance - Investments)</DisplayName>
        <AccountId>123</AccountId>
        <AccountType/>
      </UserInfo>
      <UserInfo>
        <DisplayName>zz_Schuler, Nina (International - Climate and Energy)</DisplayName>
        <AccountId>2097</AccountId>
        <AccountType/>
      </UserInfo>
      <UserInfo>
        <DisplayName>Olubodun, Lekan (NZSI - International Net Zero)</DisplayName>
        <AccountId>162</AccountId>
        <AccountType/>
      </UserInfo>
      <UserInfo>
        <DisplayName>Augustin, Sidney (Science, Innovation and Growth - Space)</DisplayName>
        <AccountId>267</AccountId>
        <AccountType/>
      </UserInfo>
      <UserInfo>
        <DisplayName>zz_Liehr, Estefania (Intl Climate Finance - Investments)</DisplayName>
        <AccountId>87</AccountId>
        <AccountType/>
      </UserInfo>
      <UserInfo>
        <DisplayName>veronica.robledo</DisplayName>
        <AccountId>1977</AccountId>
        <AccountType/>
      </UserInfo>
      <UserInfo>
        <DisplayName>lina.penuela@fcdo.gov.uk</DisplayName>
        <AccountId>1971</AccountId>
        <AccountType/>
      </UserInfo>
      <UserInfo>
        <DisplayName>natalia.rodriguez</DisplayName>
        <AccountId>1978</AccountId>
        <AccountType/>
      </UserInfo>
      <UserInfo>
        <DisplayName>Veronica Robledo (Sensitive)</DisplayName>
        <AccountId>607</AccountId>
        <AccountType/>
      </UserInfo>
      <UserInfo>
        <DisplayName>Lina Penuela (Sensitive)</DisplayName>
        <AccountId>608</AccountId>
        <AccountType/>
      </UserInfo>
      <UserInfo>
        <DisplayName>Natalia Rodriguez (Sensitive)</DisplayName>
        <AccountId>606</AccountId>
        <AccountType/>
      </UserInfo>
      <UserInfo>
        <DisplayName>Caravani, Alice (NZSI - International Net Zero)</DisplayName>
        <AccountId>187</AccountId>
        <AccountType/>
      </UserInfo>
      <UserInfo>
        <DisplayName>zz_Unadkat, Kavi (International - Climate and Energy)</DisplayName>
        <AccountId>2318</AccountId>
        <AccountType/>
      </UserInfo>
      <UserInfo>
        <DisplayName>zz_Rose, Ginny (International - Climate and Energy)</DisplayName>
        <AccountId>5308</AccountId>
        <AccountType/>
      </UserInfo>
      <UserInfo>
        <DisplayName>Baillie, Jack (NZSI - International Net Zero)</DisplayName>
        <AccountId>5028</AccountId>
        <AccountType/>
      </UserInfo>
      <UserInfo>
        <DisplayName>Al-Sibassi, Eman (NZSI - International Net Zero)</DisplayName>
        <AccountId>723</AccountId>
        <AccountType/>
      </UserInfo>
      <UserInfo>
        <DisplayName>Enevoldsen, Chloe (NZSI - International Net Zero)</DisplayName>
        <AccountId>5447</AccountId>
        <AccountType/>
      </UserInfo>
      <UserInfo>
        <DisplayName>Carro, Inigo (NZSI - International Net Zero)</DisplayName>
        <AccountId>5241</AccountId>
        <AccountType/>
      </UserInfo>
      <UserInfo>
        <DisplayName>zz_Kennedy, Ruth (Intl Climate Finance - Investments)</DisplayName>
        <AccountId>54</AccountId>
        <AccountType/>
      </UserInfo>
      <UserInfo>
        <DisplayName>zz_Pettem, Sarah (Intl Climate Finance - Portfolio)</DisplayName>
        <AccountId>190</AccountId>
        <AccountType/>
      </UserInfo>
      <UserInfo>
        <DisplayName>Hodgetts, George (NZSI - International Net Zero)</DisplayName>
        <AccountId>101</AccountId>
        <AccountType/>
      </UserInfo>
      <UserInfo>
        <DisplayName>Keene, Alexander (TIUA - National Security &amp; International)</DisplayName>
        <AccountId>5053</AccountId>
        <AccountType/>
      </UserInfo>
      <UserInfo>
        <DisplayName>Hillson, Isabelle (NZSI - International Net Zero)</DisplayName>
        <AccountId>2927</AccountId>
        <AccountType/>
      </UserInfo>
      <UserInfo>
        <DisplayName>Smithers, William (NZSI - International Net Zero)</DisplayName>
        <AccountId>15</AccountId>
        <AccountType/>
      </UserInfo>
      <UserInfo>
        <DisplayName>Bunte, Svenja (NZSI - International Forests Hub)</DisplayName>
        <AccountId>5357</AccountId>
        <AccountType/>
      </UserInfo>
      <UserInfo>
        <DisplayName>Jones3, Philip (BEIS)</DisplayName>
        <AccountId>8101</AccountId>
        <AccountType/>
      </UserInfo>
      <UserInfo>
        <DisplayName>Sarah Pettem</DisplayName>
        <AccountId>7821</AccountId>
        <AccountType/>
      </UserInfo>
    </SharedWithUsers>
    <lcf76f155ced4ddcb4097134ff3c332f xmlns="b3d83fe4-f584-44c1-ada4-cced241b61b0">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 and Energy,</TermName>
          <TermId xmlns="http://schemas.microsoft.com/office/infopath/2007/PartnerControls">8ce3479e-0228-4d4b-8382-a951e8f3cec1</TermId>
        </TermInfo>
      </Terms>
    </h573c97cf80c4aa6b446c5363dc3ac9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03625-EAAA-4609-972D-E699FEAEA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839018be-1fd5-46c8-bb5f-8e5f297ce001"/>
    <ds:schemaRef ds:uri="aaacb922-5235-4a66-b188-303b9b46fbd7"/>
    <ds:schemaRef ds:uri="b3d83fe4-f584-44c1-ada4-cced241b6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56E08-E502-4E53-B00B-AE0E7B8FA67E}">
  <ds:schemaRefs>
    <ds:schemaRef ds:uri="http://schemas.openxmlformats.org/officeDocument/2006/bibliography"/>
  </ds:schemaRefs>
</ds:datastoreItem>
</file>

<file path=customXml/itemProps3.xml><?xml version="1.0" encoding="utf-8"?>
<ds:datastoreItem xmlns:ds="http://schemas.openxmlformats.org/officeDocument/2006/customXml" ds:itemID="{49948BD2-19FB-4A1A-9F04-1E661C4B97AC}">
  <ds:schemaRefs>
    <ds:schemaRef ds:uri="http://schemas.microsoft.com/sharepoint/events"/>
  </ds:schemaRefs>
</ds:datastoreItem>
</file>

<file path=customXml/itemProps4.xml><?xml version="1.0" encoding="utf-8"?>
<ds:datastoreItem xmlns:ds="http://schemas.openxmlformats.org/officeDocument/2006/customXml" ds:itemID="{02FCA949-4A17-4A58-8CB4-38E906E85F6A}">
  <ds:schemaRefs>
    <ds:schemaRef ds:uri="http://schemas.microsoft.com/office/2006/metadata/properties"/>
    <ds:schemaRef ds:uri="http://schemas.microsoft.com/office/infopath/2007/PartnerControls"/>
    <ds:schemaRef ds:uri="aaacb922-5235-4a66-b188-303b9b46fbd7"/>
    <ds:schemaRef ds:uri="839018be-1fd5-46c8-bb5f-8e5f297ce001"/>
    <ds:schemaRef ds:uri="b3d83fe4-f584-44c1-ada4-cced241b61b0"/>
    <ds:schemaRef ds:uri="0f9fa326-da26-4ea8-b6a9-645e8136fe1d"/>
  </ds:schemaRefs>
</ds:datastoreItem>
</file>

<file path=customXml/itemProps5.xml><?xml version="1.0" encoding="utf-8"?>
<ds:datastoreItem xmlns:ds="http://schemas.openxmlformats.org/officeDocument/2006/customXml" ds:itemID="{28542131-BD40-42FA-BF1D-325659C74395}">
  <ds:schemaRefs>
    <ds:schemaRef ds:uri="http://schemas.microsoft.com/sharepoint/v3/contenttype/forms"/>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5132</Words>
  <Characters>28846</Characters>
  <Application>Microsoft Office Word</Application>
  <DocSecurity>4</DocSecurity>
  <Lines>994</Lines>
  <Paragraphs>409</Paragraphs>
  <ScaleCrop>false</ScaleCrop>
  <Company/>
  <LinksUpToDate>false</LinksUpToDate>
  <CharactersWithSpaces>33569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Mangheni, Edwin (Energy Security)</cp:lastModifiedBy>
  <cp:revision>2</cp:revision>
  <dcterms:created xsi:type="dcterms:W3CDTF">2026-03-30T10:32:00Z</dcterms:created>
  <dcterms:modified xsi:type="dcterms:W3CDTF">2026-03-30T10:32:00Z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0x0101004691A8DE0991884F8E90AD6474FC737301002EDB4F82A4FD31439328CBC569C1149B</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MSIP_Label_e4c996da-17fa-4fc5-8989-2758fb4cf86b_SetDate">
    <vt:lpwstr>2020-03-30T16:49:07Z</vt:lpwstr>
  </property>
  <property fmtid="{D5CDD505-2E9C-101B-9397-08002B2CF9AE}" pid="18" name="MSIP_Label_e4c996da-17fa-4fc5-8989-2758fb4cf86b_Method">
    <vt:lpwstr>Standard</vt:lpwstr>
  </property>
  <property fmtid="{D5CDD505-2E9C-101B-9397-08002B2CF9AE}" pid="19" name="MediaServiceImageTags">
    <vt:lpwstr/>
  </property>
  <property fmtid="{D5CDD505-2E9C-101B-9397-08002B2CF9AE}" pid="20" name="Business_x0020_Unit">
    <vt:lpwstr>1;#International Climate Finance|25a07eec-082c-4868-be05-2bef48a6767e</vt:lpwstr>
  </property>
  <property fmtid="{D5CDD505-2E9C-101B-9397-08002B2CF9AE}" pid="21" name="KIM_Activity">
    <vt:lpwstr>2;#International Climate and Energy,|8ce3479e-0228-4d4b-8382-a951e8f3cec1</vt:lpwstr>
  </property>
  <property fmtid="{D5CDD505-2E9C-101B-9397-08002B2CF9AE}" pid="22" name="KIM_GovernmentBody">
    <vt:lpwstr>3;#BEIS|b386cac2-c28c-4db4-8fca-43733d0e74ef</vt:lpwstr>
  </property>
  <property fmtid="{D5CDD505-2E9C-101B-9397-08002B2CF9AE}" pid="23" name="KIM_Function">
    <vt:lpwstr>1;#Energy and Climate|67dfd3db-8e6c-4d42-96c1-aed1098cd89b</vt:lpwstr>
  </property>
  <property fmtid="{D5CDD505-2E9C-101B-9397-08002B2CF9AE}" pid="24" name="docLang">
    <vt:lpwstr>en</vt:lpwstr>
  </property>
  <property fmtid="{D5CDD505-2E9C-101B-9397-08002B2CF9AE}" pid="25" name="_dlc_DocIdItemGuid">
    <vt:lpwstr>27a4db91-9142-4dca-b220-047dd1442469</vt:lpwstr>
  </property>
</Properties>
</file>