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67FEB" w:rsidP="003D222C" w:rsidRDefault="00C67FEB" w14:paraId="2B8EC0E8" w14:textId="77777777">
      <w:pPr>
        <w:rPr>
          <w:sz w:val="22"/>
          <w:szCs w:val="22"/>
          <w:u w:val="single"/>
        </w:rPr>
      </w:pPr>
    </w:p>
    <w:p w:rsidR="00885BB9" w:rsidP="00885BB9" w:rsidRDefault="00885BB9" w14:paraId="38EC76C4" w14:textId="77777777">
      <w:pPr>
        <w:pStyle w:val="BEISTitle"/>
      </w:pPr>
    </w:p>
    <w:p w:rsidR="00885BB9" w:rsidP="00885BB9" w:rsidRDefault="00885BB9" w14:paraId="0A34EE9B" w14:textId="77777777">
      <w:pPr>
        <w:pStyle w:val="BEISTitle"/>
      </w:pPr>
    </w:p>
    <w:p w:rsidR="00964968" w:rsidP="00964968" w:rsidRDefault="00AA0738" w14:paraId="6C63CC07" w14:textId="19B1A344">
      <w:pPr>
        <w:pStyle w:val="BEISTitle"/>
      </w:pPr>
      <w:r>
        <w:t xml:space="preserve">UNFCCC REDD+ Support Programme </w:t>
      </w:r>
      <w:r w:rsidR="00964968">
        <w:t xml:space="preserve">Annual Review </w:t>
      </w:r>
      <w:r w:rsidR="00DD177F">
        <w:t>2026</w:t>
      </w:r>
    </w:p>
    <w:p w:rsidR="00C67FEB" w:rsidRDefault="00C67FEB" w14:paraId="624DAC73" w14:textId="3BC335B7">
      <w:pPr>
        <w:spacing w:after="160" w:line="259" w:lineRule="auto"/>
        <w:rPr>
          <w:sz w:val="22"/>
          <w:szCs w:val="22"/>
          <w:u w:val="single"/>
        </w:rPr>
      </w:pPr>
    </w:p>
    <w:p w:rsidR="007D1D64" w:rsidRDefault="007D1D64" w14:paraId="4AF08E4A" w14:textId="20AFDEDA">
      <w:pPr>
        <w:spacing w:after="160" w:line="259" w:lineRule="auto"/>
        <w:rPr>
          <w:sz w:val="22"/>
          <w:szCs w:val="22"/>
        </w:rPr>
      </w:pPr>
    </w:p>
    <w:p w:rsidRPr="007D1D64" w:rsidR="007D1D64" w:rsidRDefault="007D1D64" w14:paraId="160505CC" w14:textId="77777777">
      <w:pPr>
        <w:spacing w:after="160" w:line="259" w:lineRule="auto"/>
        <w:rPr>
          <w:sz w:val="22"/>
          <w:szCs w:val="22"/>
        </w:rPr>
      </w:pPr>
    </w:p>
    <w:p w:rsidR="00090217" w:rsidP="003D222C" w:rsidRDefault="00090217" w14:paraId="6ED798D0" w14:textId="77777777">
      <w:pPr>
        <w:rPr>
          <w:sz w:val="22"/>
          <w:szCs w:val="22"/>
          <w:u w:val="single"/>
        </w:rPr>
      </w:pPr>
    </w:p>
    <w:p w:rsidR="007D1D64" w:rsidP="007D1D64" w:rsidRDefault="007D1D64" w14:paraId="1F841114" w14:textId="027A752E">
      <w:pPr>
        <w:spacing w:after="160" w:line="259" w:lineRule="auto"/>
        <w:rPr>
          <w:sz w:val="22"/>
          <w:szCs w:val="22"/>
        </w:rPr>
      </w:pPr>
    </w:p>
    <w:p w:rsidR="007D1D64" w:rsidRDefault="007D1D64" w14:paraId="744BC35C" w14:textId="77777777">
      <w:pPr>
        <w:spacing w:after="160" w:line="259" w:lineRule="auto"/>
        <w:rPr>
          <w:sz w:val="22"/>
          <w:szCs w:val="22"/>
        </w:rPr>
      </w:pPr>
    </w:p>
    <w:p w:rsidR="007D1D64" w:rsidRDefault="007D1D64" w14:paraId="2EEE1272" w14:textId="0FA2D180">
      <w:pPr>
        <w:spacing w:after="160" w:line="259" w:lineRule="auto"/>
        <w:rPr>
          <w:sz w:val="22"/>
          <w:szCs w:val="22"/>
        </w:rPr>
      </w:pPr>
      <w:r>
        <w:rPr>
          <w:sz w:val="22"/>
          <w:szCs w:val="22"/>
        </w:rPr>
        <w:br w:type="page"/>
      </w:r>
    </w:p>
    <w:p w:rsidR="007D1D64" w:rsidP="007D1D64" w:rsidRDefault="007D1D64" w14:paraId="1FB1C90B" w14:textId="21AF7FBD">
      <w:pPr>
        <w:spacing w:after="160" w:line="259" w:lineRule="auto"/>
        <w:rPr>
          <w:sz w:val="22"/>
          <w:szCs w:val="22"/>
        </w:rPr>
      </w:pPr>
    </w:p>
    <w:p w:rsidRPr="007D1D64" w:rsidR="007D1D64" w:rsidP="007D1D64" w:rsidRDefault="007D1D64" w14:paraId="6FC09FA9" w14:textId="77777777">
      <w:pPr>
        <w:spacing w:after="160" w:line="259" w:lineRule="auto"/>
        <w:rPr>
          <w:sz w:val="22"/>
          <w:szCs w:val="22"/>
        </w:rPr>
      </w:pPr>
    </w:p>
    <w:p w:rsidR="00112E33" w:rsidP="007D1D64" w:rsidRDefault="00112E33" w14:paraId="40B4FF2C" w14:textId="77777777">
      <w:pPr>
        <w:spacing w:after="160" w:line="259" w:lineRule="auto"/>
        <w:rPr>
          <w:sz w:val="22"/>
          <w:szCs w:val="22"/>
        </w:rPr>
      </w:pPr>
    </w:p>
    <w:p w:rsidR="00112E33" w:rsidP="007D1D64" w:rsidRDefault="00112E33" w14:paraId="01A42860" w14:textId="77777777">
      <w:pPr>
        <w:spacing w:after="160" w:line="259" w:lineRule="auto"/>
        <w:rPr>
          <w:sz w:val="22"/>
          <w:szCs w:val="22"/>
        </w:rPr>
      </w:pPr>
    </w:p>
    <w:p w:rsidR="00112E33" w:rsidP="007D1D64" w:rsidRDefault="00112E33" w14:paraId="4A8FCC2A" w14:textId="77777777">
      <w:pPr>
        <w:spacing w:after="160" w:line="259" w:lineRule="auto"/>
        <w:rPr>
          <w:sz w:val="22"/>
          <w:szCs w:val="22"/>
        </w:rPr>
      </w:pPr>
    </w:p>
    <w:p w:rsidR="00112E33" w:rsidP="007D1D64" w:rsidRDefault="00112E33" w14:paraId="31553A3C" w14:textId="77777777">
      <w:pPr>
        <w:spacing w:after="160" w:line="259" w:lineRule="auto"/>
        <w:rPr>
          <w:sz w:val="22"/>
          <w:szCs w:val="22"/>
        </w:rPr>
      </w:pPr>
    </w:p>
    <w:p w:rsidR="00112E33" w:rsidP="007D1D64" w:rsidRDefault="00112E33" w14:paraId="1E72DB9D" w14:textId="77777777">
      <w:pPr>
        <w:spacing w:after="160" w:line="259" w:lineRule="auto"/>
        <w:rPr>
          <w:sz w:val="22"/>
          <w:szCs w:val="22"/>
        </w:rPr>
      </w:pPr>
    </w:p>
    <w:p w:rsidR="00112E33" w:rsidP="007D1D64" w:rsidRDefault="00112E33" w14:paraId="716930C2" w14:textId="77777777">
      <w:pPr>
        <w:spacing w:after="160" w:line="259" w:lineRule="auto"/>
        <w:rPr>
          <w:sz w:val="22"/>
          <w:szCs w:val="22"/>
        </w:rPr>
      </w:pPr>
    </w:p>
    <w:p w:rsidR="00112E33" w:rsidP="007D1D64" w:rsidRDefault="00112E33" w14:paraId="3ABDAEFF" w14:textId="77777777">
      <w:pPr>
        <w:spacing w:after="160" w:line="259" w:lineRule="auto"/>
        <w:rPr>
          <w:sz w:val="22"/>
          <w:szCs w:val="22"/>
        </w:rPr>
      </w:pPr>
    </w:p>
    <w:p w:rsidR="00112E33" w:rsidP="007D1D64" w:rsidRDefault="00112E33" w14:paraId="0884299F" w14:textId="77777777">
      <w:pPr>
        <w:spacing w:after="160" w:line="259" w:lineRule="auto"/>
        <w:rPr>
          <w:sz w:val="22"/>
          <w:szCs w:val="22"/>
        </w:rPr>
      </w:pPr>
    </w:p>
    <w:p w:rsidR="00112E33" w:rsidP="007D1D64" w:rsidRDefault="00112E33" w14:paraId="3BF57744" w14:textId="77777777">
      <w:pPr>
        <w:spacing w:after="160" w:line="259" w:lineRule="auto"/>
        <w:rPr>
          <w:sz w:val="22"/>
          <w:szCs w:val="22"/>
        </w:rPr>
      </w:pPr>
    </w:p>
    <w:p w:rsidR="00112E33" w:rsidP="007D1D64" w:rsidRDefault="00112E33" w14:paraId="70B1D846" w14:textId="77777777">
      <w:pPr>
        <w:spacing w:after="160" w:line="259" w:lineRule="auto"/>
        <w:rPr>
          <w:sz w:val="22"/>
          <w:szCs w:val="22"/>
        </w:rPr>
      </w:pPr>
    </w:p>
    <w:p w:rsidR="00112E33" w:rsidP="007D1D64" w:rsidRDefault="00112E33" w14:paraId="5C64FB7B" w14:textId="77777777">
      <w:pPr>
        <w:spacing w:after="160" w:line="259" w:lineRule="auto"/>
        <w:rPr>
          <w:sz w:val="22"/>
          <w:szCs w:val="22"/>
        </w:rPr>
      </w:pPr>
    </w:p>
    <w:p w:rsidR="00112E33" w:rsidP="007D1D64" w:rsidRDefault="00112E33" w14:paraId="7997CC66" w14:textId="77777777">
      <w:pPr>
        <w:spacing w:after="160" w:line="259" w:lineRule="auto"/>
        <w:rPr>
          <w:sz w:val="22"/>
          <w:szCs w:val="22"/>
        </w:rPr>
      </w:pPr>
    </w:p>
    <w:p w:rsidR="00112E33" w:rsidP="007D1D64" w:rsidRDefault="00112E33" w14:paraId="629D0223" w14:textId="77777777">
      <w:pPr>
        <w:spacing w:after="160" w:line="259" w:lineRule="auto"/>
        <w:rPr>
          <w:sz w:val="22"/>
          <w:szCs w:val="22"/>
        </w:rPr>
      </w:pPr>
    </w:p>
    <w:p w:rsidR="00112E33" w:rsidP="007D1D64" w:rsidRDefault="00112E33" w14:paraId="7B71C4CA" w14:textId="77777777">
      <w:pPr>
        <w:spacing w:after="160" w:line="259" w:lineRule="auto"/>
        <w:rPr>
          <w:sz w:val="22"/>
          <w:szCs w:val="22"/>
        </w:rPr>
      </w:pPr>
    </w:p>
    <w:p w:rsidR="00112E33" w:rsidP="007D1D64" w:rsidRDefault="00112E33" w14:paraId="0CB89A50" w14:textId="77777777">
      <w:pPr>
        <w:spacing w:after="160" w:line="259" w:lineRule="auto"/>
        <w:rPr>
          <w:sz w:val="22"/>
          <w:szCs w:val="22"/>
        </w:rPr>
      </w:pPr>
    </w:p>
    <w:p w:rsidR="00112E33" w:rsidP="007D1D64" w:rsidRDefault="00112E33" w14:paraId="4B8E6647" w14:textId="77777777">
      <w:pPr>
        <w:spacing w:after="160" w:line="259" w:lineRule="auto"/>
        <w:rPr>
          <w:sz w:val="22"/>
          <w:szCs w:val="22"/>
        </w:rPr>
      </w:pPr>
    </w:p>
    <w:p w:rsidR="00112E33" w:rsidP="007D1D64" w:rsidRDefault="00112E33" w14:paraId="7C0186E9" w14:textId="77777777">
      <w:pPr>
        <w:spacing w:after="160" w:line="259" w:lineRule="auto"/>
        <w:rPr>
          <w:sz w:val="22"/>
          <w:szCs w:val="22"/>
        </w:rPr>
      </w:pPr>
    </w:p>
    <w:p w:rsidR="00112E33" w:rsidP="007D1D64" w:rsidRDefault="00112E33" w14:paraId="0E213DCA" w14:textId="77777777">
      <w:pPr>
        <w:spacing w:after="160" w:line="259" w:lineRule="auto"/>
        <w:rPr>
          <w:sz w:val="22"/>
          <w:szCs w:val="22"/>
        </w:rPr>
      </w:pPr>
    </w:p>
    <w:p w:rsidR="00112E33" w:rsidP="007D1D64" w:rsidRDefault="00112E33" w14:paraId="7F45EBE4" w14:textId="77777777">
      <w:pPr>
        <w:spacing w:after="160" w:line="259" w:lineRule="auto"/>
        <w:rPr>
          <w:sz w:val="22"/>
          <w:szCs w:val="22"/>
        </w:rPr>
      </w:pPr>
    </w:p>
    <w:p w:rsidR="00112E33" w:rsidP="007D1D64" w:rsidRDefault="00112E33" w14:paraId="5F38EC95" w14:textId="77777777">
      <w:pPr>
        <w:spacing w:after="160" w:line="259" w:lineRule="auto"/>
        <w:rPr>
          <w:sz w:val="22"/>
          <w:szCs w:val="22"/>
        </w:rPr>
      </w:pPr>
    </w:p>
    <w:p w:rsidR="00112E33" w:rsidP="007D1D64" w:rsidRDefault="00112E33" w14:paraId="0FDC2684" w14:textId="77777777">
      <w:pPr>
        <w:spacing w:after="160" w:line="259" w:lineRule="auto"/>
        <w:rPr>
          <w:sz w:val="22"/>
          <w:szCs w:val="22"/>
        </w:rPr>
      </w:pPr>
    </w:p>
    <w:p w:rsidR="00112E33" w:rsidP="007D1D64" w:rsidRDefault="00112E33" w14:paraId="1E5D0624" w14:textId="77777777">
      <w:pPr>
        <w:spacing w:after="160" w:line="259" w:lineRule="auto"/>
        <w:rPr>
          <w:sz w:val="22"/>
          <w:szCs w:val="22"/>
        </w:rPr>
      </w:pPr>
    </w:p>
    <w:p w:rsidR="00112E33" w:rsidP="007D1D64" w:rsidRDefault="00112E33" w14:paraId="59AFB796" w14:textId="6367C0D1">
      <w:pPr>
        <w:spacing w:after="160" w:line="259" w:lineRule="auto"/>
        <w:rPr>
          <w:sz w:val="22"/>
          <w:szCs w:val="22"/>
        </w:rPr>
      </w:pPr>
      <w:r>
        <w:rPr>
          <w:noProof/>
        </w:rPr>
        <w:drawing>
          <wp:inline distT="0" distB="0" distL="0" distR="0" wp14:anchorId="6721D763" wp14:editId="1850EFF9">
            <wp:extent cx="792480" cy="323215"/>
            <wp:effectExtent l="0" t="0" r="7620" b="635"/>
            <wp:docPr id="12" name="Picture 12" descr="Logo - Open Government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2480" cy="323215"/>
                    </a:xfrm>
                    <a:prstGeom prst="rect">
                      <a:avLst/>
                    </a:prstGeom>
                    <a:noFill/>
                  </pic:spPr>
                </pic:pic>
              </a:graphicData>
            </a:graphic>
          </wp:inline>
        </w:drawing>
      </w:r>
    </w:p>
    <w:p w:rsidRPr="007D1D64" w:rsidR="007D1D64" w:rsidP="007D1D64" w:rsidRDefault="007D1D64" w14:paraId="4BBA0357" w14:textId="7A458FEF">
      <w:pPr>
        <w:spacing w:after="160" w:line="259" w:lineRule="auto"/>
        <w:rPr>
          <w:sz w:val="22"/>
          <w:szCs w:val="22"/>
        </w:rPr>
      </w:pPr>
      <w:r w:rsidRPr="007D1D64">
        <w:rPr>
          <w:sz w:val="22"/>
          <w:szCs w:val="22"/>
        </w:rPr>
        <w:t>© Crown copyright 20[XX]</w:t>
      </w:r>
    </w:p>
    <w:p w:rsidRPr="007D1D64" w:rsidR="007D1D64" w:rsidP="007D1D64" w:rsidRDefault="007D1D64" w14:paraId="3A1EFEA4" w14:textId="779BDFEB">
      <w:pPr>
        <w:spacing w:after="160" w:line="259" w:lineRule="auto"/>
        <w:rPr>
          <w:sz w:val="22"/>
          <w:szCs w:val="22"/>
        </w:rPr>
      </w:pPr>
      <w:r w:rsidRPr="007D1D64">
        <w:rPr>
          <w:sz w:val="22"/>
          <w:szCs w:val="22"/>
        </w:rPr>
        <w:t xml:space="preserve">This publication is licensed under the terms of the Open Government Licence v3.0 except where otherwise stated. To view this licence, visit </w:t>
      </w:r>
      <w:hyperlink w:history="1" r:id="rId13">
        <w:r w:rsidRPr="00D56ED4">
          <w:rPr>
            <w:rStyle w:val="Hyperlink"/>
            <w:sz w:val="22"/>
            <w:szCs w:val="22"/>
          </w:rPr>
          <w:t>nationalarchives.gov.uk/doc/open-government-licence/version/3</w:t>
        </w:r>
      </w:hyperlink>
      <w:r w:rsidRPr="007D1D64">
        <w:rPr>
          <w:sz w:val="22"/>
          <w:szCs w:val="22"/>
        </w:rPr>
        <w:t xml:space="preserve"> or write to the Information Policy Team, The National Archives, Kew, London TW9 4DU, or email: </w:t>
      </w:r>
      <w:hyperlink w:history="1" r:id="rId14">
        <w:r w:rsidRPr="00236685" w:rsidR="009E1EAF">
          <w:rPr>
            <w:rStyle w:val="Hyperlink"/>
            <w:sz w:val="22"/>
            <w:szCs w:val="22"/>
          </w:rPr>
          <w:t>psi@nationalarchives.gsi.gov.uk</w:t>
        </w:r>
      </w:hyperlink>
      <w:r w:rsidRPr="007D1D64">
        <w:rPr>
          <w:sz w:val="22"/>
          <w:szCs w:val="22"/>
        </w:rPr>
        <w:t>.</w:t>
      </w:r>
      <w:r w:rsidR="009E1EAF">
        <w:rPr>
          <w:sz w:val="22"/>
          <w:szCs w:val="22"/>
        </w:rPr>
        <w:t xml:space="preserve"> </w:t>
      </w:r>
    </w:p>
    <w:p w:rsidRPr="007D1D64" w:rsidR="007D1D64" w:rsidP="007D1D64" w:rsidRDefault="007D1D64" w14:paraId="521BB1D8" w14:textId="77777777">
      <w:pPr>
        <w:spacing w:after="160" w:line="259" w:lineRule="auto"/>
        <w:rPr>
          <w:sz w:val="22"/>
          <w:szCs w:val="22"/>
        </w:rPr>
      </w:pPr>
      <w:r w:rsidRPr="007D1D64">
        <w:rPr>
          <w:sz w:val="22"/>
          <w:szCs w:val="22"/>
        </w:rPr>
        <w:t>Where we have identified any third-party copyright information you will need to obtain permission from the copyright holders concerned.</w:t>
      </w:r>
    </w:p>
    <w:p w:rsidRPr="007D1D64" w:rsidR="007D1D64" w:rsidP="007D1D64" w:rsidRDefault="007D1D64" w14:paraId="0B828443" w14:textId="77777777">
      <w:pPr>
        <w:spacing w:after="160" w:line="259" w:lineRule="auto"/>
        <w:rPr>
          <w:sz w:val="22"/>
          <w:szCs w:val="22"/>
        </w:rPr>
      </w:pPr>
      <w:r w:rsidRPr="007D1D64">
        <w:rPr>
          <w:sz w:val="22"/>
          <w:szCs w:val="22"/>
        </w:rPr>
        <w:t xml:space="preserve">Any enquiries regarding this publication should be sent to us at: </w:t>
      </w:r>
    </w:p>
    <w:p w:rsidR="007D1D64" w:rsidRDefault="00A62D44" w14:paraId="5F0B07D2" w14:textId="0E9D6D15">
      <w:pPr>
        <w:spacing w:after="160" w:line="259" w:lineRule="auto"/>
        <w:rPr>
          <w:sz w:val="22"/>
          <w:szCs w:val="22"/>
        </w:rPr>
      </w:pPr>
      <w:hyperlink w:history="1" r:id="rId15">
        <w:r w:rsidRPr="00236685">
          <w:rPr>
            <w:rStyle w:val="Hyperlink"/>
            <w:sz w:val="22"/>
            <w:szCs w:val="22"/>
          </w:rPr>
          <w:t>ODA-Transparency@beis.gov.uk</w:t>
        </w:r>
      </w:hyperlink>
      <w:r>
        <w:rPr>
          <w:sz w:val="22"/>
          <w:szCs w:val="22"/>
        </w:rPr>
        <w:t xml:space="preserve"> </w:t>
      </w:r>
      <w:r w:rsidR="007D1D64">
        <w:rPr>
          <w:sz w:val="22"/>
          <w:szCs w:val="22"/>
        </w:rPr>
        <w:br w:type="page"/>
      </w:r>
    </w:p>
    <w:sdt>
      <w:sdtPr>
        <w:rPr>
          <w:rFonts w:ascii="Arial" w:hAnsi="Arial" w:eastAsia="Times New Roman" w:cs="Times New Roman"/>
          <w:color w:val="auto"/>
          <w:sz w:val="24"/>
          <w:szCs w:val="24"/>
          <w:lang w:val="en-GB"/>
        </w:rPr>
        <w:id w:val="744424984"/>
        <w:docPartObj>
          <w:docPartGallery w:val="Table of Contents"/>
          <w:docPartUnique/>
        </w:docPartObj>
      </w:sdtPr>
      <w:sdtEndPr>
        <w:rPr>
          <w:rFonts w:ascii="Arial" w:hAnsi="Arial" w:eastAsia="Times New Roman" w:cs="Times New Roman"/>
          <w:color w:val="auto"/>
          <w:sz w:val="24"/>
          <w:szCs w:val="24"/>
          <w:lang w:val="en-GB"/>
        </w:rPr>
      </w:sdtEndPr>
      <w:sdtContent>
        <w:p w:rsidR="001B14BA" w:rsidRDefault="001B14BA" w14:paraId="52C8021F" w14:textId="7479CA6B">
          <w:pPr>
            <w:pStyle w:val="TOCHeading"/>
            <w:rPr>
              <w:rFonts w:ascii="Arial" w:hAnsi="Arial" w:cs="Arial"/>
              <w:color w:val="002060"/>
              <w:sz w:val="76"/>
              <w:szCs w:val="76"/>
            </w:rPr>
          </w:pPr>
          <w:r w:rsidRPr="527A8EFF">
            <w:rPr>
              <w:rFonts w:ascii="Arial" w:hAnsi="Arial" w:cs="Arial"/>
              <w:color w:val="002060"/>
              <w:sz w:val="76"/>
              <w:szCs w:val="76"/>
            </w:rPr>
            <w:t>Contents</w:t>
          </w:r>
        </w:p>
        <w:p w:rsidRPr="0030176F" w:rsidR="0030176F" w:rsidP="0030176F" w:rsidRDefault="0030176F" w14:paraId="7F576620" w14:textId="77777777">
          <w:pPr>
            <w:rPr>
              <w:lang w:val="en-US"/>
            </w:rPr>
          </w:pPr>
        </w:p>
        <w:p w:rsidR="159F08A2" w:rsidP="159F08A2" w:rsidRDefault="159F08A2" w14:paraId="4A531AFB" w14:textId="7964F4C0">
          <w:pPr>
            <w:pStyle w:val="TOC1"/>
            <w:tabs>
              <w:tab w:val="right" w:leader="dot" w:pos="9016"/>
            </w:tabs>
            <w:rPr>
              <w:rFonts w:cs="Arial"/>
              <w:b/>
              <w:bCs/>
              <w:noProof/>
              <w:lang w:eastAsia="en-GB"/>
            </w:rPr>
          </w:pPr>
        </w:p>
        <w:p w:rsidR="00DB4AAF" w:rsidP="0B5ACFBB" w:rsidRDefault="527A8EFF" w14:paraId="067B5835" w14:textId="1B5C5877">
          <w:pPr>
            <w:pStyle w:val="TOC1"/>
            <w:tabs>
              <w:tab w:val="right" w:leader="dot" w:pos="9015"/>
            </w:tabs>
          </w:pPr>
          <w:r>
            <w:fldChar w:fldCharType="begin"/>
          </w:r>
          <w:r w:rsidR="00023069">
            <w:instrText>TOC \o "1-3" \z \u \h</w:instrText>
          </w:r>
          <w:r>
            <w:fldChar w:fldCharType="separate"/>
          </w:r>
          <w:hyperlink w:anchor="_Toc65889650">
            <w:r w:rsidRPr="0B5ACFBB" w:rsidR="0B5ACFBB">
              <w:rPr>
                <w:rStyle w:val="Hyperlink"/>
              </w:rPr>
              <w:t>Section A: Summary and overview</w:t>
            </w:r>
            <w:r w:rsidR="00023069">
              <w:tab/>
            </w:r>
            <w:r w:rsidR="00023069">
              <w:fldChar w:fldCharType="begin"/>
            </w:r>
            <w:r w:rsidR="00023069">
              <w:instrText>PAGEREF _Toc65889650 \h</w:instrText>
            </w:r>
            <w:r w:rsidR="00023069">
              <w:fldChar w:fldCharType="separate"/>
            </w:r>
            <w:r w:rsidRPr="0B5ACFBB" w:rsidR="0B5ACFBB">
              <w:rPr>
                <w:rStyle w:val="Hyperlink"/>
              </w:rPr>
              <w:t>5</w:t>
            </w:r>
            <w:r w:rsidR="00023069">
              <w:fldChar w:fldCharType="end"/>
            </w:r>
          </w:hyperlink>
        </w:p>
        <w:p w:rsidR="00DB4AAF" w:rsidP="0B5ACFBB" w:rsidRDefault="0B5ACFBB" w14:paraId="44F392C4" w14:textId="7543A516">
          <w:pPr>
            <w:pStyle w:val="TOC2"/>
            <w:tabs>
              <w:tab w:val="right" w:leader="dot" w:pos="9015"/>
            </w:tabs>
          </w:pPr>
          <w:hyperlink w:anchor="_Toc1104039963">
            <w:r w:rsidRPr="0B5ACFBB">
              <w:rPr>
                <w:rStyle w:val="Hyperlink"/>
              </w:rPr>
              <w:t>Description of programme</w:t>
            </w:r>
            <w:r w:rsidR="527A8EFF">
              <w:tab/>
            </w:r>
            <w:r w:rsidR="527A8EFF">
              <w:fldChar w:fldCharType="begin"/>
            </w:r>
            <w:r w:rsidR="527A8EFF">
              <w:instrText>PAGEREF _Toc1104039963 \h</w:instrText>
            </w:r>
            <w:r w:rsidR="527A8EFF">
              <w:fldChar w:fldCharType="separate"/>
            </w:r>
            <w:r w:rsidRPr="0B5ACFBB">
              <w:rPr>
                <w:rStyle w:val="Hyperlink"/>
              </w:rPr>
              <w:t>5</w:t>
            </w:r>
            <w:r w:rsidR="527A8EFF">
              <w:fldChar w:fldCharType="end"/>
            </w:r>
          </w:hyperlink>
        </w:p>
        <w:p w:rsidR="00DB4AAF" w:rsidP="0B5ACFBB" w:rsidRDefault="0B5ACFBB" w14:paraId="4F5234CE" w14:textId="71751A6F">
          <w:pPr>
            <w:pStyle w:val="TOC2"/>
            <w:tabs>
              <w:tab w:val="right" w:leader="dot" w:pos="9015"/>
            </w:tabs>
          </w:pPr>
          <w:hyperlink w:anchor="_Toc187270737">
            <w:r w:rsidRPr="0B5ACFBB">
              <w:rPr>
                <w:rStyle w:val="Hyperlink"/>
              </w:rPr>
              <w:t>Summary of progress and supporting narrative for the overall score</w:t>
            </w:r>
            <w:r w:rsidR="527A8EFF">
              <w:tab/>
            </w:r>
            <w:r w:rsidR="527A8EFF">
              <w:fldChar w:fldCharType="begin"/>
            </w:r>
            <w:r w:rsidR="527A8EFF">
              <w:instrText>PAGEREF _Toc187270737 \h</w:instrText>
            </w:r>
            <w:r w:rsidR="527A8EFF">
              <w:fldChar w:fldCharType="separate"/>
            </w:r>
            <w:r w:rsidRPr="0B5ACFBB">
              <w:rPr>
                <w:rStyle w:val="Hyperlink"/>
              </w:rPr>
              <w:t>6</w:t>
            </w:r>
            <w:r w:rsidR="527A8EFF">
              <w:fldChar w:fldCharType="end"/>
            </w:r>
          </w:hyperlink>
        </w:p>
        <w:p w:rsidR="00DB4AAF" w:rsidP="0B5ACFBB" w:rsidRDefault="0B5ACFBB" w14:paraId="1FC0A73E" w14:textId="1F6C0D65">
          <w:pPr>
            <w:pStyle w:val="TOC2"/>
            <w:tabs>
              <w:tab w:val="right" w:leader="dot" w:pos="9015"/>
            </w:tabs>
          </w:pPr>
          <w:hyperlink w:anchor="_Toc1109008304">
            <w:r w:rsidRPr="0B5ACFBB">
              <w:rPr>
                <w:rStyle w:val="Hyperlink"/>
              </w:rPr>
              <w:t>Progress against recommendations from the last review</w:t>
            </w:r>
            <w:r w:rsidR="527A8EFF">
              <w:tab/>
            </w:r>
            <w:r w:rsidR="527A8EFF">
              <w:fldChar w:fldCharType="begin"/>
            </w:r>
            <w:r w:rsidR="527A8EFF">
              <w:instrText>PAGEREF _Toc1109008304 \h</w:instrText>
            </w:r>
            <w:r w:rsidR="527A8EFF">
              <w:fldChar w:fldCharType="separate"/>
            </w:r>
            <w:r w:rsidRPr="0B5ACFBB">
              <w:rPr>
                <w:rStyle w:val="Hyperlink"/>
              </w:rPr>
              <w:t>7</w:t>
            </w:r>
            <w:r w:rsidR="527A8EFF">
              <w:fldChar w:fldCharType="end"/>
            </w:r>
          </w:hyperlink>
        </w:p>
        <w:p w:rsidR="00DB4AAF" w:rsidP="0B5ACFBB" w:rsidRDefault="0B5ACFBB" w14:paraId="3CDCB849" w14:textId="5C29BAD4">
          <w:pPr>
            <w:pStyle w:val="TOC2"/>
            <w:tabs>
              <w:tab w:val="right" w:leader="dot" w:pos="9015"/>
            </w:tabs>
          </w:pPr>
          <w:hyperlink w:anchor="_Toc462994730">
            <w:r w:rsidRPr="0B5ACFBB">
              <w:rPr>
                <w:rStyle w:val="Hyperlink"/>
              </w:rPr>
              <w:t>Major lessons and recommendations for the year ahead</w:t>
            </w:r>
            <w:r w:rsidR="527A8EFF">
              <w:tab/>
            </w:r>
            <w:r w:rsidR="527A8EFF">
              <w:fldChar w:fldCharType="begin"/>
            </w:r>
            <w:r w:rsidR="527A8EFF">
              <w:instrText>PAGEREF _Toc462994730 \h</w:instrText>
            </w:r>
            <w:r w:rsidR="527A8EFF">
              <w:fldChar w:fldCharType="separate"/>
            </w:r>
            <w:r w:rsidRPr="0B5ACFBB">
              <w:rPr>
                <w:rStyle w:val="Hyperlink"/>
              </w:rPr>
              <w:t>7</w:t>
            </w:r>
            <w:r w:rsidR="527A8EFF">
              <w:fldChar w:fldCharType="end"/>
            </w:r>
          </w:hyperlink>
        </w:p>
        <w:p w:rsidR="00DB4AAF" w:rsidP="0B5ACFBB" w:rsidRDefault="0B5ACFBB" w14:paraId="7A969C49" w14:textId="5DDEAF32">
          <w:pPr>
            <w:pStyle w:val="TOC1"/>
            <w:tabs>
              <w:tab w:val="right" w:leader="dot" w:pos="9015"/>
            </w:tabs>
          </w:pPr>
          <w:hyperlink w:anchor="_Toc2100341384">
            <w:r w:rsidRPr="0B5ACFBB">
              <w:rPr>
                <w:rStyle w:val="Hyperlink"/>
              </w:rPr>
              <w:t>Section B: Theory of change and progress towards outcomes</w:t>
            </w:r>
            <w:r w:rsidR="527A8EFF">
              <w:tab/>
            </w:r>
            <w:r w:rsidR="527A8EFF">
              <w:fldChar w:fldCharType="begin"/>
            </w:r>
            <w:r w:rsidR="527A8EFF">
              <w:instrText>PAGEREF _Toc2100341384 \h</w:instrText>
            </w:r>
            <w:r w:rsidR="527A8EFF">
              <w:fldChar w:fldCharType="separate"/>
            </w:r>
            <w:r w:rsidRPr="0B5ACFBB">
              <w:rPr>
                <w:rStyle w:val="Hyperlink"/>
              </w:rPr>
              <w:t>7</w:t>
            </w:r>
            <w:r w:rsidR="527A8EFF">
              <w:fldChar w:fldCharType="end"/>
            </w:r>
          </w:hyperlink>
        </w:p>
        <w:p w:rsidR="00DB4AAF" w:rsidP="0B5ACFBB" w:rsidRDefault="0B5ACFBB" w14:paraId="7EF69F91" w14:textId="65F4A7AF">
          <w:pPr>
            <w:pStyle w:val="TOC2"/>
            <w:tabs>
              <w:tab w:val="right" w:leader="dot" w:pos="9015"/>
            </w:tabs>
          </w:pPr>
          <w:hyperlink w:anchor="_Toc1678083981">
            <w:r w:rsidRPr="0B5ACFBB">
              <w:rPr>
                <w:rStyle w:val="Hyperlink"/>
              </w:rPr>
              <w:t>Summary of the programme’s theory of change, including any changes to outcome and impact indicators from the original business case</w:t>
            </w:r>
            <w:r w:rsidR="527A8EFF">
              <w:tab/>
            </w:r>
            <w:r w:rsidR="527A8EFF">
              <w:fldChar w:fldCharType="begin"/>
            </w:r>
            <w:r w:rsidR="527A8EFF">
              <w:instrText>PAGEREF _Toc1678083981 \h</w:instrText>
            </w:r>
            <w:r w:rsidR="527A8EFF">
              <w:fldChar w:fldCharType="separate"/>
            </w:r>
            <w:r w:rsidRPr="0B5ACFBB">
              <w:rPr>
                <w:rStyle w:val="Hyperlink"/>
              </w:rPr>
              <w:t>8</w:t>
            </w:r>
            <w:r w:rsidR="527A8EFF">
              <w:fldChar w:fldCharType="end"/>
            </w:r>
          </w:hyperlink>
        </w:p>
        <w:p w:rsidR="00DB4AAF" w:rsidP="0B5ACFBB" w:rsidRDefault="0B5ACFBB" w14:paraId="5654720A" w14:textId="37D7D772">
          <w:pPr>
            <w:pStyle w:val="TOC2"/>
            <w:tabs>
              <w:tab w:val="right" w:leader="dot" w:pos="9015"/>
            </w:tabs>
          </w:pPr>
          <w:hyperlink w:anchor="_Toc475243138">
            <w:r w:rsidRPr="0B5ACFBB">
              <w:rPr>
                <w:rStyle w:val="Hyperlink"/>
              </w:rPr>
              <w:t>Progress against the expected outcomes and impact, and actions planned for the year ahead</w:t>
            </w:r>
            <w:r w:rsidR="527A8EFF">
              <w:tab/>
            </w:r>
            <w:r w:rsidR="527A8EFF">
              <w:fldChar w:fldCharType="begin"/>
            </w:r>
            <w:r w:rsidR="527A8EFF">
              <w:instrText>PAGEREF _Toc475243138 \h</w:instrText>
            </w:r>
            <w:r w:rsidR="527A8EFF">
              <w:fldChar w:fldCharType="separate"/>
            </w:r>
            <w:r w:rsidRPr="0B5ACFBB">
              <w:rPr>
                <w:rStyle w:val="Hyperlink"/>
              </w:rPr>
              <w:t>8</w:t>
            </w:r>
            <w:r w:rsidR="527A8EFF">
              <w:fldChar w:fldCharType="end"/>
            </w:r>
          </w:hyperlink>
        </w:p>
        <w:p w:rsidR="00DB4AAF" w:rsidP="0B5ACFBB" w:rsidRDefault="0B5ACFBB" w14:paraId="00A7C6EC" w14:textId="5F4FC312">
          <w:pPr>
            <w:pStyle w:val="TOC1"/>
            <w:tabs>
              <w:tab w:val="right" w:leader="dot" w:pos="9015"/>
            </w:tabs>
          </w:pPr>
          <w:hyperlink w:anchor="_Toc1887547542">
            <w:r w:rsidRPr="0B5ACFBB">
              <w:rPr>
                <w:rStyle w:val="Hyperlink"/>
              </w:rPr>
              <w:t>Section C: Output scoring</w:t>
            </w:r>
            <w:r w:rsidR="527A8EFF">
              <w:tab/>
            </w:r>
            <w:r w:rsidR="527A8EFF">
              <w:fldChar w:fldCharType="begin"/>
            </w:r>
            <w:r w:rsidR="527A8EFF">
              <w:instrText>PAGEREF _Toc1887547542 \h</w:instrText>
            </w:r>
            <w:r w:rsidR="527A8EFF">
              <w:fldChar w:fldCharType="separate"/>
            </w:r>
            <w:r w:rsidRPr="0B5ACFBB">
              <w:rPr>
                <w:rStyle w:val="Hyperlink"/>
              </w:rPr>
              <w:t>10</w:t>
            </w:r>
            <w:r w:rsidR="527A8EFF">
              <w:fldChar w:fldCharType="end"/>
            </w:r>
          </w:hyperlink>
        </w:p>
        <w:p w:rsidR="00DB4AAF" w:rsidP="0B5ACFBB" w:rsidRDefault="0B5ACFBB" w14:paraId="3F8704AE" w14:textId="312C96B3">
          <w:pPr>
            <w:pStyle w:val="TOC2"/>
            <w:tabs>
              <w:tab w:val="right" w:leader="dot" w:pos="9015"/>
            </w:tabs>
          </w:pPr>
          <w:hyperlink w:anchor="_Toc35008075">
            <w:r w:rsidRPr="0B5ACFBB">
              <w:rPr>
                <w:rStyle w:val="Hyperlink"/>
              </w:rPr>
              <w:t>Output 1.1:Technical assessments of national/subnational Forest Reference Emission Levels/ Forest Reference Levels FRELs/FRLs are delivered</w:t>
            </w:r>
            <w:r w:rsidR="527A8EFF">
              <w:tab/>
            </w:r>
            <w:r w:rsidR="527A8EFF">
              <w:fldChar w:fldCharType="begin"/>
            </w:r>
            <w:r w:rsidR="527A8EFF">
              <w:instrText>PAGEREF _Toc35008075 \h</w:instrText>
            </w:r>
            <w:r w:rsidR="527A8EFF">
              <w:fldChar w:fldCharType="separate"/>
            </w:r>
            <w:r w:rsidRPr="0B5ACFBB">
              <w:rPr>
                <w:rStyle w:val="Hyperlink"/>
              </w:rPr>
              <w:t>10</w:t>
            </w:r>
            <w:r w:rsidR="527A8EFF">
              <w:fldChar w:fldCharType="end"/>
            </w:r>
          </w:hyperlink>
        </w:p>
        <w:p w:rsidR="00DB4AAF" w:rsidP="0B5ACFBB" w:rsidRDefault="0B5ACFBB" w14:paraId="39CB62DA" w14:textId="2819C5F7">
          <w:pPr>
            <w:pStyle w:val="TOC2"/>
            <w:tabs>
              <w:tab w:val="right" w:leader="dot" w:pos="9015"/>
            </w:tabs>
          </w:pPr>
          <w:hyperlink w:anchor="_Toc198350766">
            <w:r w:rsidRPr="0B5ACFBB">
              <w:rPr>
                <w:rStyle w:val="Hyperlink"/>
              </w:rPr>
              <w:t>Output 1.2: Technical analyses of national/subnational REDD+ results submitted as an annex to the Biennial Transparency Report (BTR)</w:t>
            </w:r>
            <w:r w:rsidR="527A8EFF">
              <w:tab/>
            </w:r>
            <w:r w:rsidR="527A8EFF">
              <w:fldChar w:fldCharType="begin"/>
            </w:r>
            <w:r w:rsidR="527A8EFF">
              <w:instrText>PAGEREF _Toc198350766 \h</w:instrText>
            </w:r>
            <w:r w:rsidR="527A8EFF">
              <w:fldChar w:fldCharType="separate"/>
            </w:r>
            <w:r w:rsidRPr="0B5ACFBB">
              <w:rPr>
                <w:rStyle w:val="Hyperlink"/>
              </w:rPr>
              <w:t>11</w:t>
            </w:r>
            <w:r w:rsidR="527A8EFF">
              <w:fldChar w:fldCharType="end"/>
            </w:r>
          </w:hyperlink>
        </w:p>
        <w:p w:rsidR="00DB4AAF" w:rsidP="0B5ACFBB" w:rsidRDefault="0B5ACFBB" w14:paraId="4A9C09C1" w14:textId="064DFD69">
          <w:pPr>
            <w:pStyle w:val="TOC2"/>
            <w:tabs>
              <w:tab w:val="right" w:leader="dot" w:pos="9015"/>
            </w:tabs>
          </w:pPr>
          <w:hyperlink w:anchor="_Toc1811606127">
            <w:r w:rsidRPr="0B5ACFBB">
              <w:rPr>
                <w:rStyle w:val="Hyperlink"/>
              </w:rPr>
              <w:t>Output 1.3: Upgrading of the REDD+ web platform including the discussion forum and the Lima REDD+ Information Hub to increase ease of data sharing, enhance transparency and create a better user experience</w:t>
            </w:r>
            <w:r w:rsidR="527A8EFF">
              <w:tab/>
            </w:r>
            <w:r w:rsidR="527A8EFF">
              <w:fldChar w:fldCharType="begin"/>
            </w:r>
            <w:r w:rsidR="527A8EFF">
              <w:instrText>PAGEREF _Toc1811606127 \h</w:instrText>
            </w:r>
            <w:r w:rsidR="527A8EFF">
              <w:fldChar w:fldCharType="separate"/>
            </w:r>
            <w:r w:rsidRPr="0B5ACFBB">
              <w:rPr>
                <w:rStyle w:val="Hyperlink"/>
              </w:rPr>
              <w:t>12</w:t>
            </w:r>
            <w:r w:rsidR="527A8EFF">
              <w:fldChar w:fldCharType="end"/>
            </w:r>
          </w:hyperlink>
        </w:p>
        <w:p w:rsidR="00DB4AAF" w:rsidP="0B5ACFBB" w:rsidRDefault="0B5ACFBB" w14:paraId="5F2F12AB" w14:textId="1C998AA4">
          <w:pPr>
            <w:pStyle w:val="TOC2"/>
            <w:tabs>
              <w:tab w:val="right" w:leader="dot" w:pos="9015"/>
            </w:tabs>
          </w:pPr>
          <w:hyperlink w:anchor="_Toc758624475">
            <w:r w:rsidRPr="0B5ACFBB">
              <w:rPr>
                <w:rStyle w:val="Hyperlink"/>
              </w:rPr>
              <w:t>Output 2.1: Increased understanding among Parties of key forest-related agreements, reports and processes under the Paris Agreement, and the benefits and options for strengthening alignment between Article 5.2 and carbon crediting initiatives, including Article 6, and providers of REDD+ results based-payments.</w:t>
            </w:r>
            <w:r w:rsidR="527A8EFF">
              <w:tab/>
            </w:r>
            <w:r w:rsidR="527A8EFF">
              <w:fldChar w:fldCharType="begin"/>
            </w:r>
            <w:r w:rsidR="527A8EFF">
              <w:instrText>PAGEREF _Toc758624475 \h</w:instrText>
            </w:r>
            <w:r w:rsidR="527A8EFF">
              <w:fldChar w:fldCharType="separate"/>
            </w:r>
            <w:r w:rsidRPr="0B5ACFBB">
              <w:rPr>
                <w:rStyle w:val="Hyperlink"/>
              </w:rPr>
              <w:t>13</w:t>
            </w:r>
            <w:r w:rsidR="527A8EFF">
              <w:fldChar w:fldCharType="end"/>
            </w:r>
          </w:hyperlink>
        </w:p>
        <w:p w:rsidR="00DB4AAF" w:rsidP="0B5ACFBB" w:rsidRDefault="0B5ACFBB" w14:paraId="2BEC16FE" w14:textId="31889CC8">
          <w:pPr>
            <w:pStyle w:val="TOC2"/>
            <w:tabs>
              <w:tab w:val="right" w:leader="dot" w:pos="9015"/>
            </w:tabs>
          </w:pPr>
          <w:hyperlink w:anchor="_Toc393903503">
            <w:r w:rsidRPr="0B5ACFBB">
              <w:rPr>
                <w:rStyle w:val="Hyperlink"/>
              </w:rPr>
              <w:t>Output 2.2: Demonstration of benefits to Parties, and other relevant stakeholders, of strengthening cooperation and ambition on REDD+ safeguards</w:t>
            </w:r>
            <w:r w:rsidR="527A8EFF">
              <w:tab/>
            </w:r>
            <w:r w:rsidR="527A8EFF">
              <w:fldChar w:fldCharType="begin"/>
            </w:r>
            <w:r w:rsidR="527A8EFF">
              <w:instrText>PAGEREF _Toc393903503 \h</w:instrText>
            </w:r>
            <w:r w:rsidR="527A8EFF">
              <w:fldChar w:fldCharType="separate"/>
            </w:r>
            <w:r w:rsidRPr="0B5ACFBB">
              <w:rPr>
                <w:rStyle w:val="Hyperlink"/>
              </w:rPr>
              <w:t>15</w:t>
            </w:r>
            <w:r w:rsidR="527A8EFF">
              <w:fldChar w:fldCharType="end"/>
            </w:r>
          </w:hyperlink>
        </w:p>
        <w:p w:rsidR="00DB4AAF" w:rsidP="0B5ACFBB" w:rsidRDefault="0B5ACFBB" w14:paraId="1B3AE531" w14:textId="02B13060">
          <w:pPr>
            <w:pStyle w:val="TOC2"/>
            <w:tabs>
              <w:tab w:val="right" w:leader="dot" w:pos="9015"/>
            </w:tabs>
          </w:pPr>
          <w:hyperlink w:anchor="_Toc800100057">
            <w:r w:rsidRPr="0B5ACFBB">
              <w:rPr>
                <w:rStyle w:val="Hyperlink"/>
              </w:rPr>
              <w:t>Output 2.3: Voluntary cooperation by Parties and other stakeholders on REDD+ strengthened through a Community of Practice and in-person and virtual technical exchanges (including South-South exchanges) on forest country priorities and experiences, including challenges, successes and opportunities for further strengthening cooperation and impact on climate through forest-based mitigation</w:t>
            </w:r>
            <w:r w:rsidR="527A8EFF">
              <w:tab/>
            </w:r>
            <w:r w:rsidR="527A8EFF">
              <w:fldChar w:fldCharType="begin"/>
            </w:r>
            <w:r w:rsidR="527A8EFF">
              <w:instrText>PAGEREF _Toc800100057 \h</w:instrText>
            </w:r>
            <w:r w:rsidR="527A8EFF">
              <w:fldChar w:fldCharType="separate"/>
            </w:r>
            <w:r w:rsidRPr="0B5ACFBB">
              <w:rPr>
                <w:rStyle w:val="Hyperlink"/>
              </w:rPr>
              <w:t>16</w:t>
            </w:r>
            <w:r w:rsidR="527A8EFF">
              <w:fldChar w:fldCharType="end"/>
            </w:r>
          </w:hyperlink>
        </w:p>
        <w:p w:rsidR="00DB4AAF" w:rsidP="0B5ACFBB" w:rsidRDefault="0B5ACFBB" w14:paraId="3D775740" w14:textId="2C2226E5">
          <w:pPr>
            <w:pStyle w:val="TOC1"/>
            <w:tabs>
              <w:tab w:val="right" w:leader="dot" w:pos="9015"/>
            </w:tabs>
          </w:pPr>
          <w:hyperlink w:anchor="_Toc699281142">
            <w:r w:rsidRPr="0B5ACFBB">
              <w:rPr>
                <w:rStyle w:val="Hyperlink"/>
              </w:rPr>
              <w:t>Section D: Risk</w:t>
            </w:r>
            <w:r w:rsidR="527A8EFF">
              <w:tab/>
            </w:r>
            <w:r w:rsidR="527A8EFF">
              <w:fldChar w:fldCharType="begin"/>
            </w:r>
            <w:r w:rsidR="527A8EFF">
              <w:instrText>PAGEREF _Toc699281142 \h</w:instrText>
            </w:r>
            <w:r w:rsidR="527A8EFF">
              <w:fldChar w:fldCharType="separate"/>
            </w:r>
            <w:r w:rsidRPr="0B5ACFBB">
              <w:rPr>
                <w:rStyle w:val="Hyperlink"/>
              </w:rPr>
              <w:t>18</w:t>
            </w:r>
            <w:r w:rsidR="527A8EFF">
              <w:fldChar w:fldCharType="end"/>
            </w:r>
          </w:hyperlink>
        </w:p>
        <w:p w:rsidR="00DB4AAF" w:rsidP="0B5ACFBB" w:rsidRDefault="0B5ACFBB" w14:paraId="265B12E9" w14:textId="307B191E">
          <w:pPr>
            <w:pStyle w:val="TOC2"/>
            <w:tabs>
              <w:tab w:val="right" w:leader="dot" w:pos="9015"/>
            </w:tabs>
          </w:pPr>
          <w:hyperlink w:anchor="_Toc1080364727">
            <w:r w:rsidRPr="0B5ACFBB">
              <w:rPr>
                <w:rStyle w:val="Hyperlink"/>
              </w:rPr>
              <w:t>Overall risk rating</w:t>
            </w:r>
            <w:r w:rsidR="527A8EFF">
              <w:tab/>
            </w:r>
            <w:r w:rsidR="527A8EFF">
              <w:fldChar w:fldCharType="begin"/>
            </w:r>
            <w:r w:rsidR="527A8EFF">
              <w:instrText>PAGEREF _Toc1080364727 \h</w:instrText>
            </w:r>
            <w:r w:rsidR="527A8EFF">
              <w:fldChar w:fldCharType="separate"/>
            </w:r>
            <w:r w:rsidRPr="0B5ACFBB">
              <w:rPr>
                <w:rStyle w:val="Hyperlink"/>
              </w:rPr>
              <w:t>18</w:t>
            </w:r>
            <w:r w:rsidR="527A8EFF">
              <w:fldChar w:fldCharType="end"/>
            </w:r>
          </w:hyperlink>
        </w:p>
        <w:p w:rsidR="00DB4AAF" w:rsidP="0B5ACFBB" w:rsidRDefault="0B5ACFBB" w14:paraId="0EF13443" w14:textId="13120D3F">
          <w:pPr>
            <w:pStyle w:val="TOC2"/>
            <w:tabs>
              <w:tab w:val="right" w:leader="dot" w:pos="9015"/>
            </w:tabs>
          </w:pPr>
          <w:hyperlink w:anchor="_Toc390982136">
            <w:r w:rsidRPr="0B5ACFBB">
              <w:rPr>
                <w:rStyle w:val="Hyperlink"/>
              </w:rPr>
              <w:t>Overview of risk management</w:t>
            </w:r>
            <w:r w:rsidR="527A8EFF">
              <w:tab/>
            </w:r>
            <w:r w:rsidR="527A8EFF">
              <w:fldChar w:fldCharType="begin"/>
            </w:r>
            <w:r w:rsidR="527A8EFF">
              <w:instrText>PAGEREF _Toc390982136 \h</w:instrText>
            </w:r>
            <w:r w:rsidR="527A8EFF">
              <w:fldChar w:fldCharType="separate"/>
            </w:r>
            <w:r w:rsidRPr="0B5ACFBB">
              <w:rPr>
                <w:rStyle w:val="Hyperlink"/>
              </w:rPr>
              <w:t>18</w:t>
            </w:r>
            <w:r w:rsidR="527A8EFF">
              <w:fldChar w:fldCharType="end"/>
            </w:r>
          </w:hyperlink>
        </w:p>
        <w:p w:rsidR="00DB4AAF" w:rsidP="0B5ACFBB" w:rsidRDefault="0B5ACFBB" w14:paraId="566EA9FB" w14:textId="074E1A5E">
          <w:pPr>
            <w:pStyle w:val="TOC2"/>
            <w:tabs>
              <w:tab w:val="right" w:leader="dot" w:pos="9015"/>
            </w:tabs>
          </w:pPr>
          <w:hyperlink w:anchor="_Toc883240895">
            <w:r w:rsidRPr="0B5ACFBB">
              <w:rPr>
                <w:rStyle w:val="Hyperlink"/>
              </w:rPr>
              <w:t>Current risks</w:t>
            </w:r>
            <w:r w:rsidR="527A8EFF">
              <w:tab/>
            </w:r>
            <w:r w:rsidR="527A8EFF">
              <w:fldChar w:fldCharType="begin"/>
            </w:r>
            <w:r w:rsidR="527A8EFF">
              <w:instrText>PAGEREF _Toc883240895 \h</w:instrText>
            </w:r>
            <w:r w:rsidR="527A8EFF">
              <w:fldChar w:fldCharType="separate"/>
            </w:r>
            <w:r w:rsidRPr="0B5ACFBB">
              <w:rPr>
                <w:rStyle w:val="Hyperlink"/>
              </w:rPr>
              <w:t>19</w:t>
            </w:r>
            <w:r w:rsidR="527A8EFF">
              <w:fldChar w:fldCharType="end"/>
            </w:r>
          </w:hyperlink>
        </w:p>
        <w:p w:rsidR="00DB4AAF" w:rsidP="0B5ACFBB" w:rsidRDefault="0B5ACFBB" w14:paraId="6E7BF280" w14:textId="2525E218">
          <w:pPr>
            <w:pStyle w:val="TOC2"/>
            <w:tabs>
              <w:tab w:val="right" w:leader="dot" w:pos="9015"/>
            </w:tabs>
          </w:pPr>
          <w:hyperlink w:anchor="_Toc1048697006">
            <w:r w:rsidRPr="0B5ACFBB">
              <w:rPr>
                <w:rStyle w:val="Hyperlink"/>
              </w:rPr>
              <w:t>Outstanding actions from risk assessment</w:t>
            </w:r>
            <w:r w:rsidR="527A8EFF">
              <w:tab/>
            </w:r>
            <w:r w:rsidR="527A8EFF">
              <w:fldChar w:fldCharType="begin"/>
            </w:r>
            <w:r w:rsidR="527A8EFF">
              <w:instrText>PAGEREF _Toc1048697006 \h</w:instrText>
            </w:r>
            <w:r w:rsidR="527A8EFF">
              <w:fldChar w:fldCharType="separate"/>
            </w:r>
            <w:r w:rsidRPr="0B5ACFBB">
              <w:rPr>
                <w:rStyle w:val="Hyperlink"/>
              </w:rPr>
              <w:t>19</w:t>
            </w:r>
            <w:r w:rsidR="527A8EFF">
              <w:fldChar w:fldCharType="end"/>
            </w:r>
          </w:hyperlink>
        </w:p>
        <w:p w:rsidR="1B96BBDE" w:rsidP="0B5ACFBB" w:rsidRDefault="0B5ACFBB" w14:paraId="07E8958F" w14:textId="5BC9185E">
          <w:pPr>
            <w:pStyle w:val="TOC1"/>
            <w:tabs>
              <w:tab w:val="right" w:leader="dot" w:pos="9015"/>
            </w:tabs>
          </w:pPr>
          <w:hyperlink w:anchor="_Toc800898579">
            <w:r w:rsidRPr="0B5ACFBB">
              <w:rPr>
                <w:rStyle w:val="Hyperlink"/>
              </w:rPr>
              <w:t>Section E: Programme management: delivery, VfM, commercial and financial performance</w:t>
            </w:r>
            <w:r w:rsidR="1B96BBDE">
              <w:tab/>
            </w:r>
            <w:r w:rsidR="1B96BBDE">
              <w:fldChar w:fldCharType="begin"/>
            </w:r>
            <w:r w:rsidR="1B96BBDE">
              <w:instrText>PAGEREF _Toc800898579 \h</w:instrText>
            </w:r>
            <w:r w:rsidR="1B96BBDE">
              <w:fldChar w:fldCharType="separate"/>
            </w:r>
            <w:r w:rsidRPr="0B5ACFBB">
              <w:rPr>
                <w:rStyle w:val="Hyperlink"/>
              </w:rPr>
              <w:t>20</w:t>
            </w:r>
            <w:r w:rsidR="1B96BBDE">
              <w:fldChar w:fldCharType="end"/>
            </w:r>
          </w:hyperlink>
        </w:p>
        <w:p w:rsidR="1B96BBDE" w:rsidP="0B5ACFBB" w:rsidRDefault="0B5ACFBB" w14:paraId="04E550B2" w14:textId="3F44E12B">
          <w:pPr>
            <w:pStyle w:val="TOC2"/>
            <w:tabs>
              <w:tab w:val="right" w:leader="dot" w:pos="9015"/>
            </w:tabs>
          </w:pPr>
          <w:hyperlink w:anchor="_Toc1929784699">
            <w:r w:rsidRPr="0B5ACFBB">
              <w:rPr>
                <w:rStyle w:val="Hyperlink"/>
              </w:rPr>
              <w:t>Summary of the performance of partners and DESNZ, notably on commercial and financial issues, and including consideration of VfM.</w:t>
            </w:r>
            <w:r w:rsidR="1B96BBDE">
              <w:tab/>
            </w:r>
            <w:r w:rsidR="1B96BBDE">
              <w:fldChar w:fldCharType="begin"/>
            </w:r>
            <w:r w:rsidR="1B96BBDE">
              <w:instrText>PAGEREF _Toc1929784699 \h</w:instrText>
            </w:r>
            <w:r w:rsidR="1B96BBDE">
              <w:fldChar w:fldCharType="separate"/>
            </w:r>
            <w:r w:rsidRPr="0B5ACFBB">
              <w:rPr>
                <w:rStyle w:val="Hyperlink"/>
              </w:rPr>
              <w:t>20</w:t>
            </w:r>
            <w:r w:rsidR="1B96BBDE">
              <w:fldChar w:fldCharType="end"/>
            </w:r>
          </w:hyperlink>
        </w:p>
        <w:p w:rsidR="00DB4AAF" w:rsidP="1B96BBDE" w:rsidRDefault="527A8EFF" w14:paraId="2412FD0E" w14:textId="1A231F13">
          <w:pPr>
            <w:pStyle w:val="TOC2"/>
            <w:tabs>
              <w:tab w:val="right" w:leader="dot" w:pos="9015"/>
            </w:tabs>
            <w:rPr>
              <w:noProof/>
              <w:kern w:val="2"/>
              <w:lang w:eastAsia="en-GB"/>
              <w14:ligatures w14:val="standardContextual"/>
            </w:rPr>
          </w:pPr>
          <w:r>
            <w:fldChar w:fldCharType="end"/>
          </w:r>
        </w:p>
      </w:sdtContent>
    </w:sdt>
    <w:p w:rsidR="001B14BA" w:rsidP="00276517" w:rsidRDefault="001B14BA" w14:paraId="5E063C9F" w14:textId="0782D2F0">
      <w:pPr>
        <w:spacing w:line="276" w:lineRule="auto"/>
      </w:pPr>
    </w:p>
    <w:p w:rsidR="008D3049" w:rsidRDefault="008D3049" w14:paraId="5329C57B" w14:textId="77E53EDE">
      <w:pPr>
        <w:spacing w:after="160" w:line="259" w:lineRule="auto"/>
        <w:rPr>
          <w:sz w:val="22"/>
          <w:szCs w:val="22"/>
        </w:rPr>
      </w:pPr>
    </w:p>
    <w:p w:rsidR="008D3049" w:rsidRDefault="00B06671" w14:paraId="07D3ACBE" w14:textId="29EE2C0B">
      <w:pPr>
        <w:spacing w:after="160" w:line="259" w:lineRule="auto"/>
        <w:rPr>
          <w:sz w:val="22"/>
          <w:szCs w:val="22"/>
        </w:rPr>
      </w:pPr>
      <w:r w:rsidRPr="0B5ACFBB">
        <w:rPr>
          <w:sz w:val="22"/>
          <w:szCs w:val="22"/>
        </w:rPr>
        <w:br w:type="page"/>
      </w:r>
    </w:p>
    <w:p w:rsidR="004D2FC0" w:rsidP="006C516E" w:rsidRDefault="004D2FC0" w14:paraId="32718D3E" w14:textId="4C4B50DF"/>
    <w:tbl>
      <w:tblPr>
        <w:tblStyle w:val="TableGrid"/>
        <w:tblW w:w="0" w:type="auto"/>
        <w:tblLook w:val="04A0" w:firstRow="1" w:lastRow="0" w:firstColumn="1" w:lastColumn="0" w:noHBand="0" w:noVBand="1"/>
      </w:tblPr>
      <w:tblGrid>
        <w:gridCol w:w="9016"/>
      </w:tblGrid>
      <w:tr w:rsidR="00495286" w:rsidTr="0B5ACFBB" w14:paraId="65DE13A0" w14:textId="77777777">
        <w:tc>
          <w:tcPr>
            <w:tcW w:w="9016" w:type="dxa"/>
            <w:shd w:val="clear" w:color="auto" w:fill="DEEAF6" w:themeFill="accent5" w:themeFillTint="33"/>
          </w:tcPr>
          <w:p w:rsidR="00495286" w:rsidP="006C516E" w:rsidRDefault="27A453B3" w14:paraId="7DC76797" w14:textId="15FD9DFD">
            <w:bookmarkStart w:name="_Toc985939141" w:id="0"/>
            <w:bookmarkStart w:name="_Toc65889650" w:id="1"/>
            <w:r w:rsidRPr="0B5ACFBB">
              <w:rPr>
                <w:rStyle w:val="Heading1Char"/>
                <w:rFonts w:ascii="Arial" w:hAnsi="Arial" w:cs="Arial"/>
                <w:b/>
                <w:bCs/>
                <w:color w:val="auto"/>
              </w:rPr>
              <w:t>Section A: Summary and overview</w:t>
            </w:r>
            <w:bookmarkEnd w:id="0"/>
            <w:bookmarkEnd w:id="1"/>
            <w:r>
              <w:t xml:space="preserve"> </w:t>
            </w:r>
          </w:p>
        </w:tc>
      </w:tr>
    </w:tbl>
    <w:p w:rsidR="00495286" w:rsidP="006C516E" w:rsidRDefault="00495286" w14:paraId="006A5D19" w14:textId="77777777"/>
    <w:tbl>
      <w:tblPr>
        <w:tblStyle w:val="TableGrid"/>
        <w:tblW w:w="0" w:type="auto"/>
        <w:tblLook w:val="04A0" w:firstRow="1" w:lastRow="0" w:firstColumn="1" w:lastColumn="0" w:noHBand="0" w:noVBand="1"/>
      </w:tblPr>
      <w:tblGrid>
        <w:gridCol w:w="3397"/>
        <w:gridCol w:w="2410"/>
        <w:gridCol w:w="3209"/>
      </w:tblGrid>
      <w:tr w:rsidRPr="003F6641" w:rsidR="004D2FC0" w:rsidTr="38376D8C" w14:paraId="2869ADA5" w14:textId="77777777">
        <w:trPr>
          <w:trHeight w:val="407"/>
        </w:trPr>
        <w:tc>
          <w:tcPr>
            <w:tcW w:w="9016" w:type="dxa"/>
            <w:gridSpan w:val="3"/>
            <w:tcBorders>
              <w:top w:val="single" w:color="auto" w:sz="4" w:space="0"/>
              <w:left w:val="single" w:color="auto" w:sz="4" w:space="0"/>
              <w:bottom w:val="dotted" w:color="000000" w:themeColor="text1" w:sz="2" w:space="0"/>
              <w:right w:val="single" w:color="auto" w:sz="4" w:space="0"/>
            </w:tcBorders>
            <w:tcMar/>
          </w:tcPr>
          <w:p w:rsidRPr="003F6641" w:rsidR="004D2FC0" w:rsidP="00FC16A6" w:rsidRDefault="004D2FC0" w14:paraId="346F2EF8" w14:textId="1C6E46D9">
            <w:pPr>
              <w:rPr>
                <w:rFonts w:cs="Arial"/>
                <w:b/>
                <w:sz w:val="22"/>
                <w:szCs w:val="22"/>
              </w:rPr>
            </w:pPr>
            <w:r w:rsidRPr="003F6641">
              <w:rPr>
                <w:rFonts w:cs="Arial"/>
                <w:b/>
                <w:sz w:val="22"/>
                <w:szCs w:val="22"/>
              </w:rPr>
              <w:t xml:space="preserve">Title:  </w:t>
            </w:r>
            <w:r w:rsidRPr="00F351B8" w:rsidR="00F351B8">
              <w:rPr>
                <w:rFonts w:cs="Arial"/>
                <w:b/>
                <w:bCs/>
                <w:sz w:val="22"/>
                <w:szCs w:val="22"/>
              </w:rPr>
              <w:t> </w:t>
            </w:r>
            <w:r w:rsidRPr="00F351B8" w:rsidR="00F351B8">
              <w:rPr>
                <w:rFonts w:cs="Arial"/>
                <w:bCs/>
                <w:sz w:val="22"/>
                <w:szCs w:val="22"/>
              </w:rPr>
              <w:t>Enhancing climate ambition, transparency and impact in the forests and land use sector through Article 5 of the Paris Agreement (short title: UNFCCC REDD+ Support Programme)</w:t>
            </w:r>
            <w:r w:rsidRPr="00F351B8" w:rsidR="00F351B8">
              <w:rPr>
                <w:rFonts w:cs="Arial"/>
                <w:b/>
                <w:bCs/>
                <w:sz w:val="22"/>
                <w:szCs w:val="22"/>
              </w:rPr>
              <w:t> </w:t>
            </w:r>
          </w:p>
        </w:tc>
      </w:tr>
      <w:tr w:rsidRPr="003F6641" w:rsidR="004D2FC0" w:rsidTr="38376D8C" w14:paraId="109A3418" w14:textId="77777777">
        <w:trPr>
          <w:trHeight w:val="413"/>
        </w:trPr>
        <w:tc>
          <w:tcPr>
            <w:tcW w:w="5807" w:type="dxa"/>
            <w:gridSpan w:val="2"/>
            <w:tcBorders>
              <w:top w:val="dotted" w:color="000000" w:themeColor="text1" w:sz="2" w:space="0"/>
              <w:left w:val="single" w:color="000000" w:themeColor="text1" w:sz="4" w:space="0"/>
              <w:bottom w:val="dotted" w:color="000000" w:themeColor="text1" w:sz="2" w:space="0"/>
              <w:right w:val="dotted" w:color="000000" w:themeColor="text1" w:sz="2" w:space="0"/>
            </w:tcBorders>
            <w:tcMar/>
            <w:hideMark/>
          </w:tcPr>
          <w:p w:rsidRPr="003F6641" w:rsidR="004D2FC0" w:rsidP="39FCF525" w:rsidRDefault="2142A917" w14:paraId="79376CB4" w14:textId="0BFD5C6B">
            <w:pPr>
              <w:rPr>
                <w:rFonts w:cs="Arial"/>
                <w:sz w:val="22"/>
                <w:szCs w:val="22"/>
              </w:rPr>
            </w:pPr>
            <w:r w:rsidRPr="39FCF525">
              <w:rPr>
                <w:rFonts w:cs="Arial"/>
                <w:b/>
                <w:bCs/>
                <w:sz w:val="22"/>
                <w:szCs w:val="22"/>
              </w:rPr>
              <w:t xml:space="preserve">Programme Value £ (full life): </w:t>
            </w:r>
            <w:r w:rsidRPr="39FCF525" w:rsidR="0E496457">
              <w:rPr>
                <w:rFonts w:cs="Arial"/>
                <w:sz w:val="22"/>
                <w:szCs w:val="22"/>
              </w:rPr>
              <w:t xml:space="preserve">£1.34 million (during the period of this review) </w:t>
            </w:r>
            <w:r w:rsidRPr="39FCF525" w:rsidR="24CC523B">
              <w:rPr>
                <w:rFonts w:cs="Arial"/>
                <w:sz w:val="22"/>
                <w:szCs w:val="22"/>
              </w:rPr>
              <w:t xml:space="preserve">- however following the review period the programme value will increase to £3.02 million </w:t>
            </w:r>
          </w:p>
        </w:tc>
        <w:tc>
          <w:tcPr>
            <w:tcW w:w="3209" w:type="dxa"/>
            <w:tcBorders>
              <w:top w:val="dotted" w:color="000000" w:themeColor="text1" w:sz="2" w:space="0"/>
              <w:left w:val="dotted" w:color="000000" w:themeColor="text1" w:sz="2" w:space="0"/>
              <w:bottom w:val="dotted" w:color="000000" w:themeColor="text1" w:sz="2" w:space="0"/>
              <w:right w:val="single" w:color="000000" w:themeColor="text1" w:sz="4" w:space="0"/>
            </w:tcBorders>
            <w:tcMar/>
            <w:hideMark/>
          </w:tcPr>
          <w:p w:rsidRPr="002C108D" w:rsidR="004D2FC0" w:rsidP="00FC16A6" w:rsidRDefault="004D2FC0" w14:paraId="5E522675" w14:textId="5260F564">
            <w:pPr>
              <w:rPr>
                <w:rFonts w:cs="Arial"/>
                <w:bCs/>
                <w:sz w:val="22"/>
                <w:szCs w:val="22"/>
              </w:rPr>
            </w:pPr>
            <w:r w:rsidRPr="003F6641">
              <w:rPr>
                <w:rFonts w:cs="Arial"/>
                <w:b/>
                <w:sz w:val="22"/>
                <w:szCs w:val="22"/>
              </w:rPr>
              <w:t xml:space="preserve">Review date: </w:t>
            </w:r>
            <w:r w:rsidR="002C108D">
              <w:rPr>
                <w:rFonts w:cs="Arial"/>
                <w:bCs/>
                <w:sz w:val="22"/>
                <w:szCs w:val="22"/>
              </w:rPr>
              <w:t xml:space="preserve">January 2026 – July 2026 </w:t>
            </w:r>
          </w:p>
        </w:tc>
      </w:tr>
      <w:tr w:rsidRPr="003F6641" w:rsidR="004D2FC0" w:rsidTr="38376D8C" w14:paraId="4F6467CB" w14:textId="77777777">
        <w:trPr>
          <w:trHeight w:val="300"/>
        </w:trPr>
        <w:tc>
          <w:tcPr>
            <w:tcW w:w="3397" w:type="dxa"/>
            <w:tcBorders>
              <w:top w:val="dotted" w:color="000000" w:themeColor="text1" w:sz="2" w:space="0"/>
              <w:left w:val="single" w:color="auto" w:sz="4" w:space="0"/>
              <w:bottom w:val="single" w:color="auto" w:sz="4" w:space="0"/>
              <w:right w:val="dotted" w:color="000000" w:themeColor="text1" w:sz="2" w:space="0"/>
            </w:tcBorders>
            <w:tcMar/>
          </w:tcPr>
          <w:p w:rsidRPr="004A68C5" w:rsidR="00E23E7F" w:rsidP="00E23E7F" w:rsidRDefault="004D2FC0" w14:paraId="06CD2B2E" w14:textId="6899E75E">
            <w:pPr>
              <w:rPr>
                <w:rFonts w:cs="Arial"/>
                <w:sz w:val="22"/>
                <w:szCs w:val="22"/>
                <w:lang w:val="fr-FR"/>
              </w:rPr>
            </w:pPr>
            <w:r w:rsidRPr="004A68C5">
              <w:rPr>
                <w:rFonts w:cs="Arial"/>
                <w:b/>
                <w:sz w:val="22"/>
                <w:szCs w:val="22"/>
                <w:lang w:val="fr-FR"/>
              </w:rPr>
              <w:t xml:space="preserve">Programme Code: </w:t>
            </w:r>
            <w:r w:rsidRPr="00E23E7F" w:rsidR="00E23E7F">
              <w:rPr>
                <w:rFonts w:cs="Arial"/>
                <w:bCs/>
                <w:sz w:val="22"/>
                <w:szCs w:val="22"/>
                <w:lang w:val="fr-FR"/>
              </w:rPr>
              <w:t>GB-GOV-25-ICF-0054-UNFCCC</w:t>
            </w:r>
          </w:p>
          <w:p w:rsidRPr="004A68C5" w:rsidR="004D2FC0" w:rsidP="00FC16A6" w:rsidRDefault="004D2FC0" w14:paraId="07FE2881" w14:textId="6573A6C2">
            <w:pPr>
              <w:rPr>
                <w:rFonts w:cs="Arial"/>
                <w:sz w:val="22"/>
                <w:szCs w:val="22"/>
                <w:lang w:val="fr-FR"/>
              </w:rPr>
            </w:pPr>
          </w:p>
        </w:tc>
        <w:tc>
          <w:tcPr>
            <w:tcW w:w="2410" w:type="dxa"/>
            <w:tcBorders>
              <w:top w:val="dotted" w:color="000000" w:themeColor="text1" w:sz="2" w:space="0"/>
              <w:left w:val="dotted" w:color="000000" w:themeColor="text1" w:sz="2" w:space="0"/>
              <w:bottom w:val="single" w:color="000000" w:themeColor="text1" w:sz="4" w:space="0"/>
              <w:right w:val="dotted" w:color="000000" w:themeColor="text1" w:sz="2" w:space="0"/>
            </w:tcBorders>
            <w:tcMar/>
            <w:hideMark/>
          </w:tcPr>
          <w:p w:rsidRPr="003F6641" w:rsidR="004D2FC0" w:rsidP="00FC16A6" w:rsidRDefault="004D2FC0" w14:paraId="3C649775" w14:textId="2DF5B29F">
            <w:pPr>
              <w:rPr>
                <w:rFonts w:cs="Arial"/>
                <w:b/>
                <w:sz w:val="22"/>
                <w:szCs w:val="22"/>
              </w:rPr>
            </w:pPr>
            <w:r w:rsidRPr="003F6641">
              <w:rPr>
                <w:rFonts w:cs="Arial"/>
                <w:b/>
                <w:sz w:val="22"/>
                <w:szCs w:val="22"/>
              </w:rPr>
              <w:t>Programme start date:</w:t>
            </w:r>
            <w:r w:rsidRPr="003F6641">
              <w:rPr>
                <w:rFonts w:cs="Arial"/>
                <w:sz w:val="22"/>
                <w:szCs w:val="22"/>
              </w:rPr>
              <w:t xml:space="preserve"> </w:t>
            </w:r>
            <w:r w:rsidR="00E23E7F">
              <w:rPr>
                <w:rFonts w:cs="Arial"/>
                <w:sz w:val="22"/>
                <w:szCs w:val="22"/>
              </w:rPr>
              <w:t>June 2025</w:t>
            </w:r>
          </w:p>
        </w:tc>
        <w:tc>
          <w:tcPr>
            <w:tcW w:w="3209" w:type="dxa"/>
            <w:tcBorders>
              <w:top w:val="dotted" w:color="000000" w:themeColor="text1" w:sz="2" w:space="0"/>
              <w:left w:val="dotted" w:color="000000" w:themeColor="text1" w:sz="2" w:space="0"/>
              <w:bottom w:val="single" w:color="auto" w:sz="4" w:space="0"/>
              <w:right w:val="single" w:color="auto" w:sz="4" w:space="0"/>
            </w:tcBorders>
            <w:tcMar/>
            <w:hideMark/>
          </w:tcPr>
          <w:p w:rsidRPr="003F6641" w:rsidR="004D2FC0" w:rsidP="192F4B15" w:rsidRDefault="232DE763" w14:paraId="7A133EFD" w14:textId="1213E2FD">
            <w:pPr>
              <w:rPr>
                <w:rFonts w:cs="Arial"/>
                <w:sz w:val="22"/>
                <w:szCs w:val="22"/>
              </w:rPr>
            </w:pPr>
            <w:r w:rsidRPr="38376D8C" w:rsidR="232DE763">
              <w:rPr>
                <w:rFonts w:cs="Arial"/>
                <w:b w:val="1"/>
                <w:bCs w:val="1"/>
                <w:sz w:val="22"/>
                <w:szCs w:val="22"/>
              </w:rPr>
              <w:t>Programme end date:</w:t>
            </w:r>
            <w:r w:rsidRPr="38376D8C" w:rsidR="232DE763">
              <w:rPr>
                <w:rFonts w:cs="Arial"/>
                <w:sz w:val="22"/>
                <w:szCs w:val="22"/>
              </w:rPr>
              <w:t xml:space="preserve"> </w:t>
            </w:r>
            <w:r w:rsidRPr="38376D8C" w:rsidR="442AE782">
              <w:rPr>
                <w:rFonts w:cs="Arial"/>
                <w:sz w:val="22"/>
                <w:szCs w:val="22"/>
              </w:rPr>
              <w:t xml:space="preserve">during the review period the programme was expected to end in July 2026 however it was </w:t>
            </w:r>
            <w:r w:rsidRPr="38376D8C" w:rsidR="442AE782">
              <w:rPr>
                <w:rFonts w:cs="Arial"/>
                <w:sz w:val="22"/>
                <w:szCs w:val="22"/>
              </w:rPr>
              <w:t>subsequently</w:t>
            </w:r>
            <w:r w:rsidRPr="38376D8C" w:rsidR="442AE782">
              <w:rPr>
                <w:rFonts w:cs="Arial"/>
                <w:sz w:val="22"/>
                <w:szCs w:val="22"/>
              </w:rPr>
              <w:t xml:space="preserve"> e</w:t>
            </w:r>
            <w:r w:rsidRPr="38376D8C" w:rsidR="004A68C5">
              <w:rPr>
                <w:rFonts w:cs="Arial"/>
                <w:sz w:val="22"/>
                <w:szCs w:val="22"/>
              </w:rPr>
              <w:t>xte</w:t>
            </w:r>
            <w:r w:rsidRPr="38376D8C" w:rsidR="442AE782">
              <w:rPr>
                <w:rFonts w:cs="Arial"/>
                <w:sz w:val="22"/>
                <w:szCs w:val="22"/>
              </w:rPr>
              <w:t xml:space="preserve">nded until FY 27/28 </w:t>
            </w:r>
          </w:p>
        </w:tc>
      </w:tr>
    </w:tbl>
    <w:p w:rsidRPr="003F6641" w:rsidR="004D2FC0" w:rsidP="004D2FC0" w:rsidRDefault="004D2FC0" w14:paraId="44D21F6A" w14:textId="77777777">
      <w:pPr>
        <w:rPr>
          <w:rFonts w:cs="Arial"/>
          <w:b/>
          <w:sz w:val="22"/>
          <w:szCs w:val="22"/>
        </w:rPr>
      </w:pPr>
    </w:p>
    <w:tbl>
      <w:tblPr>
        <w:tblStyle w:val="TableGrid"/>
        <w:tblW w:w="9016" w:type="dxa"/>
        <w:tblLook w:val="04A0" w:firstRow="1" w:lastRow="0" w:firstColumn="1" w:lastColumn="0" w:noHBand="0" w:noVBand="1"/>
      </w:tblPr>
      <w:tblGrid>
        <w:gridCol w:w="2385"/>
        <w:gridCol w:w="871"/>
        <w:gridCol w:w="1230"/>
        <w:gridCol w:w="825"/>
        <w:gridCol w:w="786"/>
        <w:gridCol w:w="773"/>
        <w:gridCol w:w="712"/>
        <w:gridCol w:w="803"/>
        <w:gridCol w:w="631"/>
      </w:tblGrid>
      <w:tr w:rsidRPr="003F6641" w:rsidR="004D2FC0" w:rsidTr="2C9AB5CD" w14:paraId="397F49F6" w14:textId="77777777">
        <w:tc>
          <w:tcPr>
            <w:tcW w:w="2385"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0425EB" w:rsidR="004D2FC0" w:rsidP="00FC16A6" w:rsidRDefault="004D2FC0" w14:paraId="4C0C093D" w14:textId="77777777">
            <w:pPr>
              <w:rPr>
                <w:rFonts w:cs="Arial"/>
                <w:b/>
                <w:bCs/>
                <w:sz w:val="22"/>
                <w:szCs w:val="22"/>
              </w:rPr>
            </w:pPr>
            <w:r w:rsidRPr="000425EB">
              <w:rPr>
                <w:rFonts w:cs="Arial"/>
                <w:b/>
                <w:bCs/>
                <w:sz w:val="22"/>
                <w:szCs w:val="22"/>
              </w:rPr>
              <w:t>Year</w:t>
            </w:r>
          </w:p>
        </w:tc>
        <w:tc>
          <w:tcPr>
            <w:tcW w:w="871" w:type="dxa"/>
            <w:tcBorders>
              <w:top w:val="single" w:color="auto" w:sz="4" w:space="0"/>
              <w:left w:val="single" w:color="auto" w:sz="4" w:space="0"/>
              <w:bottom w:val="single" w:color="auto" w:sz="4" w:space="0"/>
              <w:right w:val="single" w:color="auto" w:sz="4" w:space="0"/>
            </w:tcBorders>
            <w:tcMar/>
          </w:tcPr>
          <w:p w:rsidRPr="003F6641" w:rsidR="004D2FC0" w:rsidP="00FC16A6" w:rsidRDefault="00E23E7F" w14:paraId="04CB39F0" w14:textId="1819EC81">
            <w:pPr>
              <w:rPr>
                <w:rFonts w:cs="Arial"/>
                <w:b/>
                <w:sz w:val="22"/>
                <w:szCs w:val="22"/>
              </w:rPr>
            </w:pPr>
            <w:r>
              <w:rPr>
                <w:rFonts w:cs="Arial"/>
                <w:b/>
                <w:sz w:val="22"/>
                <w:szCs w:val="22"/>
              </w:rPr>
              <w:t>2025</w:t>
            </w:r>
          </w:p>
        </w:tc>
        <w:tc>
          <w:tcPr>
            <w:tcW w:w="1230"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037A5853" w14:textId="213F1AAB">
            <w:pPr/>
            <w:r w:rsidRPr="2BD0F39A" w:rsidR="048682E6">
              <w:rPr>
                <w:rFonts w:cs="Arial"/>
                <w:b w:val="1"/>
                <w:bCs w:val="1"/>
                <w:sz w:val="22"/>
                <w:szCs w:val="22"/>
              </w:rPr>
              <w:t>2026</w:t>
            </w:r>
          </w:p>
        </w:tc>
        <w:tc>
          <w:tcPr>
            <w:tcW w:w="825"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079B1B1B" w14:textId="77777777">
            <w:pPr>
              <w:rPr>
                <w:rFonts w:cs="Arial"/>
                <w:b/>
                <w:sz w:val="22"/>
                <w:szCs w:val="22"/>
              </w:rPr>
            </w:pPr>
          </w:p>
        </w:tc>
        <w:tc>
          <w:tcPr>
            <w:tcW w:w="786"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646BA210" w14:textId="77777777">
            <w:pPr>
              <w:rPr>
                <w:rFonts w:cs="Arial"/>
                <w:b/>
                <w:sz w:val="22"/>
                <w:szCs w:val="22"/>
              </w:rPr>
            </w:pPr>
          </w:p>
        </w:tc>
        <w:tc>
          <w:tcPr>
            <w:tcW w:w="773"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1035360D" w14:textId="77777777">
            <w:pPr>
              <w:rPr>
                <w:rFonts w:cs="Arial"/>
                <w:b/>
                <w:sz w:val="22"/>
                <w:szCs w:val="22"/>
              </w:rPr>
            </w:pPr>
          </w:p>
        </w:tc>
        <w:tc>
          <w:tcPr>
            <w:tcW w:w="712"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64675C53" w14:textId="77777777">
            <w:pPr>
              <w:rPr>
                <w:rFonts w:cs="Arial"/>
                <w:b/>
                <w:sz w:val="22"/>
                <w:szCs w:val="22"/>
              </w:rPr>
            </w:pPr>
          </w:p>
        </w:tc>
        <w:tc>
          <w:tcPr>
            <w:tcW w:w="803"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6C4DC08E" w14:textId="77777777">
            <w:pPr>
              <w:rPr>
                <w:rFonts w:cs="Arial"/>
                <w:b/>
                <w:sz w:val="22"/>
                <w:szCs w:val="22"/>
              </w:rPr>
            </w:pPr>
          </w:p>
        </w:tc>
        <w:tc>
          <w:tcPr>
            <w:tcW w:w="631"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7DE0F0B5" w14:textId="77777777">
            <w:pPr>
              <w:rPr>
                <w:rFonts w:cs="Arial"/>
                <w:b/>
                <w:sz w:val="22"/>
                <w:szCs w:val="22"/>
              </w:rPr>
            </w:pPr>
          </w:p>
        </w:tc>
      </w:tr>
      <w:tr w:rsidRPr="003F6641" w:rsidR="004D2FC0" w:rsidTr="2C9AB5CD" w14:paraId="461D6177" w14:textId="77777777">
        <w:tc>
          <w:tcPr>
            <w:tcW w:w="2385"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0425EB" w:rsidR="004D2FC0" w:rsidP="00FC16A6" w:rsidRDefault="004D2FC0" w14:paraId="63454618" w14:textId="77777777">
            <w:pPr>
              <w:rPr>
                <w:rFonts w:cs="Arial"/>
                <w:b/>
                <w:bCs/>
                <w:sz w:val="22"/>
                <w:szCs w:val="22"/>
              </w:rPr>
            </w:pPr>
            <w:r w:rsidRPr="000425EB">
              <w:rPr>
                <w:rFonts w:cs="Arial"/>
                <w:b/>
                <w:bCs/>
                <w:sz w:val="22"/>
                <w:szCs w:val="22"/>
              </w:rPr>
              <w:t>Overall Output Score</w:t>
            </w:r>
          </w:p>
        </w:tc>
        <w:tc>
          <w:tcPr>
            <w:tcW w:w="871" w:type="dxa"/>
            <w:tcBorders>
              <w:top w:val="single" w:color="auto" w:sz="4" w:space="0"/>
              <w:left w:val="single" w:color="auto" w:sz="4" w:space="0"/>
              <w:bottom w:val="single" w:color="auto" w:sz="4" w:space="0"/>
              <w:right w:val="single" w:color="auto" w:sz="4" w:space="0"/>
            </w:tcBorders>
            <w:tcMar/>
          </w:tcPr>
          <w:p w:rsidRPr="003F6641" w:rsidR="004D2FC0" w:rsidP="00FC16A6" w:rsidRDefault="00E23E7F" w14:paraId="739EFDDA" w14:textId="11FDC3EA">
            <w:pPr>
              <w:rPr>
                <w:rFonts w:cs="Arial"/>
                <w:b/>
                <w:sz w:val="22"/>
                <w:szCs w:val="22"/>
              </w:rPr>
            </w:pPr>
            <w:r>
              <w:rPr>
                <w:rFonts w:cs="Arial"/>
                <w:b/>
                <w:sz w:val="22"/>
                <w:szCs w:val="22"/>
              </w:rPr>
              <w:t>n/a</w:t>
            </w:r>
          </w:p>
        </w:tc>
        <w:tc>
          <w:tcPr>
            <w:tcW w:w="1230"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357D8D0E" w14:textId="1ABE6D39">
            <w:pPr/>
            <w:r w:rsidRPr="2BD0F39A" w:rsidR="270936C5">
              <w:rPr>
                <w:rFonts w:cs="Arial"/>
                <w:b w:val="1"/>
                <w:bCs w:val="1"/>
                <w:sz w:val="22"/>
                <w:szCs w:val="22"/>
              </w:rPr>
              <w:t>A</w:t>
            </w:r>
          </w:p>
        </w:tc>
        <w:tc>
          <w:tcPr>
            <w:tcW w:w="825"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2C992B7A" w14:textId="77777777">
            <w:pPr>
              <w:rPr>
                <w:rFonts w:cs="Arial"/>
                <w:b/>
                <w:sz w:val="22"/>
                <w:szCs w:val="22"/>
              </w:rPr>
            </w:pPr>
          </w:p>
        </w:tc>
        <w:tc>
          <w:tcPr>
            <w:tcW w:w="786"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0B25B58D" w14:textId="77777777">
            <w:pPr>
              <w:rPr>
                <w:rFonts w:cs="Arial"/>
                <w:b/>
                <w:sz w:val="22"/>
                <w:szCs w:val="22"/>
              </w:rPr>
            </w:pPr>
          </w:p>
        </w:tc>
        <w:tc>
          <w:tcPr>
            <w:tcW w:w="773"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40B2879D" w14:textId="77777777">
            <w:pPr>
              <w:rPr>
                <w:rFonts w:cs="Arial"/>
                <w:b/>
                <w:sz w:val="22"/>
                <w:szCs w:val="22"/>
              </w:rPr>
            </w:pPr>
          </w:p>
        </w:tc>
        <w:tc>
          <w:tcPr>
            <w:tcW w:w="712"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1C095E04" w14:textId="77777777">
            <w:pPr>
              <w:rPr>
                <w:rFonts w:cs="Arial"/>
                <w:b/>
                <w:sz w:val="22"/>
                <w:szCs w:val="22"/>
              </w:rPr>
            </w:pPr>
          </w:p>
        </w:tc>
        <w:tc>
          <w:tcPr>
            <w:tcW w:w="803"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2E6879F9" w14:textId="77777777">
            <w:pPr>
              <w:rPr>
                <w:rFonts w:cs="Arial"/>
                <w:b/>
                <w:sz w:val="22"/>
                <w:szCs w:val="22"/>
              </w:rPr>
            </w:pPr>
          </w:p>
        </w:tc>
        <w:tc>
          <w:tcPr>
            <w:tcW w:w="631"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791C19F9" w14:textId="77777777">
            <w:pPr>
              <w:rPr>
                <w:rFonts w:cs="Arial"/>
                <w:b/>
                <w:sz w:val="22"/>
                <w:szCs w:val="22"/>
              </w:rPr>
            </w:pPr>
          </w:p>
        </w:tc>
      </w:tr>
      <w:tr w:rsidRPr="003F6641" w:rsidR="004D2FC0" w:rsidTr="2C9AB5CD" w14:paraId="58491621" w14:textId="77777777">
        <w:trPr>
          <w:trHeight w:val="309"/>
        </w:trPr>
        <w:tc>
          <w:tcPr>
            <w:tcW w:w="2385"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0425EB" w:rsidR="004D2FC0" w:rsidP="00FC16A6" w:rsidRDefault="004D2FC0" w14:paraId="7030DD62" w14:textId="77777777">
            <w:pPr>
              <w:rPr>
                <w:rFonts w:cs="Arial"/>
                <w:b/>
                <w:bCs/>
                <w:sz w:val="22"/>
                <w:szCs w:val="22"/>
              </w:rPr>
            </w:pPr>
            <w:r w:rsidRPr="000425EB">
              <w:rPr>
                <w:rFonts w:cs="Arial"/>
                <w:b/>
                <w:bCs/>
                <w:sz w:val="22"/>
                <w:szCs w:val="22"/>
              </w:rPr>
              <w:t xml:space="preserve">Risk Rating </w:t>
            </w:r>
          </w:p>
        </w:tc>
        <w:tc>
          <w:tcPr>
            <w:tcW w:w="871" w:type="dxa"/>
            <w:tcBorders>
              <w:top w:val="single" w:color="auto" w:sz="4" w:space="0"/>
              <w:left w:val="single" w:color="auto" w:sz="4" w:space="0"/>
              <w:bottom w:val="single" w:color="auto" w:sz="4" w:space="0"/>
              <w:right w:val="single" w:color="auto" w:sz="4" w:space="0"/>
            </w:tcBorders>
            <w:tcMar/>
          </w:tcPr>
          <w:p w:rsidRPr="003F6641" w:rsidR="004D2FC0" w:rsidP="00FC16A6" w:rsidRDefault="00E23E7F" w14:paraId="1DA9D990" w14:textId="113BA2C8">
            <w:pPr>
              <w:rPr>
                <w:rFonts w:cs="Arial"/>
                <w:b/>
                <w:sz w:val="22"/>
                <w:szCs w:val="22"/>
              </w:rPr>
            </w:pPr>
            <w:r>
              <w:rPr>
                <w:rFonts w:cs="Arial"/>
                <w:b/>
                <w:sz w:val="22"/>
                <w:szCs w:val="22"/>
              </w:rPr>
              <w:t>n/a</w:t>
            </w:r>
          </w:p>
        </w:tc>
        <w:tc>
          <w:tcPr>
            <w:tcW w:w="1230"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180C1E97" w14:textId="2E5E7688">
            <w:pPr/>
            <w:r w:rsidRPr="2C9AB5CD" w:rsidR="1512EFF4">
              <w:rPr>
                <w:rFonts w:cs="Arial"/>
                <w:b w:val="1"/>
                <w:bCs w:val="1"/>
                <w:sz w:val="22"/>
                <w:szCs w:val="22"/>
              </w:rPr>
              <w:t>Moderate</w:t>
            </w:r>
          </w:p>
        </w:tc>
        <w:tc>
          <w:tcPr>
            <w:tcW w:w="825"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23FE3FF4" w14:textId="77777777">
            <w:pPr>
              <w:rPr>
                <w:rFonts w:cs="Arial"/>
                <w:b/>
                <w:sz w:val="22"/>
                <w:szCs w:val="22"/>
              </w:rPr>
            </w:pPr>
          </w:p>
        </w:tc>
        <w:tc>
          <w:tcPr>
            <w:tcW w:w="786"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6BE836D9" w14:textId="77777777">
            <w:pPr>
              <w:rPr>
                <w:rFonts w:cs="Arial"/>
                <w:b/>
                <w:sz w:val="22"/>
                <w:szCs w:val="22"/>
              </w:rPr>
            </w:pPr>
          </w:p>
        </w:tc>
        <w:tc>
          <w:tcPr>
            <w:tcW w:w="773"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468D2069" w14:textId="77777777">
            <w:pPr>
              <w:rPr>
                <w:rFonts w:cs="Arial"/>
                <w:b/>
                <w:sz w:val="22"/>
                <w:szCs w:val="22"/>
              </w:rPr>
            </w:pPr>
          </w:p>
        </w:tc>
        <w:tc>
          <w:tcPr>
            <w:tcW w:w="712"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2F214678" w14:textId="77777777">
            <w:pPr>
              <w:rPr>
                <w:rFonts w:cs="Arial"/>
                <w:b/>
                <w:sz w:val="22"/>
                <w:szCs w:val="22"/>
              </w:rPr>
            </w:pPr>
          </w:p>
        </w:tc>
        <w:tc>
          <w:tcPr>
            <w:tcW w:w="803"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2A9939C5" w14:textId="77777777">
            <w:pPr>
              <w:rPr>
                <w:rFonts w:cs="Arial"/>
                <w:b/>
                <w:sz w:val="22"/>
                <w:szCs w:val="22"/>
              </w:rPr>
            </w:pPr>
          </w:p>
        </w:tc>
        <w:tc>
          <w:tcPr>
            <w:tcW w:w="631" w:type="dxa"/>
            <w:tcBorders>
              <w:top w:val="single" w:color="auto" w:sz="4" w:space="0"/>
              <w:left w:val="single" w:color="auto" w:sz="4" w:space="0"/>
              <w:bottom w:val="single" w:color="auto" w:sz="4" w:space="0"/>
              <w:right w:val="single" w:color="auto" w:sz="4" w:space="0"/>
            </w:tcBorders>
            <w:tcMar/>
          </w:tcPr>
          <w:p w:rsidRPr="003F6641" w:rsidR="004D2FC0" w:rsidP="00FC16A6" w:rsidRDefault="004D2FC0" w14:paraId="5349FBAE" w14:textId="77777777">
            <w:pPr>
              <w:rPr>
                <w:rFonts w:cs="Arial"/>
                <w:b/>
                <w:sz w:val="22"/>
                <w:szCs w:val="22"/>
              </w:rPr>
            </w:pPr>
          </w:p>
        </w:tc>
      </w:tr>
    </w:tbl>
    <w:p w:rsidRPr="003F6641" w:rsidR="004D2FC0" w:rsidP="004D2FC0" w:rsidRDefault="004D2FC0" w14:paraId="06E2DA9D" w14:textId="77777777">
      <w:pPr>
        <w:rPr>
          <w:rFonts w:cs="Arial"/>
          <w:b/>
          <w:sz w:val="22"/>
          <w:szCs w:val="22"/>
        </w:rPr>
      </w:pPr>
    </w:p>
    <w:tbl>
      <w:tblPr>
        <w:tblStyle w:val="TableGrid"/>
        <w:tblW w:w="0" w:type="auto"/>
        <w:tblInd w:w="-5" w:type="dxa"/>
        <w:tblLook w:val="04A0" w:firstRow="1" w:lastRow="0" w:firstColumn="1" w:lastColumn="0" w:noHBand="0" w:noVBand="1"/>
      </w:tblPr>
      <w:tblGrid>
        <w:gridCol w:w="3969"/>
        <w:gridCol w:w="5052"/>
      </w:tblGrid>
      <w:tr w:rsidRPr="003F6641" w:rsidR="004D2FC0" w:rsidTr="6A9B180F" w14:paraId="4FEBD36E" w14:textId="77777777">
        <w:trPr>
          <w:trHeight w:val="355"/>
        </w:trPr>
        <w:tc>
          <w:tcPr>
            <w:tcW w:w="3969" w:type="dxa"/>
            <w:shd w:val="clear" w:color="auto" w:fill="DEEAF6" w:themeFill="accent5" w:themeFillTint="33"/>
            <w:hideMark/>
          </w:tcPr>
          <w:p w:rsidRPr="000425EB" w:rsidR="004D2FC0" w:rsidP="00FC16A6" w:rsidRDefault="004D2FC0" w14:paraId="47E97EB8" w14:textId="77777777">
            <w:pPr>
              <w:rPr>
                <w:rFonts w:cs="Arial"/>
                <w:b/>
                <w:sz w:val="22"/>
                <w:szCs w:val="22"/>
              </w:rPr>
            </w:pPr>
            <w:r w:rsidRPr="000425EB">
              <w:rPr>
                <w:rFonts w:cs="Arial"/>
                <w:b/>
                <w:sz w:val="22"/>
                <w:szCs w:val="22"/>
              </w:rPr>
              <w:t xml:space="preserve">Link to Business Case: </w:t>
            </w:r>
          </w:p>
        </w:tc>
        <w:tc>
          <w:tcPr>
            <w:tcW w:w="5052" w:type="dxa"/>
          </w:tcPr>
          <w:p w:rsidRPr="003F6641" w:rsidR="004D2FC0" w:rsidP="00FC16A6" w:rsidRDefault="004D2FC0" w14:paraId="63AF2FD5" w14:textId="77777777">
            <w:pPr>
              <w:rPr>
                <w:rFonts w:cs="Arial"/>
                <w:bCs/>
                <w:i/>
                <w:iCs/>
                <w:sz w:val="22"/>
                <w:szCs w:val="22"/>
              </w:rPr>
            </w:pPr>
            <w:r w:rsidRPr="003F6641">
              <w:rPr>
                <w:rFonts w:cs="Arial"/>
                <w:bCs/>
                <w:i/>
                <w:iCs/>
                <w:sz w:val="22"/>
                <w:szCs w:val="22"/>
              </w:rPr>
              <w:t>Devtracker Link – If not published, ensure it is published before or alongside the Annual Review</w:t>
            </w:r>
          </w:p>
          <w:p w:rsidRPr="003F6641" w:rsidR="004D2FC0" w:rsidP="00FC16A6" w:rsidRDefault="004D2FC0" w14:paraId="52CAFA29" w14:textId="77777777">
            <w:pPr>
              <w:rPr>
                <w:rFonts w:cs="Arial"/>
                <w:bCs/>
                <w:i/>
                <w:iCs/>
                <w:sz w:val="22"/>
                <w:szCs w:val="22"/>
              </w:rPr>
            </w:pPr>
          </w:p>
        </w:tc>
      </w:tr>
      <w:tr w:rsidRPr="003F6641" w:rsidR="004D2FC0" w:rsidTr="6A9B180F" w14:paraId="728A7692" w14:textId="77777777">
        <w:trPr>
          <w:trHeight w:val="403"/>
        </w:trPr>
        <w:tc>
          <w:tcPr>
            <w:tcW w:w="3969" w:type="dxa"/>
            <w:shd w:val="clear" w:color="auto" w:fill="DEEAF6" w:themeFill="accent5" w:themeFillTint="33"/>
            <w:hideMark/>
          </w:tcPr>
          <w:p w:rsidRPr="000425EB" w:rsidR="004D2FC0" w:rsidP="00FC16A6" w:rsidRDefault="004D2FC0" w14:paraId="251B0951" w14:textId="77777777">
            <w:pPr>
              <w:rPr>
                <w:rFonts w:cs="Arial"/>
                <w:b/>
                <w:i/>
                <w:sz w:val="22"/>
                <w:szCs w:val="22"/>
              </w:rPr>
            </w:pPr>
            <w:r w:rsidRPr="000425EB">
              <w:rPr>
                <w:rFonts w:cs="Arial"/>
                <w:b/>
                <w:sz w:val="22"/>
                <w:szCs w:val="22"/>
              </w:rPr>
              <w:t xml:space="preserve">Link to Logframe: </w:t>
            </w:r>
          </w:p>
        </w:tc>
        <w:tc>
          <w:tcPr>
            <w:tcW w:w="5052" w:type="dxa"/>
          </w:tcPr>
          <w:p w:rsidRPr="003F6641" w:rsidR="004D2FC0" w:rsidP="00FC16A6" w:rsidRDefault="004D2FC0" w14:paraId="1941208D" w14:textId="77777777">
            <w:pPr>
              <w:rPr>
                <w:rFonts w:cs="Arial"/>
                <w:bCs/>
                <w:i/>
                <w:iCs/>
                <w:sz w:val="22"/>
                <w:szCs w:val="22"/>
              </w:rPr>
            </w:pPr>
            <w:r w:rsidRPr="003F6641">
              <w:rPr>
                <w:rFonts w:cs="Arial"/>
                <w:bCs/>
                <w:i/>
                <w:iCs/>
                <w:sz w:val="22"/>
                <w:szCs w:val="22"/>
              </w:rPr>
              <w:t>Devtracker Link – If not published, ensure it is published before or alongside the Annual Review</w:t>
            </w:r>
          </w:p>
        </w:tc>
      </w:tr>
      <w:tr w:rsidRPr="003F6641" w:rsidR="004D2FC0" w:rsidTr="6A9B180F" w14:paraId="240D100A" w14:textId="77777777">
        <w:trPr>
          <w:trHeight w:val="403"/>
        </w:trPr>
        <w:tc>
          <w:tcPr>
            <w:tcW w:w="3969" w:type="dxa"/>
            <w:shd w:val="clear" w:color="auto" w:fill="DEEAF6" w:themeFill="accent5" w:themeFillTint="33"/>
          </w:tcPr>
          <w:p w:rsidRPr="000425EB" w:rsidR="004D2FC0" w:rsidP="00FC16A6" w:rsidRDefault="004D2FC0" w14:paraId="44F3A577" w14:textId="77777777">
            <w:pPr>
              <w:rPr>
                <w:rFonts w:cs="Arial"/>
                <w:b/>
                <w:sz w:val="22"/>
                <w:szCs w:val="22"/>
              </w:rPr>
            </w:pPr>
            <w:r w:rsidRPr="000425EB">
              <w:rPr>
                <w:rFonts w:cs="Arial"/>
                <w:b/>
                <w:sz w:val="22"/>
                <w:szCs w:val="22"/>
              </w:rPr>
              <w:t xml:space="preserve">Link to previous Annual Review </w:t>
            </w:r>
            <w:r w:rsidRPr="000425EB">
              <w:rPr>
                <w:rFonts w:cs="Arial"/>
                <w:bCs/>
                <w:sz w:val="22"/>
                <w:szCs w:val="22"/>
              </w:rPr>
              <w:t>(if appropriate)</w:t>
            </w:r>
          </w:p>
        </w:tc>
        <w:tc>
          <w:tcPr>
            <w:tcW w:w="5052" w:type="dxa"/>
          </w:tcPr>
          <w:p w:rsidRPr="003F6641" w:rsidR="004D2FC0" w:rsidP="6A9B180F" w:rsidRDefault="6055012D" w14:paraId="521FABC2" w14:textId="52AD4C76">
            <w:pPr>
              <w:rPr>
                <w:rFonts w:eastAsia="Arial" w:cs="Arial"/>
                <w:sz w:val="22"/>
                <w:szCs w:val="22"/>
              </w:rPr>
            </w:pPr>
            <w:hyperlink r:id="rId16">
              <w:r w:rsidRPr="6A9B180F">
                <w:rPr>
                  <w:rStyle w:val="Hyperlink"/>
                </w:rPr>
                <w:t>UNFCCC REDD+ Annual Review.docx</w:t>
              </w:r>
            </w:hyperlink>
          </w:p>
        </w:tc>
      </w:tr>
    </w:tbl>
    <w:p w:rsidRPr="006C516E" w:rsidR="004D2FC0" w:rsidP="006C516E" w:rsidRDefault="004D2FC0" w14:paraId="5A54EF7F" w14:textId="77777777"/>
    <w:p w:rsidRPr="009E3F6E" w:rsidR="003D222C" w:rsidP="004D5FD5" w:rsidRDefault="791E9845" w14:paraId="7A642962" w14:textId="3BA91679">
      <w:pPr>
        <w:jc w:val="both"/>
      </w:pPr>
      <w:bookmarkStart w:name="_Toc1104039963" w:id="3"/>
      <w:r w:rsidRPr="0B5ACFBB">
        <w:rPr>
          <w:rStyle w:val="Heading2Char"/>
        </w:rPr>
        <w:t>Description of programme</w:t>
      </w:r>
      <w:bookmarkEnd w:id="3"/>
      <w:r>
        <w:t xml:space="preserve"> </w:t>
      </w:r>
    </w:p>
    <w:p w:rsidRPr="00D80C6C" w:rsidR="003D222C" w:rsidP="004D5FD5" w:rsidRDefault="003D222C" w14:paraId="6F9482AB" w14:textId="77777777">
      <w:pPr>
        <w:jc w:val="both"/>
        <w:rPr>
          <w:rFonts w:cs="Arial"/>
          <w:b/>
          <w:sz w:val="22"/>
          <w:szCs w:val="22"/>
        </w:rPr>
      </w:pPr>
    </w:p>
    <w:p w:rsidRPr="00A02E96" w:rsidR="00A02E96" w:rsidP="00A02E96" w:rsidRDefault="00A02E96" w14:paraId="713F8E39" w14:textId="77777777">
      <w:pPr>
        <w:rPr>
          <w:rFonts w:cs="Arial"/>
          <w:sz w:val="22"/>
          <w:szCs w:val="22"/>
        </w:rPr>
      </w:pPr>
      <w:r w:rsidRPr="00A02E96">
        <w:rPr>
          <w:rFonts w:cs="Arial"/>
          <w:sz w:val="22"/>
          <w:szCs w:val="22"/>
        </w:rPr>
        <w:t>The UNFCCC REDD+ Support Programme is a UK ODA funded (ICF) programme delivered by the UN Framework Convention on Climate Change (UNFCCC) Secretariat, through its Agriculture, Forestry and Other Land Use (AFOLU) Unit. The programme seeks to increase climate ambition and mitigation impact in the forests and land use sector and enhance transparency on emissions reductions/removals and payments under Article 5.2 of the Paris Agreement. Specifically, it supports implementation of the Warsaw Framework for REDD+ (WFR) by enabling the AFOLU Unit to deliver mandated support services to developing country Parties engaging in REDD+ and seeking to access UNFCCC-aligned results-based payments. The programme includes a particular focus on strengthening voluntary safeguards reporting, which has not received as much attention as the emissions reductions/removals monitoring, verification and reporting (MRV) elements of WFR reporting. Another important component of the programme is supporting learning and knowledge exchange, particularly through in-person, peer-to-peer and South-South exchange between REDD+ national focal points. This includes helping countries to better understand Article 5 and Article 6 linkages in the context of REDD+. The programme is also supporting online knowledge exchange and learning and greater transparency through upgrades to the UNFCCC REDD+ Web Platform and the Lima REDD+ Information Hub, respectively.  </w:t>
      </w:r>
    </w:p>
    <w:p w:rsidRPr="00A02E96" w:rsidR="00A02E96" w:rsidP="00A02E96" w:rsidRDefault="00A02E96" w14:paraId="2E4018E5" w14:textId="77777777">
      <w:pPr>
        <w:jc w:val="both"/>
        <w:rPr>
          <w:rFonts w:cs="Arial"/>
          <w:sz w:val="22"/>
          <w:szCs w:val="22"/>
        </w:rPr>
      </w:pPr>
      <w:r w:rsidRPr="00A02E96">
        <w:rPr>
          <w:rFonts w:cs="Arial"/>
          <w:sz w:val="22"/>
          <w:szCs w:val="22"/>
        </w:rPr>
        <w:t> </w:t>
      </w:r>
    </w:p>
    <w:p w:rsidRPr="00A02E96" w:rsidR="00A02E96" w:rsidP="395A1C5C" w:rsidRDefault="00A02E96" w14:paraId="6C07CA27" w14:textId="289443C8">
      <w:pPr>
        <w:rPr>
          <w:rFonts w:cs="Arial"/>
          <w:sz w:val="22"/>
          <w:szCs w:val="22"/>
        </w:rPr>
      </w:pPr>
      <w:r w:rsidRPr="352FA995" w:rsidR="00A02E96">
        <w:rPr>
          <w:rFonts w:cs="Arial"/>
          <w:sz w:val="22"/>
          <w:szCs w:val="22"/>
        </w:rPr>
        <w:t>The UK contribution to the AFOLU Unit is </w:t>
      </w:r>
      <w:r w:rsidRPr="352FA995" w:rsidR="00A02E96">
        <w:rPr>
          <w:rFonts w:cs="Arial"/>
          <w:sz w:val="22"/>
          <w:szCs w:val="22"/>
        </w:rPr>
        <w:t>additional</w:t>
      </w:r>
      <w:r w:rsidRPr="352FA995" w:rsidR="00A02E96">
        <w:rPr>
          <w:rFonts w:cs="Arial"/>
          <w:sz w:val="22"/>
          <w:szCs w:val="22"/>
        </w:rPr>
        <w:t> to our annual core and any other voluntary supplementary contributions to the UNFCCC. The UK contribution forms part of a wider multi-donor effort to sustain the UNFCCC AFOLU Unit. While other donors, including Germany, Norway and Switzerland contribute to the AFOLU Unit, UK funding supports a discrete set of REDD+ activities that were ringfenced within the Unit to enable clear attribution for UK ODA reporting; these were not co-funded by other donors. </w:t>
      </w:r>
      <w:r w:rsidRPr="352FA995" w:rsidR="00A02E96">
        <w:rPr>
          <w:rFonts w:cs="Arial"/>
          <w:sz w:val="22"/>
          <w:szCs w:val="22"/>
        </w:rPr>
        <w:t>All activities listed in the A/R are attributable to UK funding within the AFOLU Unit, and not co-funded activities</w:t>
      </w:r>
      <w:r w:rsidRPr="352FA995" w:rsidR="00A02E96">
        <w:rPr>
          <w:rFonts w:cs="Arial"/>
          <w:sz w:val="22"/>
          <w:szCs w:val="22"/>
        </w:rPr>
        <w:t>. UK funding plays a catalytic role by helping to fill </w:t>
      </w:r>
      <w:r w:rsidRPr="352FA995" w:rsidR="00A02E96">
        <w:rPr>
          <w:rFonts w:cs="Arial"/>
          <w:sz w:val="22"/>
          <w:szCs w:val="22"/>
        </w:rPr>
        <w:t>anticipated</w:t>
      </w:r>
      <w:r w:rsidRPr="352FA995" w:rsidR="00A02E96">
        <w:rPr>
          <w:rFonts w:cs="Arial"/>
          <w:sz w:val="22"/>
          <w:szCs w:val="22"/>
        </w:rPr>
        <w:t> funding gaps and enabling </w:t>
      </w:r>
      <w:r w:rsidRPr="352FA995" w:rsidR="00A02E96">
        <w:rPr>
          <w:rFonts w:cs="Arial"/>
          <w:sz w:val="22"/>
          <w:szCs w:val="22"/>
        </w:rPr>
        <w:t>additional</w:t>
      </w:r>
      <w:r w:rsidRPr="352FA995" w:rsidR="00A02E96">
        <w:rPr>
          <w:rFonts w:cs="Arial"/>
          <w:sz w:val="22"/>
          <w:szCs w:val="22"/>
        </w:rPr>
        <w:t> technical assessments, analytical </w:t>
      </w:r>
      <w:r w:rsidRPr="352FA995" w:rsidR="00A02E96">
        <w:rPr>
          <w:rFonts w:cs="Arial"/>
          <w:sz w:val="22"/>
          <w:szCs w:val="22"/>
        </w:rPr>
        <w:t>work</w:t>
      </w:r>
      <w:r w:rsidRPr="352FA995" w:rsidR="00A02E96">
        <w:rPr>
          <w:rFonts w:cs="Arial"/>
          <w:sz w:val="22"/>
          <w:szCs w:val="22"/>
        </w:rPr>
        <w:t> and coordination activities beyond the UNFCCC core budget. Oversight of the UK-funded </w:t>
      </w:r>
      <w:r w:rsidRPr="352FA995" w:rsidR="00A02E96">
        <w:rPr>
          <w:rFonts w:cs="Arial"/>
          <w:sz w:val="22"/>
          <w:szCs w:val="22"/>
        </w:rPr>
        <w:t>component</w:t>
      </w:r>
      <w:r w:rsidRPr="352FA995" w:rsidR="00A02E96">
        <w:rPr>
          <w:rFonts w:cs="Arial"/>
          <w:sz w:val="22"/>
          <w:szCs w:val="22"/>
        </w:rPr>
        <w:t> is provided by the Department for Energy Security and Net Zero (DESNZ) International Forests Unit (IFU), with monitoring, evaluation and learning arrangements agreed jointly with the delivery partner.  </w:t>
      </w:r>
    </w:p>
    <w:p w:rsidR="00A02E96" w:rsidP="00A02E96" w:rsidRDefault="00A02E96" w14:paraId="01E32685" w14:textId="26EAF0C0">
      <w:pPr>
        <w:jc w:val="both"/>
        <w:rPr>
          <w:rFonts w:cs="Arial"/>
          <w:sz w:val="22"/>
          <w:szCs w:val="22"/>
        </w:rPr>
      </w:pPr>
    </w:p>
    <w:p w:rsidRPr="002B2154" w:rsidR="002B2154" w:rsidP="002B2154" w:rsidRDefault="002B2154" w14:paraId="739128F4" w14:textId="243A09CD">
      <w:pPr>
        <w:jc w:val="both"/>
        <w:rPr>
          <w:rFonts w:cs="Arial"/>
          <w:sz w:val="22"/>
          <w:szCs w:val="22"/>
        </w:rPr>
      </w:pPr>
      <w:r w:rsidRPr="002B2154">
        <w:rPr>
          <w:rFonts w:cs="Arial"/>
          <w:sz w:val="22"/>
          <w:szCs w:val="22"/>
        </w:rPr>
        <w:t>The Business Case originally envisaged a four-year implementation period. Following approval, finalisation of the Logframe and Contribution Arrangement was paused pending confirmation of the available ODA funding profile. In June 2025, £1.34m was confirmed for FY2025/26; the Contribution Arrangement was updated to a single year allocation and signed in mid-June, with funds disbursed at the start of July 2025. The implementation plan and </w:t>
      </w:r>
      <w:r w:rsidR="00C10E33">
        <w:rPr>
          <w:rFonts w:cs="Arial"/>
          <w:sz w:val="22"/>
          <w:szCs w:val="22"/>
        </w:rPr>
        <w:t>L</w:t>
      </w:r>
      <w:r w:rsidRPr="002B2154">
        <w:rPr>
          <w:rFonts w:cs="Arial"/>
          <w:sz w:val="22"/>
          <w:szCs w:val="22"/>
        </w:rPr>
        <w:t>ogframe were correspondingly adjusted to a one-year delivery period to ensure proportionality, realistic sequencing and alignment with the approved timeframe.  </w:t>
      </w:r>
    </w:p>
    <w:p w:rsidR="002B2154" w:rsidP="00A02E96" w:rsidRDefault="002B2154" w14:paraId="36D658CC" w14:textId="77777777">
      <w:pPr>
        <w:jc w:val="both"/>
        <w:rPr>
          <w:rFonts w:cs="Arial"/>
          <w:sz w:val="22"/>
          <w:szCs w:val="22"/>
        </w:rPr>
      </w:pPr>
    </w:p>
    <w:p w:rsidRPr="00A02E96" w:rsidR="00AF5AC4" w:rsidP="00A02E96" w:rsidRDefault="3A60D487" w14:paraId="53A168FC" w14:textId="73880141">
      <w:pPr>
        <w:jc w:val="both"/>
        <w:rPr>
          <w:rFonts w:cs="Arial"/>
          <w:sz w:val="22"/>
          <w:szCs w:val="22"/>
        </w:rPr>
      </w:pPr>
      <w:r w:rsidRPr="4D464D72">
        <w:rPr>
          <w:rFonts w:cs="Arial"/>
          <w:sz w:val="22"/>
          <w:szCs w:val="22"/>
        </w:rPr>
        <w:t>The first annual review of the programme took place in January 2026 and covered the period July – December 2025. Due to delays to funding confirmation and transmission of funds</w:t>
      </w:r>
      <w:r w:rsidRPr="4D464D72" w:rsidR="21E6C8F5">
        <w:rPr>
          <w:rFonts w:cs="Arial"/>
          <w:sz w:val="22"/>
          <w:szCs w:val="22"/>
        </w:rPr>
        <w:t>, the initial part of that review period focused primarily on programme mobilisation and detail planning, with limited scope for delivery of assessable outputs. Therefore</w:t>
      </w:r>
      <w:r w:rsidRPr="4D464D72" w:rsidR="7C26D6AA">
        <w:rPr>
          <w:rFonts w:cs="Arial"/>
          <w:sz w:val="22"/>
          <w:szCs w:val="22"/>
        </w:rPr>
        <w:t>,</w:t>
      </w:r>
      <w:r w:rsidRPr="4D464D72" w:rsidR="21E6C8F5">
        <w:rPr>
          <w:rFonts w:cs="Arial"/>
          <w:sz w:val="22"/>
          <w:szCs w:val="22"/>
        </w:rPr>
        <w:t xml:space="preserve"> it was decided</w:t>
      </w:r>
      <w:r w:rsidRPr="4D464D72" w:rsidR="7C26D6AA">
        <w:rPr>
          <w:rFonts w:cs="Arial"/>
          <w:sz w:val="22"/>
          <w:szCs w:val="22"/>
        </w:rPr>
        <w:t xml:space="preserve"> that the first annual review would be light-touch and unscored. This will be the first scored annual review of the programme. </w:t>
      </w:r>
      <w:r w:rsidRPr="4D464D72" w:rsidR="58DB62AD">
        <w:rPr>
          <w:rFonts w:cs="Arial"/>
          <w:sz w:val="22"/>
          <w:szCs w:val="22"/>
        </w:rPr>
        <w:t xml:space="preserve">Going forward, there will only be single annual review per year for the programme – the timeframes and subsequent delays to the implementation of the programme necessitated conducting two annual reviews within the same year. </w:t>
      </w:r>
    </w:p>
    <w:p w:rsidRPr="00D80C6C" w:rsidR="003D222C" w:rsidP="00172EB4" w:rsidRDefault="00A02E96" w14:paraId="36448C51" w14:textId="4BA6291D">
      <w:pPr>
        <w:jc w:val="both"/>
      </w:pPr>
      <w:r w:rsidRPr="3DE32A1D">
        <w:rPr>
          <w:rFonts w:cs="Arial"/>
          <w:sz w:val="22"/>
          <w:szCs w:val="22"/>
        </w:rPr>
        <w:t> </w:t>
      </w:r>
    </w:p>
    <w:p w:rsidR="2A18A1B9" w:rsidP="7EAE0D31" w:rsidRDefault="74AB41EC" w14:paraId="2C616893" w14:textId="7091B483">
      <w:pPr>
        <w:jc w:val="both"/>
        <w:rPr>
          <w:rFonts w:eastAsia="Arial" w:cs="Arial"/>
          <w:sz w:val="22"/>
          <w:szCs w:val="22"/>
        </w:rPr>
      </w:pPr>
      <w:r w:rsidRPr="135A21B0" w:rsidR="74AB41EC">
        <w:rPr>
          <w:rFonts w:eastAsia="Arial" w:cs="Arial"/>
          <w:sz w:val="22"/>
          <w:szCs w:val="22"/>
        </w:rPr>
        <w:t>In May 2026, f</w:t>
      </w:r>
      <w:r w:rsidRPr="135A21B0" w:rsidR="4B4FF237">
        <w:rPr>
          <w:rFonts w:eastAsia="Arial" w:cs="Arial"/>
          <w:sz w:val="22"/>
          <w:szCs w:val="22"/>
        </w:rPr>
        <w:t>ollowing internal DESNZ portfolio review processes, it was confirmed that the UNFCCC REDD+ Support Programme would receive</w:t>
      </w:r>
      <w:r w:rsidRPr="135A21B0" w:rsidR="6E629221">
        <w:rPr>
          <w:rFonts w:eastAsia="Arial" w:cs="Arial"/>
          <w:sz w:val="22"/>
          <w:szCs w:val="22"/>
        </w:rPr>
        <w:t xml:space="preserve"> </w:t>
      </w:r>
      <w:r w:rsidRPr="135A21B0" w:rsidR="4B4FF237">
        <w:rPr>
          <w:rFonts w:eastAsia="Arial" w:cs="Arial"/>
          <w:sz w:val="22"/>
          <w:szCs w:val="22"/>
        </w:rPr>
        <w:t>the remaining</w:t>
      </w:r>
      <w:r w:rsidRPr="135A21B0" w:rsidR="13FB30A9">
        <w:rPr>
          <w:rFonts w:eastAsia="Arial" w:cs="Arial"/>
          <w:sz w:val="22"/>
          <w:szCs w:val="22"/>
        </w:rPr>
        <w:t xml:space="preserve"> </w:t>
      </w:r>
      <w:r w:rsidRPr="135A21B0" w:rsidR="4B4FF237">
        <w:rPr>
          <w:rFonts w:eastAsia="Arial" w:cs="Arial"/>
          <w:sz w:val="22"/>
          <w:szCs w:val="22"/>
        </w:rPr>
        <w:t>£1,672,628 of funding</w:t>
      </w:r>
      <w:r w:rsidRPr="135A21B0" w:rsidR="17EECE7F">
        <w:rPr>
          <w:rFonts w:eastAsia="Arial" w:cs="Arial"/>
          <w:sz w:val="22"/>
          <w:szCs w:val="22"/>
        </w:rPr>
        <w:t>, taking the programme budget up to the original £3.02 million</w:t>
      </w:r>
      <w:r w:rsidRPr="135A21B0" w:rsidR="4759E62B">
        <w:rPr>
          <w:rFonts w:eastAsia="Arial" w:cs="Arial"/>
          <w:sz w:val="22"/>
          <w:szCs w:val="22"/>
        </w:rPr>
        <w:t xml:space="preserve"> and it would </w:t>
      </w:r>
      <w:r w:rsidRPr="135A21B0" w:rsidR="24F2E4AC">
        <w:rPr>
          <w:rFonts w:eastAsia="Arial" w:cs="Arial"/>
          <w:sz w:val="22"/>
          <w:szCs w:val="22"/>
        </w:rPr>
        <w:t xml:space="preserve">be </w:t>
      </w:r>
      <w:r w:rsidRPr="135A21B0" w:rsidR="4759E62B">
        <w:rPr>
          <w:rFonts w:eastAsia="Arial" w:cs="Arial"/>
          <w:sz w:val="22"/>
          <w:szCs w:val="22"/>
        </w:rPr>
        <w:t xml:space="preserve">extended for a further two years. The current </w:t>
      </w:r>
      <w:r w:rsidRPr="135A21B0" w:rsidR="4759E62B">
        <w:rPr>
          <w:rFonts w:eastAsia="Arial" w:cs="Arial"/>
          <w:sz w:val="22"/>
          <w:szCs w:val="22"/>
        </w:rPr>
        <w:t>logframe</w:t>
      </w:r>
      <w:r w:rsidRPr="135A21B0" w:rsidR="4759E62B">
        <w:rPr>
          <w:rFonts w:eastAsia="Arial" w:cs="Arial"/>
          <w:sz w:val="22"/>
          <w:szCs w:val="22"/>
        </w:rPr>
        <w:t xml:space="preserve"> only has targets for a one-year programme term however, following the finalisation of the relevant programme documents, the programme team will work with the delivery </w:t>
      </w:r>
      <w:r w:rsidRPr="135A21B0" w:rsidR="3E3CECF8">
        <w:rPr>
          <w:rFonts w:eastAsia="Arial" w:cs="Arial"/>
          <w:sz w:val="22"/>
          <w:szCs w:val="22"/>
        </w:rPr>
        <w:t xml:space="preserve">parter to set relevant targets for the </w:t>
      </w:r>
      <w:r w:rsidRPr="135A21B0" w:rsidR="3E3CECF8">
        <w:rPr>
          <w:rFonts w:eastAsia="Arial" w:cs="Arial"/>
          <w:sz w:val="22"/>
          <w:szCs w:val="22"/>
        </w:rPr>
        <w:t>additional</w:t>
      </w:r>
      <w:r w:rsidRPr="135A21B0" w:rsidR="3E3CECF8">
        <w:rPr>
          <w:rFonts w:eastAsia="Arial" w:cs="Arial"/>
          <w:sz w:val="22"/>
          <w:szCs w:val="22"/>
        </w:rPr>
        <w:t xml:space="preserve"> two years. </w:t>
      </w:r>
    </w:p>
    <w:p w:rsidR="009E3F6E" w:rsidP="4D464D72" w:rsidRDefault="009E3F6E" w14:paraId="58574625" w14:textId="6F098C88">
      <w:pPr>
        <w:jc w:val="both"/>
        <w:rPr>
          <w:rFonts w:cs="Arial"/>
          <w:sz w:val="22"/>
          <w:szCs w:val="22"/>
        </w:rPr>
      </w:pPr>
    </w:p>
    <w:p w:rsidRPr="009E3F6E" w:rsidR="003D222C" w:rsidP="004D5FD5" w:rsidRDefault="0C365221" w14:paraId="5276E7EE" w14:textId="3746344B">
      <w:pPr>
        <w:jc w:val="both"/>
      </w:pPr>
      <w:bookmarkStart w:name="_Toc187270737" w:id="6"/>
      <w:r w:rsidRPr="0B5ACFBB">
        <w:rPr>
          <w:rStyle w:val="Heading2Char"/>
        </w:rPr>
        <w:t>Summary of progress and supporting narrative for the overall score</w:t>
      </w:r>
      <w:bookmarkEnd w:id="6"/>
      <w:r w:rsidR="4F03573A">
        <w:t xml:space="preserve"> </w:t>
      </w:r>
    </w:p>
    <w:p w:rsidRPr="00D80C6C" w:rsidR="003D222C" w:rsidP="004D5FD5" w:rsidRDefault="003D222C" w14:paraId="36AC6569" w14:textId="77777777">
      <w:pPr>
        <w:jc w:val="both"/>
        <w:rPr>
          <w:rFonts w:cs="Arial"/>
          <w:b/>
          <w:sz w:val="22"/>
          <w:szCs w:val="22"/>
        </w:rPr>
      </w:pPr>
    </w:p>
    <w:p w:rsidRPr="00D80C6C" w:rsidR="003D222C" w:rsidP="6D4B3CE5" w:rsidRDefault="1BD3F40D" w14:paraId="0EBB3FB8" w14:textId="17C0CAC1">
      <w:pPr>
        <w:contextualSpacing/>
        <w:jc w:val="both"/>
      </w:pPr>
      <w:r w:rsidRPr="71B119B6">
        <w:rPr>
          <w:rFonts w:cs="Arial"/>
          <w:sz w:val="22"/>
          <w:szCs w:val="22"/>
        </w:rPr>
        <w:t xml:space="preserve">The UNFCCC REDD+ Support Programme has achieved an ‘A’ score for progress in 2026. This reflects the programme’s positive annual performance, in its </w:t>
      </w:r>
      <w:r w:rsidRPr="71B119B6" w:rsidR="5E572A5F">
        <w:rPr>
          <w:rFonts w:cs="Arial"/>
          <w:sz w:val="22"/>
          <w:szCs w:val="22"/>
        </w:rPr>
        <w:t xml:space="preserve">first scored annual review. The programme encountered delays and </w:t>
      </w:r>
      <w:r w:rsidRPr="71B119B6" w:rsidR="661EF8FD">
        <w:rPr>
          <w:rFonts w:cs="Arial"/>
          <w:sz w:val="22"/>
          <w:szCs w:val="22"/>
        </w:rPr>
        <w:t>budgetary</w:t>
      </w:r>
      <w:r w:rsidRPr="71B119B6" w:rsidR="5E572A5F">
        <w:rPr>
          <w:rFonts w:cs="Arial"/>
          <w:sz w:val="22"/>
          <w:szCs w:val="22"/>
        </w:rPr>
        <w:t xml:space="preserve"> uncertainty in its early implementation phase but has overcome </w:t>
      </w:r>
      <w:r w:rsidRPr="71B119B6" w:rsidR="38135DC4">
        <w:rPr>
          <w:rFonts w:cs="Arial"/>
          <w:sz w:val="22"/>
          <w:szCs w:val="22"/>
        </w:rPr>
        <w:t xml:space="preserve">this to demonstrate strong delivery momentum, with all Outputs scoring either an ‘A’ or ‘A+’. </w:t>
      </w:r>
      <w:r w:rsidRPr="71B119B6" w:rsidR="1752E080">
        <w:rPr>
          <w:rFonts w:cs="Arial"/>
          <w:sz w:val="22"/>
          <w:szCs w:val="22"/>
        </w:rPr>
        <w:t>During the reporting period, the project supported both the technical implementation of Article 5 and broader international cooperation through technical assessments and analyses, capacity-building activities, upgrades to the REDD+ Web Platform, development of knowledge products, webinars, and regional and global Community of Practise events. These activities contributed to strengthening transparency, improving technical capacity and enhancing collaboration among REDD+ countries and other stakeholders.</w:t>
      </w:r>
    </w:p>
    <w:p w:rsidR="11BAFDE1" w:rsidP="11BAFDE1" w:rsidRDefault="11BAFDE1" w14:paraId="455EBF9B" w14:textId="36CA217B">
      <w:pPr>
        <w:contextualSpacing/>
        <w:jc w:val="both"/>
        <w:rPr>
          <w:rFonts w:cs="Arial"/>
          <w:sz w:val="22"/>
          <w:szCs w:val="22"/>
        </w:rPr>
      </w:pPr>
    </w:p>
    <w:p w:rsidR="11BAFDE1" w:rsidP="11BAFDE1" w:rsidRDefault="5BE8E2DA" w14:paraId="62084F7B" w14:textId="2EB8AB6C">
      <w:pPr>
        <w:contextualSpacing/>
        <w:jc w:val="both"/>
      </w:pPr>
      <w:r w:rsidRPr="4D6C1A53">
        <w:rPr>
          <w:rFonts w:cs="Arial"/>
          <w:sz w:val="22"/>
          <w:szCs w:val="22"/>
        </w:rPr>
        <w:t xml:space="preserve">Some highlights from this review period include: </w:t>
      </w:r>
    </w:p>
    <w:p w:rsidR="5BE8E2DA" w:rsidP="4D6C1A53" w:rsidRDefault="6E59F88F" w14:paraId="7F37B0A2" w14:textId="6E186B84">
      <w:pPr>
        <w:pStyle w:val="ListParagraph"/>
        <w:numPr>
          <w:ilvl w:val="0"/>
          <w:numId w:val="24"/>
        </w:numPr>
        <w:jc w:val="both"/>
        <w:rPr>
          <w:rFonts w:cs="Arial"/>
          <w:sz w:val="22"/>
          <w:szCs w:val="22"/>
        </w:rPr>
      </w:pPr>
      <w:r w:rsidRPr="352FA995" w:rsidR="4D2A9DDA">
        <w:rPr>
          <w:rFonts w:cs="Arial"/>
          <w:sz w:val="22"/>
          <w:szCs w:val="22"/>
        </w:rPr>
        <w:t>The REDD+ Global Summit in Kenya in May 2026 – this brought together 9</w:t>
      </w:r>
      <w:r w:rsidRPr="352FA995" w:rsidR="0D9ED3FA">
        <w:rPr>
          <w:rFonts w:cs="Arial"/>
          <w:sz w:val="22"/>
          <w:szCs w:val="22"/>
        </w:rPr>
        <w:t>6</w:t>
      </w:r>
      <w:r w:rsidRPr="352FA995" w:rsidR="4D2A9DDA">
        <w:rPr>
          <w:rFonts w:cs="Arial"/>
          <w:sz w:val="22"/>
          <w:szCs w:val="22"/>
        </w:rPr>
        <w:t xml:space="preserve"> participants from 5</w:t>
      </w:r>
      <w:r w:rsidRPr="352FA995" w:rsidR="249BCC6A">
        <w:rPr>
          <w:rFonts w:cs="Arial"/>
          <w:sz w:val="22"/>
          <w:szCs w:val="22"/>
        </w:rPr>
        <w:t>8</w:t>
      </w:r>
      <w:r w:rsidRPr="352FA995" w:rsidR="4D2A9DDA">
        <w:rPr>
          <w:rFonts w:cs="Arial"/>
          <w:sz w:val="22"/>
          <w:szCs w:val="22"/>
        </w:rPr>
        <w:t xml:space="preserve"> countries implementing REDD+ activities,</w:t>
      </w:r>
      <w:r w:rsidRPr="352FA995" w:rsidR="7AC2937D">
        <w:rPr>
          <w:rFonts w:cs="Arial"/>
          <w:sz w:val="22"/>
          <w:szCs w:val="22"/>
        </w:rPr>
        <w:t xml:space="preserve"> alongside 4 donor countries, 13 organisations and 3 civil society constituencies</w:t>
      </w:r>
      <w:r w:rsidRPr="352FA995" w:rsidR="4D2A9DDA">
        <w:rPr>
          <w:rFonts w:cs="Arial"/>
          <w:sz w:val="22"/>
          <w:szCs w:val="22"/>
        </w:rPr>
        <w:t xml:space="preserve">. The Summit is part of the </w:t>
      </w:r>
      <w:r w:rsidRPr="352FA995" w:rsidR="20AFC645">
        <w:rPr>
          <w:rFonts w:cs="Arial"/>
          <w:sz w:val="22"/>
          <w:szCs w:val="22"/>
        </w:rPr>
        <w:t xml:space="preserve">UNFCCC REDD+ Community of Practice, which supports transparency and peer learning and exchange, including on access to results-based finance – helping countries advance efforts to halt and reverse deforestation </w:t>
      </w:r>
      <w:r w:rsidRPr="352FA995" w:rsidR="0ED1379A">
        <w:rPr>
          <w:rFonts w:cs="Arial"/>
          <w:sz w:val="22"/>
          <w:szCs w:val="22"/>
        </w:rPr>
        <w:t>and</w:t>
      </w:r>
      <w:r w:rsidRPr="352FA995" w:rsidR="20AFC645">
        <w:rPr>
          <w:rFonts w:cs="Arial"/>
          <w:sz w:val="22"/>
          <w:szCs w:val="22"/>
        </w:rPr>
        <w:t xml:space="preserve"> forest degradation by 2030. </w:t>
      </w:r>
      <w:r w:rsidRPr="352FA995" w:rsidR="1B1D694B">
        <w:rPr>
          <w:rFonts w:cs="Arial"/>
          <w:sz w:val="22"/>
          <w:szCs w:val="22"/>
        </w:rPr>
        <w:t>Participants broadly welcomed the Summit as a</w:t>
      </w:r>
      <w:r w:rsidRPr="352FA995" w:rsidR="1B1D694B">
        <w:rPr>
          <w:rFonts w:cs="Arial"/>
          <w:sz w:val="22"/>
          <w:szCs w:val="22"/>
        </w:rPr>
        <w:t xml:space="preserve"> dedicated global space for practical peer learning on REDD+ across </w:t>
      </w:r>
      <w:r w:rsidRPr="352FA995" w:rsidR="1B1D694B">
        <w:rPr>
          <w:rFonts w:cs="Arial"/>
          <w:sz w:val="22"/>
          <w:szCs w:val="22"/>
        </w:rPr>
        <w:t>different stages</w:t>
      </w:r>
      <w:r w:rsidRPr="352FA995" w:rsidR="1B1D694B">
        <w:rPr>
          <w:rFonts w:cs="Arial"/>
          <w:sz w:val="22"/>
          <w:szCs w:val="22"/>
        </w:rPr>
        <w:t xml:space="preserve"> of </w:t>
      </w:r>
      <w:r w:rsidRPr="352FA995" w:rsidR="1B1D694B">
        <w:rPr>
          <w:rFonts w:cs="Arial"/>
          <w:sz w:val="22"/>
          <w:szCs w:val="22"/>
        </w:rPr>
        <w:t>implementation</w:t>
      </w:r>
      <w:r w:rsidRPr="352FA995" w:rsidR="574C184B">
        <w:rPr>
          <w:rFonts w:cs="Arial"/>
          <w:sz w:val="22"/>
          <w:szCs w:val="22"/>
        </w:rPr>
        <w:t xml:space="preserve">, as well </w:t>
      </w:r>
      <w:r w:rsidRPr="352FA995" w:rsidR="574C184B">
        <w:rPr>
          <w:rFonts w:cs="Arial"/>
          <w:sz w:val="22"/>
          <w:szCs w:val="22"/>
        </w:rPr>
        <w:t>as a</w:t>
      </w:r>
      <w:r w:rsidRPr="352FA995" w:rsidR="574C184B">
        <w:rPr>
          <w:rFonts w:cs="Arial"/>
          <w:sz w:val="22"/>
          <w:szCs w:val="22"/>
        </w:rPr>
        <w:t>n opportunity for exchange and relationship building between different key actors across the wider REDD+ ecosystem</w:t>
      </w:r>
      <w:r w:rsidRPr="352FA995" w:rsidR="1B1D694B">
        <w:rPr>
          <w:rFonts w:cs="Arial"/>
          <w:sz w:val="22"/>
          <w:szCs w:val="22"/>
        </w:rPr>
        <w:t xml:space="preserve">. </w:t>
      </w:r>
    </w:p>
    <w:p w:rsidR="036E874C" w:rsidP="657D22F3" w:rsidRDefault="5F1F0134" w14:paraId="5F4A4930" w14:textId="0A604659">
      <w:pPr>
        <w:pStyle w:val="ListParagraph"/>
        <w:numPr>
          <w:ilvl w:val="0"/>
          <w:numId w:val="24"/>
        </w:numPr>
        <w:jc w:val="both"/>
        <w:rPr>
          <w:rFonts w:cs="Arial"/>
          <w:sz w:val="22"/>
          <w:szCs w:val="22"/>
        </w:rPr>
      </w:pPr>
      <w:r w:rsidRPr="5D7F696C">
        <w:rPr>
          <w:rFonts w:cs="Arial"/>
          <w:sz w:val="22"/>
          <w:szCs w:val="22"/>
        </w:rPr>
        <w:t xml:space="preserve">Completion of upgrades to the REDD+ web platform – this period included the completion of upgrades to the REDD+ web platform </w:t>
      </w:r>
      <w:r w:rsidRPr="5D7F696C" w:rsidR="77D14432">
        <w:rPr>
          <w:rFonts w:cs="Arial"/>
          <w:sz w:val="22"/>
          <w:szCs w:val="22"/>
        </w:rPr>
        <w:t xml:space="preserve">which resulted in increased useability, visitors to the platform and the number of downloaded materials. </w:t>
      </w:r>
    </w:p>
    <w:p w:rsidR="14CFB7EF" w:rsidP="5D7F696C" w:rsidRDefault="6406FAA2" w14:paraId="61742426" w14:textId="5E34CF16">
      <w:pPr>
        <w:pStyle w:val="ListParagraph"/>
        <w:numPr>
          <w:ilvl w:val="0"/>
          <w:numId w:val="24"/>
        </w:numPr>
        <w:jc w:val="both"/>
        <w:rPr>
          <w:rFonts w:cs="Arial"/>
          <w:sz w:val="22"/>
          <w:szCs w:val="22"/>
        </w:rPr>
      </w:pPr>
      <w:r w:rsidRPr="5FB15D50">
        <w:rPr>
          <w:rFonts w:cs="Arial"/>
          <w:sz w:val="22"/>
          <w:szCs w:val="22"/>
        </w:rPr>
        <w:t>Webinar to introduce the new developed guidance and e-learning co</w:t>
      </w:r>
      <w:r w:rsidRPr="5FB15D50" w:rsidR="496AE152">
        <w:rPr>
          <w:rFonts w:cs="Arial"/>
          <w:sz w:val="22"/>
          <w:szCs w:val="22"/>
        </w:rPr>
        <w:t xml:space="preserve">urse on measurement, reporting and verification (MRV) and the webinar to present the outreach materials developed on REDD+ national strategies/ actions plans and safeguards information systems. </w:t>
      </w:r>
    </w:p>
    <w:p w:rsidRPr="00D80C6C" w:rsidR="003D222C" w:rsidP="004D5FD5" w:rsidRDefault="791E9845" w14:paraId="7B570BA3" w14:textId="77777777">
      <w:pPr>
        <w:pStyle w:val="Heading2"/>
        <w:jc w:val="both"/>
      </w:pPr>
      <w:bookmarkStart w:name="_Toc1109008304" w:id="9"/>
      <w:r>
        <w:t>Progress against recommendations from the last review</w:t>
      </w:r>
      <w:bookmarkEnd w:id="9"/>
    </w:p>
    <w:p w:rsidRPr="00D80C6C" w:rsidR="003D222C" w:rsidP="004D5FD5" w:rsidRDefault="003D222C" w14:paraId="55666261" w14:textId="77777777">
      <w:pPr>
        <w:jc w:val="both"/>
        <w:rPr>
          <w:rFonts w:cs="Arial"/>
          <w:b/>
          <w:sz w:val="22"/>
          <w:szCs w:val="22"/>
        </w:rPr>
      </w:pPr>
    </w:p>
    <w:tbl>
      <w:tblPr>
        <w:tblStyle w:val="TableGrid"/>
        <w:tblW w:w="0" w:type="auto"/>
        <w:tblLook w:val="04A0" w:firstRow="1" w:lastRow="0" w:firstColumn="1" w:lastColumn="0" w:noHBand="0" w:noVBand="1"/>
      </w:tblPr>
      <w:tblGrid>
        <w:gridCol w:w="4710"/>
        <w:gridCol w:w="4306"/>
      </w:tblGrid>
      <w:tr w:rsidRPr="00D80C6C" w:rsidR="003D222C" w:rsidTr="4E7B7F16" w14:paraId="70C21392" w14:textId="77777777">
        <w:tc>
          <w:tcPr>
            <w:tcW w:w="5210" w:type="dxa"/>
            <w:shd w:val="clear" w:color="auto" w:fill="DEEAF6" w:themeFill="accent5" w:themeFillTint="33"/>
            <w:tcMar/>
          </w:tcPr>
          <w:p w:rsidRPr="00D80C6C" w:rsidR="003D222C" w:rsidP="004D5FD5" w:rsidRDefault="003D222C" w14:paraId="53D8F37C" w14:textId="77777777">
            <w:pPr>
              <w:jc w:val="both"/>
              <w:rPr>
                <w:rFonts w:cs="Arial"/>
                <w:b/>
                <w:sz w:val="22"/>
                <w:szCs w:val="22"/>
              </w:rPr>
            </w:pPr>
            <w:r w:rsidRPr="00D80C6C">
              <w:rPr>
                <w:rFonts w:cs="Arial"/>
                <w:b/>
                <w:sz w:val="22"/>
                <w:szCs w:val="22"/>
              </w:rPr>
              <w:t>Recommendation</w:t>
            </w:r>
          </w:p>
        </w:tc>
        <w:tc>
          <w:tcPr>
            <w:tcW w:w="5210" w:type="dxa"/>
            <w:shd w:val="clear" w:color="auto" w:fill="DEEAF6" w:themeFill="accent5" w:themeFillTint="33"/>
            <w:tcMar/>
          </w:tcPr>
          <w:p w:rsidRPr="00D80C6C" w:rsidR="003D222C" w:rsidP="004D5FD5" w:rsidRDefault="003D222C" w14:paraId="4501CA7E" w14:textId="77777777">
            <w:pPr>
              <w:jc w:val="both"/>
              <w:rPr>
                <w:rFonts w:cs="Arial"/>
                <w:b/>
                <w:sz w:val="22"/>
                <w:szCs w:val="22"/>
              </w:rPr>
            </w:pPr>
            <w:r w:rsidRPr="00D80C6C">
              <w:rPr>
                <w:rFonts w:cs="Arial"/>
                <w:b/>
                <w:sz w:val="22"/>
                <w:szCs w:val="22"/>
              </w:rPr>
              <w:t>Progress</w:t>
            </w:r>
          </w:p>
        </w:tc>
      </w:tr>
      <w:tr w:rsidRPr="00D80C6C" w:rsidR="003D222C" w:rsidTr="4E7B7F16" w14:paraId="3B8F7C7F" w14:textId="77777777">
        <w:tc>
          <w:tcPr>
            <w:tcW w:w="5210" w:type="dxa"/>
            <w:tcMar/>
          </w:tcPr>
          <w:p w:rsidRPr="00E027E1" w:rsidR="003D222C" w:rsidP="00E027E1" w:rsidRDefault="00E027E1" w14:paraId="6075B309" w14:textId="3DC8720B">
            <w:pPr>
              <w:rPr>
                <w:rFonts w:cs="Arial"/>
                <w:bCs/>
                <w:sz w:val="22"/>
                <w:szCs w:val="22"/>
              </w:rPr>
            </w:pPr>
            <w:r w:rsidRPr="00E027E1">
              <w:rPr>
                <w:rFonts w:cs="Arial"/>
                <w:bCs/>
                <w:sz w:val="22"/>
                <w:szCs w:val="22"/>
              </w:rPr>
              <w:t>DESNZ and the AFOLU Unit should jointly develop a short, programme-specific reporting note setting out agreed expectations on logframe indicators and overall programme, reporting timeframes, data sources and proportionality, to support consistent reporting as delivery scales up</w:t>
            </w:r>
          </w:p>
        </w:tc>
        <w:tc>
          <w:tcPr>
            <w:tcW w:w="5210" w:type="dxa"/>
            <w:tcMar/>
          </w:tcPr>
          <w:p w:rsidRPr="00D80C6C" w:rsidR="003D222C" w:rsidP="3E8CF057" w:rsidRDefault="616564D4" w14:paraId="1E6248CC" w14:textId="0371B4F8">
            <w:pPr>
              <w:jc w:val="both"/>
              <w:rPr>
                <w:rFonts w:cs="Arial"/>
                <w:sz w:val="22"/>
                <w:szCs w:val="22"/>
              </w:rPr>
            </w:pPr>
            <w:r w:rsidRPr="4E7B7F16" w:rsidR="48BED29F">
              <w:rPr>
                <w:rFonts w:cs="Arial"/>
                <w:sz w:val="22"/>
                <w:szCs w:val="22"/>
              </w:rPr>
              <w:t>Partially Achieved</w:t>
            </w:r>
            <w:r w:rsidRPr="4E7B7F16" w:rsidR="48BED29F">
              <w:rPr>
                <w:rFonts w:cs="Arial"/>
                <w:sz w:val="22"/>
                <w:szCs w:val="22"/>
              </w:rPr>
              <w:t xml:space="preserve"> - </w:t>
            </w:r>
            <w:r w:rsidRPr="4E7B7F16" w:rsidR="616564D4">
              <w:rPr>
                <w:rFonts w:cs="Arial"/>
                <w:sz w:val="22"/>
                <w:szCs w:val="22"/>
              </w:rPr>
              <w:t xml:space="preserve">While a reporting note was not developed, the programme team and delivery partner agreed expectations on reporting through several meetings and through email communications. </w:t>
            </w:r>
            <w:r w:rsidRPr="4E7B7F16" w:rsidR="52002AB8">
              <w:rPr>
                <w:rFonts w:cs="Arial"/>
                <w:sz w:val="22"/>
                <w:szCs w:val="22"/>
              </w:rPr>
              <w:t>However,</w:t>
            </w:r>
            <w:r w:rsidRPr="4E7B7F16" w:rsidR="52002AB8">
              <w:rPr>
                <w:rFonts w:cs="Arial"/>
                <w:sz w:val="22"/>
                <w:szCs w:val="22"/>
              </w:rPr>
              <w:t xml:space="preserve"> the programme team will document this in a formal record of expectations so this recommendation will be carried over to next year. </w:t>
            </w:r>
          </w:p>
        </w:tc>
      </w:tr>
      <w:tr w:rsidRPr="00D80C6C" w:rsidR="00D0302B" w:rsidTr="4E7B7F16" w14:paraId="2483F714" w14:textId="77777777">
        <w:tc>
          <w:tcPr>
            <w:tcW w:w="5210" w:type="dxa"/>
            <w:tcMar/>
          </w:tcPr>
          <w:p w:rsidRPr="00946656" w:rsidR="00D0302B" w:rsidP="00946656" w:rsidRDefault="00946656" w14:paraId="25E1262C" w14:textId="35601531">
            <w:pPr>
              <w:rPr>
                <w:rFonts w:cs="Arial"/>
                <w:bCs/>
                <w:sz w:val="22"/>
                <w:szCs w:val="22"/>
              </w:rPr>
            </w:pPr>
            <w:r w:rsidRPr="00946656">
              <w:rPr>
                <w:rFonts w:cs="Arial"/>
                <w:bCs/>
                <w:sz w:val="22"/>
                <w:szCs w:val="22"/>
              </w:rPr>
              <w:t>DESNZ, the MEL adviser and the AFOLU Unit should continue to review and refine monitoring approaches to ensure indicators and milestones remain proportionate and aligned with UNFCCC Secretariat delivery and reporting cycles, particularly for outputs dependent on Party submissions and multi-year UNFCCC processes. </w:t>
            </w:r>
          </w:p>
        </w:tc>
        <w:tc>
          <w:tcPr>
            <w:tcW w:w="5210" w:type="dxa"/>
            <w:tcMar/>
          </w:tcPr>
          <w:p w:rsidRPr="00D80C6C" w:rsidR="00D0302B" w:rsidP="52E897CC" w:rsidRDefault="1AB78314" w14:paraId="49823DA6" w14:textId="4FEA8D07">
            <w:pPr>
              <w:jc w:val="both"/>
              <w:rPr>
                <w:rFonts w:cs="Arial"/>
                <w:sz w:val="22"/>
                <w:szCs w:val="22"/>
              </w:rPr>
            </w:pPr>
            <w:r w:rsidRPr="352FA995" w:rsidR="1AB78314">
              <w:rPr>
                <w:rFonts w:cs="Arial"/>
                <w:sz w:val="22"/>
                <w:szCs w:val="22"/>
              </w:rPr>
              <w:t xml:space="preserve">Achieved </w:t>
            </w:r>
            <w:r w:rsidRPr="352FA995" w:rsidR="014E4250">
              <w:rPr>
                <w:rFonts w:cs="Arial"/>
                <w:sz w:val="22"/>
                <w:szCs w:val="22"/>
              </w:rPr>
              <w:t>- the programme team and delivery partner work</w:t>
            </w:r>
            <w:r w:rsidRPr="352FA995" w:rsidR="6295D298">
              <w:rPr>
                <w:rFonts w:cs="Arial"/>
                <w:sz w:val="22"/>
                <w:szCs w:val="22"/>
              </w:rPr>
              <w:t>ed</w:t>
            </w:r>
            <w:r w:rsidRPr="352FA995" w:rsidR="014E4250">
              <w:rPr>
                <w:rFonts w:cs="Arial"/>
                <w:sz w:val="22"/>
                <w:szCs w:val="22"/>
              </w:rPr>
              <w:t xml:space="preserve"> to refine the logframe targets. </w:t>
            </w:r>
          </w:p>
        </w:tc>
      </w:tr>
      <w:tr w:rsidRPr="00D80C6C" w:rsidR="00D0302B" w:rsidTr="4E7B7F16" w14:paraId="76F25969" w14:textId="77777777">
        <w:tc>
          <w:tcPr>
            <w:tcW w:w="5210" w:type="dxa"/>
            <w:tcMar/>
          </w:tcPr>
          <w:p w:rsidRPr="00946656" w:rsidR="00D0302B" w:rsidP="00946656" w:rsidRDefault="00946656" w14:paraId="76FFE955" w14:textId="01C48406">
            <w:pPr>
              <w:rPr>
                <w:rFonts w:cs="Arial"/>
                <w:bCs/>
                <w:sz w:val="22"/>
                <w:szCs w:val="22"/>
              </w:rPr>
            </w:pPr>
            <w:r w:rsidRPr="00946656">
              <w:rPr>
                <w:rFonts w:cs="Arial"/>
                <w:bCs/>
                <w:sz w:val="22"/>
                <w:szCs w:val="22"/>
              </w:rPr>
              <w:t>Within existing funding constraints, DESNZ and UNFCCC should continue to improve forward planning for multi-year activities, including early identification of activities that span financial years, to support efficient scheduling, staffing continuity and value for money.</w:t>
            </w:r>
          </w:p>
        </w:tc>
        <w:tc>
          <w:tcPr>
            <w:tcW w:w="5210" w:type="dxa"/>
            <w:tcMar/>
          </w:tcPr>
          <w:p w:rsidRPr="00946656" w:rsidR="00D0302B" w:rsidP="00946656" w:rsidRDefault="2EEFCBFB" w14:paraId="52A74AED" w14:textId="04D815AB">
            <w:r w:rsidRPr="623FA8BC">
              <w:rPr>
                <w:rFonts w:cs="Arial"/>
                <w:sz w:val="22"/>
                <w:szCs w:val="22"/>
              </w:rPr>
              <w:t xml:space="preserve">Achieved – following the finalisation of relevant document to provide for the provision of additional funding and extension to the term of the programme, the programme team will work with the delivery partner to set relevant logframe targets. </w:t>
            </w:r>
          </w:p>
        </w:tc>
      </w:tr>
    </w:tbl>
    <w:p w:rsidR="3764FBE0" w:rsidP="3764FBE0" w:rsidRDefault="3764FBE0" w14:paraId="22FC812E" w14:textId="40123A75">
      <w:pPr>
        <w:jc w:val="both"/>
        <w:rPr>
          <w:rStyle w:val="Heading2Char"/>
        </w:rPr>
      </w:pPr>
    </w:p>
    <w:p w:rsidRPr="00D80C6C" w:rsidR="00DA6B40" w:rsidP="004D5FD5" w:rsidRDefault="791E9845" w14:paraId="2AE10C88" w14:textId="6E5C2075">
      <w:pPr>
        <w:jc w:val="both"/>
      </w:pPr>
      <w:bookmarkStart w:name="_Toc462994730" w:id="12"/>
      <w:r w:rsidRPr="0B5ACFBB">
        <w:rPr>
          <w:rStyle w:val="Heading2Char"/>
        </w:rPr>
        <w:t>Major lessons and recommendations for the year ahead</w:t>
      </w:r>
      <w:bookmarkEnd w:id="12"/>
      <w:r>
        <w:t xml:space="preserve"> </w:t>
      </w:r>
    </w:p>
    <w:p w:rsidR="00D0302B" w:rsidP="004D5FD5" w:rsidRDefault="00D0302B" w14:paraId="773A77CC" w14:textId="1912BB68">
      <w:pPr>
        <w:jc w:val="both"/>
        <w:rPr>
          <w:rFonts w:cs="Arial"/>
          <w:sz w:val="22"/>
          <w:szCs w:val="22"/>
        </w:rPr>
      </w:pPr>
    </w:p>
    <w:tbl>
      <w:tblPr>
        <w:tblStyle w:val="TableGrid"/>
        <w:tblW w:w="0" w:type="auto"/>
        <w:tblLook w:val="04A0" w:firstRow="1" w:lastRow="0" w:firstColumn="1" w:lastColumn="0" w:noHBand="0" w:noVBand="1"/>
      </w:tblPr>
      <w:tblGrid>
        <w:gridCol w:w="4590"/>
        <w:gridCol w:w="4426"/>
      </w:tblGrid>
      <w:tr w:rsidRPr="00D80C6C" w:rsidR="00D0302B" w:rsidTr="69332258" w14:paraId="4B25CB90" w14:textId="77777777">
        <w:tc>
          <w:tcPr>
            <w:tcW w:w="5210" w:type="dxa"/>
            <w:shd w:val="clear" w:color="auto" w:fill="DEEAF6" w:themeFill="accent5" w:themeFillTint="33"/>
            <w:tcMar/>
          </w:tcPr>
          <w:p w:rsidRPr="00D80C6C" w:rsidR="00D0302B" w:rsidP="004D5FD5" w:rsidRDefault="00D0302B" w14:paraId="321EF4D2" w14:textId="77777777">
            <w:pPr>
              <w:jc w:val="both"/>
              <w:rPr>
                <w:rFonts w:cs="Arial"/>
                <w:b/>
                <w:sz w:val="22"/>
                <w:szCs w:val="22"/>
              </w:rPr>
            </w:pPr>
            <w:r w:rsidRPr="00D80C6C">
              <w:rPr>
                <w:rFonts w:cs="Arial"/>
                <w:b/>
                <w:sz w:val="22"/>
                <w:szCs w:val="22"/>
              </w:rPr>
              <w:t>Recommendation</w:t>
            </w:r>
          </w:p>
        </w:tc>
        <w:tc>
          <w:tcPr>
            <w:tcW w:w="5210" w:type="dxa"/>
            <w:shd w:val="clear" w:color="auto" w:fill="DEEAF6" w:themeFill="accent5" w:themeFillTint="33"/>
            <w:tcMar/>
          </w:tcPr>
          <w:p w:rsidRPr="00D80C6C" w:rsidR="00D0302B" w:rsidP="004D5FD5" w:rsidRDefault="00D0302B" w14:paraId="68A2DDD9" w14:textId="3FAD9E3D">
            <w:pPr>
              <w:jc w:val="both"/>
              <w:rPr>
                <w:rFonts w:cs="Arial"/>
                <w:b/>
                <w:sz w:val="22"/>
                <w:szCs w:val="22"/>
              </w:rPr>
            </w:pPr>
            <w:r>
              <w:rPr>
                <w:rFonts w:cs="Arial"/>
                <w:b/>
                <w:sz w:val="22"/>
                <w:szCs w:val="22"/>
              </w:rPr>
              <w:t>Deadline</w:t>
            </w:r>
          </w:p>
        </w:tc>
      </w:tr>
      <w:tr w:rsidRPr="00D80C6C" w:rsidR="00D0302B" w:rsidTr="69332258" w14:paraId="2775F316" w14:textId="77777777">
        <w:tc>
          <w:tcPr>
            <w:tcW w:w="5210" w:type="dxa"/>
            <w:tcMar/>
          </w:tcPr>
          <w:p w:rsidRPr="00D80C6C" w:rsidR="00D0302B" w:rsidP="004D5FD5" w:rsidRDefault="69629AFA" w14:paraId="03FF2537" w14:textId="088D7F2A">
            <w:pPr>
              <w:jc w:val="both"/>
              <w:rPr>
                <w:rFonts w:cs="Arial"/>
                <w:sz w:val="22"/>
                <w:szCs w:val="22"/>
              </w:rPr>
            </w:pPr>
            <w:r w:rsidRPr="2FAEEA51">
              <w:rPr>
                <w:rFonts w:cs="Arial"/>
                <w:sz w:val="22"/>
                <w:szCs w:val="22"/>
              </w:rPr>
              <w:t xml:space="preserve">Recommendation 1: Update the theory of change to better reflect the nature of the programme </w:t>
            </w:r>
          </w:p>
        </w:tc>
        <w:tc>
          <w:tcPr>
            <w:tcW w:w="5210" w:type="dxa"/>
            <w:tcMar/>
          </w:tcPr>
          <w:p w:rsidRPr="00D80C6C" w:rsidR="00D0302B" w:rsidP="540B1073" w:rsidRDefault="3FB3F5ED" w14:paraId="6E43508C" w14:textId="196799EE">
            <w:pPr>
              <w:jc w:val="both"/>
              <w:rPr>
                <w:rFonts w:cs="Arial"/>
                <w:sz w:val="22"/>
                <w:szCs w:val="22"/>
              </w:rPr>
            </w:pPr>
            <w:r w:rsidRPr="352FA995" w:rsidR="12453733">
              <w:rPr>
                <w:rFonts w:cs="Arial"/>
                <w:sz w:val="22"/>
                <w:szCs w:val="22"/>
              </w:rPr>
              <w:t>October</w:t>
            </w:r>
            <w:r w:rsidRPr="352FA995" w:rsidR="3FB3F5ED">
              <w:rPr>
                <w:rFonts w:cs="Arial"/>
                <w:sz w:val="22"/>
                <w:szCs w:val="22"/>
              </w:rPr>
              <w:t xml:space="preserve"> 2026</w:t>
            </w:r>
          </w:p>
        </w:tc>
      </w:tr>
      <w:tr w:rsidRPr="00D80C6C" w:rsidR="00D0302B" w:rsidTr="69332258" w14:paraId="1A7BBA1B" w14:textId="77777777">
        <w:tc>
          <w:tcPr>
            <w:tcW w:w="5210" w:type="dxa"/>
            <w:tcMar/>
          </w:tcPr>
          <w:p w:rsidRPr="00D80C6C" w:rsidR="00D0302B" w:rsidP="5AED801E" w:rsidRDefault="69629AFA" w14:paraId="055F8F7E" w14:textId="71648768">
            <w:pPr>
              <w:jc w:val="both"/>
              <w:rPr>
                <w:rFonts w:cs="Arial"/>
                <w:sz w:val="22"/>
                <w:szCs w:val="22"/>
              </w:rPr>
            </w:pPr>
            <w:r w:rsidRPr="352FA995" w:rsidR="69629AFA">
              <w:rPr>
                <w:rFonts w:cs="Arial"/>
                <w:sz w:val="22"/>
                <w:szCs w:val="22"/>
              </w:rPr>
              <w:t xml:space="preserve">Recommendation 2: </w:t>
            </w:r>
            <w:r w:rsidRPr="352FA995" w:rsidR="69629AFA">
              <w:rPr>
                <w:rFonts w:cs="Arial"/>
                <w:sz w:val="22"/>
                <w:szCs w:val="22"/>
              </w:rPr>
              <w:t xml:space="preserve">Update the logframe to reflect the additional funding, and a further 2 years of the programme </w:t>
            </w:r>
          </w:p>
        </w:tc>
        <w:tc>
          <w:tcPr>
            <w:tcW w:w="5210" w:type="dxa"/>
            <w:tcMar/>
          </w:tcPr>
          <w:p w:rsidRPr="00D80C6C" w:rsidR="00D0302B" w:rsidP="5A3F48FF" w:rsidRDefault="60ABC306" w14:paraId="3E1082EE" w14:textId="5BDD4B44">
            <w:pPr>
              <w:jc w:val="both"/>
              <w:rPr>
                <w:rFonts w:cs="Arial"/>
                <w:sz w:val="22"/>
                <w:szCs w:val="22"/>
              </w:rPr>
            </w:pPr>
            <w:r w:rsidRPr="5A3F48FF">
              <w:rPr>
                <w:rFonts w:cs="Arial"/>
                <w:sz w:val="22"/>
                <w:szCs w:val="22"/>
              </w:rPr>
              <w:t>October</w:t>
            </w:r>
            <w:r w:rsidRPr="5A3F48FF" w:rsidR="42775D76">
              <w:rPr>
                <w:rFonts w:cs="Arial"/>
                <w:sz w:val="22"/>
                <w:szCs w:val="22"/>
              </w:rPr>
              <w:t xml:space="preserve"> 2026 </w:t>
            </w:r>
          </w:p>
        </w:tc>
      </w:tr>
      <w:tr w:rsidRPr="00D80C6C" w:rsidR="00D0302B" w:rsidTr="69332258" w14:paraId="50A30B87" w14:textId="77777777">
        <w:tc>
          <w:tcPr>
            <w:tcW w:w="5210" w:type="dxa"/>
            <w:tcMar/>
          </w:tcPr>
          <w:p w:rsidRPr="00D80C6C" w:rsidR="00D0302B" w:rsidP="6FD8266D" w:rsidRDefault="00658115" w14:paraId="44098FC0" w14:textId="4D87CE50">
            <w:pPr>
              <w:jc w:val="both"/>
              <w:rPr>
                <w:rFonts w:cs="Arial"/>
                <w:sz w:val="22"/>
                <w:szCs w:val="22"/>
              </w:rPr>
            </w:pPr>
            <w:r w:rsidRPr="19893469">
              <w:rPr>
                <w:rFonts w:cs="Arial"/>
                <w:sz w:val="22"/>
                <w:szCs w:val="22"/>
              </w:rPr>
              <w:t xml:space="preserve">Recommendation 3: Ensure that subsequent logframe targets for Output Indicator 2.3B (number of attendees at in-person and online facilitated exchanges) </w:t>
            </w:r>
            <w:r w:rsidRPr="19893469" w:rsidR="0D4D64B3">
              <w:rPr>
                <w:rFonts w:cs="Arial"/>
                <w:sz w:val="22"/>
                <w:szCs w:val="22"/>
              </w:rPr>
              <w:t xml:space="preserve">are more ambitious and account for 2026 results </w:t>
            </w:r>
          </w:p>
        </w:tc>
        <w:tc>
          <w:tcPr>
            <w:tcW w:w="5210" w:type="dxa"/>
            <w:tcMar/>
          </w:tcPr>
          <w:p w:rsidRPr="00D80C6C" w:rsidR="00D0302B" w:rsidP="004D5FD5" w:rsidRDefault="48485FB7" w14:paraId="3DDC89E6" w14:textId="161FF5E9">
            <w:pPr>
              <w:jc w:val="both"/>
            </w:pPr>
            <w:r w:rsidRPr="29E63B27">
              <w:rPr>
                <w:rFonts w:cs="Arial"/>
                <w:sz w:val="22"/>
                <w:szCs w:val="22"/>
              </w:rPr>
              <w:t xml:space="preserve">October 2026 </w:t>
            </w:r>
          </w:p>
        </w:tc>
      </w:tr>
      <w:tr w:rsidR="32EEFCB4" w:rsidTr="69332258" w14:paraId="46BFE786">
        <w:trPr>
          <w:trHeight w:val="300"/>
        </w:trPr>
        <w:tc>
          <w:tcPr>
            <w:tcW w:w="4590" w:type="dxa"/>
            <w:tcMar/>
          </w:tcPr>
          <w:p w:rsidR="5A3E9299" w:rsidP="66691D75" w:rsidRDefault="5A3E9299" w14:paraId="0E33790F" w14:textId="7D0695A1">
            <w:pPr>
              <w:pStyle w:val="Normal"/>
              <w:jc w:val="left"/>
              <w:rPr>
                <w:rFonts w:cs="Arial"/>
                <w:sz w:val="22"/>
                <w:szCs w:val="22"/>
              </w:rPr>
            </w:pPr>
            <w:r w:rsidRPr="697D21BF" w:rsidR="5A3E9299">
              <w:rPr>
                <w:rFonts w:cs="Arial"/>
                <w:sz w:val="22"/>
                <w:szCs w:val="22"/>
              </w:rPr>
              <w:t>Recommendation 4: DESNZ and the AFOLU Unit should jointly develop a short, programme-specific reporting note setting out agreed expectations on </w:t>
            </w:r>
            <w:r w:rsidRPr="697D21BF" w:rsidR="5A3E9299">
              <w:rPr>
                <w:rFonts w:cs="Arial"/>
                <w:sz w:val="22"/>
                <w:szCs w:val="22"/>
              </w:rPr>
              <w:t>logframe</w:t>
            </w:r>
            <w:r w:rsidRPr="697D21BF" w:rsidR="5A3E9299">
              <w:rPr>
                <w:rFonts w:cs="Arial"/>
                <w:sz w:val="22"/>
                <w:szCs w:val="22"/>
              </w:rPr>
              <w:t> indicators and overall programme, reporting </w:t>
            </w:r>
            <w:r w:rsidRPr="697D21BF" w:rsidR="5A3E9299">
              <w:rPr>
                <w:rFonts w:cs="Arial"/>
                <w:sz w:val="22"/>
                <w:szCs w:val="22"/>
              </w:rPr>
              <w:t>timeframes</w:t>
            </w:r>
            <w:r w:rsidRPr="697D21BF" w:rsidR="5A3E9299">
              <w:rPr>
                <w:rFonts w:cs="Arial"/>
                <w:sz w:val="22"/>
                <w:szCs w:val="22"/>
              </w:rPr>
              <w:t xml:space="preserve">, data sources, </w:t>
            </w:r>
            <w:r w:rsidRPr="697D21BF" w:rsidR="0D9300EE">
              <w:rPr>
                <w:rFonts w:cs="Arial"/>
                <w:sz w:val="22"/>
                <w:szCs w:val="22"/>
              </w:rPr>
              <w:t>and determine indicator targets and scoring threshold for individual indicators</w:t>
            </w:r>
            <w:r w:rsidRPr="697D21BF" w:rsidR="5A3E9299">
              <w:rPr>
                <w:rFonts w:cs="Arial"/>
                <w:sz w:val="22"/>
                <w:szCs w:val="22"/>
              </w:rPr>
              <w:t xml:space="preserve">, to support consistent reporting as delivery scales up  </w:t>
            </w:r>
          </w:p>
        </w:tc>
        <w:tc>
          <w:tcPr>
            <w:tcW w:w="4426" w:type="dxa"/>
            <w:tcMar/>
          </w:tcPr>
          <w:p w:rsidR="32EEFCB4" w:rsidP="32EEFCB4" w:rsidRDefault="32EEFCB4" w14:paraId="54E12F6E" w14:textId="784977C0">
            <w:pPr>
              <w:pStyle w:val="Normal"/>
              <w:jc w:val="both"/>
            </w:pPr>
            <w:r w:rsidRPr="2983C288" w:rsidR="7CB79174">
              <w:rPr>
                <w:rFonts w:cs="Arial"/>
                <w:sz w:val="22"/>
                <w:szCs w:val="22"/>
              </w:rPr>
              <w:t>October 2026</w:t>
            </w:r>
          </w:p>
        </w:tc>
      </w:tr>
      <w:tr w:rsidR="503F6B82" w:rsidTr="69332258" w14:paraId="0B85CDD6">
        <w:trPr>
          <w:trHeight w:val="300"/>
        </w:trPr>
        <w:tc>
          <w:tcPr>
            <w:tcW w:w="4590" w:type="dxa"/>
            <w:tcMar/>
          </w:tcPr>
          <w:p w:rsidR="4E42759D" w:rsidP="13304A9F" w:rsidRDefault="4E42759D" w14:paraId="360826A1" w14:textId="1E278F3B">
            <w:pPr>
              <w:pStyle w:val="Normal"/>
              <w:jc w:val="left"/>
              <w:rPr>
                <w:rFonts w:cs="Arial"/>
                <w:sz w:val="22"/>
                <w:szCs w:val="22"/>
              </w:rPr>
            </w:pPr>
            <w:r w:rsidRPr="69332258" w:rsidR="4E42759D">
              <w:rPr>
                <w:rFonts w:cs="Arial"/>
                <w:sz w:val="22"/>
                <w:szCs w:val="22"/>
              </w:rPr>
              <w:t xml:space="preserve">Recommendation 5: </w:t>
            </w:r>
            <w:r w:rsidRPr="69332258" w:rsidR="4E42759D">
              <w:rPr>
                <w:rFonts w:cs="Arial"/>
                <w:sz w:val="22"/>
                <w:szCs w:val="22"/>
              </w:rPr>
              <w:t xml:space="preserve">DESNZ and the AFOLU Unit should explore the benefits </w:t>
            </w:r>
            <w:r w:rsidRPr="69332258" w:rsidR="577D3EB8">
              <w:rPr>
                <w:rFonts w:cs="Arial"/>
                <w:sz w:val="22"/>
                <w:szCs w:val="22"/>
              </w:rPr>
              <w:t xml:space="preserve">and </w:t>
            </w:r>
            <w:r w:rsidRPr="69332258" w:rsidR="577D3EB8">
              <w:rPr>
                <w:rFonts w:cs="Arial"/>
                <w:sz w:val="22"/>
                <w:szCs w:val="22"/>
              </w:rPr>
              <w:t>feas</w:t>
            </w:r>
            <w:r w:rsidRPr="69332258" w:rsidR="692C692E">
              <w:rPr>
                <w:rFonts w:cs="Arial"/>
                <w:sz w:val="22"/>
                <w:szCs w:val="22"/>
              </w:rPr>
              <w:t>i</w:t>
            </w:r>
            <w:r w:rsidRPr="69332258" w:rsidR="577D3EB8">
              <w:rPr>
                <w:rFonts w:cs="Arial"/>
                <w:sz w:val="22"/>
                <w:szCs w:val="22"/>
              </w:rPr>
              <w:t>bility</w:t>
            </w:r>
            <w:r w:rsidRPr="69332258" w:rsidR="4E42759D">
              <w:rPr>
                <w:rFonts w:cs="Arial"/>
                <w:sz w:val="22"/>
                <w:szCs w:val="22"/>
              </w:rPr>
              <w:t xml:space="preserve"> </w:t>
            </w:r>
            <w:r w:rsidRPr="69332258" w:rsidR="4E42759D">
              <w:rPr>
                <w:rFonts w:cs="Arial"/>
                <w:sz w:val="22"/>
                <w:szCs w:val="22"/>
              </w:rPr>
              <w:t xml:space="preserve">of hosting a Global </w:t>
            </w:r>
            <w:r w:rsidRPr="69332258" w:rsidR="4A7BA245">
              <w:rPr>
                <w:rFonts w:cs="Arial"/>
                <w:sz w:val="22"/>
                <w:szCs w:val="22"/>
              </w:rPr>
              <w:t xml:space="preserve">REDD+ </w:t>
            </w:r>
            <w:r w:rsidRPr="69332258" w:rsidR="4E42759D">
              <w:rPr>
                <w:rFonts w:cs="Arial"/>
                <w:sz w:val="22"/>
                <w:szCs w:val="22"/>
              </w:rPr>
              <w:t xml:space="preserve">Summit in 2027, including </w:t>
            </w:r>
            <w:r w:rsidRPr="69332258" w:rsidR="6FD583EE">
              <w:rPr>
                <w:rFonts w:cs="Arial"/>
                <w:sz w:val="22"/>
                <w:szCs w:val="22"/>
              </w:rPr>
              <w:t xml:space="preserve">the relative value-for-money and financing options. </w:t>
            </w:r>
            <w:r w:rsidRPr="69332258" w:rsidR="4ACEF158">
              <w:rPr>
                <w:rFonts w:cs="Arial"/>
                <w:sz w:val="22"/>
                <w:szCs w:val="22"/>
              </w:rPr>
              <w:t xml:space="preserve"> </w:t>
            </w:r>
          </w:p>
        </w:tc>
        <w:tc>
          <w:tcPr>
            <w:tcW w:w="4426" w:type="dxa"/>
            <w:tcMar/>
          </w:tcPr>
          <w:p w:rsidR="503F6B82" w:rsidP="503F6B82" w:rsidRDefault="503F6B82" w14:paraId="11C8E507" w14:textId="12D060B4">
            <w:pPr>
              <w:pStyle w:val="Normal"/>
              <w:jc w:val="both"/>
            </w:pPr>
            <w:r w:rsidRPr="25E53896" w:rsidR="67F2016C">
              <w:rPr>
                <w:rFonts w:cs="Arial"/>
                <w:sz w:val="22"/>
                <w:szCs w:val="22"/>
              </w:rPr>
              <w:t>J</w:t>
            </w:r>
            <w:r w:rsidRPr="25E53896" w:rsidR="13979ADE">
              <w:rPr>
                <w:rFonts w:cs="Arial"/>
                <w:sz w:val="22"/>
                <w:szCs w:val="22"/>
              </w:rPr>
              <w:t xml:space="preserve">uly 2027 </w:t>
            </w:r>
          </w:p>
        </w:tc>
      </w:tr>
    </w:tbl>
    <w:p w:rsidR="00CB2873" w:rsidP="004D5FD5" w:rsidRDefault="00CB2873" w14:paraId="7F17C967" w14:textId="4E965DD7">
      <w:pPr>
        <w:jc w:val="both"/>
      </w:pPr>
    </w:p>
    <w:tbl>
      <w:tblPr>
        <w:tblStyle w:val="TableGrid"/>
        <w:tblW w:w="0" w:type="auto"/>
        <w:tblLook w:val="04A0" w:firstRow="1" w:lastRow="0" w:firstColumn="1" w:lastColumn="0" w:noHBand="0" w:noVBand="1"/>
      </w:tblPr>
      <w:tblGrid>
        <w:gridCol w:w="9016"/>
      </w:tblGrid>
      <w:tr w:rsidR="00CB2873" w:rsidTr="0B5ACFBB" w14:paraId="3D63871C" w14:textId="77777777">
        <w:tc>
          <w:tcPr>
            <w:tcW w:w="9016" w:type="dxa"/>
            <w:shd w:val="clear" w:color="auto" w:fill="DEEAF6" w:themeFill="accent5" w:themeFillTint="33"/>
          </w:tcPr>
          <w:p w:rsidR="00CB2873" w:rsidP="004D5FD5" w:rsidRDefault="03944324" w14:paraId="3A432808" w14:textId="2E77B4E8">
            <w:pPr>
              <w:jc w:val="both"/>
            </w:pPr>
            <w:bookmarkStart w:name="_Toc650340794" w:id="15"/>
            <w:bookmarkStart w:name="_Toc2100341384" w:id="16"/>
            <w:bookmarkStart w:name="_Hlk110858960" w:id="17"/>
            <w:r w:rsidRPr="0B5ACFBB">
              <w:rPr>
                <w:rStyle w:val="Heading1Char"/>
                <w:rFonts w:ascii="Arial" w:hAnsi="Arial" w:cs="Arial"/>
                <w:b/>
                <w:bCs/>
                <w:color w:val="auto"/>
              </w:rPr>
              <w:t xml:space="preserve">Section B: Theory of </w:t>
            </w:r>
            <w:r w:rsidRPr="0B5ACFBB" w:rsidR="5F5C3937">
              <w:rPr>
                <w:rStyle w:val="Heading1Char"/>
                <w:rFonts w:ascii="Arial" w:hAnsi="Arial" w:cs="Arial"/>
                <w:b/>
                <w:bCs/>
                <w:color w:val="auto"/>
              </w:rPr>
              <w:t>c</w:t>
            </w:r>
            <w:r w:rsidRPr="0B5ACFBB">
              <w:rPr>
                <w:rStyle w:val="Heading1Char"/>
                <w:rFonts w:ascii="Arial" w:hAnsi="Arial" w:cs="Arial"/>
                <w:b/>
                <w:bCs/>
                <w:color w:val="auto"/>
              </w:rPr>
              <w:t>hange and progress towards outcomes</w:t>
            </w:r>
            <w:bookmarkEnd w:id="15"/>
            <w:bookmarkEnd w:id="16"/>
            <w:r>
              <w:t xml:space="preserve"> </w:t>
            </w:r>
          </w:p>
        </w:tc>
      </w:tr>
      <w:bookmarkEnd w:id="17"/>
    </w:tbl>
    <w:p w:rsidRPr="009E3F6E" w:rsidR="00CB2873" w:rsidP="004D5FD5" w:rsidRDefault="00CB2873" w14:paraId="799AF0D2" w14:textId="77777777">
      <w:pPr>
        <w:jc w:val="both"/>
      </w:pPr>
    </w:p>
    <w:p w:rsidR="003D222C" w:rsidP="004D5FD5" w:rsidRDefault="11234AEC" w14:paraId="25478844" w14:textId="22E6B0ED">
      <w:pPr>
        <w:jc w:val="both"/>
      </w:pPr>
      <w:bookmarkStart w:name="_Toc1678083981" w:id="18"/>
      <w:r w:rsidRPr="0B5ACFBB">
        <w:rPr>
          <w:rStyle w:val="Heading2Char"/>
        </w:rPr>
        <w:t>Summary of the</w:t>
      </w:r>
      <w:r w:rsidRPr="0B5ACFBB" w:rsidR="0A52CBED">
        <w:rPr>
          <w:rStyle w:val="Heading2Char"/>
        </w:rPr>
        <w:t xml:space="preserve"> </w:t>
      </w:r>
      <w:r w:rsidRPr="0B5ACFBB" w:rsidR="791E9845">
        <w:rPr>
          <w:rStyle w:val="Heading2Char"/>
        </w:rPr>
        <w:t>programme’s theory of change, including any changes to outcome and impact indicators from the original business case</w:t>
      </w:r>
      <w:bookmarkEnd w:id="18"/>
      <w:r w:rsidR="791E9845">
        <w:t xml:space="preserve"> </w:t>
      </w:r>
    </w:p>
    <w:p w:rsidR="008D1F49" w:rsidP="004D5FD5" w:rsidRDefault="008D1F49" w14:paraId="2FAC6CDA" w14:textId="77777777">
      <w:pPr>
        <w:jc w:val="both"/>
      </w:pPr>
    </w:p>
    <w:p w:rsidRPr="00F4572C" w:rsidR="00AA2F35" w:rsidP="00AA2F35" w:rsidRDefault="52A325A8" w14:paraId="154440EC" w14:textId="29BAFEC9">
      <w:pPr>
        <w:jc w:val="both"/>
        <w:rPr>
          <w:sz w:val="22"/>
          <w:szCs w:val="22"/>
        </w:rPr>
      </w:pPr>
      <w:r w:rsidRPr="352FA995" w:rsidR="12ABD83F">
        <w:rPr>
          <w:sz w:val="22"/>
          <w:szCs w:val="22"/>
        </w:rPr>
        <w:t xml:space="preserve">The programme is underpinned by a Theory of Change </w:t>
      </w:r>
      <w:r w:rsidRPr="352FA995" w:rsidR="0E32FEB0">
        <w:rPr>
          <w:sz w:val="22"/>
          <w:szCs w:val="22"/>
        </w:rPr>
        <w:t>that assumes that continued support services</w:t>
      </w:r>
      <w:r w:rsidRPr="352FA995" w:rsidR="15BA612F">
        <w:rPr>
          <w:sz w:val="22"/>
          <w:szCs w:val="22"/>
        </w:rPr>
        <w:t>,</w:t>
      </w:r>
      <w:r w:rsidRPr="352FA995" w:rsidR="0E32FEB0">
        <w:rPr>
          <w:sz w:val="22"/>
          <w:szCs w:val="22"/>
        </w:rPr>
        <w:t> by the AFOLU Unit to developing country Parties participating in REDD+ under Article 5 of the Paris Agreement</w:t>
      </w:r>
      <w:r w:rsidRPr="352FA995" w:rsidR="44EAFDF1">
        <w:rPr>
          <w:sz w:val="22"/>
          <w:szCs w:val="22"/>
        </w:rPr>
        <w:t>,</w:t>
      </w:r>
      <w:r w:rsidRPr="352FA995" w:rsidR="0E32FEB0">
        <w:rPr>
          <w:sz w:val="22"/>
          <w:szCs w:val="22"/>
        </w:rPr>
        <w:t> is key to</w:t>
      </w:r>
      <w:r w:rsidRPr="352FA995" w:rsidR="56897241">
        <w:rPr>
          <w:sz w:val="22"/>
          <w:szCs w:val="22"/>
        </w:rPr>
        <w:t xml:space="preserve"> a)</w:t>
      </w:r>
      <w:r w:rsidRPr="352FA995" w:rsidR="0E32FEB0">
        <w:rPr>
          <w:sz w:val="22"/>
          <w:szCs w:val="22"/>
        </w:rPr>
        <w:t> continuing stepwise improvement in REDD+ implementation, reporting</w:t>
      </w:r>
      <w:r w:rsidRPr="352FA995" w:rsidR="29651125">
        <w:rPr>
          <w:sz w:val="22"/>
          <w:szCs w:val="22"/>
        </w:rPr>
        <w:t>,</w:t>
      </w:r>
      <w:r w:rsidRPr="352FA995" w:rsidR="0E32FEB0">
        <w:rPr>
          <w:sz w:val="22"/>
          <w:szCs w:val="22"/>
        </w:rPr>
        <w:t xml:space="preserve"> and transparency</w:t>
      </w:r>
      <w:r w:rsidRPr="352FA995" w:rsidR="48E43384">
        <w:rPr>
          <w:sz w:val="22"/>
          <w:szCs w:val="22"/>
        </w:rPr>
        <w:t>,</w:t>
      </w:r>
      <w:r w:rsidRPr="352FA995" w:rsidR="0E32FEB0">
        <w:rPr>
          <w:sz w:val="22"/>
          <w:szCs w:val="22"/>
        </w:rPr>
        <w:t> and</w:t>
      </w:r>
      <w:r w:rsidRPr="352FA995" w:rsidR="0F01DEB8">
        <w:rPr>
          <w:sz w:val="22"/>
          <w:szCs w:val="22"/>
        </w:rPr>
        <w:t>; b)</w:t>
      </w:r>
      <w:r w:rsidRPr="352FA995" w:rsidR="0E32FEB0">
        <w:rPr>
          <w:sz w:val="22"/>
          <w:szCs w:val="22"/>
        </w:rPr>
        <w:t xml:space="preserve"> to enabling Parties to access UNFCCC-aligned results-based finance. </w:t>
      </w:r>
      <w:r w:rsidRPr="352FA995" w:rsidR="0E32FEB0">
        <w:rPr>
          <w:sz w:val="22"/>
          <w:szCs w:val="22"/>
        </w:rPr>
        <w:t>The Warsaw Framework for REDD+ (WFR) has </w:t>
      </w:r>
      <w:r w:rsidRPr="352FA995" w:rsidR="0E32FEB0">
        <w:rPr>
          <w:sz w:val="22"/>
          <w:szCs w:val="22"/>
          <w:lang w:val="en-US"/>
        </w:rPr>
        <w:t>strong legitimacy as a negotiated framework adopted by 198 Parties to the UNFCCC</w:t>
      </w:r>
      <w:r w:rsidRPr="352FA995" w:rsidR="0CA6AB20">
        <w:rPr>
          <w:sz w:val="22"/>
          <w:szCs w:val="22"/>
          <w:lang w:val="en-US"/>
        </w:rPr>
        <w:t>,</w:t>
      </w:r>
      <w:r w:rsidRPr="352FA995" w:rsidR="5DD4F4C3">
        <w:rPr>
          <w:sz w:val="22"/>
          <w:szCs w:val="22"/>
          <w:lang w:val="en-US"/>
        </w:rPr>
        <w:t xml:space="preserve"> including the UK</w:t>
      </w:r>
      <w:r w:rsidRPr="352FA995" w:rsidR="0E32FEB0">
        <w:rPr>
          <w:sz w:val="22"/>
          <w:szCs w:val="22"/>
          <w:lang w:val="en-US"/>
        </w:rPr>
        <w:t xml:space="preserve">, with full integration into the Paris Agreement </w:t>
      </w:r>
      <w:r w:rsidRPr="352FA995" w:rsidR="0E32FEB0">
        <w:rPr>
          <w:sz w:val="22"/>
          <w:szCs w:val="22"/>
          <w:lang w:val="en-US"/>
        </w:rPr>
        <w:t>and Global </w:t>
      </w:r>
      <w:r w:rsidRPr="352FA995" w:rsidR="0E32FEB0">
        <w:rPr>
          <w:sz w:val="22"/>
          <w:szCs w:val="22"/>
          <w:lang w:val="en-US"/>
        </w:rPr>
        <w:t>Stocktake</w:t>
      </w:r>
      <w:r w:rsidRPr="352FA995" w:rsidR="0E32FEB0">
        <w:rPr>
          <w:sz w:val="22"/>
          <w:szCs w:val="22"/>
          <w:lang w:val="en-US"/>
        </w:rPr>
        <w:t>, and alignment of its measuring, reporting and review processes with countries’ national reporting. </w:t>
      </w:r>
      <w:r w:rsidRPr="352FA995" w:rsidR="0E32FEB0">
        <w:rPr>
          <w:sz w:val="22"/>
          <w:szCs w:val="22"/>
        </w:rPr>
        <w:t> </w:t>
      </w:r>
      <w:r w:rsidRPr="352FA995" w:rsidR="0E32FEB0">
        <w:rPr>
          <w:sz w:val="22"/>
          <w:szCs w:val="22"/>
        </w:rPr>
        <w:t>By upholding the international architecture for REDD+, the programme aims to strengthen alignment of forest-based mitigation action with Article 5.2, enhance transparency of REDD+ results and payments, and improve national and international coordination, cooperation and ambition on REDD+ in an increasingly complex financing and implementation landscape for forest </w:t>
      </w:r>
      <w:r w:rsidRPr="352FA995" w:rsidR="0E32FEB0">
        <w:rPr>
          <w:sz w:val="22"/>
          <w:szCs w:val="22"/>
        </w:rPr>
        <w:t>mitigation</w:t>
      </w:r>
      <w:r w:rsidRPr="352FA995" w:rsidR="0E32FEB0">
        <w:rPr>
          <w:sz w:val="22"/>
          <w:szCs w:val="22"/>
        </w:rPr>
        <w:t>. </w:t>
      </w:r>
    </w:p>
    <w:p w:rsidRPr="00F4572C" w:rsidR="00AA2F35" w:rsidP="00AA2F35" w:rsidRDefault="00AA2F35" w14:paraId="767B5614" w14:textId="77777777">
      <w:pPr>
        <w:jc w:val="both"/>
        <w:rPr>
          <w:sz w:val="22"/>
          <w:szCs w:val="22"/>
        </w:rPr>
      </w:pPr>
      <w:r w:rsidRPr="00F4572C">
        <w:rPr>
          <w:sz w:val="22"/>
          <w:szCs w:val="22"/>
        </w:rPr>
        <w:t> </w:t>
      </w:r>
    </w:p>
    <w:p w:rsidRPr="00F4572C" w:rsidR="00AA2F35" w:rsidP="00AA2F35" w:rsidRDefault="00AA2F35" w14:paraId="74A22DE1" w14:textId="59980839">
      <w:pPr>
        <w:jc w:val="both"/>
        <w:rPr>
          <w:sz w:val="22"/>
          <w:szCs w:val="22"/>
        </w:rPr>
      </w:pPr>
      <w:r w:rsidRPr="00F4572C">
        <w:rPr>
          <w:sz w:val="22"/>
          <w:szCs w:val="22"/>
        </w:rPr>
        <w:t>The Theory of Change identified two core outcomes: </w:t>
      </w:r>
    </w:p>
    <w:p w:rsidRPr="00F4572C" w:rsidR="00AA2F35" w:rsidP="00AA2F35" w:rsidRDefault="00AA2F35" w14:paraId="0CC7113E" w14:textId="77777777">
      <w:pPr>
        <w:jc w:val="both"/>
        <w:rPr>
          <w:sz w:val="22"/>
          <w:szCs w:val="22"/>
        </w:rPr>
      </w:pPr>
      <w:r w:rsidRPr="00F4572C">
        <w:rPr>
          <w:sz w:val="22"/>
          <w:szCs w:val="22"/>
        </w:rPr>
        <w:t> </w:t>
      </w:r>
    </w:p>
    <w:p w:rsidRPr="00F4572C" w:rsidR="00AA2F35" w:rsidP="00AA2F35" w:rsidRDefault="00AA2F35" w14:paraId="4BED3EC8" w14:textId="77777777">
      <w:pPr>
        <w:numPr>
          <w:ilvl w:val="0"/>
          <w:numId w:val="25"/>
        </w:numPr>
        <w:jc w:val="both"/>
        <w:rPr>
          <w:sz w:val="22"/>
          <w:szCs w:val="22"/>
        </w:rPr>
      </w:pPr>
      <w:r w:rsidRPr="00F4572C">
        <w:rPr>
          <w:b/>
          <w:bCs/>
          <w:sz w:val="22"/>
          <w:szCs w:val="22"/>
        </w:rPr>
        <w:t>Outcome 1:</w:t>
      </w:r>
      <w:r w:rsidRPr="00F4572C">
        <w:rPr>
          <w:sz w:val="22"/>
          <w:szCs w:val="22"/>
        </w:rPr>
        <w:t> Increased alignment of forest-based mitigation action with Article 5.2 and enhanced transparency on REDD+ results and payments; and </w:t>
      </w:r>
    </w:p>
    <w:p w:rsidRPr="00F4572C" w:rsidR="00AA2F35" w:rsidP="00AA2F35" w:rsidRDefault="00AA2F35" w14:paraId="678E4E87" w14:textId="77777777">
      <w:pPr>
        <w:numPr>
          <w:ilvl w:val="0"/>
          <w:numId w:val="26"/>
        </w:numPr>
        <w:jc w:val="both"/>
        <w:rPr>
          <w:sz w:val="22"/>
          <w:szCs w:val="22"/>
        </w:rPr>
      </w:pPr>
      <w:r w:rsidRPr="00F4572C">
        <w:rPr>
          <w:b/>
          <w:bCs/>
          <w:sz w:val="22"/>
          <w:szCs w:val="22"/>
        </w:rPr>
        <w:t>Outcome 2:</w:t>
      </w:r>
      <w:r w:rsidRPr="00F4572C">
        <w:rPr>
          <w:sz w:val="22"/>
          <w:szCs w:val="22"/>
        </w:rPr>
        <w:t> Improved national and international coordination, cooperation and ambition on REDD+. </w:t>
      </w:r>
    </w:p>
    <w:p w:rsidRPr="00F4572C" w:rsidR="008D1F49" w:rsidP="2148F548" w:rsidRDefault="008D1F49" w14:paraId="0B21A00E" w14:textId="4E330A18">
      <w:pPr>
        <w:ind w:left="720"/>
        <w:jc w:val="both"/>
        <w:rPr>
          <w:sz w:val="22"/>
          <w:szCs w:val="22"/>
        </w:rPr>
      </w:pPr>
    </w:p>
    <w:p w:rsidRPr="00F4572C" w:rsidR="00AA2F35" w:rsidP="004D5FD5" w:rsidRDefault="00AA2F35" w14:paraId="66D4C8BD" w14:textId="540E76C0">
      <w:pPr>
        <w:jc w:val="both"/>
        <w:rPr>
          <w:sz w:val="22"/>
          <w:szCs w:val="22"/>
        </w:rPr>
      </w:pPr>
      <w:r w:rsidRPr="3892D9B1" w:rsidR="1A907D7C">
        <w:rPr>
          <w:sz w:val="22"/>
          <w:szCs w:val="22"/>
        </w:rPr>
        <w:t>However</w:t>
      </w:r>
      <w:r w:rsidRPr="3892D9B1" w:rsidR="61910956">
        <w:rPr>
          <w:sz w:val="22"/>
          <w:szCs w:val="22"/>
        </w:rPr>
        <w:t>,</w:t>
      </w:r>
      <w:r w:rsidRPr="3892D9B1" w:rsidR="1A907D7C">
        <w:rPr>
          <w:sz w:val="22"/>
          <w:szCs w:val="22"/>
        </w:rPr>
        <w:t xml:space="preserve"> since the </w:t>
      </w:r>
      <w:r w:rsidRPr="3892D9B1" w:rsidR="0F00250D">
        <w:rPr>
          <w:sz w:val="22"/>
          <w:szCs w:val="22"/>
        </w:rPr>
        <w:t xml:space="preserve">implementation of the programme, updates have been made to the </w:t>
      </w:r>
      <w:r w:rsidRPr="3892D9B1" w:rsidR="5A75D2AD">
        <w:rPr>
          <w:sz w:val="22"/>
          <w:szCs w:val="22"/>
        </w:rPr>
        <w:t xml:space="preserve">Impact Statement and programme </w:t>
      </w:r>
      <w:r w:rsidRPr="3892D9B1" w:rsidR="0F00250D">
        <w:rPr>
          <w:sz w:val="22"/>
          <w:szCs w:val="22"/>
        </w:rPr>
        <w:t xml:space="preserve">Outcomes to ensure they better reflect the </w:t>
      </w:r>
      <w:r w:rsidRPr="3892D9B1" w:rsidR="4E9405E5">
        <w:rPr>
          <w:sz w:val="22"/>
          <w:szCs w:val="22"/>
        </w:rPr>
        <w:t>realities of the programme</w:t>
      </w:r>
      <w:r w:rsidRPr="3892D9B1" w:rsidR="4E9405E5">
        <w:rPr>
          <w:sz w:val="22"/>
          <w:szCs w:val="22"/>
        </w:rPr>
        <w:t xml:space="preserve">. </w:t>
      </w:r>
      <w:r w:rsidRPr="3892D9B1" w:rsidR="0F00250D">
        <w:rPr>
          <w:sz w:val="22"/>
          <w:szCs w:val="22"/>
        </w:rPr>
        <w:t xml:space="preserve"> </w:t>
      </w:r>
      <w:r w:rsidRPr="3892D9B1" w:rsidR="61910956">
        <w:rPr>
          <w:sz w:val="22"/>
          <w:szCs w:val="22"/>
        </w:rPr>
        <w:t xml:space="preserve">The UNFCCC REDD+ Support programme </w:t>
      </w:r>
      <w:r w:rsidRPr="3892D9B1" w:rsidR="5A75D2AD">
        <w:rPr>
          <w:sz w:val="22"/>
          <w:szCs w:val="22"/>
        </w:rPr>
        <w:t xml:space="preserve">aims to </w:t>
      </w:r>
      <w:r w:rsidRPr="3892D9B1" w:rsidR="7C855FBA">
        <w:rPr>
          <w:sz w:val="22"/>
          <w:szCs w:val="22"/>
        </w:rPr>
        <w:t>‘</w:t>
      </w:r>
      <w:r w:rsidRPr="3892D9B1" w:rsidR="5A75D2AD">
        <w:rPr>
          <w:sz w:val="22"/>
          <w:szCs w:val="22"/>
        </w:rPr>
        <w:t>enhance</w:t>
      </w:r>
      <w:r w:rsidRPr="3892D9B1" w:rsidR="5A75D2AD">
        <w:rPr>
          <w:sz w:val="22"/>
          <w:szCs w:val="22"/>
        </w:rPr>
        <w:t xml:space="preserve"> ambition of forest countries to halt and reverse deforestation and forest degradation and thereby reduce greenhouse gas emissions from the forest and land use sector, in line with the Paris Agreement, the Global Stocktake and the Sustainable Development Goals.</w:t>
      </w:r>
      <w:r w:rsidRPr="3892D9B1" w:rsidR="7C855FBA">
        <w:rPr>
          <w:sz w:val="22"/>
          <w:szCs w:val="22"/>
        </w:rPr>
        <w:t>’</w:t>
      </w:r>
      <w:r w:rsidRPr="3892D9B1" w:rsidR="5A75D2AD">
        <w:rPr>
          <w:sz w:val="22"/>
          <w:szCs w:val="22"/>
        </w:rPr>
        <w:t xml:space="preserve"> The two key Outcomes are: </w:t>
      </w:r>
    </w:p>
    <w:p w:rsidRPr="00F4572C" w:rsidR="005F06B1" w:rsidP="004D5FD5" w:rsidRDefault="005F06B1" w14:paraId="26F3EBF9" w14:textId="77777777">
      <w:pPr>
        <w:jc w:val="both"/>
        <w:rPr>
          <w:sz w:val="22"/>
          <w:szCs w:val="22"/>
        </w:rPr>
      </w:pPr>
    </w:p>
    <w:p w:rsidRPr="00F4572C" w:rsidR="005F06B1" w:rsidP="005F06B1" w:rsidRDefault="711CF7CD" w14:paraId="6BB5AF9E" w14:textId="071E9F1D">
      <w:pPr>
        <w:pStyle w:val="ListParagraph"/>
        <w:numPr>
          <w:ilvl w:val="0"/>
          <w:numId w:val="18"/>
        </w:numPr>
        <w:jc w:val="both"/>
        <w:rPr>
          <w:sz w:val="22"/>
          <w:szCs w:val="22"/>
        </w:rPr>
      </w:pPr>
      <w:r w:rsidRPr="19893469">
        <w:rPr>
          <w:sz w:val="22"/>
          <w:szCs w:val="22"/>
        </w:rPr>
        <w:t xml:space="preserve">Outcome 1: </w:t>
      </w:r>
      <w:r w:rsidRPr="19893469" w:rsidR="6CEEA4DC">
        <w:rPr>
          <w:sz w:val="22"/>
          <w:szCs w:val="22"/>
        </w:rPr>
        <w:t>Forest countries engaging in REDD+ are support</w:t>
      </w:r>
      <w:r w:rsidRPr="19893469" w:rsidR="167C6F95">
        <w:rPr>
          <w:sz w:val="22"/>
          <w:szCs w:val="22"/>
        </w:rPr>
        <w:t>ed</w:t>
      </w:r>
      <w:r w:rsidRPr="19893469" w:rsidR="6CEEA4DC">
        <w:rPr>
          <w:sz w:val="22"/>
          <w:szCs w:val="22"/>
        </w:rPr>
        <w:t xml:space="preserve"> to align with Article 5.2 of the Paris Agreement, enhancing transparency on REDD+ results and payments </w:t>
      </w:r>
    </w:p>
    <w:p w:rsidRPr="00F4572C" w:rsidR="000237FC" w:rsidP="005F06B1" w:rsidRDefault="7F335A53" w14:paraId="0340A6C5" w14:textId="6613922C">
      <w:pPr>
        <w:pStyle w:val="ListParagraph"/>
        <w:numPr>
          <w:ilvl w:val="0"/>
          <w:numId w:val="18"/>
        </w:numPr>
        <w:jc w:val="both"/>
        <w:rPr>
          <w:sz w:val="22"/>
          <w:szCs w:val="22"/>
        </w:rPr>
      </w:pPr>
      <w:r w:rsidRPr="3892D9B1" w:rsidR="7F335A53">
        <w:rPr>
          <w:sz w:val="22"/>
          <w:szCs w:val="22"/>
        </w:rPr>
        <w:t>Outcome 2: Improved national</w:t>
      </w:r>
      <w:r w:rsidRPr="3892D9B1" w:rsidR="7F335A53">
        <w:rPr>
          <w:sz w:val="22"/>
          <w:szCs w:val="22"/>
        </w:rPr>
        <w:t xml:space="preserve"> </w:t>
      </w:r>
      <w:r w:rsidRPr="3892D9B1" w:rsidR="00415AB7">
        <w:rPr>
          <w:sz w:val="22"/>
          <w:szCs w:val="22"/>
        </w:rPr>
        <w:t>and</w:t>
      </w:r>
      <w:r w:rsidRPr="3892D9B1" w:rsidR="7F335A53">
        <w:rPr>
          <w:sz w:val="22"/>
          <w:szCs w:val="22"/>
        </w:rPr>
        <w:t xml:space="preserve"> international coordination, </w:t>
      </w:r>
      <w:r w:rsidRPr="3892D9B1" w:rsidR="7F335A53">
        <w:rPr>
          <w:sz w:val="22"/>
          <w:szCs w:val="22"/>
        </w:rPr>
        <w:t>cooperation</w:t>
      </w:r>
      <w:r w:rsidRPr="3892D9B1" w:rsidR="7F335A53">
        <w:rPr>
          <w:sz w:val="22"/>
          <w:szCs w:val="22"/>
        </w:rPr>
        <w:t xml:space="preserve"> and ambition on REDD+ under Article 5.2, including strengthened reporting on Cancun Safeguards. </w:t>
      </w:r>
    </w:p>
    <w:p w:rsidRPr="00F4572C" w:rsidR="000237FC" w:rsidP="000237FC" w:rsidRDefault="62AB3D60" w14:paraId="1FBE24D7" w14:textId="03034305">
      <w:pPr>
        <w:jc w:val="both"/>
      </w:pPr>
      <w:r w:rsidRPr="352FA995" w:rsidR="1D3A427C">
        <w:rPr>
          <w:sz w:val="22"/>
          <w:szCs w:val="22"/>
        </w:rPr>
        <w:t>These outcomes are expected</w:t>
      </w:r>
      <w:r w:rsidRPr="352FA995" w:rsidR="1D3A427C">
        <w:rPr>
          <w:sz w:val="22"/>
          <w:szCs w:val="22"/>
        </w:rPr>
        <w:t xml:space="preserve"> over time</w:t>
      </w:r>
      <w:r w:rsidRPr="352FA995" w:rsidR="7FC883C8">
        <w:rPr>
          <w:sz w:val="22"/>
          <w:szCs w:val="22"/>
        </w:rPr>
        <w:t>,</w:t>
      </w:r>
      <w:r w:rsidRPr="352FA995" w:rsidR="1D3A427C">
        <w:rPr>
          <w:sz w:val="22"/>
          <w:szCs w:val="22"/>
        </w:rPr>
        <w:t xml:space="preserve"> and subject to external assumptions, to contribute to the successful implementation of Article 5 of the Paris Agreement and to transformational change in the forest and land-use sector, supporting the halting and reversing of deforestation and forest degradation in line with the global 1.5°C goal.</w:t>
      </w:r>
      <w:r w:rsidRPr="352FA995" w:rsidR="1D3A427C">
        <w:rPr>
          <w:sz w:val="22"/>
          <w:szCs w:val="22"/>
        </w:rPr>
        <w:t xml:space="preserve"> The UK contribution is embedded within a wider multi-donor effort supporting the UNFCCC AFOLU Unit, complementing funding from other </w:t>
      </w:r>
      <w:r w:rsidRPr="352FA995" w:rsidR="1D3A427C">
        <w:rPr>
          <w:sz w:val="22"/>
          <w:szCs w:val="22"/>
        </w:rPr>
        <w:t>donor</w:t>
      </w:r>
      <w:r w:rsidRPr="352FA995" w:rsidR="1D3A427C">
        <w:rPr>
          <w:sz w:val="22"/>
          <w:szCs w:val="22"/>
        </w:rPr>
        <w:t>s</w:t>
      </w:r>
      <w:r w:rsidRPr="352FA995" w:rsidR="1D3A427C">
        <w:rPr>
          <w:sz w:val="22"/>
          <w:szCs w:val="22"/>
        </w:rPr>
        <w:t> and enabling </w:t>
      </w:r>
      <w:r w:rsidRPr="352FA995" w:rsidR="1D3A427C">
        <w:rPr>
          <w:sz w:val="22"/>
          <w:szCs w:val="22"/>
        </w:rPr>
        <w:t>additional</w:t>
      </w:r>
      <w:r w:rsidRPr="352FA995" w:rsidR="1D3A427C">
        <w:rPr>
          <w:sz w:val="22"/>
          <w:szCs w:val="22"/>
        </w:rPr>
        <w:t> technical assessments, analytical </w:t>
      </w:r>
      <w:r w:rsidRPr="352FA995" w:rsidR="1D3A427C">
        <w:rPr>
          <w:sz w:val="22"/>
          <w:szCs w:val="22"/>
        </w:rPr>
        <w:t>work</w:t>
      </w:r>
      <w:r w:rsidRPr="352FA995" w:rsidR="1D3A427C">
        <w:rPr>
          <w:sz w:val="22"/>
          <w:szCs w:val="22"/>
        </w:rPr>
        <w:t xml:space="preserve"> and coordination activities beyond the UNFCCC core budget.   </w:t>
      </w:r>
    </w:p>
    <w:p w:rsidR="0B47315C" w:rsidP="0B47315C" w:rsidRDefault="0B47315C" w14:paraId="3D01A85E" w14:textId="7D2508C9">
      <w:pPr>
        <w:jc w:val="both"/>
        <w:rPr>
          <w:sz w:val="22"/>
          <w:szCs w:val="22"/>
        </w:rPr>
      </w:pPr>
    </w:p>
    <w:p w:rsidRPr="00F4572C" w:rsidR="000237FC" w:rsidP="000237FC" w:rsidRDefault="7F335A53" w14:paraId="477C8569" w14:textId="2CA6EB75">
      <w:pPr>
        <w:jc w:val="both"/>
        <w:rPr>
          <w:sz w:val="22"/>
          <w:szCs w:val="22"/>
        </w:rPr>
      </w:pPr>
      <w:r w:rsidRPr="4E7B7F16" w:rsidR="07543018">
        <w:rPr>
          <w:sz w:val="22"/>
          <w:szCs w:val="22"/>
        </w:rPr>
        <w:t xml:space="preserve">Following the process to finalise the extension to the term of the programme, and the additional funding, the programme team will update the Theory of Change to </w:t>
      </w:r>
      <w:r w:rsidRPr="4E7B7F16" w:rsidR="0025DBFD">
        <w:rPr>
          <w:sz w:val="22"/>
          <w:szCs w:val="22"/>
        </w:rPr>
        <w:t xml:space="preserve">provide a clearer causal narrative and </w:t>
      </w:r>
      <w:r w:rsidRPr="4E7B7F16" w:rsidR="07543018">
        <w:rPr>
          <w:sz w:val="22"/>
          <w:szCs w:val="22"/>
        </w:rPr>
        <w:t>ensure it better reflects the programme</w:t>
      </w:r>
      <w:r w:rsidRPr="4E7B7F16" w:rsidR="602C2991">
        <w:rPr>
          <w:sz w:val="22"/>
          <w:szCs w:val="22"/>
        </w:rPr>
        <w:t xml:space="preserve"> ambition</w:t>
      </w:r>
      <w:r w:rsidRPr="4E7B7F16" w:rsidR="07543018">
        <w:rPr>
          <w:sz w:val="22"/>
          <w:szCs w:val="22"/>
        </w:rPr>
        <w:t xml:space="preserve">. </w:t>
      </w:r>
    </w:p>
    <w:p w:rsidR="28430F59" w:rsidP="28430F59" w:rsidRDefault="28430F59" w14:paraId="6E7A33C9" w14:textId="497FE4B2">
      <w:pPr>
        <w:jc w:val="both"/>
        <w:rPr>
          <w:rFonts w:cs="Arial"/>
          <w:sz w:val="22"/>
          <w:szCs w:val="22"/>
        </w:rPr>
      </w:pPr>
    </w:p>
    <w:p w:rsidRPr="00D80C6C" w:rsidR="003D222C" w:rsidP="527A8EFF" w:rsidRDefault="0A52CBED" w14:paraId="6744E67C" w14:textId="61A50DFB">
      <w:pPr>
        <w:jc w:val="both"/>
        <w:rPr>
          <w:rFonts w:cs="Arial"/>
          <w:sz w:val="22"/>
          <w:szCs w:val="22"/>
        </w:rPr>
      </w:pPr>
      <w:bookmarkStart w:name="_Toc475243138" w:id="32"/>
      <w:r w:rsidRPr="0B5ACFBB">
        <w:rPr>
          <w:rStyle w:val="Heading2Char"/>
        </w:rPr>
        <w:t>Progress against</w:t>
      </w:r>
      <w:r w:rsidRPr="0B5ACFBB" w:rsidR="791E9845">
        <w:rPr>
          <w:rStyle w:val="Heading2Char"/>
        </w:rPr>
        <w:t xml:space="preserve"> the expected outcomes and </w:t>
      </w:r>
      <w:r w:rsidRPr="0B5ACFBB">
        <w:rPr>
          <w:rStyle w:val="Heading2Char"/>
        </w:rPr>
        <w:t>impact, and</w:t>
      </w:r>
      <w:r w:rsidRPr="0B5ACFBB" w:rsidR="791E9845">
        <w:rPr>
          <w:rStyle w:val="Heading2Char"/>
        </w:rPr>
        <w:t xml:space="preserve"> action</w:t>
      </w:r>
      <w:r w:rsidRPr="0B5ACFBB">
        <w:rPr>
          <w:rStyle w:val="Heading2Char"/>
        </w:rPr>
        <w:t>s</w:t>
      </w:r>
      <w:r w:rsidRPr="0B5ACFBB" w:rsidR="791E9845">
        <w:rPr>
          <w:rStyle w:val="Heading2Char"/>
        </w:rPr>
        <w:t xml:space="preserve"> planned </w:t>
      </w:r>
      <w:r w:rsidRPr="0B5ACFBB" w:rsidR="23E16536">
        <w:rPr>
          <w:rStyle w:val="Heading2Char"/>
        </w:rPr>
        <w:t>for</w:t>
      </w:r>
      <w:r w:rsidRPr="0B5ACFBB" w:rsidR="791E9845">
        <w:rPr>
          <w:rStyle w:val="Heading2Char"/>
        </w:rPr>
        <w:t xml:space="preserve"> the year ahead</w:t>
      </w:r>
      <w:bookmarkEnd w:id="32"/>
      <w:r w:rsidRPr="0B5ACFBB" w:rsidR="791E9845">
        <w:rPr>
          <w:rFonts w:cs="Arial"/>
          <w:sz w:val="22"/>
          <w:szCs w:val="22"/>
        </w:rPr>
        <w:t xml:space="preserve"> </w:t>
      </w:r>
    </w:p>
    <w:p w:rsidR="003D222C" w:rsidP="004D5FD5" w:rsidRDefault="003D222C" w14:paraId="594B159C" w14:textId="77777777">
      <w:pPr>
        <w:jc w:val="both"/>
        <w:rPr>
          <w:rFonts w:cs="Arial"/>
          <w:b/>
          <w:sz w:val="22"/>
          <w:szCs w:val="22"/>
        </w:rPr>
      </w:pPr>
    </w:p>
    <w:tbl>
      <w:tblPr>
        <w:tblStyle w:val="TableGrid"/>
        <w:tblW w:w="0" w:type="auto"/>
        <w:tblLook w:val="04A0" w:firstRow="1" w:lastRow="0" w:firstColumn="1" w:lastColumn="0" w:noHBand="0" w:noVBand="1"/>
      </w:tblPr>
      <w:tblGrid>
        <w:gridCol w:w="3005"/>
        <w:gridCol w:w="3005"/>
        <w:gridCol w:w="3006"/>
      </w:tblGrid>
      <w:tr w:rsidR="004B1E0A" w:rsidTr="0073638C" w14:paraId="0DCDEB71" w14:textId="77777777">
        <w:tc>
          <w:tcPr>
            <w:tcW w:w="3005" w:type="dxa"/>
            <w:shd w:val="clear" w:color="auto" w:fill="BDD6EE" w:themeFill="accent5" w:themeFillTint="66"/>
          </w:tcPr>
          <w:p w:rsidR="004B1E0A" w:rsidP="004D5FD5" w:rsidRDefault="004B1E0A" w14:paraId="383EBAB1" w14:textId="22ECE54B">
            <w:pPr>
              <w:jc w:val="both"/>
              <w:rPr>
                <w:rFonts w:cs="Arial"/>
                <w:b/>
                <w:sz w:val="22"/>
                <w:szCs w:val="22"/>
              </w:rPr>
            </w:pPr>
            <w:r>
              <w:rPr>
                <w:rFonts w:cs="Arial"/>
                <w:b/>
                <w:sz w:val="22"/>
                <w:szCs w:val="22"/>
                <w:lang w:eastAsia="en-US"/>
              </w:rPr>
              <w:t>Impact Indicator</w:t>
            </w:r>
          </w:p>
        </w:tc>
        <w:tc>
          <w:tcPr>
            <w:tcW w:w="3005" w:type="dxa"/>
            <w:shd w:val="clear" w:color="auto" w:fill="BDD6EE" w:themeFill="accent5" w:themeFillTint="66"/>
          </w:tcPr>
          <w:p w:rsidR="004B1E0A" w:rsidP="004D5FD5" w:rsidRDefault="004B1E0A" w14:paraId="598CD943" w14:textId="3D4E03E8">
            <w:pPr>
              <w:jc w:val="both"/>
              <w:rPr>
                <w:rFonts w:cs="Arial"/>
                <w:b/>
                <w:sz w:val="22"/>
                <w:szCs w:val="22"/>
              </w:rPr>
            </w:pPr>
            <w:r>
              <w:rPr>
                <w:rFonts w:cs="Arial"/>
                <w:b/>
                <w:sz w:val="22"/>
                <w:szCs w:val="22"/>
              </w:rPr>
              <w:t>Target 2026</w:t>
            </w:r>
          </w:p>
        </w:tc>
        <w:tc>
          <w:tcPr>
            <w:tcW w:w="3006" w:type="dxa"/>
            <w:shd w:val="clear" w:color="auto" w:fill="BDD6EE" w:themeFill="accent5" w:themeFillTint="66"/>
          </w:tcPr>
          <w:p w:rsidR="004B1E0A" w:rsidP="004D5FD5" w:rsidRDefault="004B1E0A" w14:paraId="0B77CBB1" w14:textId="45B318F1">
            <w:pPr>
              <w:jc w:val="both"/>
              <w:rPr>
                <w:rFonts w:cs="Arial"/>
                <w:b/>
                <w:sz w:val="22"/>
                <w:szCs w:val="22"/>
              </w:rPr>
            </w:pPr>
            <w:r>
              <w:rPr>
                <w:rFonts w:cs="Arial"/>
                <w:b/>
                <w:sz w:val="22"/>
                <w:szCs w:val="22"/>
              </w:rPr>
              <w:t>Achieved result 2026</w:t>
            </w:r>
          </w:p>
        </w:tc>
      </w:tr>
      <w:tr w:rsidR="004B1E0A" w:rsidTr="00276661" w14:paraId="4D1EBA7B" w14:textId="77777777">
        <w:tc>
          <w:tcPr>
            <w:tcW w:w="9016" w:type="dxa"/>
            <w:gridSpan w:val="3"/>
          </w:tcPr>
          <w:p w:rsidR="004B1E0A" w:rsidP="004D5FD5" w:rsidRDefault="00C176D4" w14:paraId="1A83CB66" w14:textId="1D934580">
            <w:pPr>
              <w:jc w:val="both"/>
              <w:rPr>
                <w:rFonts w:cs="Arial"/>
                <w:b/>
                <w:sz w:val="22"/>
                <w:szCs w:val="22"/>
              </w:rPr>
            </w:pPr>
            <w:r>
              <w:rPr>
                <w:rFonts w:cs="Arial"/>
                <w:b/>
                <w:sz w:val="22"/>
                <w:szCs w:val="22"/>
              </w:rPr>
              <w:t xml:space="preserve">Enhanced ambition of forest countries to halt and reverse deforestation and forest degradation and thereby reduce greenhouse gas emissions from the forest and land use sector, in line with </w:t>
            </w:r>
            <w:r w:rsidR="006A11D3">
              <w:rPr>
                <w:rFonts w:cs="Arial"/>
                <w:b/>
                <w:sz w:val="22"/>
                <w:szCs w:val="22"/>
              </w:rPr>
              <w:t xml:space="preserve">the Paris Agreement, the Global Stocktake and the Sustainable Development Goals </w:t>
            </w:r>
          </w:p>
        </w:tc>
      </w:tr>
      <w:tr w:rsidR="004B1E0A" w:rsidTr="004B1E0A" w14:paraId="0C135991" w14:textId="77777777">
        <w:tc>
          <w:tcPr>
            <w:tcW w:w="3005" w:type="dxa"/>
          </w:tcPr>
          <w:p w:rsidRPr="006A11D3" w:rsidR="004B1E0A" w:rsidP="006A11D3" w:rsidRDefault="006A11D3" w14:paraId="2EE4E3E4" w14:textId="43AB9A59">
            <w:pPr>
              <w:rPr>
                <w:rFonts w:cs="Arial"/>
                <w:bCs/>
                <w:sz w:val="22"/>
                <w:szCs w:val="22"/>
              </w:rPr>
            </w:pPr>
            <w:r>
              <w:rPr>
                <w:rFonts w:cs="Arial"/>
                <w:bCs/>
                <w:sz w:val="22"/>
                <w:szCs w:val="22"/>
              </w:rPr>
              <w:t xml:space="preserve">Impact Indicator: Extent to which the AFOLU Unit is likely to lead to transformational change </w:t>
            </w:r>
          </w:p>
        </w:tc>
        <w:tc>
          <w:tcPr>
            <w:tcW w:w="3005" w:type="dxa"/>
          </w:tcPr>
          <w:p w:rsidRPr="006A11D3" w:rsidR="004B1E0A" w:rsidP="004D5FD5" w:rsidRDefault="006A11D3" w14:paraId="1E076830" w14:textId="294D1B6E">
            <w:pPr>
              <w:jc w:val="both"/>
              <w:rPr>
                <w:rFonts w:cs="Arial"/>
                <w:bCs/>
                <w:sz w:val="22"/>
                <w:szCs w:val="22"/>
              </w:rPr>
            </w:pPr>
            <w:r w:rsidRPr="006A11D3">
              <w:rPr>
                <w:rFonts w:cs="Arial"/>
                <w:bCs/>
                <w:sz w:val="22"/>
                <w:szCs w:val="22"/>
              </w:rPr>
              <w:t>3</w:t>
            </w:r>
          </w:p>
        </w:tc>
        <w:tc>
          <w:tcPr>
            <w:tcW w:w="3006" w:type="dxa"/>
          </w:tcPr>
          <w:p w:rsidRPr="006A11D3" w:rsidR="004B1E0A" w:rsidP="004D5FD5" w:rsidRDefault="006A11D3" w14:paraId="1D34C26C" w14:textId="0E220F4D">
            <w:pPr>
              <w:jc w:val="both"/>
              <w:rPr>
                <w:rFonts w:cs="Arial"/>
                <w:bCs/>
                <w:sz w:val="22"/>
                <w:szCs w:val="22"/>
              </w:rPr>
            </w:pPr>
            <w:r w:rsidRPr="006A11D3">
              <w:rPr>
                <w:rFonts w:cs="Arial"/>
                <w:bCs/>
                <w:sz w:val="22"/>
                <w:szCs w:val="22"/>
              </w:rPr>
              <w:t>3</w:t>
            </w:r>
          </w:p>
        </w:tc>
      </w:tr>
    </w:tbl>
    <w:p w:rsidRPr="00D80C6C" w:rsidR="006C6AE3" w:rsidP="004D5FD5" w:rsidRDefault="006C6AE3" w14:paraId="21FA4496" w14:textId="77777777">
      <w:pPr>
        <w:jc w:val="both"/>
        <w:rPr>
          <w:rFonts w:cs="Arial"/>
          <w:b/>
          <w:sz w:val="22"/>
          <w:szCs w:val="22"/>
        </w:rPr>
      </w:pPr>
    </w:p>
    <w:p w:rsidR="00172258" w:rsidP="00854197" w:rsidRDefault="00854197" w14:paraId="6C9C1D3B" w14:textId="1339B745">
      <w:pPr>
        <w:ind w:right="-46"/>
        <w:jc w:val="both"/>
        <w:rPr>
          <w:rFonts w:cs="Arial"/>
          <w:color w:val="000000" w:themeColor="text1"/>
          <w:sz w:val="22"/>
          <w:szCs w:val="22"/>
        </w:rPr>
      </w:pPr>
      <w:r w:rsidRPr="52D6DA31" w:rsidR="10D7C9C6">
        <w:rPr>
          <w:rFonts w:cs="Arial"/>
          <w:color w:val="000000" w:themeColor="text1" w:themeTint="FF" w:themeShade="FF"/>
          <w:sz w:val="22"/>
          <w:szCs w:val="22"/>
        </w:rPr>
        <w:t xml:space="preserve">In 2026, the programme </w:t>
      </w:r>
      <w:r w:rsidRPr="52D6DA31" w:rsidR="10D7C9C6">
        <w:rPr>
          <w:rFonts w:cs="Arial"/>
          <w:color w:val="000000" w:themeColor="text1" w:themeTint="FF" w:themeShade="FF"/>
          <w:sz w:val="22"/>
          <w:szCs w:val="22"/>
        </w:rPr>
        <w:t xml:space="preserve">scored a 3 </w:t>
      </w:r>
      <w:r w:rsidRPr="352FA995" w:rsidR="10D7C9C6">
        <w:rPr>
          <w:rFonts w:cs="Arial"/>
          <w:color w:val="000000" w:themeColor="text1" w:themeTint="FF" w:themeShade="FF"/>
          <w:sz w:val="22"/>
          <w:szCs w:val="22"/>
        </w:rPr>
        <w:t>– not enough evidence yet to assess or the balance of evidence is inconclusive.</w:t>
      </w:r>
      <w:r w:rsidRPr="352FA995">
        <w:rPr>
          <w:rStyle w:val="FootnoteReference"/>
          <w:rFonts w:cs="Arial"/>
          <w:color w:val="000000" w:themeColor="text1" w:themeTint="FF" w:themeShade="FF"/>
          <w:sz w:val="22"/>
          <w:szCs w:val="22"/>
        </w:rPr>
        <w:footnoteReference w:id="1194"/>
      </w:r>
    </w:p>
    <w:p w:rsidR="00172258" w:rsidP="00854197" w:rsidRDefault="00172258" w14:paraId="590BB534" w14:textId="77777777">
      <w:pPr>
        <w:ind w:right="-46"/>
        <w:jc w:val="both"/>
        <w:rPr>
          <w:rFonts w:cs="Arial"/>
          <w:color w:val="000000" w:themeColor="text1"/>
          <w:sz w:val="22"/>
          <w:szCs w:val="22"/>
        </w:rPr>
      </w:pPr>
    </w:p>
    <w:p w:rsidRPr="00854197" w:rsidR="00854197" w:rsidP="00854197" w:rsidRDefault="00854197" w14:paraId="14B1C89E" w14:textId="280F1081">
      <w:pPr>
        <w:ind w:right="-46"/>
        <w:jc w:val="both"/>
        <w:rPr>
          <w:rFonts w:cs="Arial"/>
          <w:b w:val="1"/>
          <w:bCs w:val="1"/>
          <w:color w:val="000000" w:themeColor="text1"/>
          <w:sz w:val="22"/>
          <w:szCs w:val="22"/>
        </w:rPr>
      </w:pPr>
      <w:r w:rsidRPr="4E7B7F16" w:rsidR="7C6F6696">
        <w:rPr>
          <w:rFonts w:cs="Arial"/>
          <w:color w:val="000000" w:themeColor="text1" w:themeTint="FF" w:themeShade="FF"/>
          <w:sz w:val="22"/>
          <w:szCs w:val="22"/>
        </w:rPr>
        <w:t>The criteria selected for assessing transformational change are a) capacity and capability can be increased; b) at scale; and c) sustainability. </w:t>
      </w:r>
      <w:r w:rsidRPr="4E7B7F16" w:rsidR="7C6F6696">
        <w:rPr>
          <w:rFonts w:cs="Arial"/>
          <w:b w:val="1"/>
          <w:bCs w:val="1"/>
          <w:color w:val="000000" w:themeColor="text1" w:themeTint="FF" w:themeShade="FF"/>
          <w:sz w:val="22"/>
          <w:szCs w:val="22"/>
        </w:rPr>
        <w:t> </w:t>
      </w:r>
      <w:r w:rsidRPr="4E7B7F16" w:rsidR="7C6F6696">
        <w:rPr>
          <w:rFonts w:cs="Arial"/>
          <w:color w:val="000000" w:themeColor="text1" w:themeTint="FF" w:themeShade="FF"/>
          <w:sz w:val="22"/>
          <w:szCs w:val="22"/>
        </w:rPr>
        <w:t xml:space="preserve">All three criteria scored a 3 (not enough evidence) this year. </w:t>
      </w:r>
      <w:r w:rsidRPr="4E7B7F16" w:rsidR="7C6F6696">
        <w:rPr>
          <w:rFonts w:cs="Arial"/>
          <w:color w:val="000000" w:themeColor="text1" w:themeTint="FF" w:themeShade="FF"/>
          <w:sz w:val="22"/>
          <w:szCs w:val="22"/>
        </w:rPr>
        <w:t>Overall progress demonstrated technical assistance delivered through events, trainings, meetings, south-south exchange and outreach events reached the intended audience and improved knowledge capacity. However, the programme is still early in the implementation phase, and we do not yet have enough evidence to make a full assessment against these criteria. </w:t>
      </w:r>
    </w:p>
    <w:p w:rsidR="00122D2E" w:rsidP="004D5FD5" w:rsidRDefault="00122D2E" w14:paraId="124D144A" w14:textId="77777777">
      <w:pPr>
        <w:jc w:val="both"/>
        <w:rPr>
          <w:rFonts w:cs="Arial"/>
          <w:color w:val="000000" w:themeColor="text1"/>
          <w:sz w:val="22"/>
          <w:szCs w:val="22"/>
        </w:rPr>
      </w:pPr>
    </w:p>
    <w:tbl>
      <w:tblPr>
        <w:tblStyle w:val="TableGrid"/>
        <w:tblW w:w="0" w:type="auto"/>
        <w:tblLook w:val="04A0" w:firstRow="1" w:lastRow="0" w:firstColumn="1" w:lastColumn="0" w:noHBand="0" w:noVBand="1"/>
      </w:tblPr>
      <w:tblGrid>
        <w:gridCol w:w="3681"/>
        <w:gridCol w:w="2693"/>
        <w:gridCol w:w="2642"/>
      </w:tblGrid>
      <w:tr w:rsidR="00F11340" w:rsidTr="352FA995" w14:paraId="3752C935" w14:textId="77777777">
        <w:tc>
          <w:tcPr>
            <w:tcW w:w="3681" w:type="dxa"/>
            <w:shd w:val="clear" w:color="auto" w:fill="BDD6EE" w:themeFill="accent5" w:themeFillTint="66"/>
            <w:tcMar/>
          </w:tcPr>
          <w:p w:rsidRPr="00E9486F" w:rsidR="00F11340" w:rsidP="004D5FD5" w:rsidRDefault="00F11340" w14:paraId="3AB5C0CE" w14:textId="2782BCA8">
            <w:pPr>
              <w:jc w:val="both"/>
              <w:rPr>
                <w:rFonts w:cs="Arial"/>
                <w:b/>
                <w:bCs/>
                <w:color w:val="000000" w:themeColor="text1"/>
                <w:sz w:val="22"/>
                <w:szCs w:val="22"/>
              </w:rPr>
            </w:pPr>
            <w:r w:rsidRPr="00E9486F">
              <w:rPr>
                <w:rFonts w:cs="Arial"/>
                <w:b/>
                <w:bCs/>
                <w:color w:val="000000" w:themeColor="text1"/>
                <w:sz w:val="22"/>
                <w:szCs w:val="22"/>
                <w:lang w:eastAsia="en-US"/>
              </w:rPr>
              <w:t xml:space="preserve">Outcome Indicators </w:t>
            </w:r>
          </w:p>
        </w:tc>
        <w:tc>
          <w:tcPr>
            <w:tcW w:w="2693" w:type="dxa"/>
            <w:shd w:val="clear" w:color="auto" w:fill="BDD6EE" w:themeFill="accent5" w:themeFillTint="66"/>
            <w:tcMar/>
          </w:tcPr>
          <w:p w:rsidRPr="00E9486F" w:rsidR="00F11340" w:rsidP="004D5FD5" w:rsidRDefault="00F11340" w14:paraId="69B27646" w14:textId="6757903E">
            <w:pPr>
              <w:jc w:val="both"/>
              <w:rPr>
                <w:rFonts w:cs="Arial"/>
                <w:b/>
                <w:bCs/>
                <w:color w:val="000000" w:themeColor="text1"/>
                <w:sz w:val="22"/>
                <w:szCs w:val="22"/>
              </w:rPr>
            </w:pPr>
            <w:r w:rsidRPr="00E9486F">
              <w:rPr>
                <w:rFonts w:cs="Arial"/>
                <w:b/>
                <w:bCs/>
                <w:color w:val="000000" w:themeColor="text1"/>
                <w:sz w:val="22"/>
                <w:szCs w:val="22"/>
              </w:rPr>
              <w:t xml:space="preserve">Target 2026 </w:t>
            </w:r>
          </w:p>
        </w:tc>
        <w:tc>
          <w:tcPr>
            <w:tcW w:w="2642" w:type="dxa"/>
            <w:shd w:val="clear" w:color="auto" w:fill="BDD6EE" w:themeFill="accent5" w:themeFillTint="66"/>
            <w:tcMar/>
          </w:tcPr>
          <w:p w:rsidRPr="00E9486F" w:rsidR="00F11340" w:rsidP="004D5FD5" w:rsidRDefault="00F11340" w14:paraId="7E705AA8" w14:textId="27C68724">
            <w:pPr>
              <w:jc w:val="both"/>
              <w:rPr>
                <w:rFonts w:cs="Arial"/>
                <w:b/>
                <w:bCs/>
                <w:color w:val="000000" w:themeColor="text1"/>
                <w:sz w:val="22"/>
                <w:szCs w:val="22"/>
              </w:rPr>
            </w:pPr>
            <w:r w:rsidRPr="00E9486F">
              <w:rPr>
                <w:rFonts w:cs="Arial"/>
                <w:b/>
                <w:bCs/>
                <w:color w:val="000000" w:themeColor="text1"/>
                <w:sz w:val="22"/>
                <w:szCs w:val="22"/>
              </w:rPr>
              <w:t xml:space="preserve">Achieved result 2026 </w:t>
            </w:r>
          </w:p>
        </w:tc>
      </w:tr>
      <w:tr w:rsidR="00AB0D0F" w:rsidTr="352FA995" w14:paraId="2EE2AC67" w14:textId="77777777">
        <w:tc>
          <w:tcPr>
            <w:tcW w:w="9016" w:type="dxa"/>
            <w:gridSpan w:val="3"/>
            <w:tcMar/>
          </w:tcPr>
          <w:p w:rsidRPr="0073638C" w:rsidR="00AB0D0F" w:rsidP="004D5FD5" w:rsidRDefault="00AB0D0F" w14:paraId="1C48C60D" w14:textId="4E487B74">
            <w:pPr>
              <w:jc w:val="both"/>
              <w:rPr>
                <w:rFonts w:cs="Arial"/>
                <w:b/>
                <w:bCs/>
                <w:color w:val="000000" w:themeColor="text1"/>
                <w:sz w:val="22"/>
                <w:szCs w:val="22"/>
              </w:rPr>
            </w:pPr>
            <w:r w:rsidRPr="0073638C">
              <w:rPr>
                <w:rFonts w:cs="Arial"/>
                <w:b/>
                <w:bCs/>
                <w:color w:val="000000" w:themeColor="text1"/>
                <w:sz w:val="22"/>
                <w:szCs w:val="22"/>
              </w:rPr>
              <w:t xml:space="preserve">Outcome 1: Forest countries engaging in REDD+ are supported to align with Article 5.2 of the Paris Agreement, enhancing transparency on REDD+ results and payments </w:t>
            </w:r>
          </w:p>
        </w:tc>
      </w:tr>
      <w:tr w:rsidR="00F11340" w:rsidTr="352FA995" w14:paraId="55BF8D85" w14:textId="77777777">
        <w:tc>
          <w:tcPr>
            <w:tcW w:w="3681" w:type="dxa"/>
            <w:tcMar/>
          </w:tcPr>
          <w:p w:rsidR="00F11340" w:rsidP="00811D8C" w:rsidRDefault="00AB0D0F" w14:paraId="48FCB06D" w14:textId="3DCE3923">
            <w:pPr>
              <w:rPr>
                <w:rFonts w:cs="Arial"/>
                <w:color w:val="000000" w:themeColor="text1"/>
                <w:sz w:val="22"/>
                <w:szCs w:val="22"/>
              </w:rPr>
            </w:pPr>
            <w:r>
              <w:rPr>
                <w:rFonts w:cs="Arial"/>
                <w:color w:val="000000" w:themeColor="text1"/>
                <w:sz w:val="22"/>
                <w:szCs w:val="22"/>
              </w:rPr>
              <w:t xml:space="preserve">Outcome Indicator 1.1: </w:t>
            </w:r>
            <w:r w:rsidRPr="00811D8C" w:rsidR="00811D8C">
              <w:rPr>
                <w:rFonts w:cs="Arial"/>
                <w:color w:val="000000" w:themeColor="text1"/>
                <w:sz w:val="22"/>
                <w:szCs w:val="22"/>
              </w:rPr>
              <w:t>Total of technically analysed REDD+ results (in tonnes CO2 eq) published on the REDD+ Lima Information Hub (cumulative)</w:t>
            </w:r>
          </w:p>
        </w:tc>
        <w:tc>
          <w:tcPr>
            <w:tcW w:w="2693" w:type="dxa"/>
            <w:tcMar/>
            <w:vAlign w:val="center"/>
          </w:tcPr>
          <w:p w:rsidRPr="00D42F7D" w:rsidR="00D42F7D" w:rsidP="00D42F7D" w:rsidRDefault="00D42F7D" w14:paraId="7097F4B7" w14:textId="36A2326F">
            <w:pPr>
              <w:rPr>
                <w:rFonts w:cs="Arial"/>
                <w:sz w:val="22"/>
                <w:szCs w:val="22"/>
              </w:rPr>
            </w:pPr>
            <w:r>
              <w:rPr>
                <w:rFonts w:cs="Arial"/>
                <w:sz w:val="22"/>
                <w:szCs w:val="22"/>
              </w:rPr>
              <w:t>1</w:t>
            </w:r>
            <w:r w:rsidRPr="00D42F7D">
              <w:rPr>
                <w:rFonts w:cs="Arial"/>
                <w:sz w:val="22"/>
                <w:szCs w:val="22"/>
              </w:rPr>
              <w:t>2,860,000,000</w:t>
            </w:r>
          </w:p>
          <w:p w:rsidRPr="00D42F7D" w:rsidR="00D42F7D" w:rsidP="00D42F7D" w:rsidRDefault="00D42F7D" w14:paraId="21092A9A" w14:textId="77777777">
            <w:pPr>
              <w:rPr>
                <w:rFonts w:cs="Arial"/>
                <w:sz w:val="22"/>
                <w:szCs w:val="22"/>
              </w:rPr>
            </w:pPr>
          </w:p>
        </w:tc>
        <w:tc>
          <w:tcPr>
            <w:tcW w:w="2642" w:type="dxa"/>
            <w:tcMar/>
            <w:vAlign w:val="center"/>
          </w:tcPr>
          <w:p w:rsidRPr="00D42F7D" w:rsidR="00D42F7D" w:rsidP="00D42F7D" w:rsidRDefault="00D42F7D" w14:paraId="6475476C" w14:textId="77777777">
            <w:pPr>
              <w:rPr>
                <w:rFonts w:cs="Arial"/>
                <w:color w:val="000000" w:themeColor="text1"/>
                <w:sz w:val="22"/>
                <w:szCs w:val="22"/>
              </w:rPr>
            </w:pPr>
            <w:r w:rsidRPr="00D42F7D">
              <w:rPr>
                <w:rFonts w:cs="Arial"/>
                <w:color w:val="000000" w:themeColor="text1"/>
                <w:sz w:val="22"/>
                <w:szCs w:val="22"/>
              </w:rPr>
              <w:t>14,106,003,769</w:t>
            </w:r>
          </w:p>
          <w:p w:rsidR="00F11340" w:rsidP="00D42F7D" w:rsidRDefault="00F11340" w14:paraId="77B42A16" w14:textId="77777777">
            <w:pPr>
              <w:rPr>
                <w:rFonts w:cs="Arial"/>
                <w:color w:val="000000" w:themeColor="text1"/>
                <w:sz w:val="22"/>
                <w:szCs w:val="22"/>
              </w:rPr>
            </w:pPr>
          </w:p>
        </w:tc>
      </w:tr>
      <w:tr w:rsidR="00F11340" w:rsidTr="352FA995" w14:paraId="0E1E919B" w14:textId="77777777">
        <w:tc>
          <w:tcPr>
            <w:tcW w:w="3681" w:type="dxa"/>
            <w:tcMar/>
          </w:tcPr>
          <w:p w:rsidR="00F11340" w:rsidP="0050654E" w:rsidRDefault="00D42F7D" w14:paraId="30A50727" w14:textId="3FABF6C4">
            <w:pPr>
              <w:rPr>
                <w:rFonts w:cs="Arial"/>
                <w:color w:val="000000" w:themeColor="text1"/>
                <w:sz w:val="22"/>
                <w:szCs w:val="22"/>
              </w:rPr>
            </w:pPr>
            <w:r>
              <w:rPr>
                <w:rFonts w:cs="Arial"/>
                <w:color w:val="000000" w:themeColor="text1"/>
                <w:sz w:val="22"/>
                <w:szCs w:val="22"/>
              </w:rPr>
              <w:t xml:space="preserve">Outcome Indicator 1.2: </w:t>
            </w:r>
            <w:r w:rsidRPr="0050654E" w:rsidR="0050654E">
              <w:rPr>
                <w:rFonts w:cs="Arial"/>
                <w:color w:val="000000" w:themeColor="text1"/>
                <w:sz w:val="22"/>
                <w:szCs w:val="22"/>
              </w:rPr>
              <w:t>Reports submitted by Parties to the UNFCCC AFOLU Unit under Article 5.2: (a) total number of Parties with submissions to the UNFCCC AFOLU Unit and (b) total number of reports published on the Lima Information Hub (cumulative)</w:t>
            </w:r>
          </w:p>
        </w:tc>
        <w:tc>
          <w:tcPr>
            <w:tcW w:w="2693" w:type="dxa"/>
            <w:tcMar/>
          </w:tcPr>
          <w:p w:rsidR="0050654E" w:rsidP="0050654E" w:rsidRDefault="0050654E" w14:paraId="2F669F68" w14:textId="0A8B872F">
            <w:pPr>
              <w:jc w:val="both"/>
              <w:rPr>
                <w:rFonts w:cs="Arial"/>
                <w:sz w:val="20"/>
                <w:szCs w:val="20"/>
              </w:rPr>
            </w:pPr>
            <w:r>
              <w:rPr>
                <w:rFonts w:cs="Arial"/>
                <w:sz w:val="20"/>
                <w:szCs w:val="20"/>
              </w:rPr>
              <w:t>a) 69               b) 113</w:t>
            </w:r>
          </w:p>
          <w:p w:rsidR="00F11340" w:rsidP="004D5FD5" w:rsidRDefault="00F11340" w14:paraId="461022DB" w14:textId="77777777">
            <w:pPr>
              <w:jc w:val="both"/>
              <w:rPr>
                <w:rFonts w:cs="Arial"/>
                <w:color w:val="000000" w:themeColor="text1"/>
                <w:sz w:val="22"/>
                <w:szCs w:val="22"/>
              </w:rPr>
            </w:pPr>
          </w:p>
        </w:tc>
        <w:tc>
          <w:tcPr>
            <w:tcW w:w="2642" w:type="dxa"/>
            <w:tcMar/>
          </w:tcPr>
          <w:p w:rsidRPr="00A46E61" w:rsidR="00A46E61" w:rsidP="00A46E61" w:rsidRDefault="00A46E61" w14:paraId="6E1670F8" w14:textId="1649517B">
            <w:pPr>
              <w:jc w:val="both"/>
              <w:rPr>
                <w:rFonts w:cs="Arial"/>
                <w:color w:val="000000" w:themeColor="text1"/>
                <w:sz w:val="22"/>
                <w:szCs w:val="22"/>
              </w:rPr>
            </w:pPr>
            <w:r w:rsidRPr="00A46E61">
              <w:rPr>
                <w:rFonts w:cs="Arial"/>
                <w:color w:val="000000" w:themeColor="text1"/>
                <w:sz w:val="22"/>
                <w:szCs w:val="22"/>
              </w:rPr>
              <w:t>a) 69               b) 132</w:t>
            </w:r>
          </w:p>
          <w:p w:rsidR="00F11340" w:rsidP="004D5FD5" w:rsidRDefault="00F11340" w14:paraId="74161488" w14:textId="77777777">
            <w:pPr>
              <w:jc w:val="both"/>
              <w:rPr>
                <w:rFonts w:cs="Arial"/>
                <w:color w:val="000000" w:themeColor="text1"/>
                <w:sz w:val="22"/>
                <w:szCs w:val="22"/>
              </w:rPr>
            </w:pPr>
          </w:p>
        </w:tc>
      </w:tr>
      <w:tr w:rsidR="00A46E61" w:rsidTr="352FA995" w14:paraId="33BAA789" w14:textId="77777777">
        <w:tc>
          <w:tcPr>
            <w:tcW w:w="9016" w:type="dxa"/>
            <w:gridSpan w:val="3"/>
            <w:tcMar/>
          </w:tcPr>
          <w:p w:rsidRPr="0073638C" w:rsidR="00A46E61" w:rsidP="004D5FD5" w:rsidRDefault="00A46E61" w14:paraId="6D24B182" w14:textId="532984F9">
            <w:pPr>
              <w:jc w:val="both"/>
              <w:rPr>
                <w:rFonts w:cs="Arial"/>
                <w:b/>
                <w:bCs/>
                <w:color w:val="000000" w:themeColor="text1"/>
                <w:sz w:val="22"/>
                <w:szCs w:val="22"/>
              </w:rPr>
            </w:pPr>
            <w:r w:rsidRPr="0073638C">
              <w:rPr>
                <w:rFonts w:cs="Arial"/>
                <w:b/>
                <w:bCs/>
                <w:color w:val="000000" w:themeColor="text1"/>
                <w:sz w:val="22"/>
                <w:szCs w:val="22"/>
              </w:rPr>
              <w:t xml:space="preserve">Outcome 2: </w:t>
            </w:r>
            <w:r w:rsidRPr="0073638C" w:rsidR="0090343C">
              <w:rPr>
                <w:rFonts w:cs="Arial"/>
                <w:b/>
                <w:bCs/>
                <w:color w:val="000000" w:themeColor="text1"/>
                <w:sz w:val="22"/>
                <w:szCs w:val="22"/>
              </w:rPr>
              <w:t>Improved national and international coordination, cooperation and ambition on REDD+ under Article 5.2, including strengthened reporting on Cancun Safeguards</w:t>
            </w:r>
          </w:p>
        </w:tc>
      </w:tr>
      <w:tr w:rsidR="00F11340" w:rsidTr="352FA995" w14:paraId="3964DF97" w14:textId="77777777">
        <w:tc>
          <w:tcPr>
            <w:tcW w:w="3681" w:type="dxa"/>
            <w:tcMar/>
          </w:tcPr>
          <w:p w:rsidR="00F11340" w:rsidP="004D5FD5" w:rsidRDefault="0090343C" w14:paraId="1ABA0E69" w14:textId="035AEF99">
            <w:pPr>
              <w:jc w:val="both"/>
              <w:rPr>
                <w:rFonts w:cs="Arial"/>
                <w:color w:val="000000" w:themeColor="text1"/>
                <w:sz w:val="22"/>
                <w:szCs w:val="22"/>
              </w:rPr>
            </w:pPr>
            <w:r>
              <w:rPr>
                <w:rFonts w:cs="Arial"/>
                <w:color w:val="000000" w:themeColor="text1"/>
                <w:sz w:val="22"/>
                <w:szCs w:val="22"/>
              </w:rPr>
              <w:t xml:space="preserve">Outcome Indicator 2.1: </w:t>
            </w:r>
            <w:r w:rsidRPr="0090343C">
              <w:rPr>
                <w:rFonts w:cs="Arial"/>
                <w:color w:val="000000" w:themeColor="text1"/>
                <w:sz w:val="22"/>
                <w:szCs w:val="22"/>
              </w:rPr>
              <w:t>Proportion of forest countries with a FREL/FRL submitted to the UNFCCC that also submitted a Safeguards Information Summary Report (cumulative)</w:t>
            </w:r>
          </w:p>
        </w:tc>
        <w:tc>
          <w:tcPr>
            <w:tcW w:w="2693" w:type="dxa"/>
            <w:tcMar/>
          </w:tcPr>
          <w:p w:rsidR="00F11340" w:rsidP="004D5FD5" w:rsidRDefault="0090343C" w14:paraId="6EC78B3D" w14:textId="15E57DF1">
            <w:pPr>
              <w:jc w:val="both"/>
              <w:rPr>
                <w:rFonts w:cs="Arial"/>
                <w:color w:val="000000" w:themeColor="text1"/>
                <w:sz w:val="22"/>
                <w:szCs w:val="22"/>
              </w:rPr>
            </w:pPr>
            <w:r w:rsidRPr="352FA995" w:rsidR="0090343C">
              <w:rPr>
                <w:rFonts w:cs="Arial"/>
                <w:color w:val="000000" w:themeColor="text1" w:themeTint="FF" w:themeShade="FF"/>
                <w:sz w:val="22"/>
                <w:szCs w:val="22"/>
              </w:rPr>
              <w:t>52</w:t>
            </w:r>
            <w:r w:rsidRPr="352FA995" w:rsidR="00E9486F">
              <w:rPr>
                <w:rFonts w:cs="Arial"/>
                <w:color w:val="000000" w:themeColor="text1" w:themeTint="FF" w:themeShade="FF"/>
                <w:sz w:val="22"/>
                <w:szCs w:val="22"/>
              </w:rPr>
              <w:t>%</w:t>
            </w:r>
          </w:p>
        </w:tc>
        <w:tc>
          <w:tcPr>
            <w:tcW w:w="2642" w:type="dxa"/>
            <w:tcMar/>
          </w:tcPr>
          <w:p w:rsidR="00F11340" w:rsidP="004D5FD5" w:rsidRDefault="00E9486F" w14:paraId="78358CBB" w14:textId="78B45798">
            <w:pPr>
              <w:jc w:val="both"/>
              <w:rPr>
                <w:rFonts w:cs="Arial"/>
                <w:color w:val="000000" w:themeColor="text1"/>
                <w:sz w:val="22"/>
                <w:szCs w:val="22"/>
              </w:rPr>
            </w:pPr>
            <w:r w:rsidRPr="352FA995" w:rsidR="00E9486F">
              <w:rPr>
                <w:rFonts w:cs="Arial"/>
                <w:color w:val="000000" w:themeColor="text1" w:themeTint="FF" w:themeShade="FF"/>
                <w:sz w:val="22"/>
                <w:szCs w:val="22"/>
              </w:rPr>
              <w:t>48%</w:t>
            </w:r>
          </w:p>
        </w:tc>
      </w:tr>
      <w:tr w:rsidR="00A46E61" w:rsidTr="352FA995" w14:paraId="0CC33AF3" w14:textId="77777777">
        <w:tc>
          <w:tcPr>
            <w:tcW w:w="3681" w:type="dxa"/>
            <w:tcMar/>
          </w:tcPr>
          <w:p w:rsidR="00A46E61" w:rsidP="004D5FD5" w:rsidRDefault="00E9486F" w14:paraId="65529383" w14:textId="01BFE323">
            <w:pPr>
              <w:jc w:val="both"/>
              <w:rPr>
                <w:rFonts w:cs="Arial"/>
                <w:color w:val="000000" w:themeColor="text1"/>
                <w:sz w:val="22"/>
                <w:szCs w:val="22"/>
              </w:rPr>
            </w:pPr>
            <w:r>
              <w:rPr>
                <w:rFonts w:cs="Arial"/>
                <w:color w:val="000000" w:themeColor="text1"/>
                <w:sz w:val="22"/>
                <w:szCs w:val="22"/>
              </w:rPr>
              <w:t xml:space="preserve">Outcome Indicator 2.2: </w:t>
            </w:r>
            <w:r w:rsidRPr="00E9486F">
              <w:rPr>
                <w:rFonts w:cs="Arial"/>
                <w:color w:val="000000" w:themeColor="text1"/>
                <w:sz w:val="22"/>
                <w:szCs w:val="22"/>
              </w:rPr>
              <w:t>Proportion of participants who acquired new knowledge on REDD+ through South-South exchange organised by the AFOLU Unit</w:t>
            </w:r>
          </w:p>
        </w:tc>
        <w:tc>
          <w:tcPr>
            <w:tcW w:w="2693" w:type="dxa"/>
            <w:tcMar/>
          </w:tcPr>
          <w:p w:rsidR="00A46E61" w:rsidP="004D5FD5" w:rsidRDefault="00E9486F" w14:paraId="2BF1E401" w14:textId="539429C7">
            <w:pPr>
              <w:jc w:val="both"/>
              <w:rPr>
                <w:rFonts w:cs="Arial"/>
                <w:color w:val="000000" w:themeColor="text1"/>
                <w:sz w:val="22"/>
                <w:szCs w:val="22"/>
              </w:rPr>
            </w:pPr>
            <w:r w:rsidRPr="352FA995" w:rsidR="00E9486F">
              <w:rPr>
                <w:rFonts w:cs="Arial"/>
                <w:color w:val="000000" w:themeColor="text1" w:themeTint="FF" w:themeShade="FF"/>
                <w:sz w:val="22"/>
                <w:szCs w:val="22"/>
              </w:rPr>
              <w:t>80% respondents</w:t>
            </w:r>
          </w:p>
        </w:tc>
        <w:tc>
          <w:tcPr>
            <w:tcW w:w="2642" w:type="dxa"/>
            <w:tcMar/>
          </w:tcPr>
          <w:p w:rsidR="00A46E61" w:rsidP="004D5FD5" w:rsidRDefault="00E9486F" w14:paraId="79C4C4EA" w14:textId="77BA6B5E">
            <w:pPr>
              <w:jc w:val="both"/>
              <w:rPr>
                <w:rFonts w:cs="Arial"/>
                <w:color w:val="000000" w:themeColor="text1"/>
                <w:sz w:val="22"/>
                <w:szCs w:val="22"/>
              </w:rPr>
            </w:pPr>
            <w:r w:rsidRPr="0DAAE9C5">
              <w:rPr>
                <w:rFonts w:cs="Arial"/>
                <w:color w:val="000000" w:themeColor="text1"/>
                <w:sz w:val="22"/>
                <w:szCs w:val="22"/>
              </w:rPr>
              <w:t xml:space="preserve">100% respondents </w:t>
            </w:r>
          </w:p>
        </w:tc>
      </w:tr>
    </w:tbl>
    <w:p w:rsidR="00122D2E" w:rsidP="004D5FD5" w:rsidRDefault="00122D2E" w14:paraId="30004EB2" w14:textId="77777777">
      <w:pPr>
        <w:jc w:val="both"/>
        <w:rPr>
          <w:rFonts w:cs="Arial"/>
          <w:color w:val="000000" w:themeColor="text1"/>
          <w:sz w:val="22"/>
          <w:szCs w:val="22"/>
        </w:rPr>
      </w:pPr>
    </w:p>
    <w:p w:rsidR="00122D2E" w:rsidP="004D5FD5" w:rsidRDefault="00122D2E" w14:paraId="6ED4B955" w14:textId="77777777">
      <w:pPr>
        <w:jc w:val="both"/>
        <w:rPr>
          <w:rFonts w:cs="Arial"/>
          <w:color w:val="000000" w:themeColor="text1"/>
          <w:sz w:val="22"/>
          <w:szCs w:val="22"/>
        </w:rPr>
      </w:pPr>
    </w:p>
    <w:p w:rsidR="00483F0C" w:rsidP="00F4572C" w:rsidRDefault="31496710" w14:paraId="439EA08E" w14:textId="6CFCC1B6">
      <w:pPr>
        <w:jc w:val="both"/>
        <w:rPr>
          <w:rFonts w:cs="Arial"/>
          <w:color w:val="000000" w:themeColor="text1"/>
          <w:sz w:val="22"/>
          <w:szCs w:val="22"/>
        </w:rPr>
      </w:pPr>
      <w:r w:rsidRPr="3DFBFE83" w:rsidR="6D518A5B">
        <w:rPr>
          <w:rFonts w:cs="Arial"/>
          <w:color w:val="000000" w:themeColor="text1" w:themeTint="FF" w:themeShade="FF"/>
          <w:sz w:val="22"/>
          <w:szCs w:val="22"/>
        </w:rPr>
        <w:t>Progress on Outcome 1 has moderately exceeded expectations</w:t>
      </w:r>
      <w:r w:rsidRPr="3DFBFE83" w:rsidR="564719CE">
        <w:rPr>
          <w:rFonts w:cs="Arial"/>
          <w:color w:val="000000" w:themeColor="text1" w:themeTint="FF" w:themeShade="FF"/>
          <w:sz w:val="22"/>
          <w:szCs w:val="22"/>
        </w:rPr>
        <w:t xml:space="preserve">. 14,106,003,769 </w:t>
      </w:r>
      <w:r w:rsidRPr="3DFBFE83" w:rsidR="59D23FA6">
        <w:rPr>
          <w:rFonts w:cs="Arial"/>
          <w:color w:val="000000" w:themeColor="text1" w:themeTint="FF" w:themeShade="FF"/>
          <w:sz w:val="22"/>
          <w:szCs w:val="22"/>
        </w:rPr>
        <w:t>tonnes C</w:t>
      </w:r>
      <w:r w:rsidRPr="3DFBFE83" w:rsidR="7E1765EE">
        <w:rPr>
          <w:rFonts w:cs="Arial"/>
          <w:color w:val="000000" w:themeColor="text1" w:themeTint="FF" w:themeShade="FF"/>
          <w:sz w:val="22"/>
          <w:szCs w:val="22"/>
        </w:rPr>
        <w:t>O</w:t>
      </w:r>
      <w:r w:rsidRPr="3DFBFE83" w:rsidR="59D23FA6">
        <w:rPr>
          <w:rFonts w:cs="Arial"/>
          <w:color w:val="000000" w:themeColor="text1" w:themeTint="FF" w:themeShade="FF"/>
          <w:sz w:val="22"/>
          <w:szCs w:val="22"/>
        </w:rPr>
        <w:t xml:space="preserve">2 </w:t>
      </w:r>
      <w:r w:rsidRPr="3DFBFE83" w:rsidR="59D23FA6">
        <w:rPr>
          <w:rFonts w:cs="Arial"/>
          <w:color w:val="000000" w:themeColor="text1" w:themeTint="FF" w:themeShade="FF"/>
          <w:sz w:val="22"/>
          <w:szCs w:val="22"/>
        </w:rPr>
        <w:t>eq</w:t>
      </w:r>
      <w:r w:rsidRPr="3DFBFE83" w:rsidR="59D23FA6">
        <w:rPr>
          <w:rFonts w:cs="Arial"/>
          <w:color w:val="000000" w:themeColor="text1" w:themeTint="FF" w:themeShade="FF"/>
          <w:sz w:val="22"/>
          <w:szCs w:val="22"/>
        </w:rPr>
        <w:t xml:space="preserve"> of tech</w:t>
      </w:r>
      <w:r w:rsidRPr="3DFBFE83" w:rsidR="59D23FA6">
        <w:rPr>
          <w:rFonts w:cs="Arial"/>
          <w:color w:val="000000" w:themeColor="text1" w:themeTint="FF" w:themeShade="FF"/>
          <w:sz w:val="22"/>
          <w:szCs w:val="22"/>
        </w:rPr>
        <w:t>nically analysed REDD+ results were published on the REDD+ Lima Information Hub</w:t>
      </w:r>
      <w:r w:rsidRPr="3DFBFE83" w:rsidR="289451EB">
        <w:rPr>
          <w:rFonts w:cs="Arial"/>
          <w:color w:val="000000" w:themeColor="text1" w:themeTint="FF" w:themeShade="FF"/>
          <w:sz w:val="22"/>
          <w:szCs w:val="22"/>
        </w:rPr>
        <w:t>. This was the total of</w:t>
      </w:r>
      <w:r w:rsidRPr="3DFBFE83" w:rsidR="59D23FA6">
        <w:rPr>
          <w:rFonts w:cs="Arial"/>
          <w:color w:val="000000" w:themeColor="text1" w:themeTint="FF" w:themeShade="FF"/>
          <w:sz w:val="22"/>
          <w:szCs w:val="22"/>
        </w:rPr>
        <w:t xml:space="preserve"> </w:t>
      </w:r>
      <w:r w:rsidRPr="3DFBFE83" w:rsidR="6CC6000D">
        <w:rPr>
          <w:rFonts w:cs="Arial"/>
          <w:color w:val="000000" w:themeColor="text1" w:themeTint="FF" w:themeShade="FF"/>
          <w:sz w:val="22"/>
          <w:szCs w:val="22"/>
        </w:rPr>
        <w:t>submiss</w:t>
      </w:r>
      <w:r w:rsidRPr="3DFBFE83" w:rsidR="0450DD6C">
        <w:rPr>
          <w:rFonts w:cs="Arial"/>
          <w:color w:val="000000" w:themeColor="text1" w:themeTint="FF" w:themeShade="FF"/>
          <w:sz w:val="22"/>
          <w:szCs w:val="22"/>
        </w:rPr>
        <w:t>i</w:t>
      </w:r>
      <w:r w:rsidRPr="3DFBFE83" w:rsidR="6CC6000D">
        <w:rPr>
          <w:rFonts w:cs="Arial"/>
          <w:color w:val="000000" w:themeColor="text1" w:themeTint="FF" w:themeShade="FF"/>
          <w:sz w:val="22"/>
          <w:szCs w:val="22"/>
        </w:rPr>
        <w:t>ons from</w:t>
      </w:r>
      <w:r w:rsidRPr="3DFBFE83" w:rsidR="2B25450B">
        <w:rPr>
          <w:rFonts w:cs="Arial"/>
          <w:color w:val="000000" w:themeColor="text1" w:themeTint="FF" w:themeShade="FF"/>
          <w:sz w:val="22"/>
          <w:szCs w:val="22"/>
        </w:rPr>
        <w:t xml:space="preserve"> </w:t>
      </w:r>
      <w:r w:rsidRPr="3DFBFE83" w:rsidR="59D23FA6">
        <w:rPr>
          <w:rFonts w:cs="Arial"/>
          <w:color w:val="000000" w:themeColor="text1" w:themeTint="FF" w:themeShade="FF"/>
          <w:sz w:val="22"/>
          <w:szCs w:val="22"/>
        </w:rPr>
        <w:t xml:space="preserve">22 countries. </w:t>
      </w:r>
      <w:r w:rsidRPr="3DFBFE83" w:rsidR="17A48CC2">
        <w:rPr>
          <w:rFonts w:cs="Arial"/>
          <w:color w:val="000000" w:themeColor="text1" w:themeTint="FF" w:themeShade="FF"/>
          <w:sz w:val="22"/>
          <w:szCs w:val="22"/>
        </w:rPr>
        <w:t xml:space="preserve">The Lima REDD+ Information Hub aims to increase transparency of information on REDD+ results-based actions. </w:t>
      </w:r>
    </w:p>
    <w:p w:rsidR="00483F0C" w:rsidP="00F4572C" w:rsidRDefault="00483F0C" w14:paraId="189C60B9" w14:textId="77777777">
      <w:pPr>
        <w:jc w:val="both"/>
        <w:rPr>
          <w:rFonts w:cs="Arial"/>
          <w:color w:val="000000" w:themeColor="text1"/>
          <w:sz w:val="22"/>
          <w:szCs w:val="22"/>
        </w:rPr>
      </w:pPr>
    </w:p>
    <w:p w:rsidR="003D222C" w:rsidP="00F4572C" w:rsidRDefault="77CAC53D" w14:paraId="2E8AE0AC" w14:textId="239293E9">
      <w:pPr>
        <w:jc w:val="both"/>
        <w:rPr>
          <w:rFonts w:cs="Arial"/>
          <w:color w:val="000000" w:themeColor="text1"/>
          <w:sz w:val="22"/>
          <w:szCs w:val="22"/>
        </w:rPr>
      </w:pPr>
      <w:r w:rsidRPr="352FA995" w:rsidR="262CCCBE">
        <w:rPr>
          <w:rFonts w:cs="Arial"/>
          <w:color w:val="000000" w:themeColor="text1" w:themeTint="FF" w:themeShade="FF"/>
          <w:sz w:val="22"/>
          <w:szCs w:val="22"/>
        </w:rPr>
        <w:t>Additionally, t</w:t>
      </w:r>
      <w:r w:rsidRPr="352FA995" w:rsidR="1BE7839B">
        <w:rPr>
          <w:rFonts w:cs="Arial"/>
          <w:color w:val="000000" w:themeColor="text1" w:themeTint="FF" w:themeShade="FF"/>
          <w:sz w:val="22"/>
          <w:szCs w:val="22"/>
        </w:rPr>
        <w:t xml:space="preserve">he programme </w:t>
      </w:r>
      <w:r w:rsidRPr="352FA995" w:rsidR="54DAA2EC">
        <w:rPr>
          <w:rFonts w:cs="Arial"/>
          <w:color w:val="000000" w:themeColor="text1" w:themeTint="FF" w:themeShade="FF"/>
          <w:sz w:val="22"/>
          <w:szCs w:val="22"/>
        </w:rPr>
        <w:t xml:space="preserve">exceeded the target for total number of reports published on the Lima Information Hub </w:t>
      </w:r>
      <w:r w:rsidRPr="352FA995" w:rsidR="1A104FE2">
        <w:rPr>
          <w:rFonts w:cs="Arial"/>
          <w:color w:val="000000" w:themeColor="text1" w:themeTint="FF" w:themeShade="FF"/>
          <w:sz w:val="22"/>
          <w:szCs w:val="22"/>
        </w:rPr>
        <w:t xml:space="preserve">with </w:t>
      </w:r>
      <w:r w:rsidRPr="352FA995" w:rsidR="1A104FE2">
        <w:rPr>
          <w:rFonts w:cs="Arial"/>
          <w:color w:val="000000" w:themeColor="text1" w:themeTint="FF" w:themeShade="FF"/>
          <w:sz w:val="22"/>
          <w:szCs w:val="22"/>
        </w:rPr>
        <w:t>132 reports published</w:t>
      </w:r>
      <w:r w:rsidRPr="352FA995" w:rsidR="31157E0E">
        <w:rPr>
          <w:rFonts w:cs="Arial"/>
          <w:color w:val="000000" w:themeColor="text1" w:themeTint="FF" w:themeShade="FF"/>
          <w:sz w:val="22"/>
          <w:szCs w:val="22"/>
        </w:rPr>
        <w:t>,</w:t>
      </w:r>
      <w:r w:rsidRPr="352FA995" w:rsidR="31157E0E">
        <w:rPr>
          <w:rFonts w:cs="Arial"/>
          <w:color w:val="000000" w:themeColor="text1" w:themeTint="FF" w:themeShade="FF"/>
          <w:sz w:val="22"/>
          <w:szCs w:val="22"/>
        </w:rPr>
        <w:t xml:space="preserve"> from 69 countries</w:t>
      </w:r>
      <w:r w:rsidRPr="352FA995" w:rsidR="31157E0E">
        <w:rPr>
          <w:rFonts w:cs="Arial"/>
          <w:color w:val="000000" w:themeColor="text1" w:themeTint="FF" w:themeShade="FF"/>
          <w:sz w:val="22"/>
          <w:szCs w:val="22"/>
        </w:rPr>
        <w:t>.</w:t>
      </w:r>
      <w:r w:rsidRPr="352FA995" w:rsidR="7F0E4133">
        <w:rPr>
          <w:rFonts w:cs="Arial"/>
          <w:color w:val="000000" w:themeColor="text1" w:themeTint="FF" w:themeShade="FF"/>
          <w:sz w:val="22"/>
          <w:szCs w:val="22"/>
        </w:rPr>
        <w:t xml:space="preserve"> </w:t>
      </w:r>
      <w:r w:rsidRPr="352FA995" w:rsidR="501796CD">
        <w:rPr>
          <w:rFonts w:cs="Arial"/>
          <w:color w:val="000000" w:themeColor="text1" w:themeTint="FF" w:themeShade="FF"/>
          <w:sz w:val="22"/>
          <w:szCs w:val="22"/>
        </w:rPr>
        <w:t xml:space="preserve">For developing Country Parties implementing REDD+ </w:t>
      </w:r>
      <w:r w:rsidRPr="352FA995" w:rsidR="501796CD">
        <w:rPr>
          <w:rFonts w:cs="Arial"/>
          <w:color w:val="000000" w:themeColor="text1" w:themeTint="FF" w:themeShade="FF"/>
          <w:sz w:val="22"/>
          <w:szCs w:val="22"/>
        </w:rPr>
        <w:t>activities,</w:t>
      </w:r>
      <w:r w:rsidRPr="352FA995" w:rsidR="501796CD">
        <w:rPr>
          <w:rFonts w:cs="Arial"/>
          <w:color w:val="000000" w:themeColor="text1" w:themeTint="FF" w:themeShade="FF"/>
          <w:sz w:val="22"/>
          <w:szCs w:val="22"/>
        </w:rPr>
        <w:t xml:space="preserve"> to obtain and receive results-based payments</w:t>
      </w:r>
      <w:r w:rsidRPr="352FA995" w:rsidR="22F30A6F">
        <w:rPr>
          <w:rFonts w:cs="Arial"/>
          <w:color w:val="000000" w:themeColor="text1" w:themeTint="FF" w:themeShade="FF"/>
          <w:sz w:val="22"/>
          <w:szCs w:val="22"/>
        </w:rPr>
        <w:t xml:space="preserve">, </w:t>
      </w:r>
      <w:r w:rsidRPr="352FA995" w:rsidR="65714AA2">
        <w:rPr>
          <w:rFonts w:cs="Arial"/>
          <w:color w:val="000000" w:themeColor="text1" w:themeTint="FF" w:themeShade="FF"/>
          <w:sz w:val="22"/>
          <w:szCs w:val="22"/>
        </w:rPr>
        <w:t xml:space="preserve">they should have the following in place: </w:t>
      </w:r>
    </w:p>
    <w:p w:rsidR="0072128B" w:rsidP="0072128B" w:rsidRDefault="0072128B" w14:paraId="03DC025B" w14:textId="63682838">
      <w:pPr>
        <w:pStyle w:val="ListParagraph"/>
        <w:numPr>
          <w:ilvl w:val="0"/>
          <w:numId w:val="27"/>
        </w:numPr>
        <w:jc w:val="both"/>
        <w:rPr>
          <w:rFonts w:cs="Arial"/>
          <w:color w:val="000000" w:themeColor="text1"/>
          <w:sz w:val="22"/>
          <w:szCs w:val="22"/>
        </w:rPr>
      </w:pPr>
      <w:r>
        <w:rPr>
          <w:rFonts w:cs="Arial"/>
          <w:color w:val="000000" w:themeColor="text1"/>
          <w:sz w:val="22"/>
          <w:szCs w:val="22"/>
        </w:rPr>
        <w:t xml:space="preserve">A national strategy or action plan </w:t>
      </w:r>
    </w:p>
    <w:p w:rsidR="0072128B" w:rsidP="0072128B" w:rsidRDefault="0072128B" w14:paraId="633D8B85" w14:textId="71502060">
      <w:pPr>
        <w:pStyle w:val="ListParagraph"/>
        <w:numPr>
          <w:ilvl w:val="0"/>
          <w:numId w:val="27"/>
        </w:numPr>
        <w:jc w:val="both"/>
        <w:rPr>
          <w:rFonts w:cs="Arial"/>
          <w:color w:val="000000" w:themeColor="text1"/>
          <w:sz w:val="22"/>
          <w:szCs w:val="22"/>
        </w:rPr>
      </w:pPr>
      <w:r>
        <w:rPr>
          <w:rFonts w:cs="Arial"/>
          <w:color w:val="000000" w:themeColor="text1"/>
          <w:sz w:val="22"/>
          <w:szCs w:val="22"/>
        </w:rPr>
        <w:t xml:space="preserve">An assessed forest reference emission level and/or forest reference level </w:t>
      </w:r>
      <w:r w:rsidR="00241323">
        <w:rPr>
          <w:rFonts w:cs="Arial"/>
          <w:color w:val="000000" w:themeColor="text1"/>
          <w:sz w:val="22"/>
          <w:szCs w:val="22"/>
        </w:rPr>
        <w:t>(FREL/FRL)</w:t>
      </w:r>
    </w:p>
    <w:p w:rsidR="0072128B" w:rsidP="0072128B" w:rsidRDefault="0072128B" w14:paraId="0A99A52B" w14:textId="3ACDCE7A">
      <w:pPr>
        <w:pStyle w:val="ListParagraph"/>
        <w:numPr>
          <w:ilvl w:val="0"/>
          <w:numId w:val="27"/>
        </w:numPr>
        <w:jc w:val="both"/>
        <w:rPr>
          <w:rFonts w:cs="Arial"/>
          <w:color w:val="000000" w:themeColor="text1"/>
          <w:sz w:val="22"/>
          <w:szCs w:val="22"/>
        </w:rPr>
      </w:pPr>
      <w:r>
        <w:rPr>
          <w:rFonts w:cs="Arial"/>
          <w:color w:val="000000" w:themeColor="text1"/>
          <w:sz w:val="22"/>
          <w:szCs w:val="22"/>
        </w:rPr>
        <w:t xml:space="preserve">A national forest monitoring system </w:t>
      </w:r>
    </w:p>
    <w:p w:rsidR="0072128B" w:rsidP="0072128B" w:rsidRDefault="0072128B" w14:paraId="6503B894" w14:textId="1CDC8C12">
      <w:pPr>
        <w:pStyle w:val="ListParagraph"/>
        <w:numPr>
          <w:ilvl w:val="0"/>
          <w:numId w:val="27"/>
        </w:numPr>
        <w:jc w:val="both"/>
        <w:rPr>
          <w:rFonts w:cs="Arial"/>
          <w:color w:val="000000" w:themeColor="text1"/>
          <w:sz w:val="22"/>
          <w:szCs w:val="22"/>
        </w:rPr>
      </w:pPr>
      <w:r>
        <w:rPr>
          <w:rFonts w:cs="Arial"/>
          <w:color w:val="000000" w:themeColor="text1"/>
          <w:sz w:val="22"/>
          <w:szCs w:val="22"/>
        </w:rPr>
        <w:t xml:space="preserve">A system for providing information on how the safeguards are being addressed and respected; and </w:t>
      </w:r>
    </w:p>
    <w:p w:rsidRPr="0072128B" w:rsidR="00AB4F81" w:rsidP="0072128B" w:rsidRDefault="00AB4F81" w14:paraId="18A727DD" w14:textId="186A6170">
      <w:pPr>
        <w:pStyle w:val="ListParagraph"/>
        <w:numPr>
          <w:ilvl w:val="0"/>
          <w:numId w:val="27"/>
        </w:numPr>
        <w:jc w:val="both"/>
        <w:rPr>
          <w:rFonts w:cs="Arial"/>
          <w:color w:val="000000" w:themeColor="text1"/>
          <w:sz w:val="22"/>
          <w:szCs w:val="22"/>
        </w:rPr>
      </w:pPr>
      <w:r>
        <w:rPr>
          <w:rFonts w:cs="Arial"/>
          <w:color w:val="000000" w:themeColor="text1"/>
          <w:sz w:val="22"/>
          <w:szCs w:val="22"/>
        </w:rPr>
        <w:t xml:space="preserve">The results-based actions should also be fully measured, reported and verified (MRV). </w:t>
      </w:r>
    </w:p>
    <w:p w:rsidR="00355E37" w:rsidP="0DAAE9C5" w:rsidRDefault="006411D5" w14:paraId="5C5A2C7E" w14:textId="309BA2AF">
      <w:pPr>
        <w:jc w:val="both"/>
        <w:rPr>
          <w:rFonts w:cs="Arial"/>
          <w:sz w:val="22"/>
          <w:szCs w:val="22"/>
        </w:rPr>
      </w:pPr>
      <w:r w:rsidRPr="0AD87D03" w:rsidR="35C79815">
        <w:rPr>
          <w:rFonts w:cs="Arial"/>
          <w:sz w:val="22"/>
          <w:szCs w:val="22"/>
        </w:rPr>
        <w:t>Outcome 2 met expectations for 2026. Outcome Indicator</w:t>
      </w:r>
      <w:r w:rsidRPr="0AD87D03" w:rsidR="35C79815">
        <w:rPr>
          <w:rFonts w:cs="Arial"/>
          <w:sz w:val="22"/>
          <w:szCs w:val="22"/>
        </w:rPr>
        <w:t xml:space="preserve"> 2.1 </w:t>
      </w:r>
      <w:r w:rsidRPr="0AD87D03" w:rsidR="493E6BCE">
        <w:rPr>
          <w:rFonts w:cs="Arial"/>
          <w:sz w:val="22"/>
          <w:szCs w:val="22"/>
        </w:rPr>
        <w:t>m</w:t>
      </w:r>
      <w:r w:rsidRPr="0AD87D03" w:rsidR="493E6BCE">
        <w:rPr>
          <w:rFonts w:cs="Arial"/>
          <w:sz w:val="22"/>
          <w:szCs w:val="22"/>
        </w:rPr>
        <w:t>o</w:t>
      </w:r>
      <w:r w:rsidRPr="0AD87D03" w:rsidR="493E6BCE">
        <w:rPr>
          <w:rFonts w:cs="Arial"/>
          <w:sz w:val="22"/>
          <w:szCs w:val="22"/>
        </w:rPr>
        <w:t>derately</w:t>
      </w:r>
      <w:r w:rsidRPr="0AD87D03" w:rsidR="493E6BCE">
        <w:rPr>
          <w:rFonts w:cs="Arial"/>
          <w:sz w:val="22"/>
          <w:szCs w:val="22"/>
        </w:rPr>
        <w:t xml:space="preserve"> did not meet expectations</w:t>
      </w:r>
      <w:r w:rsidRPr="0AD87D03" w:rsidR="379A6598">
        <w:rPr>
          <w:rFonts w:cs="Arial"/>
          <w:sz w:val="22"/>
          <w:szCs w:val="22"/>
        </w:rPr>
        <w:t xml:space="preserve">, with only 48% (32 countries) of countries with a FREL/FRL submitted to the UNFCCC also </w:t>
      </w:r>
      <w:r w:rsidRPr="0AD87D03" w:rsidR="379A6598">
        <w:rPr>
          <w:rFonts w:cs="Arial"/>
          <w:sz w:val="22"/>
          <w:szCs w:val="22"/>
        </w:rPr>
        <w:t>submitting</w:t>
      </w:r>
      <w:r w:rsidRPr="0AD87D03" w:rsidR="379A6598">
        <w:rPr>
          <w:rFonts w:cs="Arial"/>
          <w:sz w:val="22"/>
          <w:szCs w:val="22"/>
        </w:rPr>
        <w:t xml:space="preserve"> a Safeguards Information Summary Report</w:t>
      </w:r>
      <w:r w:rsidRPr="0AD87D03" w:rsidR="5486B162">
        <w:rPr>
          <w:rFonts w:cs="Arial"/>
          <w:sz w:val="22"/>
          <w:szCs w:val="22"/>
        </w:rPr>
        <w:t>.</w:t>
      </w:r>
      <w:r w:rsidRPr="0AD87D03" w:rsidR="379A6598">
        <w:rPr>
          <w:rFonts w:cs="Arial"/>
          <w:sz w:val="22"/>
          <w:szCs w:val="22"/>
        </w:rPr>
        <w:t xml:space="preserve"> </w:t>
      </w:r>
      <w:r w:rsidRPr="0AD87D03" w:rsidR="493E6BCE">
        <w:rPr>
          <w:rFonts w:cs="Arial"/>
          <w:sz w:val="22"/>
          <w:szCs w:val="22"/>
        </w:rPr>
        <w:t>This is</w:t>
      </w:r>
      <w:r w:rsidRPr="0AD87D03" w:rsidR="493E6BCE">
        <w:rPr>
          <w:rFonts w:cs="Arial"/>
          <w:sz w:val="22"/>
          <w:szCs w:val="22"/>
        </w:rPr>
        <w:t xml:space="preserve"> because two new countries </w:t>
      </w:r>
      <w:r w:rsidRPr="0AD87D03" w:rsidR="493E6BCE">
        <w:rPr>
          <w:rFonts w:cs="Arial"/>
          <w:sz w:val="22"/>
          <w:szCs w:val="22"/>
        </w:rPr>
        <w:t>submitted</w:t>
      </w:r>
      <w:r w:rsidRPr="0AD87D03" w:rsidR="493E6BCE">
        <w:rPr>
          <w:rFonts w:cs="Arial"/>
          <w:sz w:val="22"/>
          <w:szCs w:val="22"/>
        </w:rPr>
        <w:t xml:space="preserve"> a </w:t>
      </w:r>
      <w:r w:rsidRPr="0AD87D03" w:rsidR="34032FF3">
        <w:rPr>
          <w:rFonts w:cs="Arial"/>
          <w:sz w:val="22"/>
          <w:szCs w:val="22"/>
        </w:rPr>
        <w:t xml:space="preserve">FREL/FRL in January 2026 but neither </w:t>
      </w:r>
      <w:r w:rsidRPr="0AD87D03" w:rsidR="34032FF3">
        <w:rPr>
          <w:rFonts w:cs="Arial"/>
          <w:sz w:val="22"/>
          <w:szCs w:val="22"/>
        </w:rPr>
        <w:t>submitted</w:t>
      </w:r>
      <w:r w:rsidRPr="0AD87D03" w:rsidR="34032FF3">
        <w:rPr>
          <w:rFonts w:cs="Arial"/>
          <w:sz w:val="22"/>
          <w:szCs w:val="22"/>
        </w:rPr>
        <w:t xml:space="preserve"> a Safeguards summary report during that period. However</w:t>
      </w:r>
      <w:r w:rsidRPr="0AD87D03" w:rsidR="2FF24E89">
        <w:rPr>
          <w:rFonts w:cs="Arial"/>
          <w:sz w:val="22"/>
          <w:szCs w:val="22"/>
        </w:rPr>
        <w:t>,</w:t>
      </w:r>
      <w:r w:rsidRPr="0AD87D03" w:rsidR="34032FF3">
        <w:rPr>
          <w:rFonts w:cs="Arial"/>
          <w:sz w:val="22"/>
          <w:szCs w:val="22"/>
        </w:rPr>
        <w:t xml:space="preserve"> these developments are </w:t>
      </w:r>
      <w:r w:rsidRPr="0AD87D03" w:rsidR="3E8EFF5F">
        <w:rPr>
          <w:rFonts w:cs="Arial"/>
          <w:sz w:val="22"/>
          <w:szCs w:val="22"/>
        </w:rPr>
        <w:t xml:space="preserve">often outside the control and influence of the delivery partner. Outcome Indicator 2.2 moderately exceeded expectations with </w:t>
      </w:r>
      <w:r w:rsidRPr="0AD87D03" w:rsidR="3E8EFF5F">
        <w:rPr>
          <w:rFonts w:cs="Arial"/>
          <w:sz w:val="22"/>
          <w:szCs w:val="22"/>
        </w:rPr>
        <w:t>100% of respondents</w:t>
      </w:r>
      <w:r w:rsidRPr="0AD87D03" w:rsidR="3E8EFF5F">
        <w:rPr>
          <w:rFonts w:cs="Arial"/>
          <w:sz w:val="22"/>
          <w:szCs w:val="22"/>
        </w:rPr>
        <w:t xml:space="preserve"> </w:t>
      </w:r>
      <w:r w:rsidRPr="0AD87D03" w:rsidR="29259B94">
        <w:rPr>
          <w:rFonts w:cs="Arial"/>
          <w:sz w:val="22"/>
          <w:szCs w:val="22"/>
        </w:rPr>
        <w:t>s</w:t>
      </w:r>
      <w:r w:rsidRPr="0AD87D03" w:rsidR="29259B94">
        <w:rPr>
          <w:rFonts w:cs="Arial"/>
          <w:sz w:val="22"/>
          <w:szCs w:val="22"/>
        </w:rPr>
        <w:t>tating</w:t>
      </w:r>
      <w:r w:rsidRPr="0AD87D03" w:rsidR="29259B94">
        <w:rPr>
          <w:rFonts w:cs="Arial"/>
          <w:sz w:val="22"/>
          <w:szCs w:val="22"/>
        </w:rPr>
        <w:t xml:space="preserve"> tha</w:t>
      </w:r>
      <w:r w:rsidRPr="0AD87D03" w:rsidR="29259B94">
        <w:rPr>
          <w:rFonts w:cs="Arial"/>
          <w:sz w:val="22"/>
          <w:szCs w:val="22"/>
        </w:rPr>
        <w:t xml:space="preserve">t they had </w:t>
      </w:r>
      <w:r w:rsidRPr="0AD87D03" w:rsidR="29259B94">
        <w:rPr>
          <w:rFonts w:cs="Arial"/>
          <w:sz w:val="22"/>
          <w:szCs w:val="22"/>
        </w:rPr>
        <w:t>acquired</w:t>
      </w:r>
      <w:r w:rsidRPr="0AD87D03" w:rsidR="29259B94">
        <w:rPr>
          <w:rFonts w:cs="Arial"/>
          <w:sz w:val="22"/>
          <w:szCs w:val="22"/>
        </w:rPr>
        <w:t xml:space="preserve"> new knowledge on REDD+ through South-South exchange organised by the AFOLU Unit. </w:t>
      </w:r>
      <w:r w:rsidRPr="0AD87D03" w:rsidR="59BD1DB1">
        <w:rPr>
          <w:rFonts w:cs="Arial"/>
          <w:sz w:val="22"/>
          <w:szCs w:val="22"/>
        </w:rPr>
        <w:t>In the survey conducted after the REDD+ Global Summit, 41 out of 41 respondents</w:t>
      </w:r>
      <w:r w:rsidRPr="0AD87D03" w:rsidR="086E82BF">
        <w:rPr>
          <w:rFonts w:cs="Arial"/>
          <w:sz w:val="22"/>
          <w:szCs w:val="22"/>
        </w:rPr>
        <w:t xml:space="preserve"> (41 out of the 64 participants responded to the survey)</w:t>
      </w:r>
      <w:r w:rsidRPr="0AD87D03" w:rsidR="59BD1DB1">
        <w:rPr>
          <w:rFonts w:cs="Arial"/>
          <w:sz w:val="22"/>
          <w:szCs w:val="22"/>
        </w:rPr>
        <w:t xml:space="preserve"> rated their acquisition of new knowledge</w:t>
      </w:r>
      <w:r w:rsidRPr="0AD87D03" w:rsidR="59BD1DB1">
        <w:rPr>
          <w:rFonts w:cs="Arial"/>
          <w:sz w:val="22"/>
          <w:szCs w:val="22"/>
        </w:rPr>
        <w:t xml:space="preserve"> </w:t>
      </w:r>
      <w:r w:rsidRPr="0AD87D03" w:rsidR="59BD1DB1">
        <w:rPr>
          <w:rFonts w:cs="Arial"/>
          <w:sz w:val="22"/>
          <w:szCs w:val="22"/>
        </w:rPr>
        <w:t>to some extent durin</w:t>
      </w:r>
      <w:r w:rsidRPr="0AD87D03" w:rsidR="59BD1DB1">
        <w:rPr>
          <w:rFonts w:cs="Arial"/>
          <w:sz w:val="22"/>
          <w:szCs w:val="22"/>
        </w:rPr>
        <w:t>g</w:t>
      </w:r>
      <w:r w:rsidRPr="0AD87D03" w:rsidR="59BD1DB1">
        <w:rPr>
          <w:rFonts w:cs="Arial"/>
          <w:sz w:val="22"/>
          <w:szCs w:val="22"/>
        </w:rPr>
        <w:t xml:space="preserve"> the three-day meeting. Among these respondents were 15 females and one participant who preferred not to</w:t>
      </w:r>
      <w:r w:rsidRPr="0AD87D03" w:rsidR="59BD1DB1">
        <w:rPr>
          <w:rFonts w:cs="Arial"/>
          <w:sz w:val="22"/>
          <w:szCs w:val="22"/>
        </w:rPr>
        <w:t xml:space="preserve"> </w:t>
      </w:r>
      <w:r w:rsidRPr="0AD87D03" w:rsidR="59BD1DB1">
        <w:rPr>
          <w:rFonts w:cs="Arial"/>
          <w:sz w:val="22"/>
          <w:szCs w:val="22"/>
        </w:rPr>
        <w:t>disclos</w:t>
      </w:r>
      <w:r w:rsidRPr="0AD87D03" w:rsidR="59BD1DB1">
        <w:rPr>
          <w:rFonts w:cs="Arial"/>
          <w:sz w:val="22"/>
          <w:szCs w:val="22"/>
        </w:rPr>
        <w:t>e</w:t>
      </w:r>
      <w:r w:rsidRPr="0AD87D03" w:rsidR="59BD1DB1">
        <w:rPr>
          <w:rFonts w:cs="Arial"/>
          <w:sz w:val="22"/>
          <w:szCs w:val="22"/>
        </w:rPr>
        <w:t xml:space="preserve"> their gender.</w:t>
      </w:r>
      <w:r w:rsidRPr="0AD87D03" w:rsidR="725BF339">
        <w:rPr>
          <w:rFonts w:cs="Arial"/>
          <w:sz w:val="22"/>
          <w:szCs w:val="22"/>
        </w:rPr>
        <w:t xml:space="preserve"> </w:t>
      </w:r>
    </w:p>
    <w:p w:rsidR="00CB2873" w:rsidP="0AD87D03" w:rsidRDefault="00CB2873" w14:paraId="63CDC9F3" w14:textId="04649355">
      <w:pPr>
        <w:pStyle w:val="Normal"/>
        <w:jc w:val="both"/>
        <w:rPr>
          <w:rFonts w:cs="Arial"/>
          <w:sz w:val="22"/>
          <w:szCs w:val="22"/>
          <w:lang w:val="en" w:eastAsia="en-GB"/>
        </w:rPr>
      </w:pPr>
    </w:p>
    <w:tbl>
      <w:tblPr>
        <w:tblStyle w:val="TableGrid"/>
        <w:tblW w:w="0" w:type="auto"/>
        <w:tblLook w:val="04A0" w:firstRow="1" w:lastRow="0" w:firstColumn="1" w:lastColumn="0" w:noHBand="0" w:noVBand="1"/>
      </w:tblPr>
      <w:tblGrid>
        <w:gridCol w:w="9016"/>
      </w:tblGrid>
      <w:tr w:rsidR="00CB2873" w:rsidTr="0B5ACFBB" w14:paraId="13F66B93" w14:textId="77777777">
        <w:tc>
          <w:tcPr>
            <w:tcW w:w="9016" w:type="dxa"/>
            <w:shd w:val="clear" w:color="auto" w:fill="DEEAF6" w:themeFill="accent5" w:themeFillTint="33"/>
          </w:tcPr>
          <w:p w:rsidR="00CB2873" w:rsidP="004D5FD5" w:rsidRDefault="03944324" w14:paraId="3D58D529" w14:textId="5E5D2DFB">
            <w:pPr>
              <w:jc w:val="both"/>
            </w:pPr>
            <w:bookmarkStart w:name="_Toc796839481" w:id="47"/>
            <w:bookmarkStart w:name="_Toc1887547542" w:id="48"/>
            <w:r w:rsidRPr="0B5ACFBB">
              <w:rPr>
                <w:rStyle w:val="Heading1Char"/>
                <w:rFonts w:ascii="Arial" w:hAnsi="Arial" w:cs="Arial"/>
                <w:b/>
                <w:bCs/>
                <w:color w:val="auto"/>
              </w:rPr>
              <w:t xml:space="preserve">Section C: Output </w:t>
            </w:r>
            <w:r w:rsidRPr="0B5ACFBB" w:rsidR="1647CB77">
              <w:rPr>
                <w:rStyle w:val="Heading1Char"/>
                <w:rFonts w:ascii="Arial" w:hAnsi="Arial" w:cs="Arial"/>
                <w:b/>
                <w:bCs/>
                <w:color w:val="auto"/>
              </w:rPr>
              <w:t>s</w:t>
            </w:r>
            <w:r w:rsidRPr="0B5ACFBB">
              <w:rPr>
                <w:rStyle w:val="Heading1Char"/>
                <w:rFonts w:ascii="Arial" w:hAnsi="Arial" w:cs="Arial"/>
                <w:b/>
                <w:bCs/>
                <w:color w:val="auto"/>
              </w:rPr>
              <w:t>coring</w:t>
            </w:r>
            <w:bookmarkEnd w:id="47"/>
            <w:bookmarkEnd w:id="48"/>
            <w:r>
              <w:t xml:space="preserve"> </w:t>
            </w:r>
          </w:p>
        </w:tc>
      </w:tr>
    </w:tbl>
    <w:p w:rsidRPr="00953846" w:rsidR="00953846" w:rsidP="1B96BBDE" w:rsidRDefault="05074318" w14:paraId="452661DA" w14:textId="166CD6FA">
      <w:pPr>
        <w:pStyle w:val="Heading2"/>
        <w:jc w:val="both"/>
        <w:rPr>
          <w:rFonts w:cs="Arial"/>
        </w:rPr>
      </w:pPr>
      <w:bookmarkStart w:name="_Toc35008075" w:id="49"/>
      <w:r>
        <w:t>Output 1</w:t>
      </w:r>
      <w:r w:rsidR="4B1AB229">
        <w:t>.1</w:t>
      </w:r>
      <w:r>
        <w:t>:</w:t>
      </w:r>
      <w:r w:rsidR="6528B24F">
        <w:t xml:space="preserve"> </w:t>
      </w:r>
      <w:r w:rsidRPr="0B47315C" w:rsidR="142DE13A">
        <w:rPr>
          <w:rFonts w:cs="Arial"/>
        </w:rPr>
        <w:t>Technical assessments of national/subnational Forest Reference Emission Levels/ Forest Reference Levels FRELs/FRLs are delivered</w:t>
      </w:r>
      <w:bookmarkEnd w:id="49"/>
    </w:p>
    <w:p w:rsidRPr="00D80C6C" w:rsidR="00C22C27" w:rsidP="004D5FD5" w:rsidRDefault="00C22C27" w14:paraId="055FDF8F" w14:textId="77777777">
      <w:pPr>
        <w:jc w:val="both"/>
        <w:rPr>
          <w:rFonts w:cs="Arial"/>
          <w:sz w:val="22"/>
          <w:szCs w:val="22"/>
        </w:rPr>
      </w:pPr>
    </w:p>
    <w:tbl>
      <w:tblPr>
        <w:tblStyle w:val="TableGrid"/>
        <w:tblW w:w="9072" w:type="dxa"/>
        <w:tblInd w:w="-5" w:type="dxa"/>
        <w:tblLook w:val="04A0" w:firstRow="1" w:lastRow="0" w:firstColumn="1" w:lastColumn="0" w:noHBand="0" w:noVBand="1"/>
      </w:tblPr>
      <w:tblGrid>
        <w:gridCol w:w="1566"/>
        <w:gridCol w:w="616"/>
        <w:gridCol w:w="1185"/>
        <w:gridCol w:w="2729"/>
        <w:gridCol w:w="2976"/>
      </w:tblGrid>
      <w:tr w:rsidRPr="00D80C6C" w:rsidR="003D222C" w:rsidTr="1A1FC38A" w14:paraId="2102EB17" w14:textId="77777777">
        <w:trPr>
          <w:trHeight w:val="489"/>
        </w:trPr>
        <w:tc>
          <w:tcPr>
            <w:tcW w:w="1566"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1A85D6B2" w14:textId="77777777">
            <w:pPr>
              <w:jc w:val="both"/>
              <w:rPr>
                <w:rFonts w:cs="Arial"/>
                <w:b/>
                <w:bCs/>
                <w:sz w:val="22"/>
                <w:szCs w:val="22"/>
              </w:rPr>
            </w:pPr>
            <w:r w:rsidRPr="00D80C6C">
              <w:rPr>
                <w:rFonts w:cs="Arial"/>
                <w:b/>
                <w:bCs/>
                <w:sz w:val="22"/>
                <w:szCs w:val="22"/>
              </w:rPr>
              <w:t xml:space="preserve">Output Title </w:t>
            </w:r>
          </w:p>
        </w:tc>
        <w:tc>
          <w:tcPr>
            <w:tcW w:w="750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D80C6C" w:rsidR="003D222C" w:rsidP="004D5FD5" w:rsidRDefault="3F4322FA" w14:paraId="1B8A3AEA" w14:textId="148B6CF8">
            <w:pPr>
              <w:jc w:val="both"/>
            </w:pPr>
            <w:r w:rsidRPr="6AE26EAA">
              <w:rPr>
                <w:rFonts w:cs="Arial"/>
                <w:sz w:val="22"/>
                <w:szCs w:val="22"/>
              </w:rPr>
              <w:t>Technical assessments of national/subnational Forest</w:t>
            </w:r>
            <w:r w:rsidRPr="6AE26EAA" w:rsidR="0B1CB8D7">
              <w:rPr>
                <w:rFonts w:cs="Arial"/>
                <w:sz w:val="22"/>
                <w:szCs w:val="22"/>
              </w:rPr>
              <w:t xml:space="preserve"> Reference Emission Levels/ Forest Reference Levels FRELs/FRLs are delivered </w:t>
            </w:r>
          </w:p>
        </w:tc>
      </w:tr>
      <w:tr w:rsidRPr="00D80C6C" w:rsidR="003D222C" w:rsidTr="1A1FC38A" w14:paraId="0CA17513" w14:textId="77777777">
        <w:trPr>
          <w:trHeight w:val="347"/>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0801A128" w14:textId="77777777">
            <w:pPr>
              <w:jc w:val="both"/>
              <w:rPr>
                <w:rFonts w:cs="Arial"/>
                <w:bCs/>
                <w:sz w:val="22"/>
                <w:szCs w:val="22"/>
              </w:rPr>
            </w:pPr>
            <w:r w:rsidRPr="00D80C6C">
              <w:rPr>
                <w:rFonts w:cs="Arial"/>
                <w:bCs/>
                <w:sz w:val="22"/>
                <w:szCs w:val="22"/>
              </w:rPr>
              <w:t xml:space="preserve">Output number: </w:t>
            </w:r>
          </w:p>
        </w:tc>
        <w:tc>
          <w:tcPr>
            <w:tcW w:w="1185" w:type="dxa"/>
            <w:tcBorders>
              <w:top w:val="single" w:color="auto" w:sz="4" w:space="0"/>
              <w:left w:val="single" w:color="auto" w:sz="4" w:space="0"/>
              <w:bottom w:val="single" w:color="auto" w:sz="4" w:space="0"/>
              <w:right w:val="single" w:color="auto" w:sz="4" w:space="0"/>
            </w:tcBorders>
          </w:tcPr>
          <w:p w:rsidRPr="00D80C6C" w:rsidR="003D222C" w:rsidP="004D5FD5" w:rsidRDefault="3EFC767E" w14:paraId="4190402A" w14:textId="0E646679">
            <w:pPr>
              <w:jc w:val="both"/>
            </w:pPr>
            <w:r w:rsidRPr="6AE26EAA">
              <w:rPr>
                <w:rFonts w:cs="Arial"/>
                <w:sz w:val="22"/>
                <w:szCs w:val="22"/>
              </w:rPr>
              <w:t>1.1</w:t>
            </w:r>
          </w:p>
        </w:tc>
        <w:tc>
          <w:tcPr>
            <w:tcW w:w="2729"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55FA73C8" w14:textId="77777777">
            <w:pPr>
              <w:jc w:val="both"/>
              <w:rPr>
                <w:rFonts w:cs="Arial"/>
                <w:sz w:val="22"/>
                <w:szCs w:val="22"/>
              </w:rPr>
            </w:pPr>
            <w:r w:rsidRPr="00D80C6C">
              <w:rPr>
                <w:rFonts w:cs="Arial"/>
                <w:bCs/>
                <w:sz w:val="22"/>
                <w:szCs w:val="22"/>
              </w:rPr>
              <w:t xml:space="preserve">Output Score: </w:t>
            </w:r>
          </w:p>
        </w:tc>
        <w:tc>
          <w:tcPr>
            <w:tcW w:w="2976" w:type="dxa"/>
            <w:tcBorders>
              <w:top w:val="single" w:color="auto" w:sz="4" w:space="0"/>
              <w:left w:val="single" w:color="auto" w:sz="4" w:space="0"/>
              <w:bottom w:val="single" w:color="auto" w:sz="4" w:space="0"/>
              <w:right w:val="single" w:color="auto" w:sz="4" w:space="0"/>
            </w:tcBorders>
          </w:tcPr>
          <w:p w:rsidRPr="00195C3B" w:rsidR="003D222C" w:rsidP="004D5FD5" w:rsidRDefault="00195C3B" w14:paraId="0438A869" w14:textId="17AC80ED">
            <w:pPr>
              <w:jc w:val="both"/>
              <w:rPr>
                <w:rFonts w:cs="Arial"/>
                <w:iCs/>
                <w:sz w:val="22"/>
                <w:szCs w:val="22"/>
              </w:rPr>
            </w:pPr>
            <w:r w:rsidRPr="00195C3B">
              <w:rPr>
                <w:rFonts w:cs="Arial"/>
                <w:iCs/>
                <w:sz w:val="22"/>
                <w:szCs w:val="22"/>
              </w:rPr>
              <w:t>A</w:t>
            </w:r>
          </w:p>
        </w:tc>
      </w:tr>
      <w:tr w:rsidRPr="00D80C6C" w:rsidR="003D222C" w:rsidTr="1A1FC38A" w14:paraId="322D9463"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291524D5" w14:textId="77777777">
            <w:pPr>
              <w:jc w:val="both"/>
              <w:rPr>
                <w:rFonts w:cs="Arial"/>
                <w:sz w:val="22"/>
                <w:szCs w:val="22"/>
              </w:rPr>
            </w:pPr>
            <w:r w:rsidRPr="00D80C6C">
              <w:rPr>
                <w:rFonts w:cs="Arial"/>
                <w:bCs/>
                <w:sz w:val="22"/>
                <w:szCs w:val="22"/>
              </w:rPr>
              <w:t xml:space="preserve">Impact weighting (%):  </w:t>
            </w:r>
          </w:p>
        </w:tc>
        <w:tc>
          <w:tcPr>
            <w:tcW w:w="1185" w:type="dxa"/>
            <w:tcBorders>
              <w:top w:val="single" w:color="auto" w:sz="4" w:space="0"/>
              <w:left w:val="single" w:color="auto" w:sz="4" w:space="0"/>
              <w:bottom w:val="single" w:color="auto" w:sz="4" w:space="0"/>
              <w:right w:val="single" w:color="auto" w:sz="4" w:space="0"/>
            </w:tcBorders>
            <w:hideMark/>
          </w:tcPr>
          <w:p w:rsidRPr="00D80C6C" w:rsidR="003D222C" w:rsidP="004D5FD5" w:rsidRDefault="535D76A5" w14:paraId="2B32CB6F" w14:textId="21876471">
            <w:pPr>
              <w:jc w:val="both"/>
            </w:pPr>
            <w:r w:rsidRPr="6F298A4B">
              <w:rPr>
                <w:rFonts w:cs="Arial"/>
                <w:sz w:val="22"/>
                <w:szCs w:val="22"/>
              </w:rPr>
              <w:t xml:space="preserve">15% </w:t>
            </w:r>
          </w:p>
        </w:tc>
        <w:tc>
          <w:tcPr>
            <w:tcW w:w="2729"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56B322CF" w14:textId="77777777">
            <w:pPr>
              <w:jc w:val="both"/>
              <w:rPr>
                <w:rFonts w:cs="Arial"/>
                <w:bCs/>
                <w:sz w:val="22"/>
                <w:szCs w:val="22"/>
              </w:rPr>
            </w:pPr>
            <w:r w:rsidRPr="00D80C6C">
              <w:rPr>
                <w:rFonts w:cs="Arial"/>
                <w:bCs/>
                <w:sz w:val="22"/>
                <w:szCs w:val="22"/>
              </w:rPr>
              <w:t xml:space="preserve">Weighting revised since last AR? </w:t>
            </w:r>
          </w:p>
        </w:tc>
        <w:tc>
          <w:tcPr>
            <w:tcW w:w="2976" w:type="dxa"/>
            <w:tcBorders>
              <w:top w:val="single" w:color="auto" w:sz="4" w:space="0"/>
              <w:left w:val="single" w:color="auto" w:sz="4" w:space="0"/>
              <w:bottom w:val="single" w:color="auto" w:sz="4" w:space="0"/>
              <w:right w:val="single" w:color="auto" w:sz="4" w:space="0"/>
            </w:tcBorders>
          </w:tcPr>
          <w:p w:rsidRPr="00D80C6C" w:rsidR="003D222C" w:rsidP="004D5FD5" w:rsidRDefault="00D92A45" w14:paraId="314B55F6" w14:textId="0F652F6A">
            <w:pPr>
              <w:jc w:val="both"/>
              <w:rPr>
                <w:rFonts w:cs="Arial"/>
                <w:bCs/>
                <w:sz w:val="22"/>
                <w:szCs w:val="22"/>
              </w:rPr>
            </w:pPr>
            <w:r>
              <w:rPr>
                <w:rFonts w:cs="Arial"/>
                <w:bCs/>
                <w:sz w:val="22"/>
                <w:szCs w:val="22"/>
              </w:rPr>
              <w:t>N/A</w:t>
            </w:r>
          </w:p>
        </w:tc>
      </w:tr>
      <w:tr w:rsidRPr="00D80C6C" w:rsidR="003D222C" w:rsidTr="1A1FC38A" w14:paraId="49FF75D8"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3D222C" w:rsidP="004D5FD5" w:rsidRDefault="003D222C" w14:paraId="19A26186" w14:textId="5C0E02AC">
            <w:pPr>
              <w:jc w:val="both"/>
              <w:rPr>
                <w:rFonts w:cs="Arial"/>
                <w:bCs/>
                <w:sz w:val="22"/>
                <w:szCs w:val="22"/>
              </w:rPr>
            </w:pPr>
            <w:r w:rsidRPr="00D80C6C">
              <w:rPr>
                <w:rFonts w:cs="Arial"/>
                <w:bCs/>
                <w:sz w:val="22"/>
                <w:szCs w:val="22"/>
              </w:rPr>
              <w:t>Risk rating</w:t>
            </w:r>
            <w:r w:rsidR="00DB3B57">
              <w:rPr>
                <w:rFonts w:cs="Arial"/>
                <w:bCs/>
                <w:sz w:val="22"/>
                <w:szCs w:val="22"/>
              </w:rPr>
              <w:t>:</w:t>
            </w:r>
          </w:p>
        </w:tc>
        <w:tc>
          <w:tcPr>
            <w:tcW w:w="1185" w:type="dxa"/>
            <w:tcBorders>
              <w:top w:val="single" w:color="auto" w:sz="4" w:space="0"/>
              <w:left w:val="single" w:color="auto" w:sz="4" w:space="0"/>
              <w:bottom w:val="single" w:color="auto" w:sz="4" w:space="0"/>
              <w:right w:val="single" w:color="auto" w:sz="4" w:space="0"/>
            </w:tcBorders>
          </w:tcPr>
          <w:p w:rsidRPr="00D80C6C" w:rsidR="003D222C" w:rsidP="004D5FD5" w:rsidRDefault="313E45F5" w14:paraId="05841711" w14:textId="36DB6E72">
            <w:pPr>
              <w:jc w:val="both"/>
            </w:pPr>
            <w:r w:rsidRPr="1A1FC38A">
              <w:rPr>
                <w:rFonts w:cs="Arial"/>
                <w:sz w:val="22"/>
                <w:szCs w:val="22"/>
              </w:rPr>
              <w:t>Moderate</w:t>
            </w:r>
          </w:p>
        </w:tc>
        <w:tc>
          <w:tcPr>
            <w:tcW w:w="2729" w:type="dxa"/>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3D222C" w:rsidP="004D5FD5" w:rsidRDefault="003D222C" w14:paraId="3775A24C" w14:textId="77777777">
            <w:pPr>
              <w:jc w:val="both"/>
              <w:rPr>
                <w:rFonts w:cs="Arial"/>
                <w:bCs/>
                <w:sz w:val="22"/>
                <w:szCs w:val="22"/>
              </w:rPr>
            </w:pPr>
            <w:r w:rsidRPr="00D80C6C">
              <w:rPr>
                <w:rFonts w:cs="Arial"/>
                <w:bCs/>
                <w:sz w:val="22"/>
                <w:szCs w:val="22"/>
              </w:rPr>
              <w:t>Risk revised since last AR?</w:t>
            </w:r>
          </w:p>
        </w:tc>
        <w:tc>
          <w:tcPr>
            <w:tcW w:w="2976" w:type="dxa"/>
            <w:tcBorders>
              <w:top w:val="single" w:color="auto" w:sz="4" w:space="0"/>
              <w:left w:val="single" w:color="auto" w:sz="4" w:space="0"/>
              <w:bottom w:val="single" w:color="auto" w:sz="4" w:space="0"/>
              <w:right w:val="single" w:color="auto" w:sz="4" w:space="0"/>
            </w:tcBorders>
          </w:tcPr>
          <w:p w:rsidRPr="00D80C6C" w:rsidR="003D222C" w:rsidP="004D5FD5" w:rsidRDefault="00D92A45" w14:paraId="36DFFD26" w14:textId="02732BCA">
            <w:pPr>
              <w:jc w:val="both"/>
              <w:rPr>
                <w:rFonts w:cs="Arial"/>
                <w:bCs/>
                <w:sz w:val="22"/>
                <w:szCs w:val="22"/>
              </w:rPr>
            </w:pPr>
            <w:r>
              <w:rPr>
                <w:rFonts w:cs="Arial"/>
                <w:bCs/>
                <w:sz w:val="22"/>
                <w:szCs w:val="22"/>
              </w:rPr>
              <w:t>N/A</w:t>
            </w:r>
          </w:p>
        </w:tc>
      </w:tr>
    </w:tbl>
    <w:p w:rsidRPr="00D80C6C" w:rsidR="003D222C" w:rsidP="004D5FD5" w:rsidRDefault="003D222C" w14:paraId="6858AD8B" w14:textId="77777777">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3397"/>
        <w:gridCol w:w="2694"/>
        <w:gridCol w:w="2976"/>
      </w:tblGrid>
      <w:tr w:rsidRPr="00D80C6C" w:rsidR="003D222C" w:rsidTr="59175EE1" w14:paraId="2C0E4C57" w14:textId="77777777">
        <w:trPr>
          <w:trHeight w:val="273"/>
        </w:trPr>
        <w:tc>
          <w:tcPr>
            <w:tcW w:w="339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2D0691AD" w14:textId="77777777">
            <w:pPr>
              <w:jc w:val="both"/>
              <w:rPr>
                <w:rFonts w:cs="Arial"/>
                <w:b/>
                <w:bCs/>
                <w:sz w:val="22"/>
                <w:szCs w:val="22"/>
              </w:rPr>
            </w:pPr>
            <w:r w:rsidRPr="00D80C6C">
              <w:rPr>
                <w:rFonts w:cs="Arial"/>
                <w:b/>
                <w:bCs/>
                <w:sz w:val="22"/>
                <w:szCs w:val="22"/>
              </w:rPr>
              <w:t>Indicator(s)</w:t>
            </w:r>
          </w:p>
        </w:tc>
        <w:tc>
          <w:tcPr>
            <w:tcW w:w="2694"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700F6E10" w14:textId="77777777">
            <w:pPr>
              <w:jc w:val="both"/>
              <w:rPr>
                <w:rFonts w:cs="Arial"/>
                <w:b/>
                <w:bCs/>
                <w:sz w:val="22"/>
                <w:szCs w:val="22"/>
              </w:rPr>
            </w:pPr>
            <w:r w:rsidRPr="00D80C6C">
              <w:rPr>
                <w:rFonts w:cs="Arial"/>
                <w:b/>
                <w:bCs/>
                <w:sz w:val="22"/>
                <w:szCs w:val="22"/>
              </w:rPr>
              <w:t>Milestone(s) for this review</w:t>
            </w:r>
          </w:p>
        </w:tc>
        <w:tc>
          <w:tcPr>
            <w:tcW w:w="2976"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1AFE6250" w14:textId="77777777">
            <w:pPr>
              <w:jc w:val="both"/>
              <w:rPr>
                <w:rFonts w:cs="Arial"/>
                <w:b/>
                <w:bCs/>
                <w:sz w:val="22"/>
                <w:szCs w:val="22"/>
              </w:rPr>
            </w:pPr>
            <w:r w:rsidRPr="00D80C6C">
              <w:rPr>
                <w:rFonts w:cs="Arial"/>
                <w:b/>
                <w:bCs/>
                <w:sz w:val="22"/>
                <w:szCs w:val="22"/>
              </w:rPr>
              <w:t xml:space="preserve">Progress </w:t>
            </w:r>
          </w:p>
        </w:tc>
      </w:tr>
      <w:tr w:rsidRPr="00D80C6C" w:rsidR="003D222C" w:rsidTr="59175EE1" w14:paraId="4F7F057D" w14:textId="77777777">
        <w:tc>
          <w:tcPr>
            <w:tcW w:w="3397" w:type="dxa"/>
            <w:tcBorders>
              <w:top w:val="single" w:color="auto" w:sz="4" w:space="0"/>
              <w:left w:val="single" w:color="auto" w:sz="4" w:space="0"/>
              <w:bottom w:val="single" w:color="auto" w:sz="4" w:space="0"/>
              <w:right w:val="single" w:color="auto" w:sz="4" w:space="0"/>
            </w:tcBorders>
          </w:tcPr>
          <w:p w:rsidRPr="00D80C6C" w:rsidR="003D222C" w:rsidP="00D92A45" w:rsidRDefault="04B531F0" w14:paraId="3B935EB4" w14:textId="4F8BFCB3">
            <w:pPr>
              <w:rPr>
                <w:rFonts w:cs="Arial"/>
                <w:bCs/>
                <w:iCs/>
                <w:sz w:val="22"/>
                <w:szCs w:val="22"/>
              </w:rPr>
            </w:pPr>
            <w:r w:rsidRPr="4E98841E">
              <w:rPr>
                <w:rFonts w:cs="Arial"/>
                <w:sz w:val="22"/>
                <w:szCs w:val="22"/>
              </w:rPr>
              <w:t>1.1A: Total number of DESNZ funded technical assessments of national/ subnational Forest Reference Emission Levels/Forest Reference Levels reviewed within a year of submission (cumulative)</w:t>
            </w:r>
          </w:p>
        </w:tc>
        <w:tc>
          <w:tcPr>
            <w:tcW w:w="2694" w:type="dxa"/>
            <w:tcBorders>
              <w:top w:val="single" w:color="auto" w:sz="4" w:space="0"/>
              <w:left w:val="single" w:color="auto" w:sz="4" w:space="0"/>
              <w:bottom w:val="single" w:color="auto" w:sz="4" w:space="0"/>
              <w:right w:val="single" w:color="auto" w:sz="4" w:space="0"/>
            </w:tcBorders>
          </w:tcPr>
          <w:p w:rsidRPr="00D80C6C" w:rsidR="003D222C" w:rsidP="00D92A45" w:rsidRDefault="04B531F0" w14:paraId="1FA4E29B" w14:textId="02A97EF6">
            <w:r w:rsidRPr="12D8C4AE">
              <w:rPr>
                <w:rFonts w:cs="Arial"/>
                <w:sz w:val="22"/>
                <w:szCs w:val="22"/>
              </w:rPr>
              <w:t xml:space="preserve">Jul 2026: 4 </w:t>
            </w:r>
          </w:p>
        </w:tc>
        <w:tc>
          <w:tcPr>
            <w:tcW w:w="2976" w:type="dxa"/>
            <w:tcBorders>
              <w:top w:val="single" w:color="auto" w:sz="4" w:space="0"/>
              <w:left w:val="single" w:color="auto" w:sz="4" w:space="0"/>
              <w:bottom w:val="single" w:color="auto" w:sz="4" w:space="0"/>
              <w:right w:val="single" w:color="auto" w:sz="4" w:space="0"/>
            </w:tcBorders>
          </w:tcPr>
          <w:p w:rsidR="04B531F0" w:rsidP="00D92A45" w:rsidRDefault="04B531F0" w14:paraId="474D4441" w14:textId="36E0CD62">
            <w:pPr>
              <w:contextualSpacing/>
              <w:rPr>
                <w:rFonts w:cs="Arial"/>
                <w:sz w:val="22"/>
                <w:szCs w:val="22"/>
              </w:rPr>
            </w:pPr>
            <w:r w:rsidRPr="4E98841E">
              <w:rPr>
                <w:rFonts w:cs="Arial"/>
                <w:sz w:val="22"/>
                <w:szCs w:val="22"/>
              </w:rPr>
              <w:t xml:space="preserve">Jul 2026: 7 </w:t>
            </w:r>
            <w:r>
              <w:br/>
            </w:r>
          </w:p>
          <w:p w:rsidRPr="00D80C6C" w:rsidR="003D222C" w:rsidP="00D92A45" w:rsidRDefault="00CF2784" w14:paraId="1DF15CBA" w14:textId="34688D30">
            <w:pPr>
              <w:contextualSpacing/>
            </w:pPr>
            <w:r w:rsidRPr="00D80C6C">
              <w:rPr>
                <w:rFonts w:cs="Arial"/>
                <w:bCs/>
                <w:iCs/>
                <w:sz w:val="22"/>
                <w:szCs w:val="22"/>
              </w:rPr>
              <w:t>Progress</w:t>
            </w:r>
            <w:r w:rsidRPr="00D80C6C" w:rsidR="00872F0F">
              <w:rPr>
                <w:rFonts w:cs="Arial"/>
                <w:bCs/>
                <w:iCs/>
                <w:sz w:val="22"/>
                <w:szCs w:val="22"/>
              </w:rPr>
              <w:t xml:space="preserve"> substantially exceeded expectation</w:t>
            </w:r>
            <w:r w:rsidR="00D21210">
              <w:rPr>
                <w:rFonts w:cs="Arial"/>
                <w:bCs/>
                <w:iCs/>
                <w:sz w:val="22"/>
                <w:szCs w:val="22"/>
              </w:rPr>
              <w:t>s</w:t>
            </w:r>
          </w:p>
        </w:tc>
      </w:tr>
      <w:tr w:rsidRPr="00D80C6C" w:rsidR="00691842" w:rsidTr="59175EE1" w14:paraId="5FC9728D" w14:textId="77777777">
        <w:tc>
          <w:tcPr>
            <w:tcW w:w="3397" w:type="dxa"/>
            <w:tcBorders>
              <w:top w:val="single" w:color="auto" w:sz="4" w:space="0"/>
              <w:left w:val="single" w:color="auto" w:sz="4" w:space="0"/>
              <w:bottom w:val="single" w:color="auto" w:sz="4" w:space="0"/>
              <w:right w:val="single" w:color="auto" w:sz="4" w:space="0"/>
            </w:tcBorders>
          </w:tcPr>
          <w:p w:rsidRPr="00D80C6C" w:rsidR="00691842" w:rsidP="00D92A45" w:rsidRDefault="6BAE9C6E" w14:paraId="7962695B" w14:textId="0BEF7DE0">
            <w:r w:rsidRPr="012FCA5C">
              <w:rPr>
                <w:rFonts w:cs="Arial"/>
                <w:sz w:val="22"/>
                <w:szCs w:val="22"/>
              </w:rPr>
              <w:t>1.1B: % of technical assessments of national/ subnational Forest Reference Emission Levels/Forest Reference Levels submissions uploaded to the REDD+ Web Platform within a year of review</w:t>
            </w:r>
          </w:p>
        </w:tc>
        <w:tc>
          <w:tcPr>
            <w:tcW w:w="2694" w:type="dxa"/>
            <w:tcBorders>
              <w:top w:val="single" w:color="auto" w:sz="4" w:space="0"/>
              <w:left w:val="single" w:color="auto" w:sz="4" w:space="0"/>
              <w:bottom w:val="single" w:color="auto" w:sz="4" w:space="0"/>
              <w:right w:val="single" w:color="auto" w:sz="4" w:space="0"/>
            </w:tcBorders>
          </w:tcPr>
          <w:p w:rsidRPr="00D80C6C" w:rsidR="00691842" w:rsidP="00D92A45" w:rsidRDefault="6BAE9C6E" w14:paraId="4F70BD3F" w14:textId="4FF66FFB">
            <w:pPr>
              <w:rPr>
                <w:rFonts w:cs="Arial"/>
                <w:sz w:val="22"/>
                <w:szCs w:val="22"/>
              </w:rPr>
            </w:pPr>
            <w:r w:rsidRPr="458E9B44">
              <w:rPr>
                <w:rFonts w:cs="Arial"/>
                <w:sz w:val="22"/>
                <w:szCs w:val="22"/>
              </w:rPr>
              <w:t>Jul 2026: 75%</w:t>
            </w:r>
          </w:p>
        </w:tc>
        <w:tc>
          <w:tcPr>
            <w:tcW w:w="2976" w:type="dxa"/>
            <w:tcBorders>
              <w:top w:val="single" w:color="auto" w:sz="4" w:space="0"/>
              <w:left w:val="single" w:color="auto" w:sz="4" w:space="0"/>
              <w:bottom w:val="single" w:color="auto" w:sz="4" w:space="0"/>
              <w:right w:val="single" w:color="auto" w:sz="4" w:space="0"/>
            </w:tcBorders>
          </w:tcPr>
          <w:p w:rsidRPr="00D80C6C" w:rsidR="00691842" w:rsidP="00D92A45" w:rsidRDefault="6BAE9C6E" w14:paraId="3318F706" w14:textId="5ED5EBBE">
            <w:pPr>
              <w:contextualSpacing/>
            </w:pPr>
            <w:r w:rsidRPr="458E9B44">
              <w:rPr>
                <w:rFonts w:cs="Arial"/>
                <w:sz w:val="22"/>
                <w:szCs w:val="22"/>
              </w:rPr>
              <w:t>Jul 2026: 71%</w:t>
            </w:r>
            <w:r w:rsidR="00691842">
              <w:br/>
            </w:r>
            <w:r w:rsidR="00691842">
              <w:br/>
            </w:r>
            <w:r w:rsidRPr="458E9B44" w:rsidR="5B962D88">
              <w:rPr>
                <w:rFonts w:cs="Arial"/>
                <w:sz w:val="22"/>
                <w:szCs w:val="22"/>
              </w:rPr>
              <w:t xml:space="preserve">Progress moderately did not meet expectations. </w:t>
            </w:r>
          </w:p>
        </w:tc>
      </w:tr>
    </w:tbl>
    <w:p w:rsidR="59175EE1" w:rsidP="59175EE1" w:rsidRDefault="59175EE1" w14:paraId="052D572A" w14:textId="7245D576">
      <w:pPr>
        <w:jc w:val="both"/>
        <w:rPr>
          <w:rFonts w:cs="Arial"/>
          <w:sz w:val="22"/>
          <w:szCs w:val="22"/>
        </w:rPr>
      </w:pPr>
    </w:p>
    <w:p w:rsidRPr="004934DE" w:rsidR="003D222C" w:rsidP="004D5FD5" w:rsidRDefault="009F410E" w14:paraId="2B87EB36" w14:textId="085AA6E9">
      <w:pPr>
        <w:jc w:val="both"/>
        <w:rPr>
          <w:rFonts w:cs="Arial"/>
          <w:sz w:val="22"/>
          <w:szCs w:val="22"/>
        </w:rPr>
      </w:pPr>
      <w:r w:rsidRPr="0B47315C">
        <w:rPr>
          <w:rFonts w:cs="Arial"/>
          <w:sz w:val="22"/>
          <w:szCs w:val="22"/>
        </w:rPr>
        <w:t xml:space="preserve">For this review period Output 1.1 scored an A overall. Output Indicator 1.1A substantially exceeded expectations </w:t>
      </w:r>
      <w:r w:rsidRPr="0B47315C" w:rsidR="005D0941">
        <w:rPr>
          <w:rFonts w:cs="Arial"/>
          <w:sz w:val="22"/>
          <w:szCs w:val="22"/>
        </w:rPr>
        <w:t xml:space="preserve">with </w:t>
      </w:r>
      <w:r w:rsidRPr="0B47315C" w:rsidR="00FC54CE">
        <w:rPr>
          <w:rFonts w:cs="Arial"/>
          <w:sz w:val="22"/>
          <w:szCs w:val="22"/>
        </w:rPr>
        <w:t>seven countries’</w:t>
      </w:r>
      <w:r w:rsidRPr="0B47315C" w:rsidR="00AE4AA8">
        <w:rPr>
          <w:rFonts w:cs="Arial"/>
          <w:sz w:val="22"/>
          <w:szCs w:val="22"/>
        </w:rPr>
        <w:t xml:space="preserve"> </w:t>
      </w:r>
      <w:r w:rsidRPr="0B47315C" w:rsidR="00FC54CE">
        <w:rPr>
          <w:rFonts w:cs="Arial"/>
          <w:sz w:val="22"/>
          <w:szCs w:val="22"/>
        </w:rPr>
        <w:t xml:space="preserve">Forest Reference </w:t>
      </w:r>
      <w:r w:rsidRPr="0B47315C" w:rsidR="00AE4AA8">
        <w:rPr>
          <w:rFonts w:cs="Arial"/>
          <w:sz w:val="22"/>
          <w:szCs w:val="22"/>
        </w:rPr>
        <w:t>Emission Levels/ Forest Reference Levels reviewed within a year of submission (Costa Rica, Burkina Faso, Sudan, Cuba, Panama, Senegal and Guyana). However</w:t>
      </w:r>
      <w:r w:rsidRPr="0B47315C" w:rsidR="00737E29">
        <w:rPr>
          <w:rFonts w:cs="Arial"/>
          <w:sz w:val="22"/>
          <w:szCs w:val="22"/>
        </w:rPr>
        <w:t>,</w:t>
      </w:r>
      <w:r w:rsidRPr="0B47315C" w:rsidR="00AE4AA8">
        <w:rPr>
          <w:rFonts w:cs="Arial"/>
          <w:sz w:val="22"/>
          <w:szCs w:val="22"/>
        </w:rPr>
        <w:t xml:space="preserve"> Output Indicator 1.1B moderately did not meet expectations. </w:t>
      </w:r>
      <w:r w:rsidRPr="0B47315C" w:rsidR="00737E29">
        <w:rPr>
          <w:rFonts w:cs="Arial"/>
          <w:sz w:val="22"/>
          <w:szCs w:val="22"/>
        </w:rPr>
        <w:t>This is attributed to the fact that</w:t>
      </w:r>
      <w:r w:rsidRPr="0B47315C" w:rsidR="48B46489">
        <w:rPr>
          <w:rFonts w:cs="Arial"/>
          <w:sz w:val="22"/>
          <w:szCs w:val="22"/>
        </w:rPr>
        <w:t>,</w:t>
      </w:r>
      <w:r w:rsidRPr="0B47315C" w:rsidR="00737E29">
        <w:rPr>
          <w:rFonts w:cs="Arial"/>
          <w:sz w:val="22"/>
          <w:szCs w:val="22"/>
        </w:rPr>
        <w:t xml:space="preserve"> at low submission numbers (i.e. only seven countries</w:t>
      </w:r>
      <w:r w:rsidRPr="0B47315C" w:rsidR="00C62527">
        <w:rPr>
          <w:rFonts w:cs="Arial"/>
          <w:sz w:val="22"/>
          <w:szCs w:val="22"/>
        </w:rPr>
        <w:t>)</w:t>
      </w:r>
      <w:r w:rsidRPr="0B47315C" w:rsidR="79E49AF1">
        <w:rPr>
          <w:rFonts w:cs="Arial"/>
          <w:sz w:val="22"/>
          <w:szCs w:val="22"/>
        </w:rPr>
        <w:t>,</w:t>
      </w:r>
      <w:r w:rsidRPr="0B47315C" w:rsidR="00C62527">
        <w:rPr>
          <w:rFonts w:cs="Arial"/>
          <w:sz w:val="22"/>
          <w:szCs w:val="22"/>
        </w:rPr>
        <w:t xml:space="preserve"> each submission counts for 14%</w:t>
      </w:r>
      <w:r w:rsidRPr="0B47315C" w:rsidR="002A7F85">
        <w:rPr>
          <w:rFonts w:cs="Arial"/>
          <w:sz w:val="22"/>
          <w:szCs w:val="22"/>
        </w:rPr>
        <w:t xml:space="preserve"> and one country was eight days late in their submission. </w:t>
      </w:r>
      <w:r w:rsidRPr="0B47315C" w:rsidR="00346F93">
        <w:rPr>
          <w:rFonts w:cs="Arial"/>
          <w:sz w:val="22"/>
          <w:szCs w:val="22"/>
        </w:rPr>
        <w:t>While the Delivery Partner will continue to work on this in future, i</w:t>
      </w:r>
      <w:r w:rsidRPr="0B47315C" w:rsidR="00A720C6">
        <w:rPr>
          <w:rFonts w:cs="Arial"/>
          <w:sz w:val="22"/>
          <w:szCs w:val="22"/>
        </w:rPr>
        <w:t xml:space="preserve">t should be noted </w:t>
      </w:r>
      <w:r w:rsidRPr="0B47315C" w:rsidR="00AB493F">
        <w:rPr>
          <w:rFonts w:cs="Arial"/>
          <w:sz w:val="22"/>
          <w:szCs w:val="22"/>
        </w:rPr>
        <w:t xml:space="preserve">that sometimes timings can be outside the control of the Delivery Partner and difficulties can arise </w:t>
      </w:r>
      <w:r w:rsidRPr="0B47315C" w:rsidR="00346F93">
        <w:rPr>
          <w:rFonts w:cs="Arial"/>
          <w:sz w:val="22"/>
          <w:szCs w:val="22"/>
        </w:rPr>
        <w:t xml:space="preserve">where it is a country’s first submission, or where there have been significant changes in methodologies. </w:t>
      </w:r>
    </w:p>
    <w:p w:rsidR="004A367B" w:rsidP="004D5FD5" w:rsidRDefault="540C9C38" w14:paraId="6F13DE51" w14:textId="25DE7B5F">
      <w:pPr>
        <w:pStyle w:val="Heading2"/>
        <w:jc w:val="both"/>
      </w:pPr>
      <w:bookmarkStart w:name="_Toc198350766" w:id="50"/>
      <w:r>
        <w:t xml:space="preserve">Output </w:t>
      </w:r>
      <w:r w:rsidR="4CFD019D">
        <w:t>1.</w:t>
      </w:r>
      <w:r>
        <w:t xml:space="preserve">2: </w:t>
      </w:r>
      <w:r w:rsidR="680A8CA1">
        <w:t xml:space="preserve">Technical </w:t>
      </w:r>
      <w:r w:rsidR="1DA7455E">
        <w:t>a</w:t>
      </w:r>
      <w:r w:rsidR="680A8CA1">
        <w:t xml:space="preserve">nalyses of national/subnational REDD+ </w:t>
      </w:r>
      <w:r w:rsidR="11578C55">
        <w:t>r</w:t>
      </w:r>
      <w:r w:rsidR="680A8CA1">
        <w:t xml:space="preserve">esults submitted as an </w:t>
      </w:r>
      <w:r w:rsidR="2BDFC3EE">
        <w:t>a</w:t>
      </w:r>
      <w:r w:rsidR="680A8CA1">
        <w:t>nnex to the Biennial Transparency Report (BTR)</w:t>
      </w:r>
      <w:bookmarkEnd w:id="50"/>
      <w:r w:rsidR="680A8CA1">
        <w:t> </w:t>
      </w:r>
    </w:p>
    <w:p w:rsidRPr="00691842" w:rsidR="00691842" w:rsidP="00691842" w:rsidRDefault="00691842" w14:paraId="6614CA3C" w14:textId="77777777"/>
    <w:tbl>
      <w:tblPr>
        <w:tblStyle w:val="TableGrid"/>
        <w:tblW w:w="9072" w:type="dxa"/>
        <w:tblInd w:w="-5" w:type="dxa"/>
        <w:tblLook w:val="04A0" w:firstRow="1" w:lastRow="0" w:firstColumn="1" w:lastColumn="0" w:noHBand="0" w:noVBand="1"/>
      </w:tblPr>
      <w:tblGrid>
        <w:gridCol w:w="1566"/>
        <w:gridCol w:w="616"/>
        <w:gridCol w:w="1170"/>
        <w:gridCol w:w="2744"/>
        <w:gridCol w:w="2976"/>
      </w:tblGrid>
      <w:tr w:rsidRPr="00D80C6C" w:rsidR="00691842" w:rsidTr="1A1FC38A" w14:paraId="41CE7F22" w14:textId="77777777">
        <w:trPr>
          <w:trHeight w:val="489"/>
        </w:trPr>
        <w:tc>
          <w:tcPr>
            <w:tcW w:w="1566"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7057EFC7" w14:textId="77777777">
            <w:pPr>
              <w:jc w:val="both"/>
              <w:rPr>
                <w:rFonts w:cs="Arial"/>
                <w:b/>
                <w:bCs/>
                <w:sz w:val="22"/>
                <w:szCs w:val="22"/>
              </w:rPr>
            </w:pPr>
            <w:r w:rsidRPr="00D80C6C">
              <w:rPr>
                <w:rFonts w:cs="Arial"/>
                <w:b/>
                <w:bCs/>
                <w:sz w:val="22"/>
                <w:szCs w:val="22"/>
              </w:rPr>
              <w:t xml:space="preserve">Output Title </w:t>
            </w:r>
          </w:p>
        </w:tc>
        <w:tc>
          <w:tcPr>
            <w:tcW w:w="750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ED5FD4" w:rsidR="00691842" w:rsidP="3C25D418" w:rsidRDefault="00A20657" w14:paraId="78968739" w14:textId="50DDBBF7">
            <w:pPr>
              <w:jc w:val="both"/>
              <w:rPr>
                <w:rFonts w:cs="Arial"/>
                <w:color w:val="FF0000"/>
                <w:sz w:val="22"/>
                <w:szCs w:val="22"/>
              </w:rPr>
            </w:pPr>
            <w:r w:rsidRPr="3C25D418">
              <w:rPr>
                <w:rFonts w:cs="Arial"/>
                <w:sz w:val="22"/>
                <w:szCs w:val="22"/>
              </w:rPr>
              <w:t xml:space="preserve">Technical </w:t>
            </w:r>
            <w:r w:rsidRPr="3C25D418" w:rsidR="7409FC21">
              <w:rPr>
                <w:rFonts w:cs="Arial"/>
                <w:sz w:val="22"/>
                <w:szCs w:val="22"/>
              </w:rPr>
              <w:t>a</w:t>
            </w:r>
            <w:r w:rsidRPr="3C25D418">
              <w:rPr>
                <w:rFonts w:cs="Arial"/>
                <w:sz w:val="22"/>
                <w:szCs w:val="22"/>
              </w:rPr>
              <w:t xml:space="preserve">nalyses of national/subnational REDD+ </w:t>
            </w:r>
            <w:r w:rsidRPr="3C25D418" w:rsidR="2E4BE514">
              <w:rPr>
                <w:rFonts w:cs="Arial"/>
                <w:sz w:val="22"/>
                <w:szCs w:val="22"/>
              </w:rPr>
              <w:t>r</w:t>
            </w:r>
            <w:r w:rsidRPr="3C25D418">
              <w:rPr>
                <w:rFonts w:cs="Arial"/>
                <w:sz w:val="22"/>
                <w:szCs w:val="22"/>
              </w:rPr>
              <w:t xml:space="preserve">esults submitted as an </w:t>
            </w:r>
            <w:r w:rsidRPr="3C25D418" w:rsidR="2E6BF3A6">
              <w:rPr>
                <w:rFonts w:cs="Arial"/>
                <w:sz w:val="22"/>
                <w:szCs w:val="22"/>
              </w:rPr>
              <w:t>a</w:t>
            </w:r>
            <w:r w:rsidRPr="3C25D418">
              <w:rPr>
                <w:rFonts w:cs="Arial"/>
                <w:sz w:val="22"/>
                <w:szCs w:val="22"/>
              </w:rPr>
              <w:t>nnex to the Biennial Transparency Report (BTR) </w:t>
            </w:r>
          </w:p>
        </w:tc>
      </w:tr>
      <w:tr w:rsidRPr="00D80C6C" w:rsidR="00691842" w:rsidTr="1A1FC38A" w14:paraId="1A461D66" w14:textId="77777777">
        <w:trPr>
          <w:trHeight w:val="347"/>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29F004B5" w14:textId="77777777">
            <w:pPr>
              <w:jc w:val="both"/>
              <w:rPr>
                <w:rFonts w:cs="Arial"/>
                <w:bCs/>
                <w:sz w:val="22"/>
                <w:szCs w:val="22"/>
              </w:rPr>
            </w:pPr>
            <w:r w:rsidRPr="00D80C6C">
              <w:rPr>
                <w:rFonts w:cs="Arial"/>
                <w:bCs/>
                <w:sz w:val="22"/>
                <w:szCs w:val="22"/>
              </w:rPr>
              <w:t xml:space="preserve">Output number: </w:t>
            </w:r>
          </w:p>
        </w:tc>
        <w:tc>
          <w:tcPr>
            <w:tcW w:w="1170" w:type="dxa"/>
            <w:tcBorders>
              <w:top w:val="single" w:color="auto" w:sz="4" w:space="0"/>
              <w:left w:val="single" w:color="auto" w:sz="4" w:space="0"/>
              <w:bottom w:val="single" w:color="auto" w:sz="4" w:space="0"/>
              <w:right w:val="single" w:color="auto" w:sz="4" w:space="0"/>
            </w:tcBorders>
          </w:tcPr>
          <w:p w:rsidRPr="00D80C6C" w:rsidR="00691842" w:rsidRDefault="00A20657" w14:paraId="77F166EC" w14:textId="63C01236">
            <w:pPr>
              <w:jc w:val="both"/>
              <w:rPr>
                <w:rFonts w:cs="Arial"/>
                <w:sz w:val="22"/>
                <w:szCs w:val="22"/>
              </w:rPr>
            </w:pPr>
            <w:r>
              <w:rPr>
                <w:rFonts w:cs="Arial"/>
                <w:sz w:val="22"/>
                <w:szCs w:val="22"/>
              </w:rPr>
              <w:t>1.2</w:t>
            </w:r>
          </w:p>
        </w:tc>
        <w:tc>
          <w:tcPr>
            <w:tcW w:w="2744"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03065D68" w14:textId="77777777">
            <w:pPr>
              <w:jc w:val="both"/>
              <w:rPr>
                <w:rFonts w:cs="Arial"/>
                <w:sz w:val="22"/>
                <w:szCs w:val="22"/>
              </w:rPr>
            </w:pPr>
            <w:r w:rsidRPr="00D80C6C">
              <w:rPr>
                <w:rFonts w:cs="Arial"/>
                <w:bCs/>
                <w:sz w:val="22"/>
                <w:szCs w:val="22"/>
              </w:rPr>
              <w:t xml:space="preserve">Output Score: </w:t>
            </w:r>
          </w:p>
        </w:tc>
        <w:tc>
          <w:tcPr>
            <w:tcW w:w="2976" w:type="dxa"/>
            <w:tcBorders>
              <w:top w:val="single" w:color="auto" w:sz="4" w:space="0"/>
              <w:left w:val="single" w:color="auto" w:sz="4" w:space="0"/>
              <w:bottom w:val="single" w:color="auto" w:sz="4" w:space="0"/>
              <w:right w:val="single" w:color="auto" w:sz="4" w:space="0"/>
            </w:tcBorders>
          </w:tcPr>
          <w:p w:rsidRPr="00524340" w:rsidR="00691842" w:rsidP="00524340" w:rsidRDefault="00524340" w14:paraId="263A0106" w14:textId="4081ABC8">
            <w:pPr>
              <w:rPr>
                <w:rFonts w:cs="Arial"/>
                <w:iCs/>
                <w:sz w:val="22"/>
                <w:szCs w:val="22"/>
              </w:rPr>
            </w:pPr>
            <w:r w:rsidRPr="00524340">
              <w:rPr>
                <w:rFonts w:cs="Arial"/>
                <w:iCs/>
                <w:sz w:val="22"/>
                <w:szCs w:val="22"/>
              </w:rPr>
              <w:t>A</w:t>
            </w:r>
          </w:p>
        </w:tc>
      </w:tr>
      <w:tr w:rsidRPr="00D80C6C" w:rsidR="00691842" w:rsidTr="1A1FC38A" w14:paraId="08DC1373"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0EE290D9" w14:textId="77777777">
            <w:pPr>
              <w:jc w:val="both"/>
              <w:rPr>
                <w:rFonts w:cs="Arial"/>
                <w:sz w:val="22"/>
                <w:szCs w:val="22"/>
              </w:rPr>
            </w:pPr>
            <w:r w:rsidRPr="00D80C6C">
              <w:rPr>
                <w:rFonts w:cs="Arial"/>
                <w:bCs/>
                <w:sz w:val="22"/>
                <w:szCs w:val="22"/>
              </w:rPr>
              <w:t xml:space="preserve">Impact weighting (%):  </w:t>
            </w:r>
          </w:p>
        </w:tc>
        <w:tc>
          <w:tcPr>
            <w:tcW w:w="1170" w:type="dxa"/>
            <w:tcBorders>
              <w:top w:val="single" w:color="auto" w:sz="4" w:space="0"/>
              <w:left w:val="single" w:color="auto" w:sz="4" w:space="0"/>
              <w:bottom w:val="single" w:color="auto" w:sz="4" w:space="0"/>
              <w:right w:val="single" w:color="auto" w:sz="4" w:space="0"/>
            </w:tcBorders>
            <w:hideMark/>
          </w:tcPr>
          <w:p w:rsidRPr="00D80C6C" w:rsidR="00691842" w:rsidRDefault="0039615E" w14:paraId="24DB908D" w14:textId="0F05FFF4">
            <w:pPr>
              <w:jc w:val="both"/>
              <w:rPr>
                <w:rFonts w:cs="Arial"/>
                <w:bCs/>
                <w:sz w:val="22"/>
                <w:szCs w:val="22"/>
              </w:rPr>
            </w:pPr>
            <w:r>
              <w:rPr>
                <w:rFonts w:cs="Arial"/>
                <w:bCs/>
                <w:sz w:val="22"/>
                <w:szCs w:val="22"/>
              </w:rPr>
              <w:t>15</w:t>
            </w:r>
          </w:p>
        </w:tc>
        <w:tc>
          <w:tcPr>
            <w:tcW w:w="2744"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16454226" w14:textId="77777777">
            <w:pPr>
              <w:jc w:val="both"/>
              <w:rPr>
                <w:rFonts w:cs="Arial"/>
                <w:bCs/>
                <w:sz w:val="22"/>
                <w:szCs w:val="22"/>
              </w:rPr>
            </w:pPr>
            <w:r w:rsidRPr="00D80C6C">
              <w:rPr>
                <w:rFonts w:cs="Arial"/>
                <w:bCs/>
                <w:sz w:val="22"/>
                <w:szCs w:val="22"/>
              </w:rPr>
              <w:t xml:space="preserve">Weighting revised since last AR? </w:t>
            </w:r>
          </w:p>
        </w:tc>
        <w:tc>
          <w:tcPr>
            <w:tcW w:w="2976" w:type="dxa"/>
            <w:tcBorders>
              <w:top w:val="single" w:color="auto" w:sz="4" w:space="0"/>
              <w:left w:val="single" w:color="auto" w:sz="4" w:space="0"/>
              <w:bottom w:val="single" w:color="auto" w:sz="4" w:space="0"/>
              <w:right w:val="single" w:color="auto" w:sz="4" w:space="0"/>
            </w:tcBorders>
          </w:tcPr>
          <w:p w:rsidRPr="00D80C6C" w:rsidR="00691842" w:rsidRDefault="00B3754B" w14:paraId="7A0765DF" w14:textId="5E97AE2A">
            <w:pPr>
              <w:jc w:val="both"/>
              <w:rPr>
                <w:rFonts w:cs="Arial"/>
                <w:bCs/>
                <w:sz w:val="22"/>
                <w:szCs w:val="22"/>
              </w:rPr>
            </w:pPr>
            <w:r>
              <w:rPr>
                <w:rFonts w:cs="Arial"/>
                <w:bCs/>
                <w:sz w:val="22"/>
                <w:szCs w:val="22"/>
              </w:rPr>
              <w:t>N/A</w:t>
            </w:r>
          </w:p>
        </w:tc>
      </w:tr>
      <w:tr w:rsidRPr="00D80C6C" w:rsidR="00691842" w:rsidTr="1A1FC38A" w14:paraId="2D4E6664"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691842" w:rsidRDefault="00691842" w14:paraId="7DE2EAEE" w14:textId="5122F178">
            <w:pPr>
              <w:jc w:val="both"/>
              <w:rPr>
                <w:rFonts w:cs="Arial"/>
                <w:bCs/>
                <w:sz w:val="22"/>
                <w:szCs w:val="22"/>
              </w:rPr>
            </w:pPr>
            <w:r w:rsidRPr="00D80C6C">
              <w:rPr>
                <w:rFonts w:cs="Arial"/>
                <w:bCs/>
                <w:sz w:val="22"/>
                <w:szCs w:val="22"/>
              </w:rPr>
              <w:t>Risk rating</w:t>
            </w:r>
            <w:r w:rsidR="00DB3B57">
              <w:rPr>
                <w:rFonts w:cs="Arial"/>
                <w:bCs/>
                <w:sz w:val="22"/>
                <w:szCs w:val="22"/>
              </w:rPr>
              <w:t>:</w:t>
            </w:r>
          </w:p>
        </w:tc>
        <w:tc>
          <w:tcPr>
            <w:tcW w:w="1170" w:type="dxa"/>
            <w:tcBorders>
              <w:top w:val="single" w:color="auto" w:sz="4" w:space="0"/>
              <w:left w:val="single" w:color="auto" w:sz="4" w:space="0"/>
              <w:bottom w:val="single" w:color="auto" w:sz="4" w:space="0"/>
              <w:right w:val="single" w:color="auto" w:sz="4" w:space="0"/>
            </w:tcBorders>
          </w:tcPr>
          <w:p w:rsidRPr="00D80C6C" w:rsidR="00691842" w:rsidRDefault="7AD2BF94" w14:paraId="055BA998" w14:textId="789F20E3">
            <w:pPr>
              <w:jc w:val="both"/>
            </w:pPr>
            <w:r w:rsidRPr="1A1FC38A">
              <w:rPr>
                <w:rFonts w:cs="Arial"/>
                <w:sz w:val="22"/>
                <w:szCs w:val="22"/>
              </w:rPr>
              <w:t>Moderate</w:t>
            </w:r>
          </w:p>
        </w:tc>
        <w:tc>
          <w:tcPr>
            <w:tcW w:w="2744" w:type="dxa"/>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691842" w:rsidRDefault="00691842" w14:paraId="2885ECE2" w14:textId="77777777">
            <w:pPr>
              <w:jc w:val="both"/>
              <w:rPr>
                <w:rFonts w:cs="Arial"/>
                <w:bCs/>
                <w:sz w:val="22"/>
                <w:szCs w:val="22"/>
              </w:rPr>
            </w:pPr>
            <w:r w:rsidRPr="00D80C6C">
              <w:rPr>
                <w:rFonts w:cs="Arial"/>
                <w:bCs/>
                <w:sz w:val="22"/>
                <w:szCs w:val="22"/>
              </w:rPr>
              <w:t>Risk revised since last AR?</w:t>
            </w:r>
          </w:p>
        </w:tc>
        <w:tc>
          <w:tcPr>
            <w:tcW w:w="2976" w:type="dxa"/>
            <w:tcBorders>
              <w:top w:val="single" w:color="auto" w:sz="4" w:space="0"/>
              <w:left w:val="single" w:color="auto" w:sz="4" w:space="0"/>
              <w:bottom w:val="single" w:color="auto" w:sz="4" w:space="0"/>
              <w:right w:val="single" w:color="auto" w:sz="4" w:space="0"/>
            </w:tcBorders>
          </w:tcPr>
          <w:p w:rsidRPr="00D80C6C" w:rsidR="00691842" w:rsidRDefault="00B3754B" w14:paraId="34DD6A93" w14:textId="250CD8C4">
            <w:pPr>
              <w:jc w:val="both"/>
              <w:rPr>
                <w:rFonts w:cs="Arial"/>
                <w:bCs/>
                <w:sz w:val="22"/>
                <w:szCs w:val="22"/>
              </w:rPr>
            </w:pPr>
            <w:r>
              <w:rPr>
                <w:rFonts w:cs="Arial"/>
                <w:bCs/>
                <w:sz w:val="22"/>
                <w:szCs w:val="22"/>
              </w:rPr>
              <w:t>N/A</w:t>
            </w:r>
          </w:p>
        </w:tc>
      </w:tr>
    </w:tbl>
    <w:p w:rsidRPr="00D80C6C" w:rsidR="00691842" w:rsidP="00691842" w:rsidRDefault="00691842" w14:paraId="33BACDC4" w14:textId="77777777">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3339"/>
        <w:gridCol w:w="2468"/>
        <w:gridCol w:w="3260"/>
      </w:tblGrid>
      <w:tr w:rsidRPr="00D80C6C" w:rsidR="00691842" w:rsidTr="4A5578D9" w14:paraId="72BA5779" w14:textId="77777777">
        <w:trPr>
          <w:trHeight w:val="273"/>
        </w:trPr>
        <w:tc>
          <w:tcPr>
            <w:tcW w:w="3339"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20749DF7" w14:textId="77777777">
            <w:pPr>
              <w:jc w:val="both"/>
              <w:rPr>
                <w:rFonts w:cs="Arial"/>
                <w:b/>
                <w:bCs/>
                <w:sz w:val="22"/>
                <w:szCs w:val="22"/>
              </w:rPr>
            </w:pPr>
            <w:r w:rsidRPr="00D80C6C">
              <w:rPr>
                <w:rFonts w:cs="Arial"/>
                <w:b/>
                <w:bCs/>
                <w:sz w:val="22"/>
                <w:szCs w:val="22"/>
              </w:rPr>
              <w:t>Indicator(s)</w:t>
            </w:r>
          </w:p>
        </w:tc>
        <w:tc>
          <w:tcPr>
            <w:tcW w:w="2468"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34DCC454" w14:textId="77777777">
            <w:pPr>
              <w:jc w:val="both"/>
              <w:rPr>
                <w:rFonts w:cs="Arial"/>
                <w:b/>
                <w:bCs/>
                <w:sz w:val="22"/>
                <w:szCs w:val="22"/>
              </w:rPr>
            </w:pPr>
            <w:r w:rsidRPr="00D80C6C">
              <w:rPr>
                <w:rFonts w:cs="Arial"/>
                <w:b/>
                <w:bCs/>
                <w:sz w:val="22"/>
                <w:szCs w:val="22"/>
              </w:rPr>
              <w:t>Milestone(s) for this review</w:t>
            </w:r>
          </w:p>
        </w:tc>
        <w:tc>
          <w:tcPr>
            <w:tcW w:w="3260"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691842" w:rsidRDefault="00691842" w14:paraId="14649BD1" w14:textId="77777777">
            <w:pPr>
              <w:jc w:val="both"/>
              <w:rPr>
                <w:rFonts w:cs="Arial"/>
                <w:b/>
                <w:bCs/>
                <w:sz w:val="22"/>
                <w:szCs w:val="22"/>
              </w:rPr>
            </w:pPr>
            <w:r w:rsidRPr="00D80C6C">
              <w:rPr>
                <w:rFonts w:cs="Arial"/>
                <w:b/>
                <w:bCs/>
                <w:sz w:val="22"/>
                <w:szCs w:val="22"/>
              </w:rPr>
              <w:t xml:space="preserve">Progress </w:t>
            </w:r>
          </w:p>
        </w:tc>
      </w:tr>
      <w:tr w:rsidRPr="00D80C6C" w:rsidR="00691842" w:rsidTr="4A5578D9" w14:paraId="1A9B1DC3" w14:textId="77777777">
        <w:tc>
          <w:tcPr>
            <w:tcW w:w="3339" w:type="dxa"/>
            <w:tcBorders>
              <w:top w:val="single" w:color="auto" w:sz="4" w:space="0"/>
              <w:left w:val="single" w:color="auto" w:sz="4" w:space="0"/>
              <w:bottom w:val="single" w:color="auto" w:sz="4" w:space="0"/>
              <w:right w:val="single" w:color="auto" w:sz="4" w:space="0"/>
            </w:tcBorders>
          </w:tcPr>
          <w:p w:rsidRPr="00D80C6C" w:rsidR="00691842" w:rsidP="00297704" w:rsidRDefault="00745398" w14:paraId="71BA9FC9" w14:textId="65A44F0F">
            <w:pPr>
              <w:rPr>
                <w:rFonts w:cs="Arial"/>
                <w:bCs/>
                <w:iCs/>
                <w:sz w:val="22"/>
                <w:szCs w:val="22"/>
              </w:rPr>
            </w:pPr>
            <w:r>
              <w:rPr>
                <w:rFonts w:cs="Arial"/>
                <w:bCs/>
                <w:iCs/>
                <w:sz w:val="22"/>
                <w:szCs w:val="22"/>
              </w:rPr>
              <w:t xml:space="preserve">1.2A: </w:t>
            </w:r>
            <w:r w:rsidRPr="00297704" w:rsidR="00297704">
              <w:rPr>
                <w:rFonts w:cs="Arial"/>
                <w:bCs/>
                <w:iCs/>
                <w:sz w:val="22"/>
                <w:szCs w:val="22"/>
              </w:rPr>
              <w:t>Number of DESNZ funded technical analyses of national/subnational REDD+ Results submitted as an Annex to the Biennial Transparency Report (BTR) reviewed within a year of submission (cumulative)</w:t>
            </w:r>
          </w:p>
        </w:tc>
        <w:tc>
          <w:tcPr>
            <w:tcW w:w="2468" w:type="dxa"/>
            <w:tcBorders>
              <w:top w:val="single" w:color="auto" w:sz="4" w:space="0"/>
              <w:left w:val="single" w:color="auto" w:sz="4" w:space="0"/>
              <w:bottom w:val="single" w:color="auto" w:sz="4" w:space="0"/>
              <w:right w:val="single" w:color="auto" w:sz="4" w:space="0"/>
            </w:tcBorders>
          </w:tcPr>
          <w:p w:rsidRPr="00D80C6C" w:rsidR="00691842" w:rsidRDefault="00A833A0" w14:paraId="1F90D257" w14:textId="2C5EB73A">
            <w:pPr>
              <w:jc w:val="both"/>
              <w:rPr>
                <w:rFonts w:cs="Arial"/>
                <w:bCs/>
                <w:iCs/>
                <w:sz w:val="22"/>
                <w:szCs w:val="22"/>
              </w:rPr>
            </w:pPr>
            <w:r>
              <w:rPr>
                <w:rFonts w:cs="Arial"/>
                <w:bCs/>
                <w:iCs/>
                <w:sz w:val="22"/>
                <w:szCs w:val="22"/>
              </w:rPr>
              <w:t>Jul</w:t>
            </w:r>
            <w:r w:rsidR="00F63041">
              <w:rPr>
                <w:rFonts w:cs="Arial"/>
                <w:bCs/>
                <w:iCs/>
                <w:sz w:val="22"/>
                <w:szCs w:val="22"/>
              </w:rPr>
              <w:t xml:space="preserve"> 2026: </w:t>
            </w:r>
            <w:r w:rsidR="00E3492B">
              <w:rPr>
                <w:rFonts w:cs="Arial"/>
                <w:bCs/>
                <w:iCs/>
                <w:sz w:val="22"/>
                <w:szCs w:val="22"/>
              </w:rPr>
              <w:t>7</w:t>
            </w:r>
          </w:p>
        </w:tc>
        <w:tc>
          <w:tcPr>
            <w:tcW w:w="3260" w:type="dxa"/>
            <w:tcBorders>
              <w:top w:val="single" w:color="auto" w:sz="4" w:space="0"/>
              <w:left w:val="single" w:color="auto" w:sz="4" w:space="0"/>
              <w:bottom w:val="single" w:color="auto" w:sz="4" w:space="0"/>
              <w:right w:val="single" w:color="auto" w:sz="4" w:space="0"/>
            </w:tcBorders>
          </w:tcPr>
          <w:p w:rsidRPr="00D80C6C" w:rsidR="00691842" w:rsidP="00E3492B" w:rsidRDefault="00445224" w14:paraId="1C0583B9" w14:textId="0EAAA203">
            <w:pPr>
              <w:contextualSpacing/>
              <w:rPr>
                <w:rFonts w:cs="Arial"/>
                <w:bCs/>
                <w:iCs/>
                <w:sz w:val="22"/>
                <w:szCs w:val="22"/>
              </w:rPr>
            </w:pPr>
            <w:r>
              <w:rPr>
                <w:rFonts w:cs="Arial"/>
                <w:bCs/>
                <w:iCs/>
                <w:sz w:val="22"/>
                <w:szCs w:val="22"/>
              </w:rPr>
              <w:t xml:space="preserve">Jul 2026: </w:t>
            </w:r>
            <w:r w:rsidR="00E3492B">
              <w:rPr>
                <w:rFonts w:cs="Arial"/>
                <w:bCs/>
                <w:iCs/>
                <w:sz w:val="22"/>
                <w:szCs w:val="22"/>
              </w:rPr>
              <w:t>7</w:t>
            </w:r>
            <w:r w:rsidR="00E3492B">
              <w:rPr>
                <w:rFonts w:cs="Arial"/>
                <w:bCs/>
                <w:iCs/>
                <w:sz w:val="22"/>
                <w:szCs w:val="22"/>
              </w:rPr>
              <w:br/>
            </w:r>
            <w:r w:rsidR="00E3492B">
              <w:rPr>
                <w:rFonts w:cs="Arial"/>
                <w:bCs/>
                <w:iCs/>
                <w:sz w:val="22"/>
                <w:szCs w:val="22"/>
              </w:rPr>
              <w:br/>
            </w:r>
            <w:r w:rsidR="00E3492B">
              <w:rPr>
                <w:rFonts w:cs="Arial"/>
                <w:bCs/>
                <w:iCs/>
                <w:sz w:val="22"/>
                <w:szCs w:val="22"/>
              </w:rPr>
              <w:t>Progress met expectations</w:t>
            </w:r>
          </w:p>
        </w:tc>
      </w:tr>
      <w:tr w:rsidRPr="00D80C6C" w:rsidR="00691842" w:rsidTr="4A5578D9" w14:paraId="6F627DFA" w14:textId="77777777">
        <w:tc>
          <w:tcPr>
            <w:tcW w:w="3339" w:type="dxa"/>
            <w:tcBorders>
              <w:top w:val="single" w:color="auto" w:sz="4" w:space="0"/>
              <w:left w:val="single" w:color="auto" w:sz="4" w:space="0"/>
              <w:bottom w:val="single" w:color="auto" w:sz="4" w:space="0"/>
              <w:right w:val="single" w:color="auto" w:sz="4" w:space="0"/>
            </w:tcBorders>
          </w:tcPr>
          <w:p w:rsidRPr="00D80C6C" w:rsidR="00691842" w:rsidRDefault="0039615E" w14:paraId="4BD1753E" w14:textId="207F018F">
            <w:pPr>
              <w:jc w:val="both"/>
              <w:rPr>
                <w:rFonts w:cs="Arial"/>
                <w:bCs/>
                <w:iCs/>
                <w:sz w:val="22"/>
                <w:szCs w:val="22"/>
              </w:rPr>
            </w:pPr>
            <w:r>
              <w:rPr>
                <w:rFonts w:cs="Arial"/>
                <w:bCs/>
                <w:iCs/>
                <w:sz w:val="22"/>
                <w:szCs w:val="22"/>
              </w:rPr>
              <w:t xml:space="preserve">1.2B: </w:t>
            </w:r>
            <w:r w:rsidRPr="0039615E">
              <w:rPr>
                <w:rFonts w:cs="Arial"/>
                <w:bCs/>
                <w:iCs/>
                <w:sz w:val="22"/>
                <w:szCs w:val="22"/>
              </w:rPr>
              <w:t>% of technical analyses of national/subnational REDD+ Results submissions uploaded to the REDD+ Web Platform within a year of review.</w:t>
            </w:r>
          </w:p>
        </w:tc>
        <w:tc>
          <w:tcPr>
            <w:tcW w:w="2468" w:type="dxa"/>
            <w:tcBorders>
              <w:top w:val="single" w:color="auto" w:sz="4" w:space="0"/>
              <w:left w:val="single" w:color="auto" w:sz="4" w:space="0"/>
              <w:bottom w:val="single" w:color="auto" w:sz="4" w:space="0"/>
              <w:right w:val="single" w:color="auto" w:sz="4" w:space="0"/>
            </w:tcBorders>
          </w:tcPr>
          <w:p w:rsidRPr="00D80C6C" w:rsidR="00691842" w:rsidRDefault="0039615E" w14:paraId="3D8B963A" w14:textId="15C31E74">
            <w:pPr>
              <w:jc w:val="both"/>
              <w:rPr>
                <w:rFonts w:cs="Arial"/>
                <w:bCs/>
                <w:iCs/>
                <w:sz w:val="22"/>
                <w:szCs w:val="22"/>
              </w:rPr>
            </w:pPr>
            <w:r>
              <w:rPr>
                <w:rFonts w:cs="Arial"/>
                <w:bCs/>
                <w:iCs/>
                <w:sz w:val="22"/>
                <w:szCs w:val="22"/>
              </w:rPr>
              <w:t>Jul 2026: 95%</w:t>
            </w:r>
          </w:p>
        </w:tc>
        <w:tc>
          <w:tcPr>
            <w:tcW w:w="3260" w:type="dxa"/>
            <w:tcBorders>
              <w:top w:val="single" w:color="auto" w:sz="4" w:space="0"/>
              <w:left w:val="single" w:color="auto" w:sz="4" w:space="0"/>
              <w:bottom w:val="single" w:color="auto" w:sz="4" w:space="0"/>
              <w:right w:val="single" w:color="auto" w:sz="4" w:space="0"/>
            </w:tcBorders>
          </w:tcPr>
          <w:p w:rsidRPr="00D80C6C" w:rsidR="00691842" w:rsidP="0039615E" w:rsidRDefault="0039615E" w14:paraId="2F0F0C95" w14:textId="21470141">
            <w:pPr>
              <w:contextualSpacing/>
              <w:rPr>
                <w:rFonts w:cs="Arial"/>
                <w:bCs/>
                <w:iCs/>
                <w:sz w:val="22"/>
                <w:szCs w:val="22"/>
              </w:rPr>
            </w:pPr>
            <w:r>
              <w:rPr>
                <w:rFonts w:cs="Arial"/>
                <w:bCs/>
                <w:iCs/>
                <w:sz w:val="22"/>
                <w:szCs w:val="22"/>
              </w:rPr>
              <w:t xml:space="preserve">Jul 2026: 100% </w:t>
            </w:r>
            <w:r>
              <w:rPr>
                <w:rFonts w:cs="Arial"/>
                <w:bCs/>
                <w:iCs/>
                <w:sz w:val="22"/>
                <w:szCs w:val="22"/>
              </w:rPr>
              <w:br/>
            </w:r>
            <w:r>
              <w:rPr>
                <w:rFonts w:cs="Arial"/>
                <w:bCs/>
                <w:iCs/>
                <w:sz w:val="22"/>
                <w:szCs w:val="22"/>
              </w:rPr>
              <w:br/>
            </w:r>
            <w:r>
              <w:rPr>
                <w:rFonts w:cs="Arial"/>
                <w:bCs/>
                <w:iCs/>
                <w:sz w:val="22"/>
                <w:szCs w:val="22"/>
              </w:rPr>
              <w:t xml:space="preserve">Progress moderately exceeded expectations. </w:t>
            </w:r>
          </w:p>
        </w:tc>
      </w:tr>
    </w:tbl>
    <w:p w:rsidR="4A5578D9" w:rsidP="4A5578D9" w:rsidRDefault="4A5578D9" w14:paraId="049D0E54" w14:textId="4487C8B2">
      <w:pPr>
        <w:rPr>
          <w:sz w:val="22"/>
          <w:szCs w:val="22"/>
        </w:rPr>
      </w:pPr>
    </w:p>
    <w:p w:rsidRPr="00833753" w:rsidR="00422499" w:rsidP="3DFBFE83" w:rsidRDefault="004934DE" w14:paraId="274AA0C1" w14:textId="61B551A7">
      <w:pPr>
        <w:rPr>
          <w:sz w:val="22"/>
          <w:szCs w:val="22"/>
        </w:rPr>
      </w:pPr>
      <w:r w:rsidRPr="3DFBFE83" w:rsidR="764F9D72">
        <w:rPr>
          <w:sz w:val="22"/>
          <w:szCs w:val="22"/>
        </w:rPr>
        <w:t xml:space="preserve">Output 1.2 scored an A overall. </w:t>
      </w:r>
      <w:r w:rsidRPr="3DFBFE83" w:rsidR="64179FB7">
        <w:rPr>
          <w:sz w:val="22"/>
          <w:szCs w:val="22"/>
        </w:rPr>
        <w:t xml:space="preserve">There was a total of </w:t>
      </w:r>
      <w:r w:rsidRPr="3DFBFE83" w:rsidR="15C66BAB">
        <w:rPr>
          <w:sz w:val="22"/>
          <w:szCs w:val="22"/>
        </w:rPr>
        <w:t xml:space="preserve">seven </w:t>
      </w:r>
      <w:r w:rsidRPr="3DFBFE83" w:rsidR="64179FB7">
        <w:rPr>
          <w:sz w:val="22"/>
          <w:szCs w:val="22"/>
        </w:rPr>
        <w:t>DESNZ funded technical assessment</w:t>
      </w:r>
      <w:r w:rsidRPr="3DFBFE83" w:rsidR="3F0A24E5">
        <w:rPr>
          <w:sz w:val="22"/>
          <w:szCs w:val="22"/>
        </w:rPr>
        <w:t xml:space="preserve"> analyses </w:t>
      </w:r>
      <w:r w:rsidRPr="3DFBFE83" w:rsidR="053176E2">
        <w:rPr>
          <w:sz w:val="22"/>
          <w:szCs w:val="22"/>
        </w:rPr>
        <w:t xml:space="preserve">of national/subnational REDD+ Results </w:t>
      </w:r>
      <w:r w:rsidRPr="3DFBFE83" w:rsidR="053176E2">
        <w:rPr>
          <w:sz w:val="22"/>
          <w:szCs w:val="22"/>
        </w:rPr>
        <w:t>submitted</w:t>
      </w:r>
      <w:r w:rsidRPr="3DFBFE83" w:rsidR="053176E2">
        <w:rPr>
          <w:sz w:val="22"/>
          <w:szCs w:val="22"/>
        </w:rPr>
        <w:t xml:space="preserve"> as an Annex to the Biennial Transparency Report (BTR) reviewed within a year of submission</w:t>
      </w:r>
      <w:r w:rsidRPr="3DFBFE83" w:rsidR="053176E2">
        <w:rPr>
          <w:sz w:val="22"/>
          <w:szCs w:val="22"/>
        </w:rPr>
        <w:t xml:space="preserve"> </w:t>
      </w:r>
      <w:r w:rsidRPr="3DFBFE83" w:rsidR="15C66BAB">
        <w:rPr>
          <w:sz w:val="22"/>
          <w:szCs w:val="22"/>
        </w:rPr>
        <w:t xml:space="preserve">which corresponded to seven countries. </w:t>
      </w:r>
      <w:r w:rsidRPr="3DFBFE83" w:rsidR="1AA15BC7">
        <w:rPr>
          <w:sz w:val="22"/>
          <w:szCs w:val="22"/>
        </w:rPr>
        <w:t>Output 1.2B performed well</w:t>
      </w:r>
      <w:r w:rsidRPr="3DFBFE83" w:rsidR="39A02C5B">
        <w:rPr>
          <w:sz w:val="22"/>
          <w:szCs w:val="22"/>
        </w:rPr>
        <w:t xml:space="preserve"> with </w:t>
      </w:r>
      <w:r w:rsidRPr="3DFBFE83" w:rsidR="1AA15BC7">
        <w:rPr>
          <w:sz w:val="22"/>
          <w:szCs w:val="22"/>
        </w:rPr>
        <w:t xml:space="preserve">all technical </w:t>
      </w:r>
      <w:r w:rsidRPr="3DFBFE83" w:rsidR="1AA15BC7">
        <w:rPr>
          <w:sz w:val="22"/>
          <w:szCs w:val="22"/>
        </w:rPr>
        <w:t>analyses of national/subnational REDD+ Results submissions uploaded to the REDD+ Web Platform within a year of review.</w:t>
      </w:r>
      <w:r w:rsidRPr="3DFBFE83" w:rsidR="1AA15BC7">
        <w:rPr>
          <w:sz w:val="22"/>
          <w:szCs w:val="22"/>
        </w:rPr>
        <w:t xml:space="preserve"> </w:t>
      </w:r>
      <w:r w:rsidRPr="3DFBFE83" w:rsidR="7413AE2A">
        <w:rPr>
          <w:sz w:val="22"/>
          <w:szCs w:val="22"/>
        </w:rPr>
        <w:t>Technical assessments</w:t>
      </w:r>
      <w:r w:rsidRPr="3DFBFE83" w:rsidR="4187DFD0">
        <w:rPr>
          <w:sz w:val="22"/>
          <w:szCs w:val="22"/>
        </w:rPr>
        <w:t>/ technical analysis provide important opportunities for direct interaction between experts and REDD+ countries</w:t>
      </w:r>
      <w:r w:rsidRPr="3DFBFE83" w:rsidR="49B72D55">
        <w:rPr>
          <w:sz w:val="22"/>
          <w:szCs w:val="22"/>
        </w:rPr>
        <w:t xml:space="preserve"> which can: a) enhance country’s capacity to report Greenhouse Gas emissions and removals in the forest sector</w:t>
      </w:r>
      <w:r w:rsidRPr="3DFBFE83" w:rsidR="07CA591D">
        <w:rPr>
          <w:sz w:val="22"/>
          <w:szCs w:val="22"/>
        </w:rPr>
        <w:t xml:space="preserve">, helping to build trust and enabling them to track progress towards achieving Nationally Determined Contributions (NDCs); b) </w:t>
      </w:r>
      <w:r w:rsidRPr="3DFBFE83" w:rsidR="39A02C5B">
        <w:rPr>
          <w:sz w:val="22"/>
          <w:szCs w:val="22"/>
        </w:rPr>
        <w:t xml:space="preserve">increase countries’ domestic long-term capacity to </w:t>
      </w:r>
      <w:r w:rsidRPr="3DFBFE83" w:rsidR="7CA45D25">
        <w:rPr>
          <w:sz w:val="22"/>
          <w:szCs w:val="22"/>
        </w:rPr>
        <w:t>g</w:t>
      </w:r>
      <w:r w:rsidRPr="3DFBFE83" w:rsidR="39A02C5B">
        <w:rPr>
          <w:sz w:val="22"/>
          <w:szCs w:val="22"/>
        </w:rPr>
        <w:t xml:space="preserve">ather and analyse data; and c) identify areas of technical improvement and capacity-building needs. </w:t>
      </w:r>
      <w:r w:rsidRPr="3DFBFE83" w:rsidR="3745D044">
        <w:rPr>
          <w:sz w:val="22"/>
          <w:szCs w:val="22"/>
        </w:rPr>
        <w:t xml:space="preserve"> </w:t>
      </w:r>
    </w:p>
    <w:p w:rsidR="004A367B" w:rsidP="004D5FD5" w:rsidRDefault="540C9C38" w14:paraId="345661C3" w14:textId="3D8DA8F0">
      <w:pPr>
        <w:pStyle w:val="Heading2"/>
        <w:jc w:val="both"/>
      </w:pPr>
      <w:bookmarkStart w:name="_Toc1811606127" w:id="53"/>
      <w:r>
        <w:t xml:space="preserve">Output </w:t>
      </w:r>
      <w:r w:rsidR="5654F4CD">
        <w:t>1.</w:t>
      </w:r>
      <w:r>
        <w:t xml:space="preserve">3: </w:t>
      </w:r>
      <w:r w:rsidR="5654F4CD">
        <w:t xml:space="preserve">Upgrading of the </w:t>
      </w:r>
      <w:r w:rsidR="048D72A0">
        <w:t>REDD+ web platform including the discussion forum and the Lima REDD+ Information Hub to increase ease of data sharing, enhance transparency and create a better user experience</w:t>
      </w:r>
      <w:bookmarkEnd w:id="53"/>
    </w:p>
    <w:p w:rsidRPr="00ED5FD4" w:rsidR="00ED5FD4" w:rsidP="00ED5FD4" w:rsidRDefault="00ED5FD4" w14:paraId="23CF0139" w14:textId="77777777"/>
    <w:tbl>
      <w:tblPr>
        <w:tblStyle w:val="TableGrid"/>
        <w:tblW w:w="9072" w:type="dxa"/>
        <w:tblInd w:w="-5" w:type="dxa"/>
        <w:tblLook w:val="04A0" w:firstRow="1" w:lastRow="0" w:firstColumn="1" w:lastColumn="0" w:noHBand="0" w:noVBand="1"/>
      </w:tblPr>
      <w:tblGrid>
        <w:gridCol w:w="1566"/>
        <w:gridCol w:w="616"/>
        <w:gridCol w:w="937"/>
        <w:gridCol w:w="2977"/>
        <w:gridCol w:w="2976"/>
      </w:tblGrid>
      <w:tr w:rsidRPr="00D80C6C" w:rsidR="00ED5FD4" w:rsidTr="1A1FC38A" w14:paraId="343E8A59" w14:textId="77777777">
        <w:trPr>
          <w:trHeight w:val="489"/>
        </w:trPr>
        <w:tc>
          <w:tcPr>
            <w:tcW w:w="1566"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ED5FD4" w:rsidRDefault="00ED5FD4" w14:paraId="7F6358D7" w14:textId="77777777">
            <w:pPr>
              <w:jc w:val="both"/>
              <w:rPr>
                <w:rFonts w:cs="Arial"/>
                <w:b/>
                <w:bCs/>
                <w:sz w:val="22"/>
                <w:szCs w:val="22"/>
              </w:rPr>
            </w:pPr>
            <w:r w:rsidRPr="00D80C6C">
              <w:rPr>
                <w:rFonts w:cs="Arial"/>
                <w:b/>
                <w:bCs/>
                <w:sz w:val="22"/>
                <w:szCs w:val="22"/>
              </w:rPr>
              <w:t xml:space="preserve">Output Title </w:t>
            </w:r>
          </w:p>
        </w:tc>
        <w:tc>
          <w:tcPr>
            <w:tcW w:w="750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ED5FD4" w:rsidR="00ED5FD4" w:rsidRDefault="00CB3E4F" w14:paraId="215425E5" w14:textId="43334462">
            <w:pPr>
              <w:jc w:val="both"/>
              <w:rPr>
                <w:rFonts w:cs="Arial"/>
                <w:bCs/>
                <w:iCs/>
                <w:color w:val="FF0000"/>
                <w:sz w:val="22"/>
                <w:szCs w:val="22"/>
              </w:rPr>
            </w:pPr>
            <w:r w:rsidRPr="00CB3E4F">
              <w:rPr>
                <w:rFonts w:cs="Arial"/>
                <w:bCs/>
                <w:iCs/>
                <w:sz w:val="22"/>
                <w:szCs w:val="22"/>
              </w:rPr>
              <w:t>Upgrading of the REDD+ web platform including the discussion forum and the Lima REDD+ Information Hub to increase ease of data sharing, enhance transparency and create a better user experience</w:t>
            </w:r>
          </w:p>
        </w:tc>
      </w:tr>
      <w:tr w:rsidRPr="00D80C6C" w:rsidR="00ED5FD4" w:rsidTr="1A1FC38A" w14:paraId="0D129A7F" w14:textId="77777777">
        <w:trPr>
          <w:trHeight w:val="347"/>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ED5FD4" w:rsidRDefault="00ED5FD4" w14:paraId="5E4E4F19" w14:textId="77777777">
            <w:pPr>
              <w:jc w:val="both"/>
              <w:rPr>
                <w:rFonts w:cs="Arial"/>
                <w:bCs/>
                <w:sz w:val="22"/>
                <w:szCs w:val="22"/>
              </w:rPr>
            </w:pPr>
            <w:r w:rsidRPr="00D80C6C">
              <w:rPr>
                <w:rFonts w:cs="Arial"/>
                <w:bCs/>
                <w:sz w:val="22"/>
                <w:szCs w:val="22"/>
              </w:rPr>
              <w:t xml:space="preserve">Output number: </w:t>
            </w:r>
          </w:p>
        </w:tc>
        <w:tc>
          <w:tcPr>
            <w:tcW w:w="937" w:type="dxa"/>
            <w:tcBorders>
              <w:top w:val="single" w:color="auto" w:sz="4" w:space="0"/>
              <w:left w:val="single" w:color="auto" w:sz="4" w:space="0"/>
              <w:bottom w:val="single" w:color="auto" w:sz="4" w:space="0"/>
              <w:right w:val="single" w:color="auto" w:sz="4" w:space="0"/>
            </w:tcBorders>
          </w:tcPr>
          <w:p w:rsidRPr="00D80C6C" w:rsidR="00ED5FD4" w:rsidRDefault="00CB3E4F" w14:paraId="7D3D58F5" w14:textId="55D2367B">
            <w:pPr>
              <w:jc w:val="both"/>
              <w:rPr>
                <w:rFonts w:cs="Arial"/>
                <w:sz w:val="22"/>
                <w:szCs w:val="22"/>
              </w:rPr>
            </w:pPr>
            <w:r>
              <w:rPr>
                <w:rFonts w:cs="Arial"/>
                <w:sz w:val="22"/>
                <w:szCs w:val="22"/>
              </w:rPr>
              <w:t>1.3</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ED5FD4" w:rsidRDefault="00ED5FD4" w14:paraId="358A97E8" w14:textId="77777777">
            <w:pPr>
              <w:jc w:val="both"/>
              <w:rPr>
                <w:rFonts w:cs="Arial"/>
                <w:sz w:val="22"/>
                <w:szCs w:val="22"/>
              </w:rPr>
            </w:pPr>
            <w:r w:rsidRPr="00D80C6C">
              <w:rPr>
                <w:rFonts w:cs="Arial"/>
                <w:bCs/>
                <w:sz w:val="22"/>
                <w:szCs w:val="22"/>
              </w:rPr>
              <w:t xml:space="preserve">Output Score: </w:t>
            </w:r>
          </w:p>
        </w:tc>
        <w:tc>
          <w:tcPr>
            <w:tcW w:w="2976" w:type="dxa"/>
            <w:tcBorders>
              <w:top w:val="single" w:color="auto" w:sz="4" w:space="0"/>
              <w:left w:val="single" w:color="auto" w:sz="4" w:space="0"/>
              <w:bottom w:val="single" w:color="auto" w:sz="4" w:space="0"/>
              <w:right w:val="single" w:color="auto" w:sz="4" w:space="0"/>
            </w:tcBorders>
          </w:tcPr>
          <w:p w:rsidRPr="00DB3B57" w:rsidR="00ED5FD4" w:rsidP="5D30DE44" w:rsidRDefault="2F6C8CB8" w14:paraId="20F25E26" w14:textId="04774FA4">
            <w:pPr>
              <w:jc w:val="both"/>
              <w:rPr>
                <w:rFonts w:cs="Arial"/>
                <w:sz w:val="22"/>
                <w:szCs w:val="22"/>
              </w:rPr>
            </w:pPr>
            <w:r w:rsidRPr="5D30DE44">
              <w:rPr>
                <w:rFonts w:cs="Arial"/>
                <w:sz w:val="22"/>
                <w:szCs w:val="22"/>
              </w:rPr>
              <w:t>A</w:t>
            </w:r>
          </w:p>
        </w:tc>
      </w:tr>
      <w:tr w:rsidRPr="00D80C6C" w:rsidR="00ED5FD4" w:rsidTr="1A1FC38A" w14:paraId="71D6D4AA"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ED5FD4" w:rsidRDefault="00ED5FD4" w14:paraId="1DBDA094" w14:textId="77777777">
            <w:pPr>
              <w:jc w:val="both"/>
              <w:rPr>
                <w:rFonts w:cs="Arial"/>
                <w:sz w:val="22"/>
                <w:szCs w:val="22"/>
              </w:rPr>
            </w:pPr>
            <w:r w:rsidRPr="00D80C6C">
              <w:rPr>
                <w:rFonts w:cs="Arial"/>
                <w:bCs/>
                <w:sz w:val="22"/>
                <w:szCs w:val="22"/>
              </w:rPr>
              <w:t xml:space="preserve">Impact weighting (%):  </w:t>
            </w:r>
          </w:p>
        </w:tc>
        <w:tc>
          <w:tcPr>
            <w:tcW w:w="937" w:type="dxa"/>
            <w:tcBorders>
              <w:top w:val="single" w:color="auto" w:sz="4" w:space="0"/>
              <w:left w:val="single" w:color="auto" w:sz="4" w:space="0"/>
              <w:bottom w:val="single" w:color="auto" w:sz="4" w:space="0"/>
              <w:right w:val="single" w:color="auto" w:sz="4" w:space="0"/>
            </w:tcBorders>
            <w:hideMark/>
          </w:tcPr>
          <w:p w:rsidRPr="00D80C6C" w:rsidR="00ED5FD4" w:rsidRDefault="00CB3E4F" w14:paraId="0EC60837" w14:textId="518CE77D">
            <w:pPr>
              <w:jc w:val="both"/>
              <w:rPr>
                <w:rFonts w:cs="Arial"/>
                <w:bCs/>
                <w:sz w:val="22"/>
                <w:szCs w:val="22"/>
              </w:rPr>
            </w:pPr>
            <w:r>
              <w:rPr>
                <w:rFonts w:cs="Arial"/>
                <w:bCs/>
                <w:sz w:val="22"/>
                <w:szCs w:val="22"/>
              </w:rPr>
              <w:t>15%</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ED5FD4" w:rsidRDefault="00ED5FD4" w14:paraId="5E35CD2B" w14:textId="77777777">
            <w:pPr>
              <w:jc w:val="both"/>
              <w:rPr>
                <w:rFonts w:cs="Arial"/>
                <w:bCs/>
                <w:sz w:val="22"/>
                <w:szCs w:val="22"/>
              </w:rPr>
            </w:pPr>
            <w:r w:rsidRPr="00D80C6C">
              <w:rPr>
                <w:rFonts w:cs="Arial"/>
                <w:bCs/>
                <w:sz w:val="22"/>
                <w:szCs w:val="22"/>
              </w:rPr>
              <w:t xml:space="preserve">Weighting revised since last AR? </w:t>
            </w:r>
          </w:p>
        </w:tc>
        <w:tc>
          <w:tcPr>
            <w:tcW w:w="2976" w:type="dxa"/>
            <w:tcBorders>
              <w:top w:val="single" w:color="auto" w:sz="4" w:space="0"/>
              <w:left w:val="single" w:color="auto" w:sz="4" w:space="0"/>
              <w:bottom w:val="single" w:color="auto" w:sz="4" w:space="0"/>
              <w:right w:val="single" w:color="auto" w:sz="4" w:space="0"/>
            </w:tcBorders>
          </w:tcPr>
          <w:p w:rsidRPr="00D80C6C" w:rsidR="00ED5FD4" w:rsidRDefault="00CB3E4F" w14:paraId="510CC462" w14:textId="1AFBB700">
            <w:pPr>
              <w:jc w:val="both"/>
              <w:rPr>
                <w:rFonts w:cs="Arial"/>
                <w:bCs/>
                <w:sz w:val="22"/>
                <w:szCs w:val="22"/>
              </w:rPr>
            </w:pPr>
            <w:r>
              <w:rPr>
                <w:rFonts w:cs="Arial"/>
                <w:bCs/>
                <w:sz w:val="22"/>
                <w:szCs w:val="22"/>
              </w:rPr>
              <w:t>N/A</w:t>
            </w:r>
          </w:p>
        </w:tc>
      </w:tr>
      <w:tr w:rsidRPr="00D80C6C" w:rsidR="00ED5FD4" w:rsidTr="1A1FC38A" w14:paraId="13EB579E"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ED5FD4" w:rsidRDefault="00ED5FD4" w14:paraId="59A981A1" w14:textId="44967B89">
            <w:pPr>
              <w:jc w:val="both"/>
              <w:rPr>
                <w:rFonts w:cs="Arial"/>
                <w:bCs/>
                <w:sz w:val="22"/>
                <w:szCs w:val="22"/>
              </w:rPr>
            </w:pPr>
            <w:r w:rsidRPr="00D80C6C">
              <w:rPr>
                <w:rFonts w:cs="Arial"/>
                <w:bCs/>
                <w:sz w:val="22"/>
                <w:szCs w:val="22"/>
              </w:rPr>
              <w:t>Risk rating</w:t>
            </w:r>
            <w:r w:rsidR="00DB3B57">
              <w:rPr>
                <w:rFonts w:cs="Arial"/>
                <w:bCs/>
                <w:sz w:val="22"/>
                <w:szCs w:val="22"/>
              </w:rPr>
              <w:t>:</w:t>
            </w:r>
          </w:p>
        </w:tc>
        <w:tc>
          <w:tcPr>
            <w:tcW w:w="937" w:type="dxa"/>
            <w:tcBorders>
              <w:top w:val="single" w:color="auto" w:sz="4" w:space="0"/>
              <w:left w:val="single" w:color="auto" w:sz="4" w:space="0"/>
              <w:bottom w:val="single" w:color="auto" w:sz="4" w:space="0"/>
              <w:right w:val="single" w:color="auto" w:sz="4" w:space="0"/>
            </w:tcBorders>
          </w:tcPr>
          <w:p w:rsidRPr="00D80C6C" w:rsidR="00ED5FD4" w:rsidRDefault="2D43238C" w14:paraId="56DEF1B3" w14:textId="632148D8">
            <w:pPr>
              <w:jc w:val="both"/>
            </w:pPr>
            <w:r w:rsidRPr="1A1FC38A">
              <w:rPr>
                <w:rFonts w:cs="Arial"/>
                <w:sz w:val="22"/>
                <w:szCs w:val="22"/>
              </w:rPr>
              <w:t>Minor</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ED5FD4" w:rsidRDefault="00ED5FD4" w14:paraId="41EB55AA" w14:textId="77777777">
            <w:pPr>
              <w:jc w:val="both"/>
              <w:rPr>
                <w:rFonts w:cs="Arial"/>
                <w:bCs/>
                <w:sz w:val="22"/>
                <w:szCs w:val="22"/>
              </w:rPr>
            </w:pPr>
            <w:r w:rsidRPr="00D80C6C">
              <w:rPr>
                <w:rFonts w:cs="Arial"/>
                <w:bCs/>
                <w:sz w:val="22"/>
                <w:szCs w:val="22"/>
              </w:rPr>
              <w:t>Risk revised since last AR?</w:t>
            </w:r>
          </w:p>
        </w:tc>
        <w:tc>
          <w:tcPr>
            <w:tcW w:w="2976" w:type="dxa"/>
            <w:tcBorders>
              <w:top w:val="single" w:color="auto" w:sz="4" w:space="0"/>
              <w:left w:val="single" w:color="auto" w:sz="4" w:space="0"/>
              <w:bottom w:val="single" w:color="auto" w:sz="4" w:space="0"/>
              <w:right w:val="single" w:color="auto" w:sz="4" w:space="0"/>
            </w:tcBorders>
          </w:tcPr>
          <w:p w:rsidRPr="00D80C6C" w:rsidR="00ED5FD4" w:rsidRDefault="00B3754B" w14:paraId="7C423B56" w14:textId="6F9677BB">
            <w:pPr>
              <w:jc w:val="both"/>
              <w:rPr>
                <w:rFonts w:cs="Arial"/>
                <w:bCs/>
                <w:sz w:val="22"/>
                <w:szCs w:val="22"/>
              </w:rPr>
            </w:pPr>
            <w:r>
              <w:rPr>
                <w:rFonts w:cs="Arial"/>
                <w:bCs/>
                <w:sz w:val="22"/>
                <w:szCs w:val="22"/>
              </w:rPr>
              <w:t>N/A</w:t>
            </w:r>
          </w:p>
        </w:tc>
      </w:tr>
    </w:tbl>
    <w:p w:rsidRPr="00D80C6C" w:rsidR="00CB0677" w:rsidP="00ED5FD4" w:rsidRDefault="00CB0677" w14:paraId="468D082A" w14:textId="77777777">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3008"/>
        <w:gridCol w:w="2657"/>
        <w:gridCol w:w="3402"/>
      </w:tblGrid>
      <w:tr w:rsidRPr="00D80C6C" w:rsidR="00ED5FD4" w:rsidTr="352FA995" w14:paraId="1DCF0917" w14:textId="77777777">
        <w:trPr>
          <w:trHeight w:val="273"/>
        </w:trPr>
        <w:tc>
          <w:tcPr>
            <w:tcW w:w="3008"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ED5FD4" w:rsidRDefault="00ED5FD4" w14:paraId="2B7EFCD7" w14:textId="77777777">
            <w:pPr>
              <w:jc w:val="both"/>
              <w:rPr>
                <w:rFonts w:cs="Arial"/>
                <w:b/>
                <w:bCs/>
                <w:sz w:val="22"/>
                <w:szCs w:val="22"/>
              </w:rPr>
            </w:pPr>
            <w:r w:rsidRPr="00D80C6C">
              <w:rPr>
                <w:rFonts w:cs="Arial"/>
                <w:b/>
                <w:bCs/>
                <w:sz w:val="22"/>
                <w:szCs w:val="22"/>
              </w:rPr>
              <w:t>Indicator(s)</w:t>
            </w:r>
          </w:p>
        </w:tc>
        <w:tc>
          <w:tcPr>
            <w:tcW w:w="2657"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ED5FD4" w:rsidRDefault="00ED5FD4" w14:paraId="41B685D1" w14:textId="77777777">
            <w:pPr>
              <w:jc w:val="both"/>
              <w:rPr>
                <w:rFonts w:cs="Arial"/>
                <w:b/>
                <w:bCs/>
                <w:sz w:val="22"/>
                <w:szCs w:val="22"/>
              </w:rPr>
            </w:pPr>
            <w:r w:rsidRPr="00D80C6C">
              <w:rPr>
                <w:rFonts w:cs="Arial"/>
                <w:b/>
                <w:bCs/>
                <w:sz w:val="22"/>
                <w:szCs w:val="22"/>
              </w:rPr>
              <w:t>Milestone(s) for this review</w:t>
            </w:r>
          </w:p>
        </w:tc>
        <w:tc>
          <w:tcPr>
            <w:tcW w:w="3402"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ED5FD4" w:rsidRDefault="00ED5FD4" w14:paraId="1238883B" w14:textId="77777777">
            <w:pPr>
              <w:jc w:val="both"/>
              <w:rPr>
                <w:rFonts w:cs="Arial"/>
                <w:b/>
                <w:bCs/>
                <w:sz w:val="22"/>
                <w:szCs w:val="22"/>
              </w:rPr>
            </w:pPr>
            <w:r w:rsidRPr="00D80C6C">
              <w:rPr>
                <w:rFonts w:cs="Arial"/>
                <w:b/>
                <w:bCs/>
                <w:sz w:val="22"/>
                <w:szCs w:val="22"/>
              </w:rPr>
              <w:t xml:space="preserve">Progress </w:t>
            </w:r>
          </w:p>
        </w:tc>
      </w:tr>
      <w:tr w:rsidRPr="00D80C6C" w:rsidR="00ED5FD4" w:rsidTr="352FA995" w14:paraId="0D9D6326" w14:textId="77777777">
        <w:tc>
          <w:tcPr>
            <w:tcW w:w="3008" w:type="dxa"/>
            <w:tcBorders>
              <w:top w:val="single" w:color="auto" w:sz="4" w:space="0"/>
              <w:left w:val="single" w:color="auto" w:sz="4" w:space="0"/>
              <w:bottom w:val="single" w:color="auto" w:sz="4" w:space="0"/>
              <w:right w:val="single" w:color="auto" w:sz="4" w:space="0"/>
            </w:tcBorders>
            <w:tcMar/>
          </w:tcPr>
          <w:p w:rsidRPr="00D80C6C" w:rsidR="00ED5FD4" w:rsidP="00DE778A" w:rsidRDefault="00CE2B12" w14:paraId="2A9C800A" w14:textId="77278ADE">
            <w:pPr>
              <w:rPr>
                <w:rFonts w:cs="Arial"/>
                <w:bCs/>
                <w:iCs/>
                <w:sz w:val="22"/>
                <w:szCs w:val="22"/>
              </w:rPr>
            </w:pPr>
            <w:r>
              <w:rPr>
                <w:rFonts w:cs="Arial"/>
                <w:bCs/>
                <w:iCs/>
                <w:sz w:val="22"/>
                <w:szCs w:val="22"/>
              </w:rPr>
              <w:t xml:space="preserve">1.3A: </w:t>
            </w:r>
            <w:r w:rsidR="00DE778A">
              <w:t xml:space="preserve"> </w:t>
            </w:r>
            <w:r w:rsidRPr="00DE778A" w:rsidR="00DE778A">
              <w:rPr>
                <w:rFonts w:cs="Arial"/>
                <w:bCs/>
                <w:iCs/>
                <w:sz w:val="22"/>
                <w:szCs w:val="22"/>
              </w:rPr>
              <w:t>Proportion (in %) of planned updates/changes to the REDD+ web platform including the discussion forum and the Lima REDD+ Information Hub that have been completed and demonstrated (cumulative)</w:t>
            </w:r>
          </w:p>
        </w:tc>
        <w:tc>
          <w:tcPr>
            <w:tcW w:w="2657" w:type="dxa"/>
            <w:tcBorders>
              <w:top w:val="single" w:color="auto" w:sz="4" w:space="0"/>
              <w:left w:val="single" w:color="auto" w:sz="4" w:space="0"/>
              <w:bottom w:val="single" w:color="auto" w:sz="4" w:space="0"/>
              <w:right w:val="single" w:color="auto" w:sz="4" w:space="0"/>
            </w:tcBorders>
            <w:tcMar/>
          </w:tcPr>
          <w:p w:rsidRPr="00D80C6C" w:rsidR="00ED5FD4" w:rsidRDefault="00DE778A" w14:paraId="50E8BA73" w14:textId="0EDB2C8B">
            <w:pPr>
              <w:jc w:val="both"/>
              <w:rPr>
                <w:rFonts w:cs="Arial"/>
                <w:bCs/>
                <w:iCs/>
                <w:sz w:val="22"/>
                <w:szCs w:val="22"/>
              </w:rPr>
            </w:pPr>
            <w:r>
              <w:rPr>
                <w:rFonts w:cs="Arial"/>
                <w:bCs/>
                <w:iCs/>
                <w:sz w:val="22"/>
                <w:szCs w:val="22"/>
              </w:rPr>
              <w:t xml:space="preserve">Jul 2026: </w:t>
            </w:r>
            <w:r w:rsidR="009E0269">
              <w:rPr>
                <w:rFonts w:cs="Arial"/>
                <w:bCs/>
                <w:iCs/>
                <w:sz w:val="22"/>
                <w:szCs w:val="22"/>
              </w:rPr>
              <w:t>100%</w:t>
            </w:r>
          </w:p>
        </w:tc>
        <w:tc>
          <w:tcPr>
            <w:tcW w:w="3402" w:type="dxa"/>
            <w:tcBorders>
              <w:top w:val="single" w:color="auto" w:sz="4" w:space="0"/>
              <w:left w:val="single" w:color="auto" w:sz="4" w:space="0"/>
              <w:bottom w:val="single" w:color="auto" w:sz="4" w:space="0"/>
              <w:right w:val="single" w:color="auto" w:sz="4" w:space="0"/>
            </w:tcBorders>
            <w:tcMar/>
          </w:tcPr>
          <w:p w:rsidRPr="00D80C6C" w:rsidR="00ED5FD4" w:rsidP="009E0269" w:rsidRDefault="009E0269" w14:paraId="0B45BE2C" w14:textId="5090BDDD">
            <w:pPr>
              <w:contextualSpacing/>
              <w:rPr>
                <w:rFonts w:cs="Arial"/>
                <w:bCs/>
                <w:iCs/>
                <w:sz w:val="22"/>
                <w:szCs w:val="22"/>
              </w:rPr>
            </w:pPr>
            <w:r>
              <w:rPr>
                <w:rFonts w:cs="Arial"/>
                <w:bCs/>
                <w:iCs/>
                <w:sz w:val="22"/>
                <w:szCs w:val="22"/>
              </w:rPr>
              <w:t xml:space="preserve">Jul 2026: 100% </w:t>
            </w:r>
            <w:r>
              <w:rPr>
                <w:rFonts w:cs="Arial"/>
                <w:bCs/>
                <w:iCs/>
                <w:sz w:val="22"/>
                <w:szCs w:val="22"/>
              </w:rPr>
              <w:br/>
            </w:r>
            <w:r>
              <w:rPr>
                <w:rFonts w:cs="Arial"/>
                <w:bCs/>
                <w:iCs/>
                <w:sz w:val="22"/>
                <w:szCs w:val="22"/>
              </w:rPr>
              <w:br/>
            </w:r>
            <w:r>
              <w:rPr>
                <w:rFonts w:cs="Arial"/>
                <w:bCs/>
                <w:iCs/>
                <w:sz w:val="22"/>
                <w:szCs w:val="22"/>
              </w:rPr>
              <w:t xml:space="preserve">Progress met expectations </w:t>
            </w:r>
          </w:p>
        </w:tc>
      </w:tr>
      <w:tr w:rsidRPr="00D80C6C" w:rsidR="00ED5FD4" w:rsidTr="352FA995" w14:paraId="1F90D51E" w14:textId="77777777">
        <w:tc>
          <w:tcPr>
            <w:tcW w:w="3008" w:type="dxa"/>
            <w:tcBorders>
              <w:top w:val="single" w:color="auto" w:sz="4" w:space="0"/>
              <w:left w:val="single" w:color="auto" w:sz="4" w:space="0"/>
              <w:bottom w:val="single" w:color="auto" w:sz="4" w:space="0"/>
              <w:right w:val="single" w:color="auto" w:sz="4" w:space="0"/>
            </w:tcBorders>
            <w:tcMar/>
          </w:tcPr>
          <w:p w:rsidRPr="00D80C6C" w:rsidR="00ED5FD4" w:rsidP="2FCB4038" w:rsidRDefault="00602EA6" w14:paraId="69F14F04" w14:textId="66F7EC28">
            <w:pPr>
              <w:rPr>
                <w:rFonts w:cs="Arial"/>
                <w:sz w:val="22"/>
                <w:szCs w:val="22"/>
              </w:rPr>
            </w:pPr>
            <w:r w:rsidRPr="2FCB4038" w:rsidR="00602EA6">
              <w:rPr>
                <w:rFonts w:cs="Arial"/>
                <w:sz w:val="22"/>
                <w:szCs w:val="22"/>
              </w:rPr>
              <w:t xml:space="preserve">1.3B: </w:t>
            </w:r>
            <w:r w:rsidR="00051F98">
              <w:rPr/>
              <w:t xml:space="preserve"> </w:t>
            </w:r>
            <w:r w:rsidRPr="2FCB4038" w:rsidR="00051F98">
              <w:rPr>
                <w:rFonts w:cs="Arial"/>
                <w:sz w:val="22"/>
                <w:szCs w:val="22"/>
              </w:rPr>
              <w:t>Assessment of the extent to which upgrades to the REDD+ website has improved the ease of data sharing, transparency of REDD+ reporting and user experience of forest countries.</w:t>
            </w:r>
            <w:r w:rsidRPr="2FCB4038">
              <w:rPr>
                <w:rStyle w:val="FootnoteReference"/>
                <w:rFonts w:cs="Arial"/>
                <w:sz w:val="22"/>
                <w:szCs w:val="22"/>
              </w:rPr>
              <w:footnoteReference w:id="2"/>
            </w:r>
          </w:p>
        </w:tc>
        <w:tc>
          <w:tcPr>
            <w:tcW w:w="2657" w:type="dxa"/>
            <w:tcBorders>
              <w:top w:val="single" w:color="auto" w:sz="4" w:space="0"/>
              <w:left w:val="single" w:color="auto" w:sz="4" w:space="0"/>
              <w:bottom w:val="single" w:color="auto" w:sz="4" w:space="0"/>
              <w:right w:val="single" w:color="auto" w:sz="4" w:space="0"/>
            </w:tcBorders>
            <w:tcMar/>
          </w:tcPr>
          <w:p w:rsidRPr="00D80C6C" w:rsidR="00ED5FD4" w:rsidP="094A1CDC" w:rsidRDefault="00051F98" w14:paraId="69713EB7" w14:textId="7F653AE7">
            <w:pPr>
              <w:jc w:val="both"/>
              <w:rPr>
                <w:rFonts w:cs="Arial"/>
                <w:sz w:val="22"/>
                <w:szCs w:val="22"/>
              </w:rPr>
            </w:pPr>
            <w:r w:rsidRPr="094A1CDC">
              <w:rPr>
                <w:rFonts w:cs="Arial"/>
                <w:sz w:val="22"/>
                <w:szCs w:val="22"/>
              </w:rPr>
              <w:t>Jul 2026</w:t>
            </w:r>
            <w:r w:rsidRPr="094A1CDC" w:rsidR="007933E7">
              <w:rPr>
                <w:rFonts w:cs="Arial"/>
                <w:sz w:val="22"/>
                <w:szCs w:val="22"/>
              </w:rPr>
              <w:t>: 2</w:t>
            </w:r>
            <w:r w:rsidRPr="094A1CDC" w:rsidR="4E32113D">
              <w:rPr>
                <w:rFonts w:cs="Arial"/>
                <w:sz w:val="22"/>
                <w:szCs w:val="22"/>
              </w:rPr>
              <w:t xml:space="preserve"> (limited) </w:t>
            </w:r>
          </w:p>
        </w:tc>
        <w:tc>
          <w:tcPr>
            <w:tcW w:w="3402" w:type="dxa"/>
            <w:tcBorders>
              <w:top w:val="single" w:color="auto" w:sz="4" w:space="0"/>
              <w:left w:val="single" w:color="auto" w:sz="4" w:space="0"/>
              <w:bottom w:val="single" w:color="auto" w:sz="4" w:space="0"/>
              <w:right w:val="single" w:color="auto" w:sz="4" w:space="0"/>
            </w:tcBorders>
            <w:tcMar/>
          </w:tcPr>
          <w:p w:rsidRPr="00D80C6C" w:rsidR="00ED5FD4" w:rsidP="352FA995" w:rsidRDefault="00051F98" w14:paraId="387FF2C2" w14:textId="2FE25C85">
            <w:pPr>
              <w:spacing/>
              <w:contextualSpacing w:val="1"/>
              <w:jc w:val="both"/>
            </w:pPr>
            <w:r w:rsidRPr="352FA995" w:rsidR="00051F98">
              <w:rPr>
                <w:rFonts w:cs="Arial"/>
                <w:sz w:val="22"/>
                <w:szCs w:val="22"/>
              </w:rPr>
              <w:t>Jul 2026</w:t>
            </w:r>
            <w:r w:rsidRPr="352FA995" w:rsidR="007933E7">
              <w:rPr>
                <w:rFonts w:cs="Arial"/>
                <w:sz w:val="22"/>
                <w:szCs w:val="22"/>
              </w:rPr>
              <w:t xml:space="preserve">: </w:t>
            </w:r>
            <w:r w:rsidRPr="352FA995" w:rsidR="0A071CD9">
              <w:rPr>
                <w:rFonts w:cs="Arial"/>
                <w:sz w:val="22"/>
                <w:szCs w:val="22"/>
              </w:rPr>
              <w:t>3</w:t>
            </w:r>
            <w:r w:rsidRPr="352FA995" w:rsidR="34A2BDEB">
              <w:rPr>
                <w:rFonts w:cs="Arial"/>
                <w:sz w:val="22"/>
                <w:szCs w:val="22"/>
              </w:rPr>
              <w:t xml:space="preserve"> (satisfactory)</w:t>
            </w:r>
            <w:r>
              <w:br/>
            </w:r>
            <w:r>
              <w:br/>
            </w:r>
            <w:r w:rsidRPr="352FA995" w:rsidR="632585CA">
              <w:rPr>
                <w:rFonts w:cs="Arial"/>
                <w:sz w:val="22"/>
                <w:szCs w:val="22"/>
              </w:rPr>
              <w:t xml:space="preserve">Progress moderately exceeded expectations </w:t>
            </w:r>
          </w:p>
        </w:tc>
      </w:tr>
    </w:tbl>
    <w:p w:rsidR="004A367B" w:rsidP="004D5FD5" w:rsidRDefault="004A367B" w14:paraId="2EFE3995" w14:textId="77777777">
      <w:pPr>
        <w:jc w:val="both"/>
        <w:rPr>
          <w:rFonts w:cs="Arial"/>
          <w:sz w:val="22"/>
          <w:szCs w:val="22"/>
        </w:rPr>
      </w:pPr>
    </w:p>
    <w:p w:rsidR="243AD924" w:rsidP="48612F5D" w:rsidRDefault="718C68B9" w14:paraId="7C7CA1BA" w14:textId="189DB60B">
      <w:pPr>
        <w:jc w:val="both"/>
      </w:pPr>
      <w:r w:rsidRPr="6E40514A">
        <w:rPr>
          <w:rFonts w:cs="Arial"/>
          <w:sz w:val="22"/>
          <w:szCs w:val="22"/>
        </w:rPr>
        <w:t xml:space="preserve">Output 1.3 </w:t>
      </w:r>
      <w:r w:rsidRPr="6E40514A" w:rsidR="6BBC16B3">
        <w:rPr>
          <w:rFonts w:cs="Arial"/>
          <w:sz w:val="22"/>
          <w:szCs w:val="22"/>
        </w:rPr>
        <w:t>is centred around upgrades to the REDD+ Web Platform</w:t>
      </w:r>
      <w:r w:rsidRPr="6E40514A" w:rsidR="6044FEFE">
        <w:rPr>
          <w:rFonts w:cs="Arial"/>
          <w:sz w:val="22"/>
          <w:szCs w:val="22"/>
        </w:rPr>
        <w:t xml:space="preserve"> (including the discussion forum and Lima REDD+ Information Hub)</w:t>
      </w:r>
      <w:r w:rsidRPr="6E40514A" w:rsidR="6BBC16B3">
        <w:rPr>
          <w:rFonts w:cs="Arial"/>
          <w:sz w:val="22"/>
          <w:szCs w:val="22"/>
        </w:rPr>
        <w:t xml:space="preserve"> to increase ease of use, transparency and data sharing.  The REDD+ Web Platform was</w:t>
      </w:r>
      <w:r w:rsidRPr="6E40514A" w:rsidR="75AB4AB0">
        <w:rPr>
          <w:rFonts w:cs="Arial"/>
          <w:sz w:val="22"/>
          <w:szCs w:val="22"/>
        </w:rPr>
        <w:t xml:space="preserve"> originally launched after COP 13 </w:t>
      </w:r>
      <w:r w:rsidRPr="6E40514A" w:rsidR="7DA94344">
        <w:rPr>
          <w:rFonts w:cs="Arial"/>
          <w:sz w:val="22"/>
          <w:szCs w:val="22"/>
        </w:rPr>
        <w:t>in December 2007, a</w:t>
      </w:r>
      <w:r w:rsidRPr="6E40514A" w:rsidR="38C3876C">
        <w:rPr>
          <w:rFonts w:cs="Arial"/>
          <w:sz w:val="22"/>
          <w:szCs w:val="22"/>
        </w:rPr>
        <w:t>nd was established with the purpose of making information on the outcomes of activities relating to REDD+ available, i</w:t>
      </w:r>
      <w:r w:rsidRPr="6E40514A" w:rsidR="7F35A2EB">
        <w:rPr>
          <w:rFonts w:cs="Arial"/>
          <w:sz w:val="22"/>
          <w:szCs w:val="22"/>
        </w:rPr>
        <w:t xml:space="preserve">ncluding activities on capacity building, demonstration </w:t>
      </w:r>
      <w:r w:rsidRPr="6E40514A" w:rsidR="7E6F3220">
        <w:rPr>
          <w:rFonts w:cs="Arial"/>
          <w:sz w:val="22"/>
          <w:szCs w:val="22"/>
        </w:rPr>
        <w:t>activities</w:t>
      </w:r>
      <w:r w:rsidRPr="6E40514A" w:rsidR="7F35A2EB">
        <w:rPr>
          <w:rFonts w:cs="Arial"/>
          <w:sz w:val="22"/>
          <w:szCs w:val="22"/>
        </w:rPr>
        <w:t xml:space="preserve">, addressing drivers of deforestation and mobilisation of resources. </w:t>
      </w:r>
      <w:r w:rsidRPr="6E40514A" w:rsidR="43446704">
        <w:rPr>
          <w:rFonts w:cs="Arial"/>
          <w:sz w:val="22"/>
          <w:szCs w:val="22"/>
        </w:rPr>
        <w:t>In decision 9/CP.19 the COP decided to establish the Lima REDD+ Information Hub on the REDD+ Web Platform as a means to publish information on the results of REDD+ activities, and corresponding results-based payments. The Lima REDD+ Information Hub aims to increase transparency of information on REDD+ results-based actions.</w:t>
      </w:r>
      <w:r w:rsidRPr="6E40514A" w:rsidR="3E55A927">
        <w:rPr>
          <w:rFonts w:cs="Arial"/>
          <w:sz w:val="22"/>
          <w:szCs w:val="22"/>
        </w:rPr>
        <w:t xml:space="preserve"> However, upgrades were needed to the REDD+ Web Platform to increase its overall useability and ensure it was fit-for-purpose for user needs. </w:t>
      </w:r>
      <w:r w:rsidRPr="6E40514A" w:rsidR="5AF8B39A">
        <w:rPr>
          <w:rFonts w:cs="Arial"/>
          <w:sz w:val="22"/>
          <w:szCs w:val="22"/>
        </w:rPr>
        <w:t>Major improvements included the introduction of a responsive design, a new interactive global map, a four-leaf clover with badge icon illustrating each country’s progress towards eligibility for results-based payments, a dedicated NEWS page, and enhanced filtering and data export functions on the Lima Information Hub page.</w:t>
      </w:r>
    </w:p>
    <w:p w:rsidR="243AD924" w:rsidP="2A7EEEEA" w:rsidRDefault="243AD924" w14:paraId="327F1014" w14:textId="3AFC3142">
      <w:pPr>
        <w:jc w:val="both"/>
        <w:rPr>
          <w:rFonts w:cs="Arial"/>
          <w:sz w:val="22"/>
          <w:szCs w:val="22"/>
        </w:rPr>
      </w:pPr>
    </w:p>
    <w:p w:rsidR="00CE2B12" w:rsidP="37468BBD" w:rsidRDefault="3E55A927" w14:paraId="74ECA3AD" w14:textId="4432716F">
      <w:pPr>
        <w:jc w:val="both"/>
        <w:rPr>
          <w:rFonts w:cs="Arial"/>
          <w:sz w:val="22"/>
          <w:szCs w:val="22"/>
        </w:rPr>
      </w:pPr>
      <w:r w:rsidRPr="352FA995" w:rsidR="6FF8BF4D">
        <w:rPr>
          <w:rFonts w:cs="Arial"/>
          <w:sz w:val="22"/>
          <w:szCs w:val="22"/>
        </w:rPr>
        <w:t xml:space="preserve">This output </w:t>
      </w:r>
      <w:r w:rsidRPr="352FA995" w:rsidR="2B23C4CB">
        <w:rPr>
          <w:rFonts w:cs="Arial"/>
          <w:sz w:val="22"/>
          <w:szCs w:val="22"/>
        </w:rPr>
        <w:t xml:space="preserve">scored an A overall, with Output Indicator 1.3A meeting expectations and Output Indicator 1.3B moderately exceeding expectations. According to a survey conducted by the delivery partner, over </w:t>
      </w:r>
      <w:r w:rsidRPr="352FA995" w:rsidR="2B23C4CB">
        <w:rPr>
          <w:rFonts w:cs="Arial"/>
          <w:sz w:val="22"/>
          <w:szCs w:val="22"/>
        </w:rPr>
        <w:t>71% respondents</w:t>
      </w:r>
      <w:r w:rsidRPr="352FA995" w:rsidR="2B23C4CB">
        <w:rPr>
          <w:rFonts w:cs="Arial"/>
          <w:sz w:val="22"/>
          <w:szCs w:val="22"/>
        </w:rPr>
        <w:t xml:space="preserve"> </w:t>
      </w:r>
      <w:r w:rsidRPr="352FA995" w:rsidR="64AC1F5C">
        <w:rPr>
          <w:rFonts w:cs="Arial"/>
          <w:sz w:val="22"/>
          <w:szCs w:val="22"/>
        </w:rPr>
        <w:t>selected 1 or 2 in response to the question “how easy was it for you to find the information you need on the REDD+</w:t>
      </w:r>
      <w:r w:rsidRPr="352FA995" w:rsidR="64AC1F5C">
        <w:rPr>
          <w:rFonts w:cs="Arial"/>
          <w:sz w:val="22"/>
          <w:szCs w:val="22"/>
        </w:rPr>
        <w:t xml:space="preserve"> web pl</w:t>
      </w:r>
      <w:r w:rsidRPr="352FA995" w:rsidR="64AC1F5C">
        <w:rPr>
          <w:rFonts w:cs="Arial"/>
          <w:sz w:val="22"/>
          <w:szCs w:val="22"/>
        </w:rPr>
        <w:t xml:space="preserve">atform (1= very </w:t>
      </w:r>
      <w:r w:rsidRPr="352FA995" w:rsidR="58E34DE8">
        <w:rPr>
          <w:rFonts w:cs="Arial"/>
          <w:sz w:val="22"/>
          <w:szCs w:val="22"/>
        </w:rPr>
        <w:t>easy – 5 = very difficult)</w:t>
      </w:r>
      <w:r w:rsidRPr="352FA995" w:rsidR="58E34DE8">
        <w:rPr>
          <w:rFonts w:cs="Arial"/>
          <w:sz w:val="22"/>
          <w:szCs w:val="22"/>
        </w:rPr>
        <w:t xml:space="preserve">. </w:t>
      </w:r>
      <w:r w:rsidRPr="352FA995" w:rsidR="1825F235">
        <w:rPr>
          <w:rFonts w:cs="Arial"/>
          <w:sz w:val="22"/>
          <w:szCs w:val="22"/>
        </w:rPr>
        <w:t xml:space="preserve"> </w:t>
      </w:r>
      <w:r w:rsidRPr="352FA995" w:rsidR="1825F235">
        <w:rPr>
          <w:rFonts w:cs="Arial"/>
          <w:sz w:val="22"/>
          <w:szCs w:val="22"/>
        </w:rPr>
        <w:t xml:space="preserve">Furthermore, between July and December 2025, the number of visitors to the platform and the number of download materials increased by </w:t>
      </w:r>
      <w:r w:rsidRPr="352FA995" w:rsidR="1825F235">
        <w:rPr>
          <w:rFonts w:cs="Arial"/>
          <w:sz w:val="22"/>
          <w:szCs w:val="22"/>
        </w:rPr>
        <w:t xml:space="preserve">45.8% </w:t>
      </w:r>
      <w:r w:rsidRPr="352FA995" w:rsidR="1825F235">
        <w:rPr>
          <w:rFonts w:cs="Arial"/>
          <w:sz w:val="22"/>
          <w:szCs w:val="22"/>
        </w:rPr>
        <w:t>and 23.8%, respectively, compared to the same period in 2023 (due to the unavailability of data between September 2024 and January 2025, each element was compared using data from July-December 2023 and 2025.</w:t>
      </w:r>
      <w:r w:rsidRPr="352FA995" w:rsidR="313BF0A8">
        <w:rPr>
          <w:rFonts w:cs="Arial"/>
          <w:sz w:val="22"/>
          <w:szCs w:val="22"/>
        </w:rPr>
        <w:t>)</w:t>
      </w:r>
      <w:r w:rsidRPr="352FA995" w:rsidR="1825F235">
        <w:rPr>
          <w:rFonts w:cs="Arial"/>
          <w:sz w:val="22"/>
          <w:szCs w:val="22"/>
        </w:rPr>
        <w:t xml:space="preserve"> Between January and May 2026, the number of visitors to the platform and the number of download materials increased by 12.6% and 2.2%, respectively, compared to the period for July and December 2025 (due to the different reporting periods </w:t>
      </w:r>
      <w:r w:rsidRPr="352FA995" w:rsidR="66E14BB1">
        <w:rPr>
          <w:rFonts w:cs="Arial"/>
          <w:sz w:val="22"/>
          <w:szCs w:val="22"/>
        </w:rPr>
        <w:t>-</w:t>
      </w:r>
      <w:r w:rsidRPr="352FA995" w:rsidR="777B92E1">
        <w:rPr>
          <w:rFonts w:cs="Arial"/>
          <w:sz w:val="22"/>
          <w:szCs w:val="22"/>
        </w:rPr>
        <w:t>f</w:t>
      </w:r>
      <w:r w:rsidRPr="352FA995" w:rsidR="777B92E1">
        <w:rPr>
          <w:rFonts w:cs="Arial"/>
          <w:sz w:val="22"/>
          <w:szCs w:val="22"/>
        </w:rPr>
        <w:t>ive</w:t>
      </w:r>
      <w:r w:rsidRPr="352FA995" w:rsidR="1825F235">
        <w:rPr>
          <w:rFonts w:cs="Arial"/>
          <w:sz w:val="22"/>
          <w:szCs w:val="22"/>
        </w:rPr>
        <w:t xml:space="preserve"> months v</w:t>
      </w:r>
      <w:r w:rsidRPr="352FA995" w:rsidR="5F0384EA">
        <w:rPr>
          <w:rFonts w:cs="Arial"/>
          <w:sz w:val="22"/>
          <w:szCs w:val="22"/>
        </w:rPr>
        <w:t>er</w:t>
      </w:r>
      <w:r w:rsidRPr="352FA995" w:rsidR="1825F235">
        <w:rPr>
          <w:rFonts w:cs="Arial"/>
          <w:sz w:val="22"/>
          <w:szCs w:val="22"/>
        </w:rPr>
        <w:t>s</w:t>
      </w:r>
      <w:r w:rsidRPr="352FA995" w:rsidR="2662713D">
        <w:rPr>
          <w:rFonts w:cs="Arial"/>
          <w:sz w:val="22"/>
          <w:szCs w:val="22"/>
        </w:rPr>
        <w:t>us</w:t>
      </w:r>
      <w:r w:rsidRPr="352FA995" w:rsidR="1825F235">
        <w:rPr>
          <w:rFonts w:cs="Arial"/>
          <w:sz w:val="22"/>
          <w:szCs w:val="22"/>
        </w:rPr>
        <w:t xml:space="preserve"> </w:t>
      </w:r>
      <w:r w:rsidRPr="352FA995" w:rsidR="3521E603">
        <w:rPr>
          <w:rFonts w:cs="Arial"/>
          <w:sz w:val="22"/>
          <w:szCs w:val="22"/>
        </w:rPr>
        <w:t>six</w:t>
      </w:r>
      <w:r w:rsidRPr="352FA995" w:rsidR="1825F235">
        <w:rPr>
          <w:rFonts w:cs="Arial"/>
          <w:sz w:val="22"/>
          <w:szCs w:val="22"/>
        </w:rPr>
        <w:t xml:space="preserve"> months</w:t>
      </w:r>
      <w:r w:rsidRPr="352FA995" w:rsidR="2C28CC88">
        <w:rPr>
          <w:rFonts w:cs="Arial"/>
          <w:sz w:val="22"/>
          <w:szCs w:val="22"/>
        </w:rPr>
        <w:t>-</w:t>
      </w:r>
      <w:r w:rsidRPr="352FA995" w:rsidR="1825F235">
        <w:rPr>
          <w:rFonts w:cs="Arial"/>
          <w:sz w:val="22"/>
          <w:szCs w:val="22"/>
        </w:rPr>
        <w:t xml:space="preserve"> the values were compared on a monthly basis).</w:t>
      </w:r>
    </w:p>
    <w:p w:rsidRPr="00CE2B12" w:rsidR="00CE2B12" w:rsidP="00CE2B12" w:rsidRDefault="6BB01E9B" w14:paraId="5546B1D2" w14:textId="1621EED3">
      <w:pPr>
        <w:pStyle w:val="Heading2"/>
      </w:pPr>
      <w:bookmarkStart w:name="_Toc758624475" w:id="64"/>
      <w:r>
        <w:t xml:space="preserve">Output </w:t>
      </w:r>
      <w:r w:rsidR="1F117B7B">
        <w:t>2.1</w:t>
      </w:r>
      <w:r>
        <w:t xml:space="preserve">: </w:t>
      </w:r>
      <w:r w:rsidR="761254A2">
        <w:t>Increased understanding among Parties of key forest-related agreements, reports and processes under the Paris Agreement, and the benefits and options for strengthening alignment between Article 5.2 and carbon crediting initiatives, including Article 6, and providers of REDD+ results based-payments.</w:t>
      </w:r>
      <w:bookmarkEnd w:id="64"/>
    </w:p>
    <w:p w:rsidRPr="00CE2B12" w:rsidR="00CE2B12" w:rsidP="00CE2B12" w:rsidRDefault="00CE2B12" w14:paraId="1420AA8F" w14:textId="77777777">
      <w:pPr>
        <w:jc w:val="both"/>
        <w:rPr>
          <w:rFonts w:cs="Arial"/>
          <w:sz w:val="22"/>
          <w:szCs w:val="22"/>
        </w:rPr>
      </w:pPr>
    </w:p>
    <w:tbl>
      <w:tblPr>
        <w:tblStyle w:val="TableGrid"/>
        <w:tblW w:w="9072" w:type="dxa"/>
        <w:tblInd w:w="-5" w:type="dxa"/>
        <w:tblLook w:val="04A0" w:firstRow="1" w:lastRow="0" w:firstColumn="1" w:lastColumn="0" w:noHBand="0" w:noVBand="1"/>
      </w:tblPr>
      <w:tblGrid>
        <w:gridCol w:w="1566"/>
        <w:gridCol w:w="616"/>
        <w:gridCol w:w="937"/>
        <w:gridCol w:w="2977"/>
        <w:gridCol w:w="2976"/>
      </w:tblGrid>
      <w:tr w:rsidRPr="00CE2B12" w:rsidR="00CE2B12" w:rsidTr="1A1FC38A" w14:paraId="6B27B138" w14:textId="77777777">
        <w:trPr>
          <w:trHeight w:val="489"/>
        </w:trPr>
        <w:tc>
          <w:tcPr>
            <w:tcW w:w="1566"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443BE2E7" w14:textId="77777777">
            <w:pPr>
              <w:jc w:val="both"/>
              <w:rPr>
                <w:rFonts w:cs="Arial"/>
                <w:b/>
                <w:bCs/>
                <w:sz w:val="22"/>
                <w:szCs w:val="22"/>
                <w:lang w:eastAsia="en-US"/>
              </w:rPr>
            </w:pPr>
            <w:r w:rsidRPr="00CE2B12">
              <w:rPr>
                <w:rFonts w:cs="Arial"/>
                <w:b/>
                <w:bCs/>
                <w:sz w:val="22"/>
                <w:szCs w:val="22"/>
                <w:lang w:eastAsia="en-US"/>
              </w:rPr>
              <w:t xml:space="preserve">Output Title </w:t>
            </w:r>
          </w:p>
        </w:tc>
        <w:tc>
          <w:tcPr>
            <w:tcW w:w="750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CE2B12" w:rsidR="00CE2B12" w:rsidP="00CE2B12" w:rsidRDefault="00E56421" w14:paraId="487C7F2D" w14:textId="4B435543">
            <w:pPr>
              <w:jc w:val="both"/>
              <w:rPr>
                <w:rFonts w:cs="Arial"/>
                <w:bCs/>
                <w:iCs/>
                <w:sz w:val="22"/>
                <w:szCs w:val="22"/>
                <w:lang w:eastAsia="en-US"/>
              </w:rPr>
            </w:pPr>
            <w:r w:rsidRPr="00E56421">
              <w:rPr>
                <w:rFonts w:cs="Arial"/>
                <w:bCs/>
                <w:iCs/>
                <w:sz w:val="22"/>
                <w:szCs w:val="22"/>
                <w:lang w:eastAsia="en-US"/>
              </w:rPr>
              <w:t>Increased understanding among Parties of key forest-related agreements, reports and processes under the Paris Agreement, and the benefits and options for strengthening alignment between Article 5.2 and carbon crediting initiatives, including Article 6, and providers of REDD+ results based-payments.</w:t>
            </w:r>
          </w:p>
        </w:tc>
      </w:tr>
      <w:tr w:rsidRPr="00CE2B12" w:rsidR="00CE2B12" w:rsidTr="1A1FC38A" w14:paraId="7DAD77FA" w14:textId="77777777">
        <w:trPr>
          <w:trHeight w:val="347"/>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6CC6A34F" w14:textId="77777777">
            <w:pPr>
              <w:jc w:val="both"/>
              <w:rPr>
                <w:rFonts w:cs="Arial"/>
                <w:bCs/>
                <w:sz w:val="22"/>
                <w:szCs w:val="22"/>
                <w:lang w:eastAsia="en-US"/>
              </w:rPr>
            </w:pPr>
            <w:r w:rsidRPr="00CE2B12">
              <w:rPr>
                <w:rFonts w:cs="Arial"/>
                <w:bCs/>
                <w:sz w:val="22"/>
                <w:szCs w:val="22"/>
                <w:lang w:eastAsia="en-US"/>
              </w:rPr>
              <w:t xml:space="preserve">Output number: </w:t>
            </w:r>
          </w:p>
        </w:tc>
        <w:tc>
          <w:tcPr>
            <w:tcW w:w="937" w:type="dxa"/>
            <w:tcBorders>
              <w:top w:val="single" w:color="auto" w:sz="4" w:space="0"/>
              <w:left w:val="single" w:color="auto" w:sz="4" w:space="0"/>
              <w:bottom w:val="single" w:color="auto" w:sz="4" w:space="0"/>
              <w:right w:val="single" w:color="auto" w:sz="4" w:space="0"/>
            </w:tcBorders>
          </w:tcPr>
          <w:p w:rsidRPr="00CE2B12" w:rsidR="00CE2B12" w:rsidP="00CE2B12" w:rsidRDefault="00E56421" w14:paraId="1B73F22E" w14:textId="69812B7A">
            <w:pPr>
              <w:jc w:val="both"/>
              <w:rPr>
                <w:rFonts w:cs="Arial"/>
                <w:sz w:val="22"/>
                <w:szCs w:val="22"/>
                <w:lang w:eastAsia="en-US"/>
              </w:rPr>
            </w:pPr>
            <w:r>
              <w:rPr>
                <w:rFonts w:cs="Arial"/>
                <w:sz w:val="22"/>
                <w:szCs w:val="22"/>
                <w:lang w:eastAsia="en-US"/>
              </w:rPr>
              <w:t>2.1</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4A1E9884" w14:textId="77777777">
            <w:pPr>
              <w:jc w:val="both"/>
              <w:rPr>
                <w:rFonts w:cs="Arial"/>
                <w:sz w:val="22"/>
                <w:szCs w:val="22"/>
                <w:lang w:eastAsia="en-US"/>
              </w:rPr>
            </w:pPr>
            <w:r w:rsidRPr="00CE2B12">
              <w:rPr>
                <w:rFonts w:cs="Arial"/>
                <w:bCs/>
                <w:sz w:val="22"/>
                <w:szCs w:val="22"/>
                <w:lang w:eastAsia="en-US"/>
              </w:rPr>
              <w:t xml:space="preserve">Output Score: </w:t>
            </w:r>
          </w:p>
        </w:tc>
        <w:tc>
          <w:tcPr>
            <w:tcW w:w="2976" w:type="dxa"/>
            <w:tcBorders>
              <w:top w:val="single" w:color="auto" w:sz="4" w:space="0"/>
              <w:left w:val="single" w:color="auto" w:sz="4" w:space="0"/>
              <w:bottom w:val="single" w:color="auto" w:sz="4" w:space="0"/>
              <w:right w:val="single" w:color="auto" w:sz="4" w:space="0"/>
            </w:tcBorders>
          </w:tcPr>
          <w:p w:rsidRPr="00AA28F1" w:rsidR="00CE2B12" w:rsidP="00CE2B12" w:rsidRDefault="00AA28F1" w14:paraId="12CDD693" w14:textId="720516D5">
            <w:pPr>
              <w:jc w:val="both"/>
              <w:rPr>
                <w:rFonts w:cs="Arial"/>
                <w:iCs/>
                <w:sz w:val="22"/>
                <w:szCs w:val="22"/>
                <w:lang w:eastAsia="en-US"/>
              </w:rPr>
            </w:pPr>
            <w:r w:rsidRPr="00AA28F1">
              <w:rPr>
                <w:rFonts w:cs="Arial"/>
                <w:iCs/>
                <w:sz w:val="22"/>
                <w:szCs w:val="22"/>
                <w:lang w:eastAsia="en-US"/>
              </w:rPr>
              <w:t>A+</w:t>
            </w:r>
          </w:p>
        </w:tc>
      </w:tr>
      <w:tr w:rsidRPr="00CE2B12" w:rsidR="00CE2B12" w:rsidTr="1A1FC38A" w14:paraId="0AEAEF01"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02E0A2F7" w14:textId="77777777">
            <w:pPr>
              <w:jc w:val="both"/>
              <w:rPr>
                <w:rFonts w:cs="Arial"/>
                <w:sz w:val="22"/>
                <w:szCs w:val="22"/>
                <w:lang w:eastAsia="en-US"/>
              </w:rPr>
            </w:pPr>
            <w:r w:rsidRPr="00CE2B12">
              <w:rPr>
                <w:rFonts w:cs="Arial"/>
                <w:bCs/>
                <w:sz w:val="22"/>
                <w:szCs w:val="22"/>
                <w:lang w:eastAsia="en-US"/>
              </w:rPr>
              <w:t xml:space="preserve">Impact weighting (%):  </w:t>
            </w:r>
          </w:p>
        </w:tc>
        <w:tc>
          <w:tcPr>
            <w:tcW w:w="937" w:type="dxa"/>
            <w:tcBorders>
              <w:top w:val="single" w:color="auto" w:sz="4" w:space="0"/>
              <w:left w:val="single" w:color="auto" w:sz="4" w:space="0"/>
              <w:bottom w:val="single" w:color="auto" w:sz="4" w:space="0"/>
              <w:right w:val="single" w:color="auto" w:sz="4" w:space="0"/>
            </w:tcBorders>
            <w:hideMark/>
          </w:tcPr>
          <w:p w:rsidRPr="00CE2B12" w:rsidR="00CE2B12" w:rsidP="00CE2B12" w:rsidRDefault="00E56421" w14:paraId="7ED89BFE" w14:textId="5C209857">
            <w:pPr>
              <w:jc w:val="both"/>
              <w:rPr>
                <w:rFonts w:cs="Arial"/>
                <w:bCs/>
                <w:sz w:val="22"/>
                <w:szCs w:val="22"/>
                <w:lang w:eastAsia="en-US"/>
              </w:rPr>
            </w:pPr>
            <w:r>
              <w:rPr>
                <w:rFonts w:cs="Arial"/>
                <w:bCs/>
                <w:sz w:val="22"/>
                <w:szCs w:val="22"/>
                <w:lang w:eastAsia="en-US"/>
              </w:rPr>
              <w:t>20</w:t>
            </w:r>
            <w:r w:rsidRPr="00CE2B12" w:rsidR="00CE2B12">
              <w:rPr>
                <w:rFonts w:cs="Arial"/>
                <w:bCs/>
                <w:sz w:val="22"/>
                <w:szCs w:val="22"/>
                <w:lang w:eastAsia="en-US"/>
              </w:rPr>
              <w:t>%</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56E55D4E" w14:textId="77777777">
            <w:pPr>
              <w:jc w:val="both"/>
              <w:rPr>
                <w:rFonts w:cs="Arial"/>
                <w:bCs/>
                <w:sz w:val="22"/>
                <w:szCs w:val="22"/>
                <w:lang w:eastAsia="en-US"/>
              </w:rPr>
            </w:pPr>
            <w:r w:rsidRPr="00CE2B12">
              <w:rPr>
                <w:rFonts w:cs="Arial"/>
                <w:bCs/>
                <w:sz w:val="22"/>
                <w:szCs w:val="22"/>
                <w:lang w:eastAsia="en-US"/>
              </w:rPr>
              <w:t xml:space="preserve">Weighting revised since last AR? </w:t>
            </w:r>
          </w:p>
        </w:tc>
        <w:tc>
          <w:tcPr>
            <w:tcW w:w="2976" w:type="dxa"/>
            <w:tcBorders>
              <w:top w:val="single" w:color="auto" w:sz="4" w:space="0"/>
              <w:left w:val="single" w:color="auto" w:sz="4" w:space="0"/>
              <w:bottom w:val="single" w:color="auto" w:sz="4" w:space="0"/>
              <w:right w:val="single" w:color="auto" w:sz="4" w:space="0"/>
            </w:tcBorders>
          </w:tcPr>
          <w:p w:rsidRPr="00CE2B12" w:rsidR="00CE2B12" w:rsidP="00CE2B12" w:rsidRDefault="00CE2B12" w14:paraId="383957D2" w14:textId="77777777">
            <w:pPr>
              <w:jc w:val="both"/>
              <w:rPr>
                <w:rFonts w:cs="Arial"/>
                <w:bCs/>
                <w:sz w:val="22"/>
                <w:szCs w:val="22"/>
                <w:lang w:eastAsia="en-US"/>
              </w:rPr>
            </w:pPr>
            <w:r w:rsidRPr="00CE2B12">
              <w:rPr>
                <w:rFonts w:cs="Arial"/>
                <w:bCs/>
                <w:sz w:val="22"/>
                <w:szCs w:val="22"/>
                <w:lang w:eastAsia="en-US"/>
              </w:rPr>
              <w:t>N/A</w:t>
            </w:r>
          </w:p>
        </w:tc>
      </w:tr>
      <w:tr w:rsidRPr="00CE2B12" w:rsidR="00CE2B12" w:rsidTr="1A1FC38A" w14:paraId="7AF514FF"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CE2B12" w:rsidR="00CE2B12" w:rsidP="00CE2B12" w:rsidRDefault="00CE2B12" w14:paraId="71DFB96D" w14:textId="77777777">
            <w:pPr>
              <w:jc w:val="both"/>
              <w:rPr>
                <w:rFonts w:cs="Arial"/>
                <w:bCs/>
                <w:sz w:val="22"/>
                <w:szCs w:val="22"/>
                <w:lang w:eastAsia="en-US"/>
              </w:rPr>
            </w:pPr>
            <w:r w:rsidRPr="00CE2B12">
              <w:rPr>
                <w:rFonts w:cs="Arial"/>
                <w:bCs/>
                <w:sz w:val="22"/>
                <w:szCs w:val="22"/>
                <w:lang w:eastAsia="en-US"/>
              </w:rPr>
              <w:t>Risk rating:</w:t>
            </w:r>
          </w:p>
        </w:tc>
        <w:tc>
          <w:tcPr>
            <w:tcW w:w="937" w:type="dxa"/>
            <w:tcBorders>
              <w:top w:val="single" w:color="auto" w:sz="4" w:space="0"/>
              <w:left w:val="single" w:color="auto" w:sz="4" w:space="0"/>
              <w:bottom w:val="single" w:color="auto" w:sz="4" w:space="0"/>
              <w:right w:val="single" w:color="auto" w:sz="4" w:space="0"/>
            </w:tcBorders>
          </w:tcPr>
          <w:p w:rsidRPr="00CE2B12" w:rsidR="00CE2B12" w:rsidP="00CE2B12" w:rsidRDefault="09AD534E" w14:paraId="2ED9700D" w14:textId="085BA16D">
            <w:pPr>
              <w:jc w:val="both"/>
            </w:pPr>
            <w:r w:rsidRPr="1A1FC38A">
              <w:rPr>
                <w:rFonts w:cs="Arial"/>
                <w:sz w:val="22"/>
                <w:szCs w:val="22"/>
                <w:lang w:eastAsia="en-US"/>
              </w:rPr>
              <w:t>Minor</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CE2B12" w:rsidR="00CE2B12" w:rsidP="00CE2B12" w:rsidRDefault="00CE2B12" w14:paraId="66AC7A76" w14:textId="77777777">
            <w:pPr>
              <w:jc w:val="both"/>
              <w:rPr>
                <w:rFonts w:cs="Arial"/>
                <w:bCs/>
                <w:sz w:val="22"/>
                <w:szCs w:val="22"/>
                <w:lang w:eastAsia="en-US"/>
              </w:rPr>
            </w:pPr>
            <w:r w:rsidRPr="00CE2B12">
              <w:rPr>
                <w:rFonts w:cs="Arial"/>
                <w:bCs/>
                <w:sz w:val="22"/>
                <w:szCs w:val="22"/>
                <w:lang w:eastAsia="en-US"/>
              </w:rPr>
              <w:t>Risk revised since last AR?</w:t>
            </w:r>
          </w:p>
        </w:tc>
        <w:tc>
          <w:tcPr>
            <w:tcW w:w="2976" w:type="dxa"/>
            <w:tcBorders>
              <w:top w:val="single" w:color="auto" w:sz="4" w:space="0"/>
              <w:left w:val="single" w:color="auto" w:sz="4" w:space="0"/>
              <w:bottom w:val="single" w:color="auto" w:sz="4" w:space="0"/>
              <w:right w:val="single" w:color="auto" w:sz="4" w:space="0"/>
            </w:tcBorders>
          </w:tcPr>
          <w:p w:rsidRPr="00CE2B12" w:rsidR="00CE2B12" w:rsidP="00CE2B12" w:rsidRDefault="00CE2B12" w14:paraId="01E2F59C" w14:textId="77777777">
            <w:pPr>
              <w:jc w:val="both"/>
              <w:rPr>
                <w:rFonts w:cs="Arial"/>
                <w:bCs/>
                <w:sz w:val="22"/>
                <w:szCs w:val="22"/>
                <w:lang w:eastAsia="en-US"/>
              </w:rPr>
            </w:pPr>
            <w:r w:rsidRPr="00CE2B12">
              <w:rPr>
                <w:rFonts w:cs="Arial"/>
                <w:bCs/>
                <w:sz w:val="22"/>
                <w:szCs w:val="22"/>
                <w:lang w:eastAsia="en-US"/>
              </w:rPr>
              <w:t>N/A</w:t>
            </w:r>
          </w:p>
        </w:tc>
      </w:tr>
    </w:tbl>
    <w:p w:rsidRPr="00CE2B12" w:rsidR="00CE2B12" w:rsidP="00CE2B12" w:rsidRDefault="00CE2B12" w14:paraId="273364BD" w14:textId="77777777">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3539"/>
        <w:gridCol w:w="2268"/>
        <w:gridCol w:w="3260"/>
      </w:tblGrid>
      <w:tr w:rsidRPr="00CE2B12" w:rsidR="00CE2B12" w:rsidTr="00E56421" w14:paraId="1AA62991" w14:textId="77777777">
        <w:trPr>
          <w:trHeight w:val="273"/>
        </w:trPr>
        <w:tc>
          <w:tcPr>
            <w:tcW w:w="3539"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79AC7901" w14:textId="77777777">
            <w:pPr>
              <w:jc w:val="both"/>
              <w:rPr>
                <w:rFonts w:cs="Arial"/>
                <w:b/>
                <w:bCs/>
                <w:sz w:val="22"/>
                <w:szCs w:val="22"/>
                <w:lang w:eastAsia="en-US"/>
              </w:rPr>
            </w:pPr>
            <w:r w:rsidRPr="00CE2B12">
              <w:rPr>
                <w:rFonts w:cs="Arial"/>
                <w:b/>
                <w:bCs/>
                <w:sz w:val="22"/>
                <w:szCs w:val="22"/>
                <w:lang w:eastAsia="en-US"/>
              </w:rPr>
              <w:t>Indicator(s)</w:t>
            </w:r>
          </w:p>
        </w:tc>
        <w:tc>
          <w:tcPr>
            <w:tcW w:w="2268"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68AB0D1A" w14:textId="77777777">
            <w:pPr>
              <w:jc w:val="both"/>
              <w:rPr>
                <w:rFonts w:cs="Arial"/>
                <w:b/>
                <w:bCs/>
                <w:sz w:val="22"/>
                <w:szCs w:val="22"/>
                <w:lang w:eastAsia="en-US"/>
              </w:rPr>
            </w:pPr>
            <w:r w:rsidRPr="00CE2B12">
              <w:rPr>
                <w:rFonts w:cs="Arial"/>
                <w:b/>
                <w:bCs/>
                <w:sz w:val="22"/>
                <w:szCs w:val="22"/>
                <w:lang w:eastAsia="en-US"/>
              </w:rPr>
              <w:t>Milestone(s) for this review</w:t>
            </w:r>
          </w:p>
        </w:tc>
        <w:tc>
          <w:tcPr>
            <w:tcW w:w="3260"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CE2B12" w:rsidR="00CE2B12" w:rsidP="00CE2B12" w:rsidRDefault="00CE2B12" w14:paraId="05229476" w14:textId="77777777">
            <w:pPr>
              <w:jc w:val="both"/>
              <w:rPr>
                <w:rFonts w:cs="Arial"/>
                <w:b/>
                <w:bCs/>
                <w:sz w:val="22"/>
                <w:szCs w:val="22"/>
                <w:lang w:eastAsia="en-US"/>
              </w:rPr>
            </w:pPr>
            <w:r w:rsidRPr="00CE2B12">
              <w:rPr>
                <w:rFonts w:cs="Arial"/>
                <w:b/>
                <w:bCs/>
                <w:sz w:val="22"/>
                <w:szCs w:val="22"/>
                <w:lang w:eastAsia="en-US"/>
              </w:rPr>
              <w:t xml:space="preserve">Progress </w:t>
            </w:r>
          </w:p>
        </w:tc>
      </w:tr>
      <w:tr w:rsidRPr="00CE2B12" w:rsidR="00CE2B12" w:rsidTr="00E56421" w14:paraId="0F6B3169" w14:textId="77777777">
        <w:tc>
          <w:tcPr>
            <w:tcW w:w="3539" w:type="dxa"/>
            <w:tcBorders>
              <w:top w:val="single" w:color="auto" w:sz="4" w:space="0"/>
              <w:left w:val="single" w:color="auto" w:sz="4" w:space="0"/>
              <w:bottom w:val="single" w:color="auto" w:sz="4" w:space="0"/>
              <w:right w:val="single" w:color="auto" w:sz="4" w:space="0"/>
            </w:tcBorders>
          </w:tcPr>
          <w:p w:rsidRPr="00CE2B12" w:rsidR="00CE2B12" w:rsidP="00606817" w:rsidRDefault="00E56421" w14:paraId="73956A14" w14:textId="418FF81C">
            <w:pPr>
              <w:rPr>
                <w:rFonts w:cs="Arial"/>
                <w:bCs/>
                <w:iCs/>
                <w:sz w:val="22"/>
                <w:szCs w:val="22"/>
                <w:lang w:eastAsia="en-US"/>
              </w:rPr>
            </w:pPr>
            <w:r>
              <w:rPr>
                <w:rFonts w:cs="Arial"/>
                <w:bCs/>
                <w:iCs/>
                <w:sz w:val="22"/>
                <w:szCs w:val="22"/>
                <w:lang w:eastAsia="en-US"/>
              </w:rPr>
              <w:t xml:space="preserve">2.1A: </w:t>
            </w:r>
            <w:r w:rsidR="00606817">
              <w:t xml:space="preserve"> </w:t>
            </w:r>
            <w:r w:rsidRPr="00606817" w:rsidR="00606817">
              <w:rPr>
                <w:rFonts w:cs="Arial"/>
                <w:bCs/>
                <w:iCs/>
                <w:sz w:val="22"/>
                <w:szCs w:val="22"/>
                <w:lang w:eastAsia="en-US"/>
              </w:rPr>
              <w:t>Number of guidance/briefing products produced to address distinct priority areas identified by Parties (cumulative).</w:t>
            </w:r>
          </w:p>
        </w:tc>
        <w:tc>
          <w:tcPr>
            <w:tcW w:w="2268" w:type="dxa"/>
            <w:tcBorders>
              <w:top w:val="single" w:color="auto" w:sz="4" w:space="0"/>
              <w:left w:val="single" w:color="auto" w:sz="4" w:space="0"/>
              <w:bottom w:val="single" w:color="auto" w:sz="4" w:space="0"/>
              <w:right w:val="single" w:color="auto" w:sz="4" w:space="0"/>
            </w:tcBorders>
          </w:tcPr>
          <w:p w:rsidRPr="00CE2B12" w:rsidR="00CE2B12" w:rsidP="00CE2B12" w:rsidRDefault="00606817" w14:paraId="46136944" w14:textId="161064A3">
            <w:pPr>
              <w:jc w:val="both"/>
              <w:rPr>
                <w:rFonts w:cs="Arial"/>
                <w:bCs/>
                <w:iCs/>
                <w:sz w:val="22"/>
                <w:szCs w:val="22"/>
                <w:lang w:eastAsia="en-US"/>
              </w:rPr>
            </w:pPr>
            <w:r>
              <w:rPr>
                <w:rFonts w:cs="Arial"/>
                <w:bCs/>
                <w:iCs/>
                <w:sz w:val="22"/>
                <w:szCs w:val="22"/>
                <w:lang w:eastAsia="en-US"/>
              </w:rPr>
              <w:t xml:space="preserve">Jul 2026: </w:t>
            </w:r>
            <w:r w:rsidR="00933399">
              <w:rPr>
                <w:rFonts w:cs="Arial"/>
                <w:bCs/>
                <w:iCs/>
                <w:sz w:val="22"/>
                <w:szCs w:val="22"/>
                <w:lang w:eastAsia="en-US"/>
              </w:rPr>
              <w:t>1</w:t>
            </w:r>
          </w:p>
        </w:tc>
        <w:tc>
          <w:tcPr>
            <w:tcW w:w="3260" w:type="dxa"/>
            <w:tcBorders>
              <w:top w:val="single" w:color="auto" w:sz="4" w:space="0"/>
              <w:left w:val="single" w:color="auto" w:sz="4" w:space="0"/>
              <w:bottom w:val="single" w:color="auto" w:sz="4" w:space="0"/>
              <w:right w:val="single" w:color="auto" w:sz="4" w:space="0"/>
            </w:tcBorders>
          </w:tcPr>
          <w:p w:rsidRPr="00CE2B12" w:rsidR="00CE2B12" w:rsidP="00933399" w:rsidRDefault="00933399" w14:paraId="71BA3409" w14:textId="5952C38B">
            <w:pPr>
              <w:rPr>
                <w:rFonts w:cs="Arial"/>
                <w:bCs/>
                <w:iCs/>
                <w:sz w:val="22"/>
                <w:szCs w:val="22"/>
                <w:lang w:eastAsia="en-US"/>
              </w:rPr>
            </w:pPr>
            <w:r>
              <w:rPr>
                <w:rFonts w:cs="Arial"/>
                <w:bCs/>
                <w:iCs/>
                <w:sz w:val="22"/>
                <w:szCs w:val="22"/>
                <w:lang w:eastAsia="en-US"/>
              </w:rPr>
              <w:t xml:space="preserve">Jul 2026: 1 </w:t>
            </w:r>
            <w:r>
              <w:rPr>
                <w:rFonts w:cs="Arial"/>
                <w:bCs/>
                <w:iCs/>
                <w:sz w:val="22"/>
                <w:szCs w:val="22"/>
                <w:lang w:eastAsia="en-US"/>
              </w:rPr>
              <w:br/>
            </w:r>
            <w:r>
              <w:rPr>
                <w:rFonts w:cs="Arial"/>
                <w:bCs/>
                <w:iCs/>
                <w:sz w:val="22"/>
                <w:szCs w:val="22"/>
                <w:lang w:eastAsia="en-US"/>
              </w:rPr>
              <w:br/>
            </w:r>
            <w:r>
              <w:rPr>
                <w:rFonts w:cs="Arial"/>
                <w:bCs/>
                <w:iCs/>
                <w:sz w:val="22"/>
                <w:szCs w:val="22"/>
                <w:lang w:eastAsia="en-US"/>
              </w:rPr>
              <w:t>Progress met expectations</w:t>
            </w:r>
          </w:p>
        </w:tc>
      </w:tr>
      <w:tr w:rsidRPr="00CE2B12" w:rsidR="00CE2B12" w:rsidTr="00E56421" w14:paraId="7BAE5B8D" w14:textId="77777777">
        <w:tc>
          <w:tcPr>
            <w:tcW w:w="3539" w:type="dxa"/>
            <w:tcBorders>
              <w:top w:val="single" w:color="auto" w:sz="4" w:space="0"/>
              <w:left w:val="single" w:color="auto" w:sz="4" w:space="0"/>
              <w:bottom w:val="single" w:color="auto" w:sz="4" w:space="0"/>
              <w:right w:val="single" w:color="auto" w:sz="4" w:space="0"/>
            </w:tcBorders>
          </w:tcPr>
          <w:p w:rsidRPr="00CE2B12" w:rsidR="00CE2B12" w:rsidP="00CE2B12" w:rsidRDefault="00293DE2" w14:paraId="1E53519A" w14:textId="1A8E7557">
            <w:pPr>
              <w:jc w:val="both"/>
              <w:rPr>
                <w:rFonts w:cs="Arial"/>
                <w:bCs/>
                <w:iCs/>
                <w:sz w:val="22"/>
                <w:szCs w:val="22"/>
                <w:lang w:eastAsia="en-US"/>
              </w:rPr>
            </w:pPr>
            <w:r>
              <w:rPr>
                <w:rFonts w:cs="Arial"/>
                <w:bCs/>
                <w:iCs/>
                <w:sz w:val="22"/>
                <w:szCs w:val="22"/>
                <w:lang w:eastAsia="en-US"/>
              </w:rPr>
              <w:t>2.1B</w:t>
            </w:r>
            <w:r w:rsidR="00E20EAB">
              <w:rPr>
                <w:rFonts w:cs="Arial"/>
                <w:bCs/>
                <w:iCs/>
                <w:sz w:val="22"/>
                <w:szCs w:val="22"/>
                <w:lang w:eastAsia="en-US"/>
              </w:rPr>
              <w:t xml:space="preserve">: </w:t>
            </w:r>
            <w:r w:rsidR="00E20EAB">
              <w:t xml:space="preserve"> </w:t>
            </w:r>
            <w:r w:rsidRPr="00E20EAB" w:rsidR="00E20EAB">
              <w:rPr>
                <w:rFonts w:cs="Arial"/>
                <w:bCs/>
                <w:iCs/>
                <w:sz w:val="22"/>
                <w:szCs w:val="22"/>
                <w:lang w:eastAsia="en-US"/>
              </w:rPr>
              <w:t>Number of webinars or other knowledge-sharing events held to address distinct priority areas identified by Parties, and potentially representatives of Indigenous Peoples and local community groups engaging in REDD+, as feasible (cumulative)</w:t>
            </w:r>
          </w:p>
        </w:tc>
        <w:tc>
          <w:tcPr>
            <w:tcW w:w="2268" w:type="dxa"/>
            <w:tcBorders>
              <w:top w:val="single" w:color="auto" w:sz="4" w:space="0"/>
              <w:left w:val="single" w:color="auto" w:sz="4" w:space="0"/>
              <w:bottom w:val="single" w:color="auto" w:sz="4" w:space="0"/>
              <w:right w:val="single" w:color="auto" w:sz="4" w:space="0"/>
            </w:tcBorders>
          </w:tcPr>
          <w:p w:rsidRPr="00CE2B12" w:rsidR="00CE2B12" w:rsidP="00CE2B12" w:rsidRDefault="00E20EAB" w14:paraId="7D6E4D38" w14:textId="4F8D1E2A">
            <w:pPr>
              <w:jc w:val="both"/>
              <w:rPr>
                <w:rFonts w:cs="Arial"/>
                <w:bCs/>
                <w:iCs/>
                <w:sz w:val="22"/>
                <w:szCs w:val="22"/>
                <w:lang w:eastAsia="en-US"/>
              </w:rPr>
            </w:pPr>
            <w:r>
              <w:rPr>
                <w:rFonts w:cs="Arial"/>
                <w:bCs/>
                <w:iCs/>
                <w:sz w:val="22"/>
                <w:szCs w:val="22"/>
                <w:lang w:eastAsia="en-US"/>
              </w:rPr>
              <w:t xml:space="preserve">Jul 2026: </w:t>
            </w:r>
            <w:r w:rsidR="005A6F80">
              <w:rPr>
                <w:rFonts w:cs="Arial"/>
                <w:bCs/>
                <w:iCs/>
                <w:sz w:val="22"/>
                <w:szCs w:val="22"/>
                <w:lang w:eastAsia="en-US"/>
              </w:rPr>
              <w:t>1</w:t>
            </w:r>
          </w:p>
        </w:tc>
        <w:tc>
          <w:tcPr>
            <w:tcW w:w="3260" w:type="dxa"/>
            <w:tcBorders>
              <w:top w:val="single" w:color="auto" w:sz="4" w:space="0"/>
              <w:left w:val="single" w:color="auto" w:sz="4" w:space="0"/>
              <w:bottom w:val="single" w:color="auto" w:sz="4" w:space="0"/>
              <w:right w:val="single" w:color="auto" w:sz="4" w:space="0"/>
            </w:tcBorders>
          </w:tcPr>
          <w:p w:rsidRPr="00CE2B12" w:rsidR="00CE2B12" w:rsidP="00022455" w:rsidRDefault="005A6F80" w14:paraId="0B955A1A" w14:textId="68DDA30C">
            <w:pPr>
              <w:rPr>
                <w:rFonts w:cs="Arial"/>
                <w:bCs/>
                <w:iCs/>
                <w:sz w:val="22"/>
                <w:szCs w:val="22"/>
                <w:lang w:eastAsia="en-US"/>
              </w:rPr>
            </w:pPr>
            <w:r>
              <w:rPr>
                <w:rFonts w:cs="Arial"/>
                <w:bCs/>
                <w:iCs/>
                <w:sz w:val="22"/>
                <w:szCs w:val="22"/>
                <w:lang w:eastAsia="en-US"/>
              </w:rPr>
              <w:t xml:space="preserve">Jul 2026: 6 </w:t>
            </w:r>
            <w:r w:rsidR="00022455">
              <w:rPr>
                <w:rFonts w:cs="Arial"/>
                <w:bCs/>
                <w:iCs/>
                <w:sz w:val="22"/>
                <w:szCs w:val="22"/>
                <w:lang w:eastAsia="en-US"/>
              </w:rPr>
              <w:br/>
            </w:r>
            <w:r w:rsidR="00022455">
              <w:rPr>
                <w:rFonts w:cs="Arial"/>
                <w:bCs/>
                <w:iCs/>
                <w:sz w:val="22"/>
                <w:szCs w:val="22"/>
                <w:lang w:eastAsia="en-US"/>
              </w:rPr>
              <w:br/>
            </w:r>
            <w:r w:rsidR="00022455">
              <w:rPr>
                <w:rFonts w:cs="Arial"/>
                <w:bCs/>
                <w:iCs/>
                <w:sz w:val="22"/>
                <w:szCs w:val="22"/>
                <w:lang w:eastAsia="en-US"/>
              </w:rPr>
              <w:t xml:space="preserve">Progress substantially exceeded expectations </w:t>
            </w:r>
          </w:p>
        </w:tc>
      </w:tr>
      <w:tr w:rsidRPr="00CE2B12" w:rsidR="00BA78F0" w:rsidTr="00E56421" w14:paraId="6E533083" w14:textId="77777777">
        <w:tc>
          <w:tcPr>
            <w:tcW w:w="3539" w:type="dxa"/>
            <w:tcBorders>
              <w:top w:val="single" w:color="auto" w:sz="4" w:space="0"/>
              <w:left w:val="single" w:color="auto" w:sz="4" w:space="0"/>
              <w:bottom w:val="single" w:color="auto" w:sz="4" w:space="0"/>
              <w:right w:val="single" w:color="auto" w:sz="4" w:space="0"/>
            </w:tcBorders>
          </w:tcPr>
          <w:p w:rsidR="00BA78F0" w:rsidP="00A82672" w:rsidRDefault="00BA78F0" w14:paraId="0A767F97" w14:textId="2E0E8E1B">
            <w:pPr>
              <w:rPr>
                <w:rFonts w:cs="Arial"/>
                <w:bCs/>
                <w:iCs/>
                <w:sz w:val="22"/>
                <w:szCs w:val="22"/>
              </w:rPr>
            </w:pPr>
            <w:r>
              <w:rPr>
                <w:rFonts w:cs="Arial"/>
                <w:bCs/>
                <w:iCs/>
                <w:sz w:val="22"/>
                <w:szCs w:val="22"/>
              </w:rPr>
              <w:t xml:space="preserve">2.1C: </w:t>
            </w:r>
            <w:r w:rsidR="00A82672">
              <w:t xml:space="preserve"> </w:t>
            </w:r>
            <w:r w:rsidRPr="00A82672" w:rsidR="00A82672">
              <w:rPr>
                <w:rFonts w:cs="Arial"/>
                <w:bCs/>
                <w:iCs/>
                <w:sz w:val="22"/>
                <w:szCs w:val="22"/>
              </w:rPr>
              <w:t>Number of attendees at outreach events and training sessions: (a) total number of attendees (cumulative); (b) number of countries nominating REDD+ officials attending (cumulative); (c) % of attendees who are women</w:t>
            </w:r>
          </w:p>
        </w:tc>
        <w:tc>
          <w:tcPr>
            <w:tcW w:w="2268" w:type="dxa"/>
            <w:tcBorders>
              <w:top w:val="single" w:color="auto" w:sz="4" w:space="0"/>
              <w:left w:val="single" w:color="auto" w:sz="4" w:space="0"/>
              <w:bottom w:val="single" w:color="auto" w:sz="4" w:space="0"/>
              <w:right w:val="single" w:color="auto" w:sz="4" w:space="0"/>
            </w:tcBorders>
          </w:tcPr>
          <w:p w:rsidR="00BA78F0" w:rsidP="00CE2B12" w:rsidRDefault="00A82672" w14:paraId="7F096E7C" w14:textId="3F3F84ED">
            <w:pPr>
              <w:jc w:val="both"/>
              <w:rPr>
                <w:rFonts w:cs="Arial"/>
                <w:bCs/>
                <w:iCs/>
                <w:sz w:val="22"/>
                <w:szCs w:val="22"/>
              </w:rPr>
            </w:pPr>
            <w:r>
              <w:rPr>
                <w:rFonts w:cs="Arial"/>
                <w:bCs/>
                <w:iCs/>
                <w:sz w:val="22"/>
                <w:szCs w:val="22"/>
              </w:rPr>
              <w:t>Jul 2026: a) 100 b) 33 c) 25%</w:t>
            </w:r>
          </w:p>
        </w:tc>
        <w:tc>
          <w:tcPr>
            <w:tcW w:w="3260" w:type="dxa"/>
            <w:tcBorders>
              <w:top w:val="single" w:color="auto" w:sz="4" w:space="0"/>
              <w:left w:val="single" w:color="auto" w:sz="4" w:space="0"/>
              <w:bottom w:val="single" w:color="auto" w:sz="4" w:space="0"/>
              <w:right w:val="single" w:color="auto" w:sz="4" w:space="0"/>
            </w:tcBorders>
          </w:tcPr>
          <w:p w:rsidR="00BA78F0" w:rsidP="00022455" w:rsidRDefault="00A82672" w14:paraId="27E098D0" w14:textId="4EEBD04F">
            <w:pPr>
              <w:rPr>
                <w:rFonts w:cs="Arial"/>
                <w:bCs/>
                <w:iCs/>
                <w:sz w:val="22"/>
                <w:szCs w:val="22"/>
              </w:rPr>
            </w:pPr>
            <w:r>
              <w:rPr>
                <w:rFonts w:cs="Arial"/>
                <w:bCs/>
                <w:iCs/>
                <w:sz w:val="22"/>
                <w:szCs w:val="22"/>
              </w:rPr>
              <w:t>Jul 2026: a) 110 b) 80</w:t>
            </w:r>
            <w:r w:rsidR="002D67CF">
              <w:rPr>
                <w:rFonts w:cs="Arial"/>
                <w:bCs/>
                <w:iCs/>
                <w:sz w:val="22"/>
                <w:szCs w:val="22"/>
              </w:rPr>
              <w:t xml:space="preserve"> c) </w:t>
            </w:r>
            <w:r w:rsidR="004C31B4">
              <w:rPr>
                <w:rFonts w:cs="Arial"/>
                <w:bCs/>
                <w:iCs/>
                <w:sz w:val="22"/>
                <w:szCs w:val="22"/>
              </w:rPr>
              <w:t>33</w:t>
            </w:r>
            <w:r w:rsidR="00793028">
              <w:rPr>
                <w:rFonts w:cs="Arial"/>
                <w:bCs/>
                <w:iCs/>
                <w:sz w:val="22"/>
                <w:szCs w:val="22"/>
              </w:rPr>
              <w:t xml:space="preserve">% </w:t>
            </w:r>
            <w:r w:rsidR="0093682C">
              <w:rPr>
                <w:rFonts w:cs="Arial"/>
                <w:bCs/>
                <w:iCs/>
                <w:sz w:val="22"/>
                <w:szCs w:val="22"/>
              </w:rPr>
              <w:br/>
            </w:r>
            <w:r w:rsidR="0093682C">
              <w:rPr>
                <w:rFonts w:cs="Arial"/>
                <w:bCs/>
                <w:iCs/>
                <w:sz w:val="22"/>
                <w:szCs w:val="22"/>
              </w:rPr>
              <w:br/>
            </w:r>
            <w:r w:rsidR="0093682C">
              <w:rPr>
                <w:rFonts w:cs="Arial"/>
                <w:bCs/>
                <w:iCs/>
                <w:sz w:val="22"/>
                <w:szCs w:val="22"/>
              </w:rPr>
              <w:t xml:space="preserve">Progress moderately exceeded expectations </w:t>
            </w:r>
          </w:p>
        </w:tc>
      </w:tr>
      <w:tr w:rsidRPr="00CE2B12" w:rsidR="0093682C" w:rsidTr="00E56421" w14:paraId="59126155" w14:textId="77777777">
        <w:tc>
          <w:tcPr>
            <w:tcW w:w="3539" w:type="dxa"/>
            <w:tcBorders>
              <w:top w:val="single" w:color="auto" w:sz="4" w:space="0"/>
              <w:left w:val="single" w:color="auto" w:sz="4" w:space="0"/>
              <w:bottom w:val="single" w:color="auto" w:sz="4" w:space="0"/>
              <w:right w:val="single" w:color="auto" w:sz="4" w:space="0"/>
            </w:tcBorders>
          </w:tcPr>
          <w:p w:rsidR="0093682C" w:rsidP="00A82672" w:rsidRDefault="0093682C" w14:paraId="6B2F1DB4" w14:textId="30D0C22B">
            <w:pPr>
              <w:rPr>
                <w:rFonts w:cs="Arial"/>
                <w:bCs/>
                <w:iCs/>
                <w:sz w:val="22"/>
                <w:szCs w:val="22"/>
              </w:rPr>
            </w:pPr>
            <w:r>
              <w:rPr>
                <w:rFonts w:cs="Arial"/>
                <w:bCs/>
                <w:iCs/>
                <w:sz w:val="22"/>
                <w:szCs w:val="22"/>
              </w:rPr>
              <w:t xml:space="preserve">2.1D: </w:t>
            </w:r>
            <w:r w:rsidR="00D319E3">
              <w:t xml:space="preserve"> </w:t>
            </w:r>
            <w:r w:rsidRPr="00D319E3" w:rsidR="00D319E3">
              <w:rPr>
                <w:rFonts w:cs="Arial"/>
                <w:bCs/>
                <w:iCs/>
                <w:sz w:val="22"/>
                <w:szCs w:val="22"/>
              </w:rPr>
              <w:t>Proportion of participants (in %) in events/meetings/trainings who acquired improved understanding of a) key forest-related agreements, reports and processes under the Paris Agreement; b) the benefits and options for strengthening alignment between Article 5.2 and carbon crediting initiatives, including Article 6, and providers of REDD+ RBPs.</w:t>
            </w:r>
          </w:p>
        </w:tc>
        <w:tc>
          <w:tcPr>
            <w:tcW w:w="2268" w:type="dxa"/>
            <w:tcBorders>
              <w:top w:val="single" w:color="auto" w:sz="4" w:space="0"/>
              <w:left w:val="single" w:color="auto" w:sz="4" w:space="0"/>
              <w:bottom w:val="single" w:color="auto" w:sz="4" w:space="0"/>
              <w:right w:val="single" w:color="auto" w:sz="4" w:space="0"/>
            </w:tcBorders>
          </w:tcPr>
          <w:p w:rsidR="0093682C" w:rsidP="00CE2B12" w:rsidRDefault="00D319E3" w14:paraId="09937569" w14:textId="6C070DE1">
            <w:pPr>
              <w:jc w:val="both"/>
              <w:rPr>
                <w:rFonts w:cs="Arial"/>
                <w:bCs/>
                <w:iCs/>
                <w:sz w:val="22"/>
                <w:szCs w:val="22"/>
              </w:rPr>
            </w:pPr>
            <w:r>
              <w:rPr>
                <w:rFonts w:cs="Arial"/>
                <w:bCs/>
                <w:iCs/>
                <w:sz w:val="22"/>
                <w:szCs w:val="22"/>
              </w:rPr>
              <w:t>Jul 202</w:t>
            </w:r>
            <w:r w:rsidR="00BA77D1">
              <w:rPr>
                <w:rFonts w:cs="Arial"/>
                <w:bCs/>
                <w:iCs/>
                <w:sz w:val="22"/>
                <w:szCs w:val="22"/>
              </w:rPr>
              <w:t xml:space="preserve">6: a) 80% respondents b) 80% respondents </w:t>
            </w:r>
          </w:p>
        </w:tc>
        <w:tc>
          <w:tcPr>
            <w:tcW w:w="3260" w:type="dxa"/>
            <w:tcBorders>
              <w:top w:val="single" w:color="auto" w:sz="4" w:space="0"/>
              <w:left w:val="single" w:color="auto" w:sz="4" w:space="0"/>
              <w:bottom w:val="single" w:color="auto" w:sz="4" w:space="0"/>
              <w:right w:val="single" w:color="auto" w:sz="4" w:space="0"/>
            </w:tcBorders>
          </w:tcPr>
          <w:p w:rsidR="0093682C" w:rsidP="00022455" w:rsidRDefault="00BA77D1" w14:paraId="790BE9B9" w14:textId="167DB162">
            <w:pPr>
              <w:rPr>
                <w:rFonts w:cs="Arial"/>
                <w:bCs/>
                <w:iCs/>
                <w:sz w:val="22"/>
                <w:szCs w:val="22"/>
              </w:rPr>
            </w:pPr>
            <w:r>
              <w:rPr>
                <w:rFonts w:cs="Arial"/>
                <w:bCs/>
                <w:iCs/>
                <w:sz w:val="22"/>
                <w:szCs w:val="22"/>
              </w:rPr>
              <w:t>Jul 2026: a) 94% respondents b</w:t>
            </w:r>
            <w:r w:rsidR="00FC0DFF">
              <w:rPr>
                <w:rFonts w:cs="Arial"/>
                <w:bCs/>
                <w:iCs/>
                <w:sz w:val="22"/>
                <w:szCs w:val="22"/>
              </w:rPr>
              <w:t xml:space="preserve">) 90% respondents </w:t>
            </w:r>
            <w:r w:rsidR="004678D0">
              <w:rPr>
                <w:rFonts w:cs="Arial"/>
                <w:bCs/>
                <w:iCs/>
                <w:sz w:val="22"/>
                <w:szCs w:val="22"/>
              </w:rPr>
              <w:br/>
            </w:r>
            <w:r w:rsidR="004678D0">
              <w:rPr>
                <w:rFonts w:cs="Arial"/>
                <w:bCs/>
                <w:iCs/>
                <w:sz w:val="22"/>
                <w:szCs w:val="22"/>
              </w:rPr>
              <w:br/>
            </w:r>
            <w:r w:rsidR="004678D0">
              <w:rPr>
                <w:rFonts w:cs="Arial"/>
                <w:bCs/>
                <w:iCs/>
                <w:sz w:val="22"/>
                <w:szCs w:val="22"/>
              </w:rPr>
              <w:t xml:space="preserve">Progress moderately exceeded expectations </w:t>
            </w:r>
          </w:p>
        </w:tc>
      </w:tr>
    </w:tbl>
    <w:p w:rsidRPr="00CE2B12" w:rsidR="00CE2B12" w:rsidP="00CE2B12" w:rsidRDefault="00CE2B12" w14:paraId="6AFB34B2" w14:textId="77777777">
      <w:pPr>
        <w:jc w:val="both"/>
        <w:rPr>
          <w:rFonts w:cs="Arial"/>
          <w:sz w:val="22"/>
          <w:szCs w:val="22"/>
        </w:rPr>
      </w:pPr>
    </w:p>
    <w:p w:rsidRPr="00FD4A77" w:rsidR="00FD4A77" w:rsidP="00FD4A77" w:rsidRDefault="00FD4A77" w14:paraId="74FDAEA0" w14:textId="77777777">
      <w:pPr>
        <w:jc w:val="both"/>
        <w:rPr>
          <w:rFonts w:cs="Arial"/>
          <w:bCs/>
          <w:sz w:val="22"/>
          <w:szCs w:val="22"/>
        </w:rPr>
      </w:pPr>
    </w:p>
    <w:p w:rsidRPr="00FD4A77" w:rsidR="00FD4A77" w:rsidP="00FD4A77" w:rsidRDefault="576D30F9" w14:paraId="43213798" w14:textId="28F1B371">
      <w:pPr>
        <w:jc w:val="both"/>
        <w:rPr>
          <w:rFonts w:cs="Arial"/>
          <w:sz w:val="22"/>
          <w:szCs w:val="22"/>
        </w:rPr>
      </w:pPr>
      <w:r w:rsidRPr="352FA995" w:rsidR="576D30F9">
        <w:rPr>
          <w:rFonts w:cs="Arial"/>
          <w:sz w:val="22"/>
          <w:szCs w:val="22"/>
        </w:rPr>
        <w:t xml:space="preserve">For this review period, Output </w:t>
      </w:r>
      <w:r w:rsidRPr="352FA995" w:rsidR="7940F3D6">
        <w:rPr>
          <w:rFonts w:cs="Arial"/>
          <w:sz w:val="22"/>
          <w:szCs w:val="22"/>
        </w:rPr>
        <w:t>2.1</w:t>
      </w:r>
      <w:r w:rsidRPr="352FA995" w:rsidR="576D30F9">
        <w:rPr>
          <w:rFonts w:cs="Arial"/>
          <w:sz w:val="22"/>
          <w:szCs w:val="22"/>
        </w:rPr>
        <w:t xml:space="preserve"> performed well scoring an A+ overall. </w:t>
      </w:r>
      <w:r w:rsidRPr="352FA995" w:rsidR="246A80EC">
        <w:rPr>
          <w:rFonts w:cs="Arial"/>
          <w:sz w:val="22"/>
          <w:szCs w:val="22"/>
        </w:rPr>
        <w:t>The programme has been successful in ensuring that the technical assistance support it delivers through events/ meetings/ trainings it delivers lead</w:t>
      </w:r>
      <w:r w:rsidRPr="352FA995" w:rsidR="73FB70C0">
        <w:rPr>
          <w:rFonts w:cs="Arial"/>
          <w:sz w:val="22"/>
          <w:szCs w:val="22"/>
        </w:rPr>
        <w:t>s</w:t>
      </w:r>
      <w:r w:rsidRPr="352FA995" w:rsidR="246A80EC">
        <w:rPr>
          <w:rFonts w:cs="Arial"/>
          <w:sz w:val="22"/>
          <w:szCs w:val="22"/>
        </w:rPr>
        <w:t xml:space="preserve"> to acquired knowledge, and improved understanding for its participants. </w:t>
      </w:r>
      <w:r w:rsidRPr="352FA995" w:rsidR="59DA61E6">
        <w:rPr>
          <w:rFonts w:cs="Arial"/>
          <w:sz w:val="22"/>
          <w:szCs w:val="22"/>
        </w:rPr>
        <w:t xml:space="preserve">In particular, Output Indicator 2.1B </w:t>
      </w:r>
      <w:r w:rsidRPr="352FA995" w:rsidR="1D738719">
        <w:rPr>
          <w:rFonts w:cs="Arial"/>
          <w:sz w:val="22"/>
          <w:szCs w:val="22"/>
        </w:rPr>
        <w:t xml:space="preserve">substantially exceeded expectations with a total of 6 webinars and other knowledge-sharing events. </w:t>
      </w:r>
      <w:r w:rsidRPr="352FA995" w:rsidR="7F9F59CE">
        <w:rPr>
          <w:rFonts w:cs="Arial"/>
          <w:sz w:val="22"/>
          <w:szCs w:val="22"/>
        </w:rPr>
        <w:t>An e</w:t>
      </w:r>
      <w:r w:rsidRPr="352FA995" w:rsidR="1D738719">
        <w:rPr>
          <w:rFonts w:cs="Arial"/>
          <w:sz w:val="22"/>
          <w:szCs w:val="22"/>
        </w:rPr>
        <w:t xml:space="preserve">xample </w:t>
      </w:r>
      <w:r w:rsidRPr="352FA995" w:rsidR="7F9F59CE">
        <w:rPr>
          <w:rFonts w:cs="Arial"/>
          <w:sz w:val="22"/>
          <w:szCs w:val="22"/>
        </w:rPr>
        <w:t xml:space="preserve">of one of the key webinars hosted by the programme is </w:t>
      </w:r>
      <w:r w:rsidRPr="352FA995" w:rsidR="472E443B">
        <w:rPr>
          <w:rFonts w:cs="Arial"/>
          <w:sz w:val="22"/>
          <w:szCs w:val="22"/>
        </w:rPr>
        <w:t xml:space="preserve">the REDD+ MRV Guidance and E-Learning Course Webinar in April 2026, to introduce the newly developed guidance and </w:t>
      </w:r>
      <w:r w:rsidRPr="352FA995" w:rsidR="05FE0069">
        <w:rPr>
          <w:rFonts w:cs="Arial"/>
          <w:sz w:val="22"/>
          <w:szCs w:val="22"/>
        </w:rPr>
        <w:t>e-learning course</w:t>
      </w:r>
      <w:r w:rsidRPr="352FA995" w:rsidR="7FFC8FB1">
        <w:rPr>
          <w:rFonts w:cs="Arial"/>
          <w:sz w:val="22"/>
          <w:szCs w:val="22"/>
        </w:rPr>
        <w:t xml:space="preserve"> on </w:t>
      </w:r>
      <w:r w:rsidRPr="352FA995" w:rsidR="60B9A504">
        <w:rPr>
          <w:rFonts w:cs="Arial"/>
          <w:sz w:val="22"/>
          <w:szCs w:val="22"/>
        </w:rPr>
        <w:t>REDD+ MRV</w:t>
      </w:r>
      <w:r w:rsidRPr="352FA995" w:rsidR="3F0400F7">
        <w:rPr>
          <w:rFonts w:cs="Arial"/>
          <w:sz w:val="22"/>
          <w:szCs w:val="22"/>
        </w:rPr>
        <w:t xml:space="preserve">. This course </w:t>
      </w:r>
      <w:r w:rsidRPr="352FA995" w:rsidR="60B9A504">
        <w:rPr>
          <w:rFonts w:cs="Arial"/>
          <w:sz w:val="22"/>
          <w:szCs w:val="22"/>
        </w:rPr>
        <w:t>synthesizes key technical issues, good practises and practical solutions derived from existing repor</w:t>
      </w:r>
      <w:r w:rsidRPr="352FA995" w:rsidR="3F0400F7">
        <w:rPr>
          <w:rFonts w:cs="Arial"/>
          <w:sz w:val="22"/>
          <w:szCs w:val="22"/>
        </w:rPr>
        <w:t xml:space="preserve">ts and guidance, and aims to support experts involved in the </w:t>
      </w:r>
      <w:r w:rsidRPr="352FA995" w:rsidR="2DD5F643">
        <w:rPr>
          <w:rFonts w:cs="Arial"/>
          <w:sz w:val="22"/>
          <w:szCs w:val="22"/>
        </w:rPr>
        <w:t xml:space="preserve">technical assessment of FRELs/FRLs and the technical analysis of REDD+ results. </w:t>
      </w:r>
      <w:r w:rsidRPr="352FA995" w:rsidR="58C9D910">
        <w:rPr>
          <w:rFonts w:cs="Arial"/>
          <w:sz w:val="22"/>
          <w:szCs w:val="22"/>
        </w:rPr>
        <w:t>When setting logframe targets for the additional two years of programme funding, the programme team will consider whether a more ambitious t</w:t>
      </w:r>
      <w:r w:rsidRPr="352FA995" w:rsidR="58C9D910">
        <w:rPr>
          <w:rFonts w:cs="Arial"/>
          <w:sz w:val="22"/>
          <w:szCs w:val="22"/>
        </w:rPr>
        <w:t>arget is needed for 2027, given the resu</w:t>
      </w:r>
      <w:r w:rsidRPr="352FA995" w:rsidR="6A50CBB9">
        <w:rPr>
          <w:rFonts w:cs="Arial"/>
          <w:sz w:val="22"/>
          <w:szCs w:val="22"/>
        </w:rPr>
        <w:t>lt</w:t>
      </w:r>
      <w:r w:rsidRPr="352FA995" w:rsidR="58C9D910">
        <w:rPr>
          <w:rFonts w:cs="Arial"/>
          <w:sz w:val="22"/>
          <w:szCs w:val="22"/>
        </w:rPr>
        <w:t xml:space="preserve">s from 2026. </w:t>
      </w:r>
    </w:p>
    <w:p w:rsidR="00CE2B12" w:rsidP="004D5FD5" w:rsidRDefault="00CE2B12" w14:paraId="5CA0EE32" w14:textId="77777777">
      <w:pPr>
        <w:jc w:val="both"/>
        <w:rPr>
          <w:rFonts w:cs="Arial"/>
          <w:sz w:val="22"/>
          <w:szCs w:val="22"/>
        </w:rPr>
      </w:pPr>
    </w:p>
    <w:p w:rsidR="74AF380C" w:rsidP="1ADAF767" w:rsidRDefault="1A50DB70" w14:paraId="404FD007" w14:textId="7F8E1165">
      <w:pPr>
        <w:jc w:val="both"/>
      </w:pPr>
      <w:r w:rsidRPr="76BF131A" w:rsidR="1A24D865">
        <w:rPr>
          <w:rFonts w:cs="Arial"/>
          <w:sz w:val="22"/>
          <w:szCs w:val="22"/>
        </w:rPr>
        <w:t>The programme also demonstrated strong results on acquired learning, with 94% of respondents under Output Indicator 2.1D stating that they had acq</w:t>
      </w:r>
      <w:r w:rsidRPr="76BF131A" w:rsidR="0D3D82E1">
        <w:rPr>
          <w:rFonts w:cs="Arial"/>
          <w:sz w:val="22"/>
          <w:szCs w:val="22"/>
        </w:rPr>
        <w:t xml:space="preserve">uired improved understanding of key forest-related agreements, reports and processes under the Paris Agreement, and 90% if respondents stating that they had acquired new knowledge on the benefits and </w:t>
      </w:r>
      <w:r w:rsidRPr="76BF131A" w:rsidR="6BE82992">
        <w:rPr>
          <w:rFonts w:cs="Arial"/>
          <w:sz w:val="22"/>
          <w:szCs w:val="22"/>
        </w:rPr>
        <w:t>options</w:t>
      </w:r>
      <w:r w:rsidRPr="76BF131A" w:rsidR="0D3D82E1">
        <w:rPr>
          <w:rFonts w:cs="Arial"/>
          <w:sz w:val="22"/>
          <w:szCs w:val="22"/>
        </w:rPr>
        <w:t xml:space="preserve"> for strengthening alignment between Article 5.2 and carbon crediting initiatives, including Article 6, and providers of REDD+ </w:t>
      </w:r>
      <w:r w:rsidRPr="76BF131A" w:rsidR="32F26C78">
        <w:rPr>
          <w:rFonts w:cs="Arial"/>
          <w:sz w:val="22"/>
          <w:szCs w:val="22"/>
        </w:rPr>
        <w:t xml:space="preserve"> results-based payments.</w:t>
      </w:r>
      <w:r w:rsidRPr="1436FEFD" w:rsidR="62820290">
        <w:rPr>
          <w:rFonts w:cs="Arial"/>
          <w:sz w:val="22"/>
          <w:szCs w:val="22"/>
        </w:rPr>
        <w:t xml:space="preserve"> Survey data was collected from the Latin America and Caribbean (LAC) Regional meeting and the Global Summit. The survey from the LAC had an 80% response rate and the Global Summit had a 58% response rate the survey.  </w:t>
      </w:r>
    </w:p>
    <w:p w:rsidR="004678D0" w:rsidP="004678D0" w:rsidRDefault="73BE6983" w14:paraId="45C5F7FF" w14:textId="416020E7">
      <w:pPr>
        <w:pStyle w:val="Heading2"/>
        <w:jc w:val="both"/>
      </w:pPr>
      <w:bookmarkStart w:name="_Toc393903503" w:id="67"/>
      <w:r>
        <w:t xml:space="preserve">Output 2.2: </w:t>
      </w:r>
      <w:r w:rsidR="4F2522C8">
        <w:t>Demonstration of benefits to Parties, and other relevant stakeholders, of strengthening cooperation and ambition on REDD+ safeguards</w:t>
      </w:r>
      <w:bookmarkEnd w:id="67"/>
    </w:p>
    <w:p w:rsidRPr="00ED5FD4" w:rsidR="004678D0" w:rsidP="004678D0" w:rsidRDefault="004678D0" w14:paraId="56C7CE79" w14:textId="77777777"/>
    <w:tbl>
      <w:tblPr>
        <w:tblStyle w:val="TableGrid"/>
        <w:tblW w:w="9072" w:type="dxa"/>
        <w:tblInd w:w="-5" w:type="dxa"/>
        <w:tblLook w:val="04A0" w:firstRow="1" w:lastRow="0" w:firstColumn="1" w:lastColumn="0" w:noHBand="0" w:noVBand="1"/>
      </w:tblPr>
      <w:tblGrid>
        <w:gridCol w:w="1566"/>
        <w:gridCol w:w="616"/>
        <w:gridCol w:w="937"/>
        <w:gridCol w:w="2977"/>
        <w:gridCol w:w="2976"/>
      </w:tblGrid>
      <w:tr w:rsidRPr="00D80C6C" w:rsidR="004678D0" w:rsidTr="76355D7B" w14:paraId="10860D19" w14:textId="77777777">
        <w:trPr>
          <w:trHeight w:val="489"/>
        </w:trPr>
        <w:tc>
          <w:tcPr>
            <w:tcW w:w="1566"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4A48D3D2" w14:textId="77777777">
            <w:pPr>
              <w:jc w:val="both"/>
              <w:rPr>
                <w:rFonts w:cs="Arial"/>
                <w:b/>
                <w:bCs/>
                <w:sz w:val="22"/>
                <w:szCs w:val="22"/>
              </w:rPr>
            </w:pPr>
            <w:r w:rsidRPr="00D80C6C">
              <w:rPr>
                <w:rFonts w:cs="Arial"/>
                <w:b/>
                <w:bCs/>
                <w:sz w:val="22"/>
                <w:szCs w:val="22"/>
              </w:rPr>
              <w:t xml:space="preserve">Output Title </w:t>
            </w:r>
          </w:p>
        </w:tc>
        <w:tc>
          <w:tcPr>
            <w:tcW w:w="750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ED5FD4" w:rsidR="004678D0" w:rsidP="00276661" w:rsidRDefault="00FE19C2" w14:paraId="66F2ED4A" w14:textId="33CA1661">
            <w:pPr>
              <w:jc w:val="both"/>
              <w:rPr>
                <w:rFonts w:cs="Arial"/>
                <w:bCs/>
                <w:iCs/>
                <w:color w:val="FF0000"/>
                <w:sz w:val="22"/>
                <w:szCs w:val="22"/>
              </w:rPr>
            </w:pPr>
            <w:r w:rsidRPr="00FE19C2">
              <w:rPr>
                <w:rFonts w:cs="Arial"/>
                <w:bCs/>
                <w:iCs/>
                <w:sz w:val="22"/>
                <w:szCs w:val="22"/>
              </w:rPr>
              <w:t>Demonstration of benefits to Parties, and other relevant stakeholders, of strengthening cooperation and ambition on REDD+ safeguards</w:t>
            </w:r>
          </w:p>
        </w:tc>
      </w:tr>
      <w:tr w:rsidRPr="00D80C6C" w:rsidR="004678D0" w:rsidTr="76355D7B" w14:paraId="6AC0B062" w14:textId="77777777">
        <w:trPr>
          <w:trHeight w:val="347"/>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01B12A10" w14:textId="77777777">
            <w:pPr>
              <w:jc w:val="both"/>
              <w:rPr>
                <w:rFonts w:cs="Arial"/>
                <w:bCs/>
                <w:sz w:val="22"/>
                <w:szCs w:val="22"/>
              </w:rPr>
            </w:pPr>
            <w:r w:rsidRPr="00D80C6C">
              <w:rPr>
                <w:rFonts w:cs="Arial"/>
                <w:bCs/>
                <w:sz w:val="22"/>
                <w:szCs w:val="22"/>
              </w:rPr>
              <w:t xml:space="preserve">Output number: </w:t>
            </w:r>
          </w:p>
        </w:tc>
        <w:tc>
          <w:tcPr>
            <w:tcW w:w="937" w:type="dxa"/>
            <w:tcBorders>
              <w:top w:val="single" w:color="auto" w:sz="4" w:space="0"/>
              <w:left w:val="single" w:color="auto" w:sz="4" w:space="0"/>
              <w:bottom w:val="single" w:color="auto" w:sz="4" w:space="0"/>
              <w:right w:val="single" w:color="auto" w:sz="4" w:space="0"/>
            </w:tcBorders>
          </w:tcPr>
          <w:p w:rsidRPr="00D80C6C" w:rsidR="004678D0" w:rsidP="00276661" w:rsidRDefault="00FE19C2" w14:paraId="04A76136" w14:textId="59536FA3">
            <w:pPr>
              <w:jc w:val="both"/>
              <w:rPr>
                <w:rFonts w:cs="Arial"/>
                <w:sz w:val="22"/>
                <w:szCs w:val="22"/>
              </w:rPr>
            </w:pPr>
            <w:r>
              <w:rPr>
                <w:rFonts w:cs="Arial"/>
                <w:sz w:val="22"/>
                <w:szCs w:val="22"/>
              </w:rPr>
              <w:t>2.2</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24490D58" w14:textId="77777777">
            <w:pPr>
              <w:jc w:val="both"/>
              <w:rPr>
                <w:rFonts w:cs="Arial"/>
                <w:sz w:val="22"/>
                <w:szCs w:val="22"/>
              </w:rPr>
            </w:pPr>
            <w:r w:rsidRPr="00D80C6C">
              <w:rPr>
                <w:rFonts w:cs="Arial"/>
                <w:bCs/>
                <w:sz w:val="22"/>
                <w:szCs w:val="22"/>
              </w:rPr>
              <w:t xml:space="preserve">Output Score: </w:t>
            </w:r>
          </w:p>
        </w:tc>
        <w:tc>
          <w:tcPr>
            <w:tcW w:w="2976" w:type="dxa"/>
            <w:tcBorders>
              <w:top w:val="single" w:color="auto" w:sz="4" w:space="0"/>
              <w:left w:val="single" w:color="auto" w:sz="4" w:space="0"/>
              <w:bottom w:val="single" w:color="auto" w:sz="4" w:space="0"/>
              <w:right w:val="single" w:color="auto" w:sz="4" w:space="0"/>
            </w:tcBorders>
          </w:tcPr>
          <w:p w:rsidRPr="000224EC" w:rsidR="004678D0" w:rsidP="00276661" w:rsidRDefault="000224EC" w14:paraId="2191A055" w14:textId="3D3AFE38">
            <w:pPr>
              <w:jc w:val="both"/>
              <w:rPr>
                <w:rFonts w:cs="Arial"/>
                <w:iCs/>
                <w:sz w:val="22"/>
                <w:szCs w:val="22"/>
              </w:rPr>
            </w:pPr>
            <w:r w:rsidRPr="000224EC">
              <w:rPr>
                <w:rFonts w:cs="Arial"/>
                <w:iCs/>
                <w:sz w:val="22"/>
                <w:szCs w:val="22"/>
              </w:rPr>
              <w:t>A</w:t>
            </w:r>
          </w:p>
        </w:tc>
      </w:tr>
      <w:tr w:rsidRPr="00D80C6C" w:rsidR="004678D0" w:rsidTr="76355D7B" w14:paraId="799FDF85"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7D3B9D71" w14:textId="77777777">
            <w:pPr>
              <w:jc w:val="both"/>
              <w:rPr>
                <w:rFonts w:cs="Arial"/>
                <w:sz w:val="22"/>
                <w:szCs w:val="22"/>
              </w:rPr>
            </w:pPr>
            <w:r w:rsidRPr="00D80C6C">
              <w:rPr>
                <w:rFonts w:cs="Arial"/>
                <w:bCs/>
                <w:sz w:val="22"/>
                <w:szCs w:val="22"/>
              </w:rPr>
              <w:t xml:space="preserve">Impact weighting (%):  </w:t>
            </w:r>
          </w:p>
        </w:tc>
        <w:tc>
          <w:tcPr>
            <w:tcW w:w="937" w:type="dxa"/>
            <w:tcBorders>
              <w:top w:val="single" w:color="auto" w:sz="4" w:space="0"/>
              <w:left w:val="single" w:color="auto" w:sz="4" w:space="0"/>
              <w:bottom w:val="single" w:color="auto" w:sz="4" w:space="0"/>
              <w:right w:val="single" w:color="auto" w:sz="4" w:space="0"/>
            </w:tcBorders>
            <w:hideMark/>
          </w:tcPr>
          <w:p w:rsidRPr="00D80C6C" w:rsidR="004678D0" w:rsidP="00276661" w:rsidRDefault="00FE19C2" w14:paraId="7313E78B" w14:textId="512E08AD">
            <w:pPr>
              <w:jc w:val="both"/>
              <w:rPr>
                <w:rFonts w:cs="Arial"/>
                <w:bCs/>
                <w:sz w:val="22"/>
                <w:szCs w:val="22"/>
              </w:rPr>
            </w:pPr>
            <w:r>
              <w:rPr>
                <w:rFonts w:cs="Arial"/>
                <w:bCs/>
                <w:sz w:val="22"/>
                <w:szCs w:val="22"/>
              </w:rPr>
              <w:t>20</w:t>
            </w:r>
            <w:r w:rsidR="004678D0">
              <w:rPr>
                <w:rFonts w:cs="Arial"/>
                <w:bCs/>
                <w:sz w:val="22"/>
                <w:szCs w:val="22"/>
              </w:rPr>
              <w:t>%</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5DA6A420" w14:textId="77777777">
            <w:pPr>
              <w:jc w:val="both"/>
              <w:rPr>
                <w:rFonts w:cs="Arial"/>
                <w:bCs/>
                <w:sz w:val="22"/>
                <w:szCs w:val="22"/>
              </w:rPr>
            </w:pPr>
            <w:r w:rsidRPr="00D80C6C">
              <w:rPr>
                <w:rFonts w:cs="Arial"/>
                <w:bCs/>
                <w:sz w:val="22"/>
                <w:szCs w:val="22"/>
              </w:rPr>
              <w:t xml:space="preserve">Weighting revised since last AR? </w:t>
            </w:r>
          </w:p>
        </w:tc>
        <w:tc>
          <w:tcPr>
            <w:tcW w:w="2976" w:type="dxa"/>
            <w:tcBorders>
              <w:top w:val="single" w:color="auto" w:sz="4" w:space="0"/>
              <w:left w:val="single" w:color="auto" w:sz="4" w:space="0"/>
              <w:bottom w:val="single" w:color="auto" w:sz="4" w:space="0"/>
              <w:right w:val="single" w:color="auto" w:sz="4" w:space="0"/>
            </w:tcBorders>
          </w:tcPr>
          <w:p w:rsidRPr="00D80C6C" w:rsidR="004678D0" w:rsidP="00276661" w:rsidRDefault="004678D0" w14:paraId="5CF3375D" w14:textId="77777777">
            <w:pPr>
              <w:jc w:val="both"/>
              <w:rPr>
                <w:rFonts w:cs="Arial"/>
                <w:bCs/>
                <w:sz w:val="22"/>
                <w:szCs w:val="22"/>
              </w:rPr>
            </w:pPr>
            <w:r>
              <w:rPr>
                <w:rFonts w:cs="Arial"/>
                <w:bCs/>
                <w:sz w:val="22"/>
                <w:szCs w:val="22"/>
              </w:rPr>
              <w:t>N/A</w:t>
            </w:r>
          </w:p>
        </w:tc>
      </w:tr>
      <w:tr w:rsidRPr="00D80C6C" w:rsidR="004678D0" w:rsidTr="76355D7B" w14:paraId="1A1EA0BF"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4678D0" w:rsidP="00276661" w:rsidRDefault="004678D0" w14:paraId="054EF15F" w14:textId="77777777">
            <w:pPr>
              <w:jc w:val="both"/>
              <w:rPr>
                <w:rFonts w:cs="Arial"/>
                <w:bCs/>
                <w:sz w:val="22"/>
                <w:szCs w:val="22"/>
              </w:rPr>
            </w:pPr>
            <w:r w:rsidRPr="00D80C6C">
              <w:rPr>
                <w:rFonts w:cs="Arial"/>
                <w:bCs/>
                <w:sz w:val="22"/>
                <w:szCs w:val="22"/>
              </w:rPr>
              <w:t>Risk rating</w:t>
            </w:r>
            <w:r>
              <w:rPr>
                <w:rFonts w:cs="Arial"/>
                <w:bCs/>
                <w:sz w:val="22"/>
                <w:szCs w:val="22"/>
              </w:rPr>
              <w:t>:</w:t>
            </w:r>
          </w:p>
        </w:tc>
        <w:tc>
          <w:tcPr>
            <w:tcW w:w="937" w:type="dxa"/>
            <w:tcBorders>
              <w:top w:val="single" w:color="auto" w:sz="4" w:space="0"/>
              <w:left w:val="single" w:color="auto" w:sz="4" w:space="0"/>
              <w:bottom w:val="single" w:color="auto" w:sz="4" w:space="0"/>
              <w:right w:val="single" w:color="auto" w:sz="4" w:space="0"/>
            </w:tcBorders>
          </w:tcPr>
          <w:p w:rsidRPr="00D80C6C" w:rsidR="004678D0" w:rsidP="00276661" w:rsidRDefault="2482F860" w14:paraId="408E8D52" w14:textId="3EBD2116">
            <w:pPr>
              <w:jc w:val="both"/>
            </w:pPr>
            <w:r w:rsidRPr="76355D7B">
              <w:rPr>
                <w:rFonts w:cs="Arial"/>
                <w:sz w:val="22"/>
                <w:szCs w:val="22"/>
              </w:rPr>
              <w:t>Minor</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4678D0" w:rsidP="00276661" w:rsidRDefault="004678D0" w14:paraId="37D06B64" w14:textId="77777777">
            <w:pPr>
              <w:jc w:val="both"/>
              <w:rPr>
                <w:rFonts w:cs="Arial"/>
                <w:bCs/>
                <w:sz w:val="22"/>
                <w:szCs w:val="22"/>
              </w:rPr>
            </w:pPr>
            <w:r w:rsidRPr="00D80C6C">
              <w:rPr>
                <w:rFonts w:cs="Arial"/>
                <w:bCs/>
                <w:sz w:val="22"/>
                <w:szCs w:val="22"/>
              </w:rPr>
              <w:t>Risk revised since last AR?</w:t>
            </w:r>
          </w:p>
        </w:tc>
        <w:tc>
          <w:tcPr>
            <w:tcW w:w="2976" w:type="dxa"/>
            <w:tcBorders>
              <w:top w:val="single" w:color="auto" w:sz="4" w:space="0"/>
              <w:left w:val="single" w:color="auto" w:sz="4" w:space="0"/>
              <w:bottom w:val="single" w:color="auto" w:sz="4" w:space="0"/>
              <w:right w:val="single" w:color="auto" w:sz="4" w:space="0"/>
            </w:tcBorders>
          </w:tcPr>
          <w:p w:rsidRPr="00D80C6C" w:rsidR="004678D0" w:rsidP="00276661" w:rsidRDefault="004678D0" w14:paraId="51B4A4AF" w14:textId="77777777">
            <w:pPr>
              <w:jc w:val="both"/>
              <w:rPr>
                <w:rFonts w:cs="Arial"/>
                <w:bCs/>
                <w:sz w:val="22"/>
                <w:szCs w:val="22"/>
              </w:rPr>
            </w:pPr>
            <w:r>
              <w:rPr>
                <w:rFonts w:cs="Arial"/>
                <w:bCs/>
                <w:sz w:val="22"/>
                <w:szCs w:val="22"/>
              </w:rPr>
              <w:t>N/A</w:t>
            </w:r>
          </w:p>
        </w:tc>
      </w:tr>
    </w:tbl>
    <w:p w:rsidRPr="00D80C6C" w:rsidR="004678D0" w:rsidP="004678D0" w:rsidRDefault="004678D0" w14:paraId="24098AB1" w14:textId="77777777">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3008"/>
        <w:gridCol w:w="2657"/>
        <w:gridCol w:w="3402"/>
      </w:tblGrid>
      <w:tr w:rsidRPr="00D80C6C" w:rsidR="004678D0" w:rsidTr="352FA995" w14:paraId="172D8778" w14:textId="77777777">
        <w:trPr>
          <w:trHeight w:val="273"/>
        </w:trPr>
        <w:tc>
          <w:tcPr>
            <w:tcW w:w="3008"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4678D0" w:rsidP="00276661" w:rsidRDefault="004678D0" w14:paraId="1D1A70D5" w14:textId="77777777">
            <w:pPr>
              <w:jc w:val="both"/>
              <w:rPr>
                <w:rFonts w:cs="Arial"/>
                <w:b/>
                <w:bCs/>
                <w:sz w:val="22"/>
                <w:szCs w:val="22"/>
              </w:rPr>
            </w:pPr>
            <w:r w:rsidRPr="00D80C6C">
              <w:rPr>
                <w:rFonts w:cs="Arial"/>
                <w:b/>
                <w:bCs/>
                <w:sz w:val="22"/>
                <w:szCs w:val="22"/>
              </w:rPr>
              <w:t>Indicator(s)</w:t>
            </w:r>
          </w:p>
        </w:tc>
        <w:tc>
          <w:tcPr>
            <w:tcW w:w="2657"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4678D0" w:rsidP="00276661" w:rsidRDefault="004678D0" w14:paraId="1A676EA0" w14:textId="77777777">
            <w:pPr>
              <w:jc w:val="both"/>
              <w:rPr>
                <w:rFonts w:cs="Arial"/>
                <w:b/>
                <w:bCs/>
                <w:sz w:val="22"/>
                <w:szCs w:val="22"/>
              </w:rPr>
            </w:pPr>
            <w:r w:rsidRPr="00D80C6C">
              <w:rPr>
                <w:rFonts w:cs="Arial"/>
                <w:b/>
                <w:bCs/>
                <w:sz w:val="22"/>
                <w:szCs w:val="22"/>
              </w:rPr>
              <w:t>Milestone(s) for this review</w:t>
            </w:r>
          </w:p>
        </w:tc>
        <w:tc>
          <w:tcPr>
            <w:tcW w:w="3402"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4678D0" w:rsidP="00276661" w:rsidRDefault="004678D0" w14:paraId="0D0BC266" w14:textId="77777777">
            <w:pPr>
              <w:jc w:val="both"/>
              <w:rPr>
                <w:rFonts w:cs="Arial"/>
                <w:b/>
                <w:bCs/>
                <w:sz w:val="22"/>
                <w:szCs w:val="22"/>
              </w:rPr>
            </w:pPr>
            <w:r w:rsidRPr="00D80C6C">
              <w:rPr>
                <w:rFonts w:cs="Arial"/>
                <w:b/>
                <w:bCs/>
                <w:sz w:val="22"/>
                <w:szCs w:val="22"/>
              </w:rPr>
              <w:t xml:space="preserve">Progress </w:t>
            </w:r>
          </w:p>
        </w:tc>
      </w:tr>
      <w:tr w:rsidRPr="00D80C6C" w:rsidR="004678D0" w:rsidTr="352FA995" w14:paraId="0620ED20" w14:textId="77777777">
        <w:tc>
          <w:tcPr>
            <w:tcW w:w="3008" w:type="dxa"/>
            <w:tcBorders>
              <w:top w:val="single" w:color="auto" w:sz="4" w:space="0"/>
              <w:left w:val="single" w:color="auto" w:sz="4" w:space="0"/>
              <w:bottom w:val="single" w:color="auto" w:sz="4" w:space="0"/>
              <w:right w:val="single" w:color="auto" w:sz="4" w:space="0"/>
            </w:tcBorders>
            <w:tcMar/>
          </w:tcPr>
          <w:p w:rsidRPr="00D80C6C" w:rsidR="004678D0" w:rsidP="00276661" w:rsidRDefault="00FE19C2" w14:paraId="48B2B3DA" w14:textId="4EFA6289">
            <w:pPr>
              <w:rPr>
                <w:rFonts w:cs="Arial"/>
                <w:bCs/>
                <w:iCs/>
                <w:sz w:val="22"/>
                <w:szCs w:val="22"/>
              </w:rPr>
            </w:pPr>
            <w:r>
              <w:rPr>
                <w:rFonts w:cs="Arial"/>
                <w:bCs/>
                <w:iCs/>
                <w:sz w:val="22"/>
                <w:szCs w:val="22"/>
              </w:rPr>
              <w:t xml:space="preserve">2.2A: </w:t>
            </w:r>
            <w:r w:rsidR="00B61F4A">
              <w:t xml:space="preserve"> </w:t>
            </w:r>
            <w:r w:rsidRPr="00B61F4A" w:rsidR="00B61F4A">
              <w:rPr>
                <w:rFonts w:cs="Arial"/>
                <w:bCs/>
                <w:iCs/>
                <w:sz w:val="22"/>
                <w:szCs w:val="22"/>
              </w:rPr>
              <w:t>Completed qualitative/quantitative analysis of current safeguards reporting for REDD+, including recommendations for activities to strengthen reporting. (cumulative)</w:t>
            </w:r>
          </w:p>
        </w:tc>
        <w:tc>
          <w:tcPr>
            <w:tcW w:w="2657" w:type="dxa"/>
            <w:tcBorders>
              <w:top w:val="single" w:color="auto" w:sz="4" w:space="0"/>
              <w:left w:val="single" w:color="auto" w:sz="4" w:space="0"/>
              <w:bottom w:val="single" w:color="auto" w:sz="4" w:space="0"/>
              <w:right w:val="single" w:color="auto" w:sz="4" w:space="0"/>
            </w:tcBorders>
            <w:tcMar/>
          </w:tcPr>
          <w:p w:rsidRPr="00D80C6C" w:rsidR="004678D0" w:rsidP="00276661" w:rsidRDefault="00B61F4A" w14:paraId="0AAA80F3" w14:textId="66E6D5C2">
            <w:pPr>
              <w:jc w:val="both"/>
              <w:rPr>
                <w:rFonts w:cs="Arial"/>
                <w:bCs/>
                <w:iCs/>
                <w:sz w:val="22"/>
                <w:szCs w:val="22"/>
              </w:rPr>
            </w:pPr>
            <w:r>
              <w:rPr>
                <w:rFonts w:cs="Arial"/>
                <w:bCs/>
                <w:iCs/>
                <w:sz w:val="22"/>
                <w:szCs w:val="22"/>
              </w:rPr>
              <w:t>Jul 2026: 1</w:t>
            </w:r>
          </w:p>
        </w:tc>
        <w:tc>
          <w:tcPr>
            <w:tcW w:w="3402" w:type="dxa"/>
            <w:tcBorders>
              <w:top w:val="single" w:color="auto" w:sz="4" w:space="0"/>
              <w:left w:val="single" w:color="auto" w:sz="4" w:space="0"/>
              <w:bottom w:val="single" w:color="auto" w:sz="4" w:space="0"/>
              <w:right w:val="single" w:color="auto" w:sz="4" w:space="0"/>
            </w:tcBorders>
            <w:tcMar/>
          </w:tcPr>
          <w:p w:rsidR="004678D0" w:rsidP="00276661" w:rsidRDefault="00B61F4A" w14:paraId="4E5DA29A" w14:textId="77777777">
            <w:pPr>
              <w:contextualSpacing/>
              <w:rPr>
                <w:rFonts w:cs="Arial"/>
                <w:bCs/>
                <w:iCs/>
                <w:sz w:val="22"/>
                <w:szCs w:val="22"/>
              </w:rPr>
            </w:pPr>
            <w:r>
              <w:rPr>
                <w:rFonts w:cs="Arial"/>
                <w:bCs/>
                <w:iCs/>
                <w:sz w:val="22"/>
                <w:szCs w:val="22"/>
              </w:rPr>
              <w:t xml:space="preserve">Jul 2026: </w:t>
            </w:r>
            <w:r w:rsidR="008278E6">
              <w:rPr>
                <w:rFonts w:cs="Arial"/>
                <w:bCs/>
                <w:iCs/>
                <w:sz w:val="22"/>
                <w:szCs w:val="22"/>
              </w:rPr>
              <w:t xml:space="preserve">1 </w:t>
            </w:r>
            <w:r w:rsidR="008278E6">
              <w:rPr>
                <w:rFonts w:cs="Arial"/>
                <w:bCs/>
                <w:iCs/>
                <w:sz w:val="22"/>
                <w:szCs w:val="22"/>
              </w:rPr>
              <w:br/>
            </w:r>
          </w:p>
          <w:p w:rsidRPr="00D80C6C" w:rsidR="008278E6" w:rsidP="00276661" w:rsidRDefault="008278E6" w14:paraId="4A219A15" w14:textId="4AD81573">
            <w:pPr>
              <w:contextualSpacing/>
              <w:rPr>
                <w:rFonts w:cs="Arial"/>
                <w:bCs/>
                <w:iCs/>
                <w:sz w:val="22"/>
                <w:szCs w:val="22"/>
              </w:rPr>
            </w:pPr>
            <w:r>
              <w:rPr>
                <w:rFonts w:cs="Arial"/>
                <w:bCs/>
                <w:iCs/>
                <w:sz w:val="22"/>
                <w:szCs w:val="22"/>
              </w:rPr>
              <w:t xml:space="preserve">Progress met expectations </w:t>
            </w:r>
          </w:p>
        </w:tc>
      </w:tr>
      <w:tr w:rsidRPr="00D80C6C" w:rsidR="004678D0" w:rsidTr="352FA995" w14:paraId="0CEFEE6B" w14:textId="77777777">
        <w:tc>
          <w:tcPr>
            <w:tcW w:w="3008" w:type="dxa"/>
            <w:tcBorders>
              <w:top w:val="single" w:color="auto" w:sz="4" w:space="0"/>
              <w:left w:val="single" w:color="auto" w:sz="4" w:space="0"/>
              <w:bottom w:val="single" w:color="auto" w:sz="4" w:space="0"/>
              <w:right w:val="single" w:color="auto" w:sz="4" w:space="0"/>
            </w:tcBorders>
            <w:tcMar/>
          </w:tcPr>
          <w:p w:rsidRPr="00D80C6C" w:rsidR="004678D0" w:rsidP="00276661" w:rsidRDefault="008278E6" w14:paraId="3835A1C4" w14:textId="2CD825B4">
            <w:pPr>
              <w:rPr>
                <w:rFonts w:cs="Arial"/>
                <w:bCs/>
                <w:iCs/>
                <w:sz w:val="22"/>
                <w:szCs w:val="22"/>
              </w:rPr>
            </w:pPr>
            <w:r>
              <w:rPr>
                <w:rFonts w:cs="Arial"/>
                <w:bCs/>
                <w:iCs/>
                <w:sz w:val="22"/>
                <w:szCs w:val="22"/>
              </w:rPr>
              <w:t xml:space="preserve">2.2B: </w:t>
            </w:r>
            <w:r w:rsidR="00FE585B">
              <w:t xml:space="preserve"> </w:t>
            </w:r>
            <w:r w:rsidRPr="00FE585B" w:rsidR="00FE585B">
              <w:rPr>
                <w:rFonts w:cs="Arial"/>
                <w:bCs/>
                <w:iCs/>
                <w:sz w:val="22"/>
                <w:szCs w:val="22"/>
              </w:rPr>
              <w:t>Number of communications/briefing products created to disseminate findings from qualitative/quantitative analysis of current safeguards reporting for REDD+. (cumulative)</w:t>
            </w:r>
          </w:p>
        </w:tc>
        <w:tc>
          <w:tcPr>
            <w:tcW w:w="2657" w:type="dxa"/>
            <w:tcBorders>
              <w:top w:val="single" w:color="auto" w:sz="4" w:space="0"/>
              <w:left w:val="single" w:color="auto" w:sz="4" w:space="0"/>
              <w:bottom w:val="single" w:color="auto" w:sz="4" w:space="0"/>
              <w:right w:val="single" w:color="auto" w:sz="4" w:space="0"/>
            </w:tcBorders>
            <w:tcMar/>
          </w:tcPr>
          <w:p w:rsidRPr="00D80C6C" w:rsidR="004678D0" w:rsidP="00276661" w:rsidRDefault="00FE585B" w14:paraId="7C8BBE6E" w14:textId="01F636B2">
            <w:pPr>
              <w:jc w:val="both"/>
              <w:rPr>
                <w:rFonts w:cs="Arial"/>
                <w:bCs/>
                <w:iCs/>
                <w:sz w:val="22"/>
                <w:szCs w:val="22"/>
              </w:rPr>
            </w:pPr>
            <w:r>
              <w:rPr>
                <w:rFonts w:cs="Arial"/>
                <w:bCs/>
                <w:iCs/>
                <w:sz w:val="22"/>
                <w:szCs w:val="22"/>
              </w:rPr>
              <w:t xml:space="preserve">Jul 2026: </w:t>
            </w:r>
            <w:r w:rsidR="00857A02">
              <w:rPr>
                <w:rFonts w:cs="Arial"/>
                <w:bCs/>
                <w:iCs/>
                <w:sz w:val="22"/>
                <w:szCs w:val="22"/>
              </w:rPr>
              <w:t>1</w:t>
            </w:r>
          </w:p>
        </w:tc>
        <w:tc>
          <w:tcPr>
            <w:tcW w:w="3402" w:type="dxa"/>
            <w:tcBorders>
              <w:top w:val="single" w:color="auto" w:sz="4" w:space="0"/>
              <w:left w:val="single" w:color="auto" w:sz="4" w:space="0"/>
              <w:bottom w:val="single" w:color="auto" w:sz="4" w:space="0"/>
              <w:right w:val="single" w:color="auto" w:sz="4" w:space="0"/>
            </w:tcBorders>
            <w:tcMar/>
          </w:tcPr>
          <w:p w:rsidRPr="00D80C6C" w:rsidR="004678D0" w:rsidP="352FA995" w:rsidRDefault="004678D0" w14:paraId="18158730" w14:textId="23EF71A9">
            <w:pPr>
              <w:spacing/>
              <w:contextualSpacing w:val="1"/>
              <w:rPr>
                <w:rFonts w:cs="Arial"/>
                <w:sz w:val="22"/>
                <w:szCs w:val="22"/>
              </w:rPr>
            </w:pPr>
            <w:r w:rsidRPr="352FA995" w:rsidR="004678D0">
              <w:rPr>
                <w:rFonts w:cs="Arial"/>
                <w:sz w:val="22"/>
                <w:szCs w:val="22"/>
              </w:rPr>
              <w:t xml:space="preserve"> </w:t>
            </w:r>
            <w:r w:rsidRPr="352FA995" w:rsidR="00857A02">
              <w:rPr>
                <w:rFonts w:cs="Arial"/>
                <w:sz w:val="22"/>
                <w:szCs w:val="22"/>
              </w:rPr>
              <w:t xml:space="preserve">Jul 2026: </w:t>
            </w:r>
            <w:r w:rsidRPr="352FA995" w:rsidR="005F001D">
              <w:rPr>
                <w:rFonts w:cs="Arial"/>
                <w:sz w:val="22"/>
                <w:szCs w:val="22"/>
              </w:rPr>
              <w:t xml:space="preserve">1 </w:t>
            </w:r>
            <w:r>
              <w:br/>
            </w:r>
            <w:r>
              <w:br/>
            </w:r>
            <w:r w:rsidRPr="352FA995" w:rsidR="005F001D">
              <w:rPr>
                <w:rFonts w:cs="Arial"/>
                <w:sz w:val="22"/>
                <w:szCs w:val="22"/>
              </w:rPr>
              <w:t xml:space="preserve">Progress met expectations </w:t>
            </w:r>
          </w:p>
        </w:tc>
      </w:tr>
      <w:tr w:rsidRPr="00D80C6C" w:rsidR="005F001D" w:rsidTr="352FA995" w14:paraId="4FE48C3A" w14:textId="77777777">
        <w:tc>
          <w:tcPr>
            <w:tcW w:w="3008" w:type="dxa"/>
            <w:tcBorders>
              <w:top w:val="single" w:color="auto" w:sz="4" w:space="0"/>
              <w:left w:val="single" w:color="auto" w:sz="4" w:space="0"/>
              <w:bottom w:val="single" w:color="auto" w:sz="4" w:space="0"/>
              <w:right w:val="single" w:color="auto" w:sz="4" w:space="0"/>
            </w:tcBorders>
            <w:tcMar/>
          </w:tcPr>
          <w:p w:rsidR="005F001D" w:rsidP="00276661" w:rsidRDefault="005F001D" w14:paraId="029596FA" w14:textId="26097A5B">
            <w:pPr>
              <w:rPr>
                <w:rFonts w:cs="Arial"/>
                <w:bCs/>
                <w:iCs/>
                <w:sz w:val="22"/>
                <w:szCs w:val="22"/>
              </w:rPr>
            </w:pPr>
            <w:r>
              <w:rPr>
                <w:rFonts w:cs="Arial"/>
                <w:bCs/>
                <w:iCs/>
                <w:sz w:val="22"/>
                <w:szCs w:val="22"/>
              </w:rPr>
              <w:t xml:space="preserve">2.2C: </w:t>
            </w:r>
            <w:r w:rsidR="00FD175B">
              <w:t xml:space="preserve"> </w:t>
            </w:r>
            <w:r w:rsidRPr="00FD175B" w:rsidR="00FD175B">
              <w:rPr>
                <w:rFonts w:cs="Arial"/>
                <w:bCs/>
                <w:iCs/>
                <w:sz w:val="22"/>
                <w:szCs w:val="22"/>
              </w:rPr>
              <w:t>Proportion of participants in events/meetings/trainings who acquired improved understanding of REDD+ safeguards reporting including its benefits.</w:t>
            </w:r>
          </w:p>
        </w:tc>
        <w:tc>
          <w:tcPr>
            <w:tcW w:w="2657" w:type="dxa"/>
            <w:tcBorders>
              <w:top w:val="single" w:color="auto" w:sz="4" w:space="0"/>
              <w:left w:val="single" w:color="auto" w:sz="4" w:space="0"/>
              <w:bottom w:val="single" w:color="auto" w:sz="4" w:space="0"/>
              <w:right w:val="single" w:color="auto" w:sz="4" w:space="0"/>
            </w:tcBorders>
            <w:tcMar/>
          </w:tcPr>
          <w:p w:rsidR="005F001D" w:rsidP="00297D9F" w:rsidRDefault="00FD175B" w14:paraId="3FCDB6E8" w14:textId="39DE1073">
            <w:pPr>
              <w:rPr>
                <w:rFonts w:cs="Arial"/>
                <w:bCs/>
                <w:iCs/>
                <w:sz w:val="22"/>
                <w:szCs w:val="22"/>
              </w:rPr>
            </w:pPr>
            <w:r>
              <w:rPr>
                <w:rFonts w:cs="Arial"/>
                <w:bCs/>
                <w:iCs/>
                <w:sz w:val="22"/>
                <w:szCs w:val="22"/>
              </w:rPr>
              <w:t>Jul 2026</w:t>
            </w:r>
            <w:r w:rsidR="00297D9F">
              <w:rPr>
                <w:rFonts w:cs="Arial"/>
                <w:bCs/>
                <w:iCs/>
                <w:sz w:val="22"/>
                <w:szCs w:val="22"/>
              </w:rPr>
              <w:t>: 80% respondents</w:t>
            </w:r>
          </w:p>
        </w:tc>
        <w:tc>
          <w:tcPr>
            <w:tcW w:w="3402" w:type="dxa"/>
            <w:tcBorders>
              <w:top w:val="single" w:color="auto" w:sz="4" w:space="0"/>
              <w:left w:val="single" w:color="auto" w:sz="4" w:space="0"/>
              <w:bottom w:val="single" w:color="auto" w:sz="4" w:space="0"/>
              <w:right w:val="single" w:color="auto" w:sz="4" w:space="0"/>
            </w:tcBorders>
            <w:tcMar/>
          </w:tcPr>
          <w:p w:rsidR="005F001D" w:rsidP="005F001D" w:rsidRDefault="00297D9F" w14:paraId="51EEC410" w14:textId="3C477BE0">
            <w:pPr>
              <w:contextualSpacing/>
              <w:rPr>
                <w:rFonts w:cs="Arial"/>
                <w:bCs/>
                <w:iCs/>
                <w:sz w:val="22"/>
                <w:szCs w:val="22"/>
              </w:rPr>
            </w:pPr>
            <w:r>
              <w:rPr>
                <w:rFonts w:cs="Arial"/>
                <w:bCs/>
                <w:iCs/>
                <w:sz w:val="22"/>
                <w:szCs w:val="22"/>
              </w:rPr>
              <w:t xml:space="preserve">Jul 2026: 97% respondents </w:t>
            </w:r>
            <w:r>
              <w:rPr>
                <w:rFonts w:cs="Arial"/>
                <w:bCs/>
                <w:iCs/>
                <w:sz w:val="22"/>
                <w:szCs w:val="22"/>
              </w:rPr>
              <w:br/>
            </w:r>
            <w:r>
              <w:rPr>
                <w:rFonts w:cs="Arial"/>
                <w:bCs/>
                <w:iCs/>
                <w:sz w:val="22"/>
                <w:szCs w:val="22"/>
              </w:rPr>
              <w:br/>
            </w:r>
            <w:r>
              <w:rPr>
                <w:rFonts w:cs="Arial"/>
                <w:bCs/>
                <w:iCs/>
                <w:sz w:val="22"/>
                <w:szCs w:val="22"/>
              </w:rPr>
              <w:t xml:space="preserve">Progress moderately exceeded expectations </w:t>
            </w:r>
          </w:p>
        </w:tc>
      </w:tr>
    </w:tbl>
    <w:p w:rsidR="004678D0" w:rsidP="004D5FD5" w:rsidRDefault="004678D0" w14:paraId="670C6BE1" w14:textId="77777777">
      <w:pPr>
        <w:jc w:val="both"/>
        <w:rPr>
          <w:rFonts w:cs="Arial"/>
          <w:sz w:val="22"/>
          <w:szCs w:val="22"/>
        </w:rPr>
      </w:pPr>
    </w:p>
    <w:p w:rsidR="004678D0" w:rsidP="34B4E9D5" w:rsidRDefault="678B6EC0" w14:paraId="4F4F788C" w14:textId="03442EFE">
      <w:pPr>
        <w:jc w:val="both"/>
      </w:pPr>
      <w:r w:rsidRPr="73B9555E" w:rsidR="7263533B">
        <w:rPr>
          <w:rFonts w:cs="Arial"/>
          <w:sz w:val="22"/>
          <w:szCs w:val="22"/>
        </w:rPr>
        <w:t xml:space="preserve">Output 2.2 scored an A overall for this period, with indicators 2.2A and 2.2B meeting expectations, and indicator 2.2C moderately exceeding expectations. </w:t>
      </w:r>
      <w:r w:rsidRPr="73B9555E" w:rsidR="2811D7EA">
        <w:rPr>
          <w:rFonts w:cs="Arial"/>
          <w:sz w:val="22"/>
          <w:szCs w:val="22"/>
        </w:rPr>
        <w:t>Under Output 2.2B the AFOLU Unit published a briefing on ‘The evolving role of REDD+ National Strategies and Action Plans.’</w:t>
      </w:r>
      <w:r w:rsidRPr="73B9555E">
        <w:rPr>
          <w:rStyle w:val="FootnoteReference"/>
          <w:rFonts w:cs="Arial"/>
          <w:sz w:val="22"/>
          <w:szCs w:val="22"/>
        </w:rPr>
        <w:footnoteReference w:id="13419"/>
      </w:r>
      <w:r w:rsidRPr="73B9555E" w:rsidR="199BC69D">
        <w:rPr>
          <w:rFonts w:cs="Arial"/>
          <w:sz w:val="22"/>
          <w:szCs w:val="22"/>
        </w:rPr>
        <w:t xml:space="preserve"> This briefing provides an overview of the strategic role, and key components of REDD+ National Strategies or Action Plans within the Paris Agreement. </w:t>
      </w:r>
      <w:r w:rsidRPr="73B9555E" w:rsidR="6FDB6D7E">
        <w:rPr>
          <w:rFonts w:cs="Arial"/>
          <w:sz w:val="22"/>
          <w:szCs w:val="22"/>
        </w:rPr>
        <w:t xml:space="preserve">Under </w:t>
      </w:r>
      <w:r w:rsidRPr="73B9555E" w:rsidR="7263533B">
        <w:rPr>
          <w:rFonts w:cs="Arial"/>
          <w:sz w:val="22"/>
          <w:szCs w:val="22"/>
        </w:rPr>
        <w:t>Out</w:t>
      </w:r>
      <w:r w:rsidRPr="73B9555E" w:rsidR="2F959C8C">
        <w:rPr>
          <w:rFonts w:cs="Arial"/>
          <w:sz w:val="22"/>
          <w:szCs w:val="22"/>
        </w:rPr>
        <w:t xml:space="preserve">put 2.2C </w:t>
      </w:r>
      <w:r w:rsidRPr="73B9555E" w:rsidR="07030DE2">
        <w:rPr>
          <w:rFonts w:cs="Arial"/>
          <w:sz w:val="22"/>
          <w:szCs w:val="22"/>
        </w:rPr>
        <w:t xml:space="preserve">97% of respondents </w:t>
      </w:r>
      <w:r w:rsidRPr="73B9555E" w:rsidR="07030DE2">
        <w:rPr>
          <w:rFonts w:cs="Arial"/>
          <w:sz w:val="22"/>
          <w:szCs w:val="22"/>
        </w:rPr>
        <w:t xml:space="preserve">stat</w:t>
      </w:r>
      <w:r w:rsidRPr="73B9555E" w:rsidR="688D9A99">
        <w:rPr>
          <w:rFonts w:cs="Arial"/>
          <w:sz w:val="22"/>
          <w:szCs w:val="22"/>
        </w:rPr>
        <w:t>ed</w:t>
      </w:r>
      <w:r w:rsidRPr="73B9555E" w:rsidR="07030DE2">
        <w:rPr>
          <w:rFonts w:cs="Arial"/>
          <w:sz w:val="22"/>
          <w:szCs w:val="22"/>
        </w:rPr>
        <w:t xml:space="preserve"> they had </w:t>
      </w:r>
      <w:r w:rsidRPr="73B9555E" w:rsidR="07030DE2">
        <w:rPr>
          <w:rFonts w:cs="Arial"/>
          <w:sz w:val="22"/>
          <w:szCs w:val="22"/>
        </w:rPr>
        <w:t>acquired</w:t>
      </w:r>
      <w:r w:rsidRPr="73B9555E" w:rsidR="07030DE2">
        <w:rPr>
          <w:rFonts w:cs="Arial"/>
          <w:sz w:val="22"/>
          <w:szCs w:val="22"/>
        </w:rPr>
        <w:t xml:space="preserve"> improved understanding of REDD+ safeguards reporting</w:t>
      </w:r>
      <w:r w:rsidRPr="73B9555E" w:rsidR="5E036B4D">
        <w:rPr>
          <w:rFonts w:cs="Arial"/>
          <w:sz w:val="22"/>
          <w:szCs w:val="22"/>
        </w:rPr>
        <w:t xml:space="preserve">.</w:t>
      </w:r>
      <w:r w:rsidRPr="73B9555E" w:rsidR="5E036B4D">
        <w:rPr>
          <w:rFonts w:cs="Arial"/>
          <w:sz w:val="22"/>
          <w:szCs w:val="22"/>
        </w:rPr>
        <w:t xml:space="preserve"> </w:t>
      </w:r>
      <w:r w:rsidRPr="73B9555E" w:rsidR="44CDDFDC">
        <w:rPr>
          <w:rFonts w:cs="Arial"/>
          <w:sz w:val="22"/>
          <w:szCs w:val="22"/>
        </w:rPr>
        <w:t xml:space="preserve"> </w:t>
      </w:r>
      <w:r w:rsidRPr="73B9555E" w:rsidR="44CDDFDC">
        <w:rPr>
          <w:rFonts w:cs="Arial"/>
          <w:sz w:val="22"/>
          <w:szCs w:val="22"/>
        </w:rPr>
        <w:t xml:space="preserve">Survey data was collected from the Latin America and Caribbean (LAC) Regional meeting and the REDD+ Webinar on National Strategies and Safeguards (NS/SIS). The LAC meeting had </w:t>
      </w:r>
      <w:r w:rsidRPr="73B9555E" w:rsidR="27E50A59">
        <w:rPr>
          <w:rFonts w:cs="Arial"/>
          <w:sz w:val="22"/>
          <w:szCs w:val="22"/>
        </w:rPr>
        <w:t xml:space="preserve">an</w:t>
      </w:r>
      <w:r w:rsidRPr="73B9555E" w:rsidR="44CDDFDC">
        <w:rPr>
          <w:rFonts w:cs="Arial"/>
          <w:sz w:val="22"/>
          <w:szCs w:val="22"/>
        </w:rPr>
        <w:t xml:space="preserve"> 80% response rate to the survey</w:t>
      </w:r>
      <w:r w:rsidRPr="73B9555E" w:rsidR="35DC2FF5">
        <w:rPr>
          <w:rFonts w:cs="Arial"/>
          <w:sz w:val="22"/>
          <w:szCs w:val="22"/>
        </w:rPr>
        <w:t xml:space="preserve"> (within 15 out of 19 participants responding),</w:t>
      </w:r>
      <w:r w:rsidRPr="73B9555E" w:rsidR="44CDDFDC">
        <w:rPr>
          <w:rFonts w:cs="Arial"/>
          <w:sz w:val="22"/>
          <w:szCs w:val="22"/>
        </w:rPr>
        <w:t xml:space="preserve"> </w:t>
      </w:r>
      <w:r w:rsidRPr="73B9555E" w:rsidR="44CDDFDC">
        <w:rPr>
          <w:rFonts w:cs="Arial"/>
          <w:sz w:val="22"/>
          <w:szCs w:val="22"/>
        </w:rPr>
        <w:t xml:space="preserve">and the NS/SIS </w:t>
      </w:r>
      <w:r w:rsidRPr="3EB02FEA" w:rsidR="44CDDFDC">
        <w:rPr>
          <w:rFonts w:cs="Arial"/>
          <w:sz w:val="22"/>
          <w:szCs w:val="22"/>
        </w:rPr>
        <w:t>webinar</w:t>
      </w:r>
      <w:r w:rsidRPr="73B9555E" w:rsidR="44CDDFDC">
        <w:rPr>
          <w:rFonts w:cs="Arial"/>
          <w:sz w:val="22"/>
          <w:szCs w:val="22"/>
        </w:rPr>
        <w:t xml:space="preserve"> had a 30% response rate to the survey</w:t>
      </w:r>
      <w:r w:rsidRPr="73B9555E" w:rsidR="1D1725F2">
        <w:rPr>
          <w:rFonts w:cs="Arial"/>
          <w:sz w:val="22"/>
          <w:szCs w:val="22"/>
        </w:rPr>
        <w:t xml:space="preserve"> (with 14 out of 47 participants</w:t>
      </w:r>
      <w:r w:rsidRPr="73B9555E" w:rsidR="1D1725F2">
        <w:rPr>
          <w:rFonts w:cs="Arial"/>
          <w:sz w:val="22"/>
          <w:szCs w:val="22"/>
        </w:rPr>
        <w:t xml:space="preserve"> responding</w:t>
      </w:r>
      <w:r w:rsidRPr="73B9555E" w:rsidR="1D1725F2">
        <w:rPr>
          <w:rFonts w:cs="Arial"/>
          <w:sz w:val="22"/>
          <w:szCs w:val="22"/>
        </w:rPr>
        <w:t xml:space="preserve">)</w:t>
      </w:r>
      <w:r w:rsidRPr="352FA995" w:rsidR="44CDDFDC">
        <w:rPr>
          <w:rFonts w:cs="Arial"/>
          <w:sz w:val="22"/>
          <w:szCs w:val="22"/>
        </w:rPr>
        <w:t xml:space="preserve">. </w:t>
      </w:r>
      <w:r w:rsidRPr="352FA995" w:rsidR="5E036B4D">
        <w:rPr>
          <w:rFonts w:cs="Arial"/>
          <w:sz w:val="22"/>
          <w:szCs w:val="22"/>
        </w:rPr>
        <w:t xml:space="preserve">One of the events supported by the programme was the REDD+ Webinar on National Strategies and Safeguards under the Warsaw Framework for REDD+ which took place in April 2026. The </w:t>
      </w:r>
      <w:r w:rsidRPr="352FA995" w:rsidR="5E036B4D">
        <w:rPr>
          <w:rFonts w:cs="Arial"/>
          <w:sz w:val="22"/>
          <w:szCs w:val="22"/>
        </w:rPr>
        <w:t>webinar</w:t>
      </w:r>
      <w:r w:rsidRPr="352FA995" w:rsidR="5E036B4D">
        <w:rPr>
          <w:rFonts w:cs="Arial"/>
          <w:sz w:val="22"/>
          <w:szCs w:val="22"/>
        </w:rPr>
        <w:t xml:space="preserve"> aimed to: </w:t>
      </w:r>
    </w:p>
    <w:p w:rsidR="4BF5F392" w:rsidP="09F9D092" w:rsidRDefault="4BF5F392" w14:paraId="29C60E68" w14:textId="018FA020">
      <w:pPr>
        <w:pStyle w:val="ListParagraph"/>
        <w:numPr>
          <w:ilvl w:val="0"/>
          <w:numId w:val="3"/>
        </w:numPr>
        <w:jc w:val="both"/>
        <w:rPr>
          <w:rFonts w:cs="Arial"/>
          <w:sz w:val="22"/>
          <w:szCs w:val="22"/>
        </w:rPr>
      </w:pPr>
      <w:r w:rsidRPr="6970D3E9">
        <w:rPr>
          <w:rFonts w:cs="Arial"/>
          <w:sz w:val="22"/>
          <w:szCs w:val="22"/>
        </w:rPr>
        <w:t xml:space="preserve">Present outreach materials developed on REDD+ national strategies/ action plans and safeguards information systems </w:t>
      </w:r>
    </w:p>
    <w:p w:rsidR="4BF5F392" w:rsidP="6970D3E9" w:rsidRDefault="4BF5F392" w14:paraId="1CBA4AA1" w14:textId="52AF8B5C">
      <w:pPr>
        <w:pStyle w:val="ListParagraph"/>
        <w:numPr>
          <w:ilvl w:val="0"/>
          <w:numId w:val="3"/>
        </w:numPr>
        <w:jc w:val="both"/>
        <w:rPr>
          <w:rFonts w:cs="Arial"/>
          <w:sz w:val="22"/>
          <w:szCs w:val="22"/>
        </w:rPr>
      </w:pPr>
      <w:r w:rsidRPr="42996C4F">
        <w:rPr>
          <w:rFonts w:cs="Arial"/>
          <w:sz w:val="22"/>
          <w:szCs w:val="22"/>
        </w:rPr>
        <w:t xml:space="preserve">Enhance understanding of how these materials can support countries in strengthening national strategies or actions plans, and safeguards information systems </w:t>
      </w:r>
    </w:p>
    <w:p w:rsidR="4BF5F392" w:rsidP="42996C4F" w:rsidRDefault="4BF5F392" w14:paraId="2B7EB7FD" w14:textId="1C9E9D05">
      <w:pPr>
        <w:pStyle w:val="ListParagraph"/>
        <w:numPr>
          <w:ilvl w:val="0"/>
          <w:numId w:val="3"/>
        </w:numPr>
        <w:jc w:val="both"/>
        <w:rPr>
          <w:rFonts w:cs="Arial"/>
          <w:sz w:val="22"/>
          <w:szCs w:val="22"/>
        </w:rPr>
      </w:pPr>
      <w:r w:rsidRPr="445454AA">
        <w:rPr>
          <w:rFonts w:cs="Arial"/>
          <w:sz w:val="22"/>
          <w:szCs w:val="22"/>
        </w:rPr>
        <w:t xml:space="preserve">Highlight selected good practises and lessons learnt, drawing on country experiences; and </w:t>
      </w:r>
    </w:p>
    <w:p w:rsidR="4BF5F392" w:rsidP="445454AA" w:rsidRDefault="4BF5F392" w14:paraId="288C6628" w14:textId="067AFD1B">
      <w:pPr>
        <w:pStyle w:val="ListParagraph"/>
        <w:numPr>
          <w:ilvl w:val="0"/>
          <w:numId w:val="3"/>
        </w:numPr>
        <w:jc w:val="both"/>
        <w:rPr>
          <w:rFonts w:cs="Arial"/>
          <w:sz w:val="22"/>
          <w:szCs w:val="22"/>
        </w:rPr>
      </w:pPr>
      <w:r w:rsidRPr="0E36D97D">
        <w:rPr>
          <w:rFonts w:cs="Arial"/>
          <w:sz w:val="22"/>
          <w:szCs w:val="22"/>
        </w:rPr>
        <w:t xml:space="preserve">Provide an opportunity for participants to ask questions and exchange views. </w:t>
      </w:r>
    </w:p>
    <w:p w:rsidR="004678D0" w:rsidP="004678D0" w:rsidRDefault="73BE6983" w14:paraId="02E80400" w14:textId="7EC9CCE9">
      <w:pPr>
        <w:pStyle w:val="Heading2"/>
        <w:jc w:val="both"/>
      </w:pPr>
      <w:bookmarkStart w:name="_Toc800100057" w:id="71"/>
      <w:r>
        <w:t xml:space="preserve">Output </w:t>
      </w:r>
      <w:r w:rsidR="0424538A">
        <w:t>2</w:t>
      </w:r>
      <w:r>
        <w:t xml:space="preserve">.3: </w:t>
      </w:r>
      <w:r w:rsidR="2896AC08">
        <w:t>Voluntary cooperation by Parties and other stakeholders on REDD+ strengthened through a Community of Practice and in-person and virtual technical exchanges (including South-South exchanges) on forest country priorities and experiences, including challenges, successes and opportunities for further strengthening cooperation and impact on climate through forest-based mitigation</w:t>
      </w:r>
      <w:bookmarkEnd w:id="71"/>
    </w:p>
    <w:p w:rsidRPr="00ED5FD4" w:rsidR="004678D0" w:rsidP="004678D0" w:rsidRDefault="004678D0" w14:paraId="19EE2827" w14:textId="77777777"/>
    <w:tbl>
      <w:tblPr>
        <w:tblStyle w:val="TableGrid"/>
        <w:tblW w:w="9072" w:type="dxa"/>
        <w:tblInd w:w="-5" w:type="dxa"/>
        <w:tblLook w:val="04A0" w:firstRow="1" w:lastRow="0" w:firstColumn="1" w:lastColumn="0" w:noHBand="0" w:noVBand="1"/>
      </w:tblPr>
      <w:tblGrid>
        <w:gridCol w:w="1566"/>
        <w:gridCol w:w="616"/>
        <w:gridCol w:w="937"/>
        <w:gridCol w:w="2977"/>
        <w:gridCol w:w="2976"/>
      </w:tblGrid>
      <w:tr w:rsidRPr="00D80C6C" w:rsidR="004678D0" w:rsidTr="76355D7B" w14:paraId="495A9B1B" w14:textId="77777777">
        <w:trPr>
          <w:trHeight w:val="489"/>
        </w:trPr>
        <w:tc>
          <w:tcPr>
            <w:tcW w:w="1566"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608723D4" w14:textId="77777777">
            <w:pPr>
              <w:jc w:val="both"/>
              <w:rPr>
                <w:rFonts w:cs="Arial"/>
                <w:b/>
                <w:bCs/>
                <w:sz w:val="22"/>
                <w:szCs w:val="22"/>
              </w:rPr>
            </w:pPr>
            <w:r w:rsidRPr="00D80C6C">
              <w:rPr>
                <w:rFonts w:cs="Arial"/>
                <w:b/>
                <w:bCs/>
                <w:sz w:val="22"/>
                <w:szCs w:val="22"/>
              </w:rPr>
              <w:t xml:space="preserve">Output Title </w:t>
            </w:r>
          </w:p>
        </w:tc>
        <w:tc>
          <w:tcPr>
            <w:tcW w:w="7506" w:type="dxa"/>
            <w:gridSpan w:val="4"/>
            <w:tcBorders>
              <w:top w:val="single" w:color="auto" w:sz="4" w:space="0"/>
              <w:left w:val="single" w:color="auto" w:sz="4" w:space="0"/>
              <w:bottom w:val="single" w:color="auto" w:sz="4" w:space="0"/>
              <w:right w:val="single" w:color="auto" w:sz="4" w:space="0"/>
            </w:tcBorders>
            <w:shd w:val="clear" w:color="auto" w:fill="FFFFFF" w:themeFill="background1"/>
          </w:tcPr>
          <w:p w:rsidRPr="00ED5FD4" w:rsidR="004678D0" w:rsidP="00276661" w:rsidRDefault="00C63A31" w14:paraId="3B766DAF" w14:textId="42029A32">
            <w:pPr>
              <w:jc w:val="both"/>
              <w:rPr>
                <w:rFonts w:cs="Arial"/>
                <w:bCs/>
                <w:iCs/>
                <w:color w:val="FF0000"/>
                <w:sz w:val="22"/>
                <w:szCs w:val="22"/>
              </w:rPr>
            </w:pPr>
            <w:r w:rsidRPr="00C63A31">
              <w:rPr>
                <w:rFonts w:cs="Arial"/>
                <w:bCs/>
                <w:iCs/>
                <w:sz w:val="22"/>
                <w:szCs w:val="22"/>
              </w:rPr>
              <w:t>Voluntary cooperation by Parties and other stakeholders on REDD+ strengthened through a Community of Practice and in-person and virtual technical exchanges (including South-South exchanges) on forest country priorities and experiences, including challenges, successes and opportunities for further strengthening cooperation and impact on climate through forest-based mitigation</w:t>
            </w:r>
          </w:p>
        </w:tc>
      </w:tr>
      <w:tr w:rsidRPr="00D80C6C" w:rsidR="004678D0" w:rsidTr="76355D7B" w14:paraId="22B10BC0" w14:textId="77777777">
        <w:trPr>
          <w:trHeight w:val="347"/>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33FD2E0E" w14:textId="77777777">
            <w:pPr>
              <w:jc w:val="both"/>
              <w:rPr>
                <w:rFonts w:cs="Arial"/>
                <w:bCs/>
                <w:sz w:val="22"/>
                <w:szCs w:val="22"/>
              </w:rPr>
            </w:pPr>
            <w:r w:rsidRPr="00D80C6C">
              <w:rPr>
                <w:rFonts w:cs="Arial"/>
                <w:bCs/>
                <w:sz w:val="22"/>
                <w:szCs w:val="22"/>
              </w:rPr>
              <w:t xml:space="preserve">Output number: </w:t>
            </w:r>
          </w:p>
        </w:tc>
        <w:tc>
          <w:tcPr>
            <w:tcW w:w="937" w:type="dxa"/>
            <w:tcBorders>
              <w:top w:val="single" w:color="auto" w:sz="4" w:space="0"/>
              <w:left w:val="single" w:color="auto" w:sz="4" w:space="0"/>
              <w:bottom w:val="single" w:color="auto" w:sz="4" w:space="0"/>
              <w:right w:val="single" w:color="auto" w:sz="4" w:space="0"/>
            </w:tcBorders>
          </w:tcPr>
          <w:p w:rsidRPr="00D80C6C" w:rsidR="004678D0" w:rsidP="00276661" w:rsidRDefault="00C63A31" w14:paraId="12DCA15C" w14:textId="6A9456DE">
            <w:pPr>
              <w:jc w:val="both"/>
              <w:rPr>
                <w:rFonts w:cs="Arial"/>
                <w:sz w:val="22"/>
                <w:szCs w:val="22"/>
              </w:rPr>
            </w:pPr>
            <w:r>
              <w:rPr>
                <w:rFonts w:cs="Arial"/>
                <w:sz w:val="22"/>
                <w:szCs w:val="22"/>
              </w:rPr>
              <w:t>2</w:t>
            </w:r>
            <w:r w:rsidR="004678D0">
              <w:rPr>
                <w:rFonts w:cs="Arial"/>
                <w:sz w:val="22"/>
                <w:szCs w:val="22"/>
              </w:rPr>
              <w:t>.3</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35270AD5" w14:textId="77777777">
            <w:pPr>
              <w:jc w:val="both"/>
              <w:rPr>
                <w:rFonts w:cs="Arial"/>
                <w:sz w:val="22"/>
                <w:szCs w:val="22"/>
              </w:rPr>
            </w:pPr>
            <w:r w:rsidRPr="00D80C6C">
              <w:rPr>
                <w:rFonts w:cs="Arial"/>
                <w:bCs/>
                <w:sz w:val="22"/>
                <w:szCs w:val="22"/>
              </w:rPr>
              <w:t xml:space="preserve">Output Score: </w:t>
            </w:r>
          </w:p>
        </w:tc>
        <w:tc>
          <w:tcPr>
            <w:tcW w:w="2976" w:type="dxa"/>
            <w:tcBorders>
              <w:top w:val="single" w:color="auto" w:sz="4" w:space="0"/>
              <w:left w:val="single" w:color="auto" w:sz="4" w:space="0"/>
              <w:bottom w:val="single" w:color="auto" w:sz="4" w:space="0"/>
              <w:right w:val="single" w:color="auto" w:sz="4" w:space="0"/>
            </w:tcBorders>
          </w:tcPr>
          <w:p w:rsidRPr="00721591" w:rsidR="004678D0" w:rsidP="00276661" w:rsidRDefault="00721591" w14:paraId="35D76100" w14:textId="6CC33AF8">
            <w:pPr>
              <w:jc w:val="both"/>
              <w:rPr>
                <w:rFonts w:cs="Arial"/>
                <w:iCs/>
                <w:sz w:val="22"/>
                <w:szCs w:val="22"/>
              </w:rPr>
            </w:pPr>
            <w:r w:rsidRPr="00721591">
              <w:rPr>
                <w:rFonts w:cs="Arial"/>
                <w:iCs/>
                <w:sz w:val="22"/>
                <w:szCs w:val="22"/>
              </w:rPr>
              <w:t>A+</w:t>
            </w:r>
          </w:p>
        </w:tc>
      </w:tr>
      <w:tr w:rsidRPr="00D80C6C" w:rsidR="004678D0" w:rsidTr="76355D7B" w14:paraId="385DB9C9"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7D1C9AEA" w14:textId="77777777">
            <w:pPr>
              <w:jc w:val="both"/>
              <w:rPr>
                <w:rFonts w:cs="Arial"/>
                <w:sz w:val="22"/>
                <w:szCs w:val="22"/>
              </w:rPr>
            </w:pPr>
            <w:r w:rsidRPr="00D80C6C">
              <w:rPr>
                <w:rFonts w:cs="Arial"/>
                <w:bCs/>
                <w:sz w:val="22"/>
                <w:szCs w:val="22"/>
              </w:rPr>
              <w:t xml:space="preserve">Impact weighting (%):  </w:t>
            </w:r>
          </w:p>
        </w:tc>
        <w:tc>
          <w:tcPr>
            <w:tcW w:w="937" w:type="dxa"/>
            <w:tcBorders>
              <w:top w:val="single" w:color="auto" w:sz="4" w:space="0"/>
              <w:left w:val="single" w:color="auto" w:sz="4" w:space="0"/>
              <w:bottom w:val="single" w:color="auto" w:sz="4" w:space="0"/>
              <w:right w:val="single" w:color="auto" w:sz="4" w:space="0"/>
            </w:tcBorders>
            <w:hideMark/>
          </w:tcPr>
          <w:p w:rsidRPr="00D80C6C" w:rsidR="004678D0" w:rsidP="00276661" w:rsidRDefault="004678D0" w14:paraId="4D6FFEDD" w14:textId="77777777">
            <w:pPr>
              <w:jc w:val="both"/>
              <w:rPr>
                <w:rFonts w:cs="Arial"/>
                <w:bCs/>
                <w:sz w:val="22"/>
                <w:szCs w:val="22"/>
              </w:rPr>
            </w:pPr>
            <w:r>
              <w:rPr>
                <w:rFonts w:cs="Arial"/>
                <w:bCs/>
                <w:sz w:val="22"/>
                <w:szCs w:val="22"/>
              </w:rPr>
              <w:t>15%</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4678D0" w:rsidP="00276661" w:rsidRDefault="004678D0" w14:paraId="5C9147DD" w14:textId="77777777">
            <w:pPr>
              <w:jc w:val="both"/>
              <w:rPr>
                <w:rFonts w:cs="Arial"/>
                <w:bCs/>
                <w:sz w:val="22"/>
                <w:szCs w:val="22"/>
              </w:rPr>
            </w:pPr>
            <w:r w:rsidRPr="00D80C6C">
              <w:rPr>
                <w:rFonts w:cs="Arial"/>
                <w:bCs/>
                <w:sz w:val="22"/>
                <w:szCs w:val="22"/>
              </w:rPr>
              <w:t xml:space="preserve">Weighting revised since last AR? </w:t>
            </w:r>
          </w:p>
        </w:tc>
        <w:tc>
          <w:tcPr>
            <w:tcW w:w="2976" w:type="dxa"/>
            <w:tcBorders>
              <w:top w:val="single" w:color="auto" w:sz="4" w:space="0"/>
              <w:left w:val="single" w:color="auto" w:sz="4" w:space="0"/>
              <w:bottom w:val="single" w:color="auto" w:sz="4" w:space="0"/>
              <w:right w:val="single" w:color="auto" w:sz="4" w:space="0"/>
            </w:tcBorders>
          </w:tcPr>
          <w:p w:rsidRPr="00D80C6C" w:rsidR="004678D0" w:rsidP="00276661" w:rsidRDefault="004678D0" w14:paraId="4C7ED27C" w14:textId="77777777">
            <w:pPr>
              <w:jc w:val="both"/>
              <w:rPr>
                <w:rFonts w:cs="Arial"/>
                <w:bCs/>
                <w:sz w:val="22"/>
                <w:szCs w:val="22"/>
              </w:rPr>
            </w:pPr>
            <w:r>
              <w:rPr>
                <w:rFonts w:cs="Arial"/>
                <w:bCs/>
                <w:sz w:val="22"/>
                <w:szCs w:val="22"/>
              </w:rPr>
              <w:t>N/A</w:t>
            </w:r>
          </w:p>
        </w:tc>
      </w:tr>
      <w:tr w:rsidRPr="00D80C6C" w:rsidR="004678D0" w:rsidTr="76355D7B" w14:paraId="00425FEE" w14:textId="77777777">
        <w:trPr>
          <w:trHeight w:val="345"/>
        </w:trPr>
        <w:tc>
          <w:tcPr>
            <w:tcW w:w="2182" w:type="dxa"/>
            <w:gridSpan w:val="2"/>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4678D0" w:rsidP="00276661" w:rsidRDefault="004678D0" w14:paraId="7EAD2C95" w14:textId="77777777">
            <w:pPr>
              <w:jc w:val="both"/>
              <w:rPr>
                <w:rFonts w:cs="Arial"/>
                <w:bCs/>
                <w:sz w:val="22"/>
                <w:szCs w:val="22"/>
              </w:rPr>
            </w:pPr>
            <w:r w:rsidRPr="00D80C6C">
              <w:rPr>
                <w:rFonts w:cs="Arial"/>
                <w:bCs/>
                <w:sz w:val="22"/>
                <w:szCs w:val="22"/>
              </w:rPr>
              <w:t>Risk rating</w:t>
            </w:r>
            <w:r>
              <w:rPr>
                <w:rFonts w:cs="Arial"/>
                <w:bCs/>
                <w:sz w:val="22"/>
                <w:szCs w:val="22"/>
              </w:rPr>
              <w:t>:</w:t>
            </w:r>
          </w:p>
        </w:tc>
        <w:tc>
          <w:tcPr>
            <w:tcW w:w="937" w:type="dxa"/>
            <w:tcBorders>
              <w:top w:val="single" w:color="auto" w:sz="4" w:space="0"/>
              <w:left w:val="single" w:color="auto" w:sz="4" w:space="0"/>
              <w:bottom w:val="single" w:color="auto" w:sz="4" w:space="0"/>
              <w:right w:val="single" w:color="auto" w:sz="4" w:space="0"/>
            </w:tcBorders>
          </w:tcPr>
          <w:p w:rsidRPr="00D80C6C" w:rsidR="004678D0" w:rsidP="00276661" w:rsidRDefault="0778DBE1" w14:paraId="549444CB" w14:textId="0ACF87E2">
            <w:pPr>
              <w:jc w:val="both"/>
            </w:pPr>
            <w:r w:rsidRPr="76355D7B">
              <w:rPr>
                <w:rFonts w:cs="Arial"/>
                <w:sz w:val="22"/>
                <w:szCs w:val="22"/>
              </w:rPr>
              <w:t>Minor</w:t>
            </w:r>
          </w:p>
        </w:tc>
        <w:tc>
          <w:tcPr>
            <w:tcW w:w="2977" w:type="dxa"/>
            <w:tcBorders>
              <w:top w:val="single" w:color="auto" w:sz="4" w:space="0"/>
              <w:left w:val="single" w:color="auto" w:sz="4" w:space="0"/>
              <w:bottom w:val="single" w:color="auto" w:sz="4" w:space="0"/>
              <w:right w:val="single" w:color="auto" w:sz="4" w:space="0"/>
            </w:tcBorders>
            <w:shd w:val="clear" w:color="auto" w:fill="DEEAF6" w:themeFill="accent5" w:themeFillTint="33"/>
          </w:tcPr>
          <w:p w:rsidRPr="00D80C6C" w:rsidR="004678D0" w:rsidP="00276661" w:rsidRDefault="004678D0" w14:paraId="571FF28A" w14:textId="77777777">
            <w:pPr>
              <w:jc w:val="both"/>
              <w:rPr>
                <w:rFonts w:cs="Arial"/>
                <w:bCs/>
                <w:sz w:val="22"/>
                <w:szCs w:val="22"/>
              </w:rPr>
            </w:pPr>
            <w:r w:rsidRPr="00D80C6C">
              <w:rPr>
                <w:rFonts w:cs="Arial"/>
                <w:bCs/>
                <w:sz w:val="22"/>
                <w:szCs w:val="22"/>
              </w:rPr>
              <w:t>Risk revised since last AR?</w:t>
            </w:r>
          </w:p>
        </w:tc>
        <w:tc>
          <w:tcPr>
            <w:tcW w:w="2976" w:type="dxa"/>
            <w:tcBorders>
              <w:top w:val="single" w:color="auto" w:sz="4" w:space="0"/>
              <w:left w:val="single" w:color="auto" w:sz="4" w:space="0"/>
              <w:bottom w:val="single" w:color="auto" w:sz="4" w:space="0"/>
              <w:right w:val="single" w:color="auto" w:sz="4" w:space="0"/>
            </w:tcBorders>
          </w:tcPr>
          <w:p w:rsidRPr="00D80C6C" w:rsidR="004678D0" w:rsidP="00276661" w:rsidRDefault="004678D0" w14:paraId="7FA88D51" w14:textId="77777777">
            <w:pPr>
              <w:jc w:val="both"/>
              <w:rPr>
                <w:rFonts w:cs="Arial"/>
                <w:bCs/>
                <w:sz w:val="22"/>
                <w:szCs w:val="22"/>
              </w:rPr>
            </w:pPr>
            <w:r>
              <w:rPr>
                <w:rFonts w:cs="Arial"/>
                <w:bCs/>
                <w:sz w:val="22"/>
                <w:szCs w:val="22"/>
              </w:rPr>
              <w:t>N/A</w:t>
            </w:r>
          </w:p>
        </w:tc>
      </w:tr>
    </w:tbl>
    <w:p w:rsidRPr="00D80C6C" w:rsidR="004678D0" w:rsidP="004678D0" w:rsidRDefault="004678D0" w14:paraId="0D66D88C" w14:textId="77777777">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3008"/>
        <w:gridCol w:w="2657"/>
        <w:gridCol w:w="3402"/>
      </w:tblGrid>
      <w:tr w:rsidRPr="00D80C6C" w:rsidR="004678D0" w:rsidTr="352FA995" w14:paraId="3EB2D1CF" w14:textId="77777777">
        <w:trPr>
          <w:trHeight w:val="273"/>
        </w:trPr>
        <w:tc>
          <w:tcPr>
            <w:tcW w:w="3008"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4678D0" w:rsidP="00276661" w:rsidRDefault="004678D0" w14:paraId="3D8E3759" w14:textId="77777777">
            <w:pPr>
              <w:jc w:val="both"/>
              <w:rPr>
                <w:rFonts w:cs="Arial"/>
                <w:b/>
                <w:bCs/>
                <w:sz w:val="22"/>
                <w:szCs w:val="22"/>
              </w:rPr>
            </w:pPr>
            <w:r w:rsidRPr="00D80C6C">
              <w:rPr>
                <w:rFonts w:cs="Arial"/>
                <w:b/>
                <w:bCs/>
                <w:sz w:val="22"/>
                <w:szCs w:val="22"/>
              </w:rPr>
              <w:t>Indicator(s)</w:t>
            </w:r>
          </w:p>
        </w:tc>
        <w:tc>
          <w:tcPr>
            <w:tcW w:w="2657"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4678D0" w:rsidP="00276661" w:rsidRDefault="004678D0" w14:paraId="13EE13ED" w14:textId="77777777">
            <w:pPr>
              <w:jc w:val="both"/>
              <w:rPr>
                <w:rFonts w:cs="Arial"/>
                <w:b/>
                <w:bCs/>
                <w:sz w:val="22"/>
                <w:szCs w:val="22"/>
              </w:rPr>
            </w:pPr>
            <w:r w:rsidRPr="00D80C6C">
              <w:rPr>
                <w:rFonts w:cs="Arial"/>
                <w:b/>
                <w:bCs/>
                <w:sz w:val="22"/>
                <w:szCs w:val="22"/>
              </w:rPr>
              <w:t>Milestone(s) for this review</w:t>
            </w:r>
          </w:p>
        </w:tc>
        <w:tc>
          <w:tcPr>
            <w:tcW w:w="3402" w:type="dxa"/>
            <w:tcBorders>
              <w:top w:val="single" w:color="auto" w:sz="4" w:space="0"/>
              <w:left w:val="single" w:color="auto" w:sz="4" w:space="0"/>
              <w:bottom w:val="single" w:color="auto" w:sz="4" w:space="0"/>
              <w:right w:val="single" w:color="auto" w:sz="4" w:space="0"/>
            </w:tcBorders>
            <w:shd w:val="clear" w:color="auto" w:fill="DEEAF6" w:themeFill="accent5" w:themeFillTint="33"/>
            <w:tcMar/>
            <w:hideMark/>
          </w:tcPr>
          <w:p w:rsidRPr="00D80C6C" w:rsidR="004678D0" w:rsidP="00276661" w:rsidRDefault="004678D0" w14:paraId="2F7F38CD" w14:textId="77777777">
            <w:pPr>
              <w:jc w:val="both"/>
              <w:rPr>
                <w:rFonts w:cs="Arial"/>
                <w:b/>
                <w:bCs/>
                <w:sz w:val="22"/>
                <w:szCs w:val="22"/>
              </w:rPr>
            </w:pPr>
            <w:r w:rsidRPr="00D80C6C">
              <w:rPr>
                <w:rFonts w:cs="Arial"/>
                <w:b/>
                <w:bCs/>
                <w:sz w:val="22"/>
                <w:szCs w:val="22"/>
              </w:rPr>
              <w:t xml:space="preserve">Progress </w:t>
            </w:r>
          </w:p>
        </w:tc>
      </w:tr>
      <w:tr w:rsidRPr="00D80C6C" w:rsidR="004678D0" w:rsidTr="352FA995" w14:paraId="473E7017" w14:textId="77777777">
        <w:tc>
          <w:tcPr>
            <w:tcW w:w="3008" w:type="dxa"/>
            <w:tcBorders>
              <w:top w:val="single" w:color="auto" w:sz="4" w:space="0"/>
              <w:left w:val="single" w:color="auto" w:sz="4" w:space="0"/>
              <w:bottom w:val="single" w:color="auto" w:sz="4" w:space="0"/>
              <w:right w:val="single" w:color="auto" w:sz="4" w:space="0"/>
            </w:tcBorders>
            <w:tcMar/>
          </w:tcPr>
          <w:p w:rsidRPr="00D80C6C" w:rsidR="004678D0" w:rsidP="00276661" w:rsidRDefault="00C63A31" w14:paraId="6D27DB05" w14:textId="67154FB9">
            <w:pPr>
              <w:rPr>
                <w:rFonts w:cs="Arial"/>
                <w:bCs/>
                <w:iCs/>
                <w:sz w:val="22"/>
                <w:szCs w:val="22"/>
              </w:rPr>
            </w:pPr>
            <w:r>
              <w:rPr>
                <w:rFonts w:cs="Arial"/>
                <w:bCs/>
                <w:iCs/>
                <w:sz w:val="22"/>
                <w:szCs w:val="22"/>
              </w:rPr>
              <w:t>2.3</w:t>
            </w:r>
            <w:r w:rsidR="001013A6">
              <w:rPr>
                <w:rFonts w:cs="Arial"/>
                <w:bCs/>
                <w:iCs/>
                <w:sz w:val="22"/>
                <w:szCs w:val="22"/>
              </w:rPr>
              <w:t xml:space="preserve">A: </w:t>
            </w:r>
            <w:r w:rsidR="007C16EA">
              <w:t xml:space="preserve"> </w:t>
            </w:r>
            <w:r w:rsidRPr="007C16EA" w:rsidR="007C16EA">
              <w:rPr>
                <w:rFonts w:cs="Arial"/>
                <w:bCs/>
                <w:iCs/>
                <w:sz w:val="22"/>
                <w:szCs w:val="22"/>
              </w:rPr>
              <w:t>Number of events facilitating technical exchanges on REDD+ delivered: a) total exchanges and b) South-South exchanges. (cumulative)</w:t>
            </w:r>
          </w:p>
        </w:tc>
        <w:tc>
          <w:tcPr>
            <w:tcW w:w="2657" w:type="dxa"/>
            <w:tcBorders>
              <w:top w:val="single" w:color="auto" w:sz="4" w:space="0"/>
              <w:left w:val="single" w:color="auto" w:sz="4" w:space="0"/>
              <w:bottom w:val="single" w:color="auto" w:sz="4" w:space="0"/>
              <w:right w:val="single" w:color="auto" w:sz="4" w:space="0"/>
            </w:tcBorders>
            <w:tcMar/>
          </w:tcPr>
          <w:p w:rsidRPr="00D80C6C" w:rsidR="004678D0" w:rsidP="00276661" w:rsidRDefault="00AB3249" w14:paraId="2D0A5371" w14:textId="62DC0E61">
            <w:pPr>
              <w:jc w:val="both"/>
              <w:rPr>
                <w:rFonts w:cs="Arial"/>
                <w:bCs/>
                <w:iCs/>
                <w:sz w:val="22"/>
                <w:szCs w:val="22"/>
              </w:rPr>
            </w:pPr>
            <w:r>
              <w:rPr>
                <w:rFonts w:cs="Arial"/>
                <w:bCs/>
                <w:iCs/>
                <w:sz w:val="22"/>
                <w:szCs w:val="22"/>
              </w:rPr>
              <w:t>Jul 2026: a) 3 b) 2</w:t>
            </w:r>
          </w:p>
        </w:tc>
        <w:tc>
          <w:tcPr>
            <w:tcW w:w="3402" w:type="dxa"/>
            <w:tcBorders>
              <w:top w:val="single" w:color="auto" w:sz="4" w:space="0"/>
              <w:left w:val="single" w:color="auto" w:sz="4" w:space="0"/>
              <w:bottom w:val="single" w:color="auto" w:sz="4" w:space="0"/>
              <w:right w:val="single" w:color="auto" w:sz="4" w:space="0"/>
            </w:tcBorders>
            <w:tcMar/>
          </w:tcPr>
          <w:p w:rsidRPr="00D80C6C" w:rsidR="004678D0" w:rsidP="00276661" w:rsidRDefault="00AB3249" w14:paraId="002FDD03" w14:textId="40EF9665">
            <w:pPr>
              <w:contextualSpacing/>
              <w:rPr>
                <w:rFonts w:cs="Arial"/>
                <w:bCs/>
                <w:iCs/>
                <w:sz w:val="22"/>
                <w:szCs w:val="22"/>
              </w:rPr>
            </w:pPr>
            <w:r>
              <w:rPr>
                <w:rFonts w:cs="Arial"/>
                <w:bCs/>
                <w:iCs/>
                <w:sz w:val="22"/>
                <w:szCs w:val="22"/>
              </w:rPr>
              <w:t>Jul 2026: a) 6 b) 2</w:t>
            </w:r>
            <w:r>
              <w:rPr>
                <w:rFonts w:cs="Arial"/>
                <w:bCs/>
                <w:iCs/>
                <w:sz w:val="22"/>
                <w:szCs w:val="22"/>
              </w:rPr>
              <w:br/>
            </w:r>
            <w:r>
              <w:rPr>
                <w:rFonts w:cs="Arial"/>
                <w:bCs/>
                <w:iCs/>
                <w:sz w:val="22"/>
                <w:szCs w:val="22"/>
              </w:rPr>
              <w:br/>
            </w:r>
            <w:r>
              <w:rPr>
                <w:rFonts w:cs="Arial"/>
                <w:bCs/>
                <w:iCs/>
                <w:sz w:val="22"/>
                <w:szCs w:val="22"/>
              </w:rPr>
              <w:t>Progress moderately exceeded expectations</w:t>
            </w:r>
          </w:p>
        </w:tc>
      </w:tr>
      <w:tr w:rsidRPr="00D80C6C" w:rsidR="004678D0" w:rsidTr="352FA995" w14:paraId="1F0609BF" w14:textId="77777777">
        <w:tc>
          <w:tcPr>
            <w:tcW w:w="3008" w:type="dxa"/>
            <w:tcBorders>
              <w:top w:val="single" w:color="auto" w:sz="4" w:space="0"/>
              <w:left w:val="single" w:color="auto" w:sz="4" w:space="0"/>
              <w:bottom w:val="single" w:color="auto" w:sz="4" w:space="0"/>
              <w:right w:val="single" w:color="auto" w:sz="4" w:space="0"/>
            </w:tcBorders>
            <w:tcMar/>
          </w:tcPr>
          <w:p w:rsidRPr="00D80C6C" w:rsidR="004678D0" w:rsidP="00276661" w:rsidRDefault="007C16EA" w14:paraId="415EFE72" w14:textId="5BFBF31C">
            <w:pPr>
              <w:rPr>
                <w:rFonts w:cs="Arial"/>
                <w:bCs/>
                <w:iCs/>
                <w:sz w:val="22"/>
                <w:szCs w:val="22"/>
              </w:rPr>
            </w:pPr>
            <w:r>
              <w:rPr>
                <w:rFonts w:cs="Arial"/>
                <w:bCs/>
                <w:iCs/>
                <w:sz w:val="22"/>
                <w:szCs w:val="22"/>
              </w:rPr>
              <w:t xml:space="preserve">2.3B: </w:t>
            </w:r>
            <w:r w:rsidR="00B26377">
              <w:t xml:space="preserve"> </w:t>
            </w:r>
            <w:r w:rsidRPr="00B26377" w:rsidR="00B26377">
              <w:rPr>
                <w:rFonts w:cs="Arial"/>
                <w:bCs/>
                <w:iCs/>
                <w:sz w:val="22"/>
                <w:szCs w:val="22"/>
              </w:rPr>
              <w:t>Number of attendees at in-person and online facilitated exchanges</w:t>
            </w:r>
          </w:p>
        </w:tc>
        <w:tc>
          <w:tcPr>
            <w:tcW w:w="2657" w:type="dxa"/>
            <w:tcBorders>
              <w:top w:val="single" w:color="auto" w:sz="4" w:space="0"/>
              <w:left w:val="single" w:color="auto" w:sz="4" w:space="0"/>
              <w:bottom w:val="single" w:color="auto" w:sz="4" w:space="0"/>
              <w:right w:val="single" w:color="auto" w:sz="4" w:space="0"/>
            </w:tcBorders>
            <w:tcMar/>
          </w:tcPr>
          <w:p w:rsidRPr="00D80C6C" w:rsidR="004678D0" w:rsidP="00276661" w:rsidRDefault="00FA2BA0" w14:paraId="74542657" w14:textId="64468F54">
            <w:pPr>
              <w:jc w:val="both"/>
              <w:rPr>
                <w:rFonts w:cs="Arial"/>
                <w:bCs/>
                <w:iCs/>
                <w:sz w:val="22"/>
                <w:szCs w:val="22"/>
              </w:rPr>
            </w:pPr>
            <w:r>
              <w:rPr>
                <w:rFonts w:cs="Arial"/>
                <w:bCs/>
                <w:iCs/>
                <w:sz w:val="22"/>
                <w:szCs w:val="22"/>
              </w:rPr>
              <w:t>Jul 2026: 33</w:t>
            </w:r>
          </w:p>
        </w:tc>
        <w:tc>
          <w:tcPr>
            <w:tcW w:w="3402" w:type="dxa"/>
            <w:tcBorders>
              <w:top w:val="single" w:color="auto" w:sz="4" w:space="0"/>
              <w:left w:val="single" w:color="auto" w:sz="4" w:space="0"/>
              <w:bottom w:val="single" w:color="auto" w:sz="4" w:space="0"/>
              <w:right w:val="single" w:color="auto" w:sz="4" w:space="0"/>
            </w:tcBorders>
            <w:tcMar/>
          </w:tcPr>
          <w:p w:rsidRPr="00D80C6C" w:rsidR="004678D0" w:rsidP="352FA995" w:rsidRDefault="00FA2BA0" w14:paraId="5B4FCA05" w14:textId="1CF0A2F5">
            <w:pPr>
              <w:spacing/>
              <w:contextualSpacing w:val="1"/>
              <w:rPr>
                <w:rFonts w:cs="Arial"/>
                <w:sz w:val="22"/>
                <w:szCs w:val="22"/>
              </w:rPr>
            </w:pPr>
            <w:r w:rsidRPr="352FA995" w:rsidR="00FA2BA0">
              <w:rPr>
                <w:rFonts w:cs="Arial"/>
                <w:sz w:val="22"/>
                <w:szCs w:val="22"/>
              </w:rPr>
              <w:t xml:space="preserve">Jul 2026: </w:t>
            </w:r>
            <w:r w:rsidRPr="352FA995" w:rsidR="00FA2BA0">
              <w:rPr>
                <w:rFonts w:cs="Arial"/>
                <w:sz w:val="22"/>
                <w:szCs w:val="22"/>
              </w:rPr>
              <w:t xml:space="preserve">363 </w:t>
            </w:r>
            <w:r>
              <w:br/>
            </w:r>
            <w:r>
              <w:br/>
            </w:r>
            <w:r w:rsidRPr="352FA995" w:rsidR="00FA2BA0">
              <w:rPr>
                <w:rFonts w:cs="Arial"/>
                <w:sz w:val="22"/>
                <w:szCs w:val="22"/>
              </w:rPr>
              <w:t xml:space="preserve">Progress substantially exceeded expectations </w:t>
            </w:r>
          </w:p>
        </w:tc>
      </w:tr>
      <w:tr w:rsidRPr="00D80C6C" w:rsidR="00B26377" w:rsidTr="352FA995" w14:paraId="151A5948" w14:textId="77777777">
        <w:tc>
          <w:tcPr>
            <w:tcW w:w="3008" w:type="dxa"/>
            <w:tcBorders>
              <w:top w:val="single" w:color="auto" w:sz="4" w:space="0"/>
              <w:left w:val="single" w:color="auto" w:sz="4" w:space="0"/>
              <w:bottom w:val="single" w:color="auto" w:sz="4" w:space="0"/>
              <w:right w:val="single" w:color="auto" w:sz="4" w:space="0"/>
            </w:tcBorders>
            <w:tcMar/>
          </w:tcPr>
          <w:p w:rsidR="00B26377" w:rsidP="00276661" w:rsidRDefault="00B26377" w14:paraId="481FD547" w14:textId="08180B2B">
            <w:pPr>
              <w:rPr>
                <w:rFonts w:cs="Arial"/>
                <w:bCs/>
                <w:iCs/>
                <w:sz w:val="22"/>
                <w:szCs w:val="22"/>
              </w:rPr>
            </w:pPr>
            <w:r>
              <w:rPr>
                <w:rFonts w:cs="Arial"/>
                <w:bCs/>
                <w:iCs/>
                <w:sz w:val="22"/>
                <w:szCs w:val="22"/>
              </w:rPr>
              <w:t xml:space="preserve">2.3C: </w:t>
            </w:r>
            <w:r w:rsidR="009461AB">
              <w:t xml:space="preserve"> </w:t>
            </w:r>
            <w:r w:rsidRPr="009461AB" w:rsidR="009461AB">
              <w:rPr>
                <w:rFonts w:cs="Arial"/>
                <w:bCs/>
                <w:iCs/>
                <w:sz w:val="22"/>
                <w:szCs w:val="22"/>
              </w:rPr>
              <w:t>Number of technical exchanges on REDD+ facilitated by the REDD+ online discussion forum (cumulative)</w:t>
            </w:r>
          </w:p>
        </w:tc>
        <w:tc>
          <w:tcPr>
            <w:tcW w:w="2657" w:type="dxa"/>
            <w:tcBorders>
              <w:top w:val="single" w:color="auto" w:sz="4" w:space="0"/>
              <w:left w:val="single" w:color="auto" w:sz="4" w:space="0"/>
              <w:bottom w:val="single" w:color="auto" w:sz="4" w:space="0"/>
              <w:right w:val="single" w:color="auto" w:sz="4" w:space="0"/>
            </w:tcBorders>
            <w:tcMar/>
          </w:tcPr>
          <w:p w:rsidRPr="00D80C6C" w:rsidR="00B26377" w:rsidP="00276661" w:rsidRDefault="002F6FBF" w14:paraId="0845E767" w14:textId="47E92283">
            <w:pPr>
              <w:jc w:val="both"/>
              <w:rPr>
                <w:rFonts w:cs="Arial"/>
                <w:bCs/>
                <w:iCs/>
                <w:sz w:val="22"/>
                <w:szCs w:val="22"/>
              </w:rPr>
            </w:pPr>
            <w:r>
              <w:rPr>
                <w:rFonts w:cs="Arial"/>
                <w:bCs/>
                <w:iCs/>
                <w:sz w:val="22"/>
                <w:szCs w:val="22"/>
              </w:rPr>
              <w:t xml:space="preserve">Jul 2026: 1 </w:t>
            </w:r>
          </w:p>
        </w:tc>
        <w:tc>
          <w:tcPr>
            <w:tcW w:w="3402" w:type="dxa"/>
            <w:tcBorders>
              <w:top w:val="single" w:color="auto" w:sz="4" w:space="0"/>
              <w:left w:val="single" w:color="auto" w:sz="4" w:space="0"/>
              <w:bottom w:val="single" w:color="auto" w:sz="4" w:space="0"/>
              <w:right w:val="single" w:color="auto" w:sz="4" w:space="0"/>
            </w:tcBorders>
            <w:tcMar/>
          </w:tcPr>
          <w:p w:rsidRPr="00D80C6C" w:rsidR="00B26377" w:rsidP="002F6FBF" w:rsidRDefault="002F6FBF" w14:paraId="7CCB0F64" w14:textId="748A4EF7">
            <w:pPr>
              <w:contextualSpacing/>
              <w:rPr>
                <w:rFonts w:cs="Arial"/>
                <w:bCs/>
                <w:iCs/>
                <w:sz w:val="22"/>
                <w:szCs w:val="22"/>
              </w:rPr>
            </w:pPr>
            <w:r>
              <w:rPr>
                <w:rFonts w:cs="Arial"/>
                <w:bCs/>
                <w:iCs/>
                <w:sz w:val="22"/>
                <w:szCs w:val="22"/>
              </w:rPr>
              <w:t xml:space="preserve">Jul 2026: 1 </w:t>
            </w:r>
            <w:r>
              <w:rPr>
                <w:rFonts w:cs="Arial"/>
                <w:bCs/>
                <w:iCs/>
                <w:sz w:val="22"/>
                <w:szCs w:val="22"/>
              </w:rPr>
              <w:br/>
            </w:r>
            <w:r>
              <w:rPr>
                <w:rFonts w:cs="Arial"/>
                <w:bCs/>
                <w:iCs/>
                <w:sz w:val="22"/>
                <w:szCs w:val="22"/>
              </w:rPr>
              <w:br/>
            </w:r>
            <w:r>
              <w:rPr>
                <w:rFonts w:cs="Arial"/>
                <w:bCs/>
                <w:iCs/>
                <w:sz w:val="22"/>
                <w:szCs w:val="22"/>
              </w:rPr>
              <w:t xml:space="preserve">Progress met expectations </w:t>
            </w:r>
          </w:p>
        </w:tc>
      </w:tr>
    </w:tbl>
    <w:p w:rsidR="004678D0" w:rsidP="004D5FD5" w:rsidRDefault="004678D0" w14:paraId="7D1B30A4" w14:textId="77777777">
      <w:pPr>
        <w:jc w:val="both"/>
        <w:rPr>
          <w:rFonts w:cs="Arial"/>
          <w:sz w:val="22"/>
          <w:szCs w:val="22"/>
        </w:rPr>
      </w:pPr>
    </w:p>
    <w:p w:rsidR="005F1E1A" w:rsidP="49D58428" w:rsidRDefault="365D0CE0" w14:paraId="5357FB4D" w14:textId="0AD8ACDF">
      <w:pPr>
        <w:jc w:val="both"/>
      </w:pPr>
      <w:r w:rsidRPr="153D0DE1" w:rsidR="7A505F8B">
        <w:rPr>
          <w:rFonts w:cs="Arial"/>
          <w:sz w:val="22"/>
          <w:szCs w:val="22"/>
        </w:rPr>
        <w:t xml:space="preserve">Output 2.3 of the programme performed well over the review period, scoring an A+. </w:t>
      </w:r>
      <w:r w:rsidRPr="153D0DE1" w:rsidR="0568DB13">
        <w:rPr>
          <w:rFonts w:cs="Arial"/>
          <w:sz w:val="22"/>
          <w:szCs w:val="22"/>
        </w:rPr>
        <w:t xml:space="preserve">This Output is focused on the REDD+ Community of Practice, as well as in-person and virtual technical exchanges. </w:t>
      </w:r>
      <w:r w:rsidRPr="153D0DE1" w:rsidR="7A505F8B">
        <w:rPr>
          <w:rFonts w:cs="Arial"/>
          <w:sz w:val="22"/>
          <w:szCs w:val="22"/>
        </w:rPr>
        <w:t xml:space="preserve">The REDD+ Community of Practice is intended to provide a dedicated platform for dialogue, knowledge-sharing and technical exchange among REDD+ countries, </w:t>
      </w:r>
      <w:r w:rsidRPr="153D0DE1" w:rsidR="7A505F8B">
        <w:rPr>
          <w:rFonts w:cs="Arial"/>
          <w:sz w:val="22"/>
          <w:szCs w:val="22"/>
        </w:rPr>
        <w:t>donors</w:t>
      </w:r>
      <w:r w:rsidRPr="153D0DE1" w:rsidR="7A505F8B">
        <w:rPr>
          <w:rFonts w:cs="Arial"/>
          <w:sz w:val="22"/>
          <w:szCs w:val="22"/>
        </w:rPr>
        <w:t xml:space="preserve"> and stakeholders</w:t>
      </w:r>
      <w:r w:rsidRPr="153D0DE1" w:rsidR="0568DB13">
        <w:rPr>
          <w:rFonts w:cs="Arial"/>
          <w:sz w:val="22"/>
          <w:szCs w:val="22"/>
        </w:rPr>
        <w:t>.</w:t>
      </w:r>
      <w:r w:rsidRPr="153D0DE1" w:rsidR="1C607B06">
        <w:rPr>
          <w:rFonts w:cs="Arial"/>
          <w:sz w:val="22"/>
          <w:szCs w:val="22"/>
        </w:rPr>
        <w:t xml:space="preserve"> </w:t>
      </w:r>
      <w:r w:rsidRPr="153D0DE1" w:rsidR="1D1399F5">
        <w:rPr>
          <w:rFonts w:cs="Arial"/>
          <w:sz w:val="22"/>
          <w:szCs w:val="22"/>
        </w:rPr>
        <w:t xml:space="preserve">Outputs 2.3A and 2.3C moderately exceeded expectations and met </w:t>
      </w:r>
      <w:r w:rsidRPr="153D0DE1" w:rsidR="1D1399F5">
        <w:rPr>
          <w:rFonts w:cs="Arial"/>
          <w:sz w:val="22"/>
          <w:szCs w:val="22"/>
        </w:rPr>
        <w:t>expectations</w:t>
      </w:r>
      <w:r w:rsidRPr="153D0DE1" w:rsidR="1D1399F5">
        <w:rPr>
          <w:rFonts w:cs="Arial"/>
          <w:sz w:val="22"/>
          <w:szCs w:val="22"/>
        </w:rPr>
        <w:t xml:space="preserve"> respectively. </w:t>
      </w:r>
      <w:r w:rsidRPr="153D0DE1" w:rsidR="1C607B06">
        <w:rPr>
          <w:rFonts w:cs="Arial"/>
          <w:sz w:val="22"/>
          <w:szCs w:val="22"/>
        </w:rPr>
        <w:t xml:space="preserve">Output 2.3B </w:t>
      </w:r>
      <w:r w:rsidRPr="153D0DE1" w:rsidR="15CFC967">
        <w:rPr>
          <w:rFonts w:cs="Arial"/>
          <w:sz w:val="22"/>
          <w:szCs w:val="22"/>
        </w:rPr>
        <w:t>substantially exceeded</w:t>
      </w:r>
      <w:r w:rsidRPr="153D0DE1" w:rsidR="15CFC967">
        <w:rPr>
          <w:rFonts w:cs="Arial"/>
          <w:sz w:val="22"/>
          <w:szCs w:val="22"/>
        </w:rPr>
        <w:t xml:space="preserve"> expectations for the review period</w:t>
      </w:r>
      <w:r w:rsidRPr="153D0DE1" w:rsidR="1D74FC00">
        <w:rPr>
          <w:rFonts w:cs="Arial"/>
          <w:sz w:val="22"/>
          <w:szCs w:val="22"/>
        </w:rPr>
        <w:t xml:space="preserve"> with 363 attendees at in person and online facilitated exchanges (this included attendees at the REDD+ regional meeting for Latin America and the </w:t>
      </w:r>
      <w:r w:rsidRPr="153D0DE1" w:rsidR="1D74FC00">
        <w:rPr>
          <w:rFonts w:cs="Arial"/>
          <w:sz w:val="22"/>
          <w:szCs w:val="22"/>
        </w:rPr>
        <w:t>Caribbean</w:t>
      </w:r>
      <w:r w:rsidRPr="153D0DE1" w:rsidR="1D74FC00">
        <w:rPr>
          <w:rFonts w:cs="Arial"/>
          <w:sz w:val="22"/>
          <w:szCs w:val="22"/>
        </w:rPr>
        <w:t xml:space="preserve">, </w:t>
      </w:r>
      <w:r w:rsidRPr="153D0DE1" w:rsidR="1D74FC00">
        <w:rPr>
          <w:rFonts w:cs="Arial"/>
          <w:sz w:val="22"/>
          <w:szCs w:val="22"/>
        </w:rPr>
        <w:t xml:space="preserve">REDD+ webinars, </w:t>
      </w:r>
      <w:r w:rsidRPr="153D0DE1" w:rsidR="5523DF67">
        <w:rPr>
          <w:rFonts w:cs="Arial"/>
          <w:sz w:val="22"/>
          <w:szCs w:val="22"/>
        </w:rPr>
        <w:t>and the Global Summit)</w:t>
      </w:r>
      <w:r w:rsidRPr="153D0DE1" w:rsidR="039F9132">
        <w:rPr>
          <w:rFonts w:cs="Arial"/>
          <w:sz w:val="22"/>
          <w:szCs w:val="22"/>
        </w:rPr>
        <w:t>. The target was originally set at 33 based on assumption that we would get one attendee from approximately half of the country Parties (which total 66) however the</w:t>
      </w:r>
      <w:r w:rsidRPr="153D0DE1" w:rsidR="3B4FD52F">
        <w:rPr>
          <w:rFonts w:cs="Arial"/>
          <w:sz w:val="22"/>
          <w:szCs w:val="22"/>
        </w:rPr>
        <w:t xml:space="preserve"> high number of attendees</w:t>
      </w:r>
      <w:r w:rsidRPr="153D0DE1" w:rsidR="10C6DBEC">
        <w:rPr>
          <w:rFonts w:cs="Arial"/>
          <w:sz w:val="22"/>
          <w:szCs w:val="22"/>
        </w:rPr>
        <w:t xml:space="preserve"> </w:t>
      </w:r>
      <w:r w:rsidRPr="153D0DE1" w:rsidR="7F77A559">
        <w:rPr>
          <w:rFonts w:cs="Arial"/>
          <w:sz w:val="22"/>
          <w:szCs w:val="22"/>
        </w:rPr>
        <w:t xml:space="preserve">this year </w:t>
      </w:r>
      <w:r w:rsidRPr="153D0DE1" w:rsidR="658DAEB2">
        <w:rPr>
          <w:rFonts w:cs="Arial"/>
          <w:sz w:val="22"/>
          <w:szCs w:val="22"/>
        </w:rPr>
        <w:t xml:space="preserve">can be attributed to </w:t>
      </w:r>
      <w:r w:rsidRPr="153D0DE1" w:rsidR="15CFC967">
        <w:rPr>
          <w:rFonts w:cs="Arial"/>
          <w:sz w:val="22"/>
          <w:szCs w:val="22"/>
        </w:rPr>
        <w:t xml:space="preserve">one of the key milestones for 2026 which was the </w:t>
      </w:r>
      <w:r w:rsidRPr="153D0DE1" w:rsidR="4B45D888">
        <w:rPr>
          <w:rFonts w:cs="Arial"/>
          <w:sz w:val="22"/>
          <w:szCs w:val="22"/>
        </w:rPr>
        <w:t>first REDD+ Global Summit, held in Nairobi in May 2026. This brought together</w:t>
      </w:r>
      <w:r w:rsidRPr="153D0DE1" w:rsidR="4C6E1A09">
        <w:rPr>
          <w:rFonts w:cs="Arial"/>
          <w:sz w:val="22"/>
          <w:szCs w:val="22"/>
        </w:rPr>
        <w:t xml:space="preserve"> 96</w:t>
      </w:r>
      <w:r w:rsidRPr="153D0DE1" w:rsidR="4B45D888">
        <w:rPr>
          <w:rFonts w:cs="Arial"/>
          <w:sz w:val="22"/>
          <w:szCs w:val="22"/>
        </w:rPr>
        <w:t xml:space="preserve"> representatives from 5</w:t>
      </w:r>
      <w:r w:rsidRPr="153D0DE1" w:rsidR="79DCC319">
        <w:rPr>
          <w:rFonts w:cs="Arial"/>
          <w:sz w:val="22"/>
          <w:szCs w:val="22"/>
        </w:rPr>
        <w:t>8</w:t>
      </w:r>
      <w:r w:rsidRPr="153D0DE1" w:rsidR="4B45D888">
        <w:rPr>
          <w:rFonts w:cs="Arial"/>
          <w:sz w:val="22"/>
          <w:szCs w:val="22"/>
        </w:rPr>
        <w:t xml:space="preserve"> REDD+ countries, </w:t>
      </w:r>
      <w:r w:rsidRPr="153D0DE1" w:rsidR="5CC3FE1B">
        <w:rPr>
          <w:rFonts w:cs="Arial"/>
          <w:sz w:val="22"/>
          <w:szCs w:val="22"/>
        </w:rPr>
        <w:t>4</w:t>
      </w:r>
      <w:r w:rsidRPr="153D0DE1" w:rsidR="4B45D888">
        <w:rPr>
          <w:rFonts w:cs="Arial"/>
          <w:sz w:val="22"/>
          <w:szCs w:val="22"/>
        </w:rPr>
        <w:t xml:space="preserve"> donor countries, 13 international organizations</w:t>
      </w:r>
      <w:r w:rsidRPr="153D0DE1" w:rsidR="4FFD7F65">
        <w:rPr>
          <w:rFonts w:cs="Arial"/>
          <w:sz w:val="22"/>
          <w:szCs w:val="22"/>
        </w:rPr>
        <w:t>, and 3 civil society constituencies</w:t>
      </w:r>
      <w:r w:rsidRPr="153D0DE1" w:rsidR="4B45D888">
        <w:rPr>
          <w:rFonts w:cs="Arial"/>
          <w:sz w:val="22"/>
          <w:szCs w:val="22"/>
        </w:rPr>
        <w:t xml:space="preserve">. The Summit provided a dedicated space for the REDD+ community to exchange practical experiences, discuss common implementation </w:t>
      </w:r>
      <w:r w:rsidRPr="153D0DE1" w:rsidR="4B45D888">
        <w:rPr>
          <w:rFonts w:cs="Arial"/>
          <w:sz w:val="22"/>
          <w:szCs w:val="22"/>
        </w:rPr>
        <w:t>challenges</w:t>
      </w:r>
      <w:r w:rsidRPr="153D0DE1" w:rsidR="4B45D888">
        <w:rPr>
          <w:rFonts w:cs="Arial"/>
          <w:sz w:val="22"/>
          <w:szCs w:val="22"/>
        </w:rPr>
        <w:t xml:space="preserve"> and explore opportunities for continued collaboration.</w:t>
      </w:r>
      <w:r w:rsidRPr="153D0DE1" w:rsidR="64E91F86">
        <w:rPr>
          <w:rFonts w:cs="Arial"/>
          <w:sz w:val="22"/>
          <w:szCs w:val="22"/>
        </w:rPr>
        <w:t xml:space="preserve"> </w:t>
      </w:r>
    </w:p>
    <w:p w:rsidR="005F1E1A" w:rsidP="58D192DE" w:rsidRDefault="005F1E1A" w14:paraId="1243C013" w14:textId="7B7AE244">
      <w:pPr>
        <w:jc w:val="both"/>
        <w:rPr>
          <w:rFonts w:cs="Arial"/>
          <w:sz w:val="22"/>
          <w:szCs w:val="22"/>
        </w:rPr>
      </w:pPr>
    </w:p>
    <w:p w:rsidR="005F1E1A" w:rsidP="49D58428" w:rsidRDefault="07AA4BC3" w14:paraId="48F2A287" w14:textId="35939D66">
      <w:pPr>
        <w:jc w:val="both"/>
      </w:pPr>
      <w:r w:rsidRPr="58D192DE">
        <w:rPr>
          <w:rFonts w:cs="Arial"/>
          <w:sz w:val="22"/>
          <w:szCs w:val="22"/>
        </w:rPr>
        <w:t>Feedback from p</w:t>
      </w:r>
      <w:r w:rsidRPr="58D192DE" w:rsidR="34CE9F54">
        <w:rPr>
          <w:rFonts w:cs="Arial"/>
          <w:sz w:val="22"/>
          <w:szCs w:val="22"/>
        </w:rPr>
        <w:t xml:space="preserve">articipants at the Summit emphasised the importance of voluntary cooperation and exchange </w:t>
      </w:r>
      <w:r w:rsidRPr="58D192DE" w:rsidR="7F1AEF66">
        <w:rPr>
          <w:rFonts w:cs="Arial"/>
          <w:sz w:val="22"/>
          <w:szCs w:val="22"/>
        </w:rPr>
        <w:t xml:space="preserve">by Parties, on REDD+, by highlighting: </w:t>
      </w:r>
      <w:r w:rsidRPr="58D192DE" w:rsidR="5150DA67">
        <w:rPr>
          <w:rFonts w:cs="Arial"/>
          <w:sz w:val="22"/>
          <w:szCs w:val="22"/>
        </w:rPr>
        <w:t xml:space="preserve"> </w:t>
      </w:r>
    </w:p>
    <w:p w:rsidR="78F09900" w:rsidP="568DFE58" w:rsidRDefault="78F09900" w14:paraId="7B6C9CD2" w14:textId="10F99188">
      <w:pPr>
        <w:pStyle w:val="ListParagraph"/>
        <w:numPr>
          <w:ilvl w:val="0"/>
          <w:numId w:val="1"/>
        </w:numPr>
        <w:jc w:val="both"/>
        <w:rPr>
          <w:rFonts w:cs="Arial"/>
          <w:sz w:val="22"/>
          <w:szCs w:val="22"/>
        </w:rPr>
      </w:pPr>
      <w:r w:rsidRPr="6F6893D5">
        <w:rPr>
          <w:rFonts w:cs="Arial"/>
          <w:sz w:val="22"/>
          <w:szCs w:val="22"/>
        </w:rPr>
        <w:t xml:space="preserve">Sustaining momentum requires keep the Community of Practise active as a practical space for exchange </w:t>
      </w:r>
    </w:p>
    <w:p w:rsidR="005F1E1A" w:rsidP="3A5014C3" w:rsidRDefault="78F09900" w14:paraId="5AF230D1" w14:textId="0460A927">
      <w:pPr>
        <w:pStyle w:val="ListParagraph"/>
        <w:numPr>
          <w:ilvl w:val="0"/>
          <w:numId w:val="1"/>
        </w:numPr>
        <w:jc w:val="both"/>
        <w:rPr>
          <w:rFonts w:cs="Arial"/>
          <w:sz w:val="22"/>
          <w:szCs w:val="22"/>
        </w:rPr>
      </w:pPr>
      <w:r w:rsidRPr="6F0E0B81">
        <w:rPr>
          <w:rFonts w:cs="Arial"/>
          <w:sz w:val="22"/>
          <w:szCs w:val="22"/>
        </w:rPr>
        <w:t xml:space="preserve">The value in maintaining a regular </w:t>
      </w:r>
      <w:r w:rsidRPr="6F0E0B81" w:rsidR="0D278FD7">
        <w:rPr>
          <w:rFonts w:cs="Arial"/>
          <w:sz w:val="22"/>
          <w:szCs w:val="22"/>
        </w:rPr>
        <w:t>rhythm</w:t>
      </w:r>
      <w:r w:rsidRPr="6F0E0B81">
        <w:rPr>
          <w:rFonts w:cs="Arial"/>
          <w:sz w:val="22"/>
          <w:szCs w:val="22"/>
        </w:rPr>
        <w:t xml:space="preserve"> of exchange between countries including annual regional meeting to address region-specific issues, and periodic global summi</w:t>
      </w:r>
      <w:r w:rsidRPr="6F0E0B81" w:rsidR="051C37EF">
        <w:rPr>
          <w:rFonts w:cs="Arial"/>
          <w:sz w:val="22"/>
          <w:szCs w:val="22"/>
        </w:rPr>
        <w:t xml:space="preserve">ts to consolidate cross-cutting lessons, align expectations across actors, and take stock of what is changing in the finance and integrity landscape </w:t>
      </w:r>
    </w:p>
    <w:p w:rsidR="08D9BFA7" w:rsidP="6F0E0B81" w:rsidRDefault="08D9BFA7" w14:paraId="3D9152FB" w14:textId="318A2C34">
      <w:pPr>
        <w:pStyle w:val="ListParagraph"/>
        <w:numPr>
          <w:ilvl w:val="0"/>
          <w:numId w:val="1"/>
        </w:numPr>
        <w:jc w:val="both"/>
        <w:rPr>
          <w:rFonts w:cs="Arial"/>
          <w:sz w:val="22"/>
          <w:szCs w:val="22"/>
        </w:rPr>
      </w:pPr>
      <w:r w:rsidRPr="4E7B7F16" w:rsidR="08D9BFA7">
        <w:rPr>
          <w:rFonts w:cs="Arial"/>
          <w:sz w:val="22"/>
          <w:szCs w:val="22"/>
        </w:rPr>
        <w:t xml:space="preserve">The importance of continuing efforts to communicate RED+ progress more effectively so that achievements, </w:t>
      </w:r>
      <w:r w:rsidRPr="4E7B7F16" w:rsidR="08D9BFA7">
        <w:rPr>
          <w:rFonts w:cs="Arial"/>
          <w:sz w:val="22"/>
          <w:szCs w:val="22"/>
        </w:rPr>
        <w:t>needs</w:t>
      </w:r>
      <w:r w:rsidRPr="4E7B7F16" w:rsidR="08D9BFA7">
        <w:rPr>
          <w:rFonts w:cs="Arial"/>
          <w:sz w:val="22"/>
          <w:szCs w:val="22"/>
        </w:rPr>
        <w:t xml:space="preserve"> and opportunities are understood by domestic </w:t>
      </w:r>
      <w:r w:rsidRPr="4E7B7F16" w:rsidR="08D9BFA7">
        <w:rPr>
          <w:rFonts w:cs="Arial"/>
          <w:sz w:val="22"/>
          <w:szCs w:val="22"/>
        </w:rPr>
        <w:t>decision</w:t>
      </w:r>
      <w:r w:rsidRPr="4E7B7F16" w:rsidR="08D9BFA7">
        <w:rPr>
          <w:rFonts w:cs="Arial"/>
          <w:sz w:val="22"/>
          <w:szCs w:val="22"/>
        </w:rPr>
        <w:t>-make</w:t>
      </w:r>
      <w:r w:rsidRPr="4E7B7F16" w:rsidR="3C337CAB">
        <w:rPr>
          <w:rFonts w:cs="Arial"/>
          <w:sz w:val="22"/>
          <w:szCs w:val="22"/>
        </w:rPr>
        <w:t>r</w:t>
      </w:r>
      <w:r w:rsidRPr="4E7B7F16" w:rsidR="08D9BFA7">
        <w:rPr>
          <w:rFonts w:cs="Arial"/>
          <w:sz w:val="22"/>
          <w:szCs w:val="22"/>
        </w:rPr>
        <w:t xml:space="preserve">s, stakeholders, and international partners. </w:t>
      </w:r>
    </w:p>
    <w:p w:rsidR="005F1E1A" w:rsidP="1016B5BD" w:rsidRDefault="6A0E45A6" w14:paraId="371166E2" w14:textId="5CA45A9F">
      <w:pPr>
        <w:jc w:val="both"/>
        <w:rPr>
          <w:rFonts w:cs="Arial"/>
          <w:sz w:val="22"/>
          <w:szCs w:val="22"/>
        </w:rPr>
      </w:pPr>
      <w:r w:rsidRPr="49D58428">
        <w:rPr>
          <w:rFonts w:cs="Arial"/>
          <w:sz w:val="22"/>
          <w:szCs w:val="22"/>
        </w:rPr>
        <w:t>Future logframe targets should</w:t>
      </w:r>
      <w:r w:rsidRPr="49D58428" w:rsidR="3319B3C8">
        <w:rPr>
          <w:rFonts w:cs="Arial"/>
          <w:sz w:val="22"/>
          <w:szCs w:val="22"/>
        </w:rPr>
        <w:t xml:space="preserve"> take into account results from this annual review period to ensure ambitious targets are set, and that yearly targets account for whether a Global Summit </w:t>
      </w:r>
      <w:r w:rsidRPr="49D58428" w:rsidR="7ECD0990">
        <w:rPr>
          <w:rFonts w:cs="Arial"/>
          <w:sz w:val="22"/>
          <w:szCs w:val="22"/>
        </w:rPr>
        <w:t xml:space="preserve">is scheduled for that year. </w:t>
      </w:r>
    </w:p>
    <w:p w:rsidR="00CE2B12" w:rsidP="004D5FD5" w:rsidRDefault="00CE2B12" w14:paraId="19550BCF" w14:textId="77777777">
      <w:pPr>
        <w:jc w:val="both"/>
        <w:rPr>
          <w:rFonts w:cs="Arial"/>
          <w:sz w:val="22"/>
          <w:szCs w:val="22"/>
        </w:rPr>
      </w:pPr>
    </w:p>
    <w:p w:rsidR="003D222C" w:rsidP="004D5FD5" w:rsidRDefault="003D222C" w14:paraId="1B63C618" w14:textId="4396A74F">
      <w:pPr>
        <w:jc w:val="both"/>
        <w:rPr>
          <w:rFonts w:cs="Arial"/>
          <w:sz w:val="22"/>
          <w:szCs w:val="22"/>
        </w:rPr>
      </w:pPr>
    </w:p>
    <w:tbl>
      <w:tblPr>
        <w:tblStyle w:val="TableGrid"/>
        <w:tblW w:w="0" w:type="auto"/>
        <w:tblLook w:val="04A0" w:firstRow="1" w:lastRow="0" w:firstColumn="1" w:lastColumn="0" w:noHBand="0" w:noVBand="1"/>
      </w:tblPr>
      <w:tblGrid>
        <w:gridCol w:w="9016"/>
      </w:tblGrid>
      <w:tr w:rsidR="00CB2873" w:rsidTr="0B5ACFBB" w14:paraId="406A1DDB" w14:textId="77777777">
        <w:tc>
          <w:tcPr>
            <w:tcW w:w="9016" w:type="dxa"/>
            <w:shd w:val="clear" w:color="auto" w:fill="DEEAF6" w:themeFill="accent5" w:themeFillTint="33"/>
          </w:tcPr>
          <w:p w:rsidR="00CB2873" w:rsidP="004D5FD5" w:rsidRDefault="4DC2D69A" w14:paraId="5F18405D" w14:textId="4DC506EB">
            <w:pPr>
              <w:jc w:val="both"/>
            </w:pPr>
            <w:bookmarkStart w:name="_Toc1033953850" w:id="73"/>
            <w:bookmarkStart w:name="_Toc699281142" w:id="74"/>
            <w:r w:rsidRPr="0B5ACFBB">
              <w:rPr>
                <w:rStyle w:val="Heading1Char"/>
                <w:rFonts w:ascii="Arial" w:hAnsi="Arial" w:cs="Arial"/>
                <w:b/>
                <w:bCs/>
                <w:color w:val="auto"/>
              </w:rPr>
              <w:t xml:space="preserve">Section </w:t>
            </w:r>
            <w:r w:rsidRPr="0B5ACFBB" w:rsidR="694D3AFC">
              <w:rPr>
                <w:rStyle w:val="Heading1Char"/>
                <w:rFonts w:ascii="Arial" w:hAnsi="Arial" w:cs="Arial"/>
                <w:b/>
                <w:bCs/>
                <w:color w:val="auto"/>
              </w:rPr>
              <w:t>D</w:t>
            </w:r>
            <w:r w:rsidRPr="0B5ACFBB">
              <w:rPr>
                <w:rStyle w:val="Heading1Char"/>
                <w:rFonts w:ascii="Arial" w:hAnsi="Arial" w:cs="Arial"/>
                <w:b/>
                <w:bCs/>
                <w:color w:val="auto"/>
              </w:rPr>
              <w:t>: Risk</w:t>
            </w:r>
            <w:bookmarkEnd w:id="73"/>
            <w:bookmarkEnd w:id="74"/>
            <w:r>
              <w:t xml:space="preserve"> </w:t>
            </w:r>
          </w:p>
        </w:tc>
      </w:tr>
    </w:tbl>
    <w:p w:rsidRPr="00D80C6C" w:rsidR="003D222C" w:rsidP="004D5FD5" w:rsidRDefault="003D222C" w14:paraId="7D07A5C2" w14:textId="77777777">
      <w:pPr>
        <w:jc w:val="both"/>
        <w:rPr>
          <w:rFonts w:cs="Arial"/>
          <w:b/>
          <w:bCs/>
          <w:sz w:val="22"/>
          <w:szCs w:val="22"/>
        </w:rPr>
      </w:pPr>
    </w:p>
    <w:p w:rsidRPr="00D80C6C" w:rsidR="00B74143" w:rsidP="4E793945" w:rsidRDefault="63CD0B0E" w14:paraId="02219256" w14:textId="06EAC1AF">
      <w:pPr>
        <w:contextualSpacing/>
        <w:jc w:val="both"/>
      </w:pPr>
      <w:bookmarkStart w:name="_Toc1080364727" w:id="75"/>
      <w:r w:rsidRPr="0B5ACFBB">
        <w:rPr>
          <w:rStyle w:val="Heading2Char"/>
        </w:rPr>
        <w:t>Overall risk rating</w:t>
      </w:r>
      <w:bookmarkEnd w:id="75"/>
      <w:r w:rsidRPr="0B5ACFBB">
        <w:rPr>
          <w:rFonts w:cs="Arial"/>
          <w:b/>
          <w:bCs/>
          <w:sz w:val="22"/>
          <w:szCs w:val="22"/>
        </w:rPr>
        <w:t xml:space="preserve">:  </w:t>
      </w:r>
      <w:r w:rsidRPr="0B5ACFBB" w:rsidR="1D8AB219">
        <w:rPr>
          <w:rFonts w:cs="Arial"/>
          <w:b/>
          <w:bCs/>
          <w:sz w:val="22"/>
          <w:szCs w:val="22"/>
        </w:rPr>
        <w:t xml:space="preserve">Moderate </w:t>
      </w:r>
    </w:p>
    <w:p w:rsidR="00130015" w:rsidP="00130015" w:rsidRDefault="00130015" w14:paraId="0772123A" w14:textId="07CC5E6B">
      <w:pPr>
        <w:contextualSpacing/>
        <w:jc w:val="both"/>
        <w:rPr>
          <w:rFonts w:cs="Arial"/>
          <w:sz w:val="22"/>
          <w:szCs w:val="22"/>
        </w:rPr>
      </w:pPr>
    </w:p>
    <w:p w:rsidR="3C163D2D" w:rsidP="726BD93E" w:rsidRDefault="3E1D86E1" w14:paraId="3DD09666" w14:textId="4B0A4DA9">
      <w:pPr>
        <w:rPr>
          <w:rFonts w:eastAsia="Arial" w:cs="Arial"/>
          <w:color w:val="000000" w:themeColor="text1"/>
          <w:sz w:val="22"/>
          <w:szCs w:val="22"/>
        </w:rPr>
      </w:pPr>
      <w:r w:rsidRPr="4E7B7F16" w:rsidR="3E1D86E1">
        <w:rPr>
          <w:rFonts w:eastAsia="Arial" w:cs="Arial"/>
          <w:color w:val="000000" w:themeColor="text1" w:themeTint="FF" w:themeShade="FF"/>
          <w:sz w:val="22"/>
          <w:szCs w:val="22"/>
        </w:rPr>
        <w:t xml:space="preserve">The programme </w:t>
      </w:r>
      <w:r w:rsidRPr="4E7B7F16" w:rsidR="3E1D86E1">
        <w:rPr>
          <w:rFonts w:eastAsia="Arial" w:cs="Arial"/>
          <w:color w:val="000000" w:themeColor="text1" w:themeTint="FF" w:themeShade="FF"/>
          <w:sz w:val="22"/>
          <w:szCs w:val="22"/>
        </w:rPr>
        <w:t>operates</w:t>
      </w:r>
      <w:r w:rsidRPr="4E7B7F16" w:rsidR="3E1D86E1">
        <w:rPr>
          <w:rFonts w:eastAsia="Arial" w:cs="Arial"/>
          <w:color w:val="000000" w:themeColor="text1" w:themeTint="FF" w:themeShade="FF"/>
          <w:sz w:val="22"/>
          <w:szCs w:val="22"/>
        </w:rPr>
        <w:t xml:space="preserve"> in a compl</w:t>
      </w:r>
      <w:r w:rsidRPr="4E7B7F16" w:rsidR="3E1D86E1">
        <w:rPr>
          <w:rFonts w:eastAsia="Arial" w:cs="Arial"/>
          <w:color w:val="000000" w:themeColor="text1" w:themeTint="FF" w:themeShade="FF"/>
          <w:sz w:val="22"/>
          <w:szCs w:val="22"/>
        </w:rPr>
        <w:t>ex d</w:t>
      </w:r>
      <w:r w:rsidRPr="4E7B7F16" w:rsidR="3E1D86E1">
        <w:rPr>
          <w:rFonts w:eastAsia="Arial" w:cs="Arial"/>
          <w:color w:val="000000" w:themeColor="text1" w:themeTint="FF" w:themeShade="FF"/>
          <w:sz w:val="22"/>
          <w:szCs w:val="22"/>
        </w:rPr>
        <w:t>elivery environm</w:t>
      </w:r>
      <w:r w:rsidRPr="4E7B7F16" w:rsidR="3E1D86E1">
        <w:rPr>
          <w:rFonts w:eastAsia="Arial" w:cs="Arial"/>
          <w:color w:val="000000" w:themeColor="text1" w:themeTint="FF" w:themeShade="FF"/>
          <w:sz w:val="22"/>
          <w:szCs w:val="22"/>
        </w:rPr>
        <w:t>ent, wit</w:t>
      </w:r>
      <w:r w:rsidRPr="4E7B7F16" w:rsidR="3E1D86E1">
        <w:rPr>
          <w:rFonts w:eastAsia="Arial" w:cs="Arial"/>
          <w:color w:val="000000" w:themeColor="text1" w:themeTint="FF" w:themeShade="FF"/>
          <w:sz w:val="22"/>
          <w:szCs w:val="22"/>
        </w:rPr>
        <w:t xml:space="preserve">h funding provided to the UNFCCC Secretariat to support core, REDD+ support functions under the Paris Agreement. The overall risk rating is </w:t>
      </w:r>
      <w:r w:rsidRPr="4E7B7F16" w:rsidR="3E1D86E1">
        <w:rPr>
          <w:rFonts w:eastAsia="Arial" w:cs="Arial"/>
          <w:b w:val="1"/>
          <w:bCs w:val="1"/>
          <w:color w:val="000000" w:themeColor="text1" w:themeTint="FF" w:themeShade="FF"/>
          <w:sz w:val="22"/>
          <w:szCs w:val="22"/>
        </w:rPr>
        <w:t xml:space="preserve">Moderate, </w:t>
      </w:r>
      <w:r w:rsidRPr="4E7B7F16" w:rsidR="3E1D86E1">
        <w:rPr>
          <w:rFonts w:eastAsia="Arial" w:cs="Arial"/>
          <w:color w:val="000000" w:themeColor="text1" w:themeTint="FF" w:themeShade="FF"/>
          <w:sz w:val="22"/>
          <w:szCs w:val="22"/>
        </w:rPr>
        <w:t xml:space="preserve">reflecting the programme’s early delivery phase, reliance on external actors (including country party submissions), and the fact </w:t>
      </w:r>
      <w:r w:rsidRPr="4E7B7F16" w:rsidR="3E1D86E1">
        <w:rPr>
          <w:rFonts w:eastAsia="Arial" w:cs="Arial"/>
          <w:color w:val="000000" w:themeColor="text1" w:themeTint="FF" w:themeShade="FF"/>
          <w:sz w:val="22"/>
          <w:szCs w:val="22"/>
        </w:rPr>
        <w:t>tha</w:t>
      </w:r>
      <w:r w:rsidRPr="4E7B7F16" w:rsidR="6376D909">
        <w:rPr>
          <w:rFonts w:eastAsia="Arial" w:cs="Arial"/>
          <w:color w:val="000000" w:themeColor="text1" w:themeTint="FF" w:themeShade="FF"/>
          <w:sz w:val="22"/>
          <w:szCs w:val="22"/>
        </w:rPr>
        <w:t>t</w:t>
      </w:r>
      <w:r w:rsidRPr="4E7B7F16" w:rsidR="3E1D86E1">
        <w:rPr>
          <w:rFonts w:eastAsia="Arial" w:cs="Arial"/>
          <w:color w:val="000000" w:themeColor="text1" w:themeTint="FF" w:themeShade="FF"/>
          <w:sz w:val="22"/>
          <w:szCs w:val="22"/>
        </w:rPr>
        <w:t xml:space="preserve"> UNFCCC typically operates under collective Party mandates rather than single-donor programme arrangements, which requires careful alignment of reporting systems</w:t>
      </w:r>
      <w:r w:rsidRPr="4E7B7F16" w:rsidR="3E1D86E1">
        <w:rPr>
          <w:rFonts w:eastAsia="Arial" w:cs="Arial"/>
          <w:color w:val="000000" w:themeColor="text1" w:themeTint="FF" w:themeShade="FF"/>
          <w:sz w:val="22"/>
          <w:szCs w:val="22"/>
        </w:rPr>
        <w:t xml:space="preserve">.  </w:t>
      </w:r>
      <w:r w:rsidRPr="4E7B7F16" w:rsidR="3E1D86E1">
        <w:rPr>
          <w:rFonts w:eastAsia="Arial" w:cs="Arial"/>
          <w:color w:val="000000" w:themeColor="text1" w:themeTint="FF" w:themeShade="FF"/>
          <w:sz w:val="22"/>
          <w:szCs w:val="22"/>
        </w:rPr>
        <w:t xml:space="preserve">These risks relate to programme management and </w:t>
      </w:r>
      <w:r w:rsidRPr="4E7B7F16" w:rsidR="3E1D86E1">
        <w:rPr>
          <w:rFonts w:eastAsia="Arial" w:cs="Arial"/>
          <w:color w:val="000000" w:themeColor="text1" w:themeTint="FF" w:themeShade="FF"/>
          <w:sz w:val="22"/>
          <w:szCs w:val="22"/>
        </w:rPr>
        <w:t>monitoring</w:t>
      </w:r>
      <w:r w:rsidRPr="4E7B7F16" w:rsidR="3E1D86E1">
        <w:rPr>
          <w:rFonts w:eastAsia="Arial" w:cs="Arial"/>
          <w:color w:val="000000" w:themeColor="text1" w:themeTint="FF" w:themeShade="FF"/>
          <w:sz w:val="22"/>
          <w:szCs w:val="22"/>
        </w:rPr>
        <w:t xml:space="preserve"> rather than any material concerns around delivery failure or misuse of funds.</w:t>
      </w:r>
    </w:p>
    <w:p w:rsidR="6764D1C9" w:rsidP="6764D1C9" w:rsidRDefault="6764D1C9" w14:paraId="39921A97" w14:textId="40968B51">
      <w:pPr>
        <w:rPr>
          <w:rFonts w:eastAsia="Arial" w:cs="Arial"/>
          <w:color w:val="000000" w:themeColor="text1"/>
          <w:sz w:val="22"/>
          <w:szCs w:val="22"/>
        </w:rPr>
      </w:pPr>
    </w:p>
    <w:p w:rsidR="3C163D2D" w:rsidP="6764D1C9" w:rsidRDefault="3C163D2D" w14:paraId="41D7D100" w14:textId="279209AA">
      <w:pPr>
        <w:rPr>
          <w:rFonts w:eastAsia="Arial" w:cs="Arial"/>
          <w:color w:val="000000" w:themeColor="text1"/>
          <w:sz w:val="22"/>
          <w:szCs w:val="22"/>
        </w:rPr>
      </w:pPr>
      <w:r w:rsidRPr="6764D1C9">
        <w:rPr>
          <w:rFonts w:eastAsia="Arial" w:cs="Arial"/>
          <w:color w:val="000000" w:themeColor="text1"/>
          <w:sz w:val="22"/>
          <w:szCs w:val="22"/>
        </w:rPr>
        <w:t>During the review period, the main trends in risk exposure have been driven by:</w:t>
      </w:r>
    </w:p>
    <w:p w:rsidR="3C163D2D" w:rsidP="6764D1C9" w:rsidRDefault="3C163D2D" w14:paraId="359ACA14" w14:textId="37DE7D10">
      <w:pPr>
        <w:pStyle w:val="ListParagraph"/>
        <w:numPr>
          <w:ilvl w:val="0"/>
          <w:numId w:val="2"/>
        </w:numPr>
        <w:rPr>
          <w:rFonts w:eastAsia="Arial" w:cs="Arial"/>
          <w:color w:val="000000" w:themeColor="text1"/>
          <w:sz w:val="22"/>
          <w:szCs w:val="22"/>
        </w:rPr>
      </w:pPr>
      <w:r w:rsidRPr="6764D1C9">
        <w:rPr>
          <w:rFonts w:eastAsia="Arial" w:cs="Arial"/>
          <w:color w:val="000000" w:themeColor="text1"/>
          <w:sz w:val="22"/>
          <w:szCs w:val="22"/>
        </w:rPr>
        <w:t>Delays in the programme start with a reduced implementation timeframe and budget, resulting from the pause in all new programmes following the announcement of wider UK ODA budget reductions in February 2025 and associated funding and timeframe changes;</w:t>
      </w:r>
    </w:p>
    <w:p w:rsidR="3C163D2D" w:rsidP="6764D1C9" w:rsidRDefault="3C163D2D" w14:paraId="5FE1B723" w14:textId="3CE8DCA5">
      <w:pPr>
        <w:pStyle w:val="ListParagraph"/>
        <w:numPr>
          <w:ilvl w:val="0"/>
          <w:numId w:val="2"/>
        </w:numPr>
        <w:rPr>
          <w:rFonts w:eastAsia="Arial" w:cs="Arial"/>
          <w:color w:val="000000" w:themeColor="text1"/>
          <w:sz w:val="22"/>
          <w:szCs w:val="22"/>
        </w:rPr>
      </w:pPr>
      <w:r w:rsidRPr="6764D1C9">
        <w:rPr>
          <w:rFonts w:eastAsia="Arial" w:cs="Arial"/>
          <w:color w:val="000000" w:themeColor="text1"/>
          <w:sz w:val="22"/>
          <w:szCs w:val="22"/>
        </w:rPr>
        <w:t>The adaptation required for the UNFCCC Secretariat to operate within a UK ODA programme management and results-based reporting framework (see below); and</w:t>
      </w:r>
    </w:p>
    <w:p w:rsidR="3C163D2D" w:rsidP="6764D1C9" w:rsidRDefault="3C163D2D" w14:paraId="6FE76894" w14:textId="2B03019C">
      <w:pPr>
        <w:pStyle w:val="ListParagraph"/>
        <w:numPr>
          <w:ilvl w:val="0"/>
          <w:numId w:val="2"/>
        </w:numPr>
        <w:rPr>
          <w:rFonts w:eastAsia="Arial" w:cs="Arial"/>
          <w:color w:val="000000" w:themeColor="text1"/>
          <w:sz w:val="22"/>
          <w:szCs w:val="22"/>
        </w:rPr>
      </w:pPr>
      <w:r w:rsidRPr="6764D1C9">
        <w:rPr>
          <w:rFonts w:eastAsia="Arial" w:cs="Arial"/>
          <w:color w:val="000000" w:themeColor="text1"/>
          <w:sz w:val="22"/>
          <w:szCs w:val="22"/>
        </w:rPr>
        <w:t xml:space="preserve">Dependencies on actions by developing country Parties and reporting cycles that are outside the programme’s direct control. </w:t>
      </w:r>
    </w:p>
    <w:p w:rsidR="3C163D2D" w:rsidP="65530469" w:rsidRDefault="418946FF" w14:paraId="5633DC29" w14:textId="4FD5D9AB">
      <w:pPr>
        <w:contextualSpacing/>
        <w:jc w:val="both"/>
        <w:rPr>
          <w:rFonts w:eastAsia="Arial" w:cs="Arial"/>
          <w:color w:val="000000" w:themeColor="text1"/>
          <w:sz w:val="22"/>
          <w:szCs w:val="22"/>
        </w:rPr>
      </w:pPr>
      <w:r w:rsidRPr="65530469">
        <w:rPr>
          <w:rFonts w:eastAsia="Arial" w:cs="Arial"/>
          <w:color w:val="000000" w:themeColor="text1"/>
          <w:sz w:val="22"/>
          <w:szCs w:val="22"/>
        </w:rPr>
        <w:t xml:space="preserve">However, one of the key risks to the programme, the reduced programme budget, was addressed in May 2026 with the remaining approved funding allocated back to the programme and the term of the programme extended for a further two years. </w:t>
      </w:r>
      <w:r w:rsidRPr="65530469" w:rsidR="5B8BDF0D">
        <w:rPr>
          <w:rFonts w:eastAsia="Arial" w:cs="Arial"/>
          <w:color w:val="000000" w:themeColor="text1"/>
          <w:sz w:val="22"/>
          <w:szCs w:val="22"/>
        </w:rPr>
        <w:t xml:space="preserve">The programme team will work with the delivery partner to agree logframe targets and activities for the additional two years of programming. </w:t>
      </w:r>
    </w:p>
    <w:p w:rsidR="3C163D2D" w:rsidP="1D7FE608" w:rsidRDefault="3C163D2D" w14:paraId="0055D280" w14:textId="7FAC7F6C">
      <w:pPr>
        <w:contextualSpacing/>
        <w:jc w:val="both"/>
        <w:rPr>
          <w:rFonts w:eastAsia="Arial" w:cs="Arial"/>
          <w:color w:val="000000" w:themeColor="text1"/>
          <w:sz w:val="22"/>
          <w:szCs w:val="22"/>
        </w:rPr>
      </w:pPr>
    </w:p>
    <w:p w:rsidRPr="00D80C6C" w:rsidR="00B74143" w:rsidP="65530469" w:rsidRDefault="1FDC5138" w14:paraId="5CF79B52" w14:textId="7D0A89EF">
      <w:pPr>
        <w:contextualSpacing/>
        <w:jc w:val="both"/>
      </w:pPr>
      <w:r w:rsidRPr="65530469">
        <w:rPr>
          <w:rFonts w:eastAsia="Arial" w:cs="Arial"/>
          <w:color w:val="000000" w:themeColor="text1"/>
          <w:sz w:val="22"/>
          <w:szCs w:val="22"/>
        </w:rPr>
        <w:t>The UNFCCC does not typically act as a delivery partner for a single donor-managed programme and is instead mandated collectively by Parties of the Convention. As a result, UK requirements for granular output level reporting and logframe-based performance management differ from the Secretariat’s usual mandate-based annual reporting to the Conference of the Parties (COP) to the UNFCCC. The UNFCCC Secretariat is subject to its own established financial controls and annual audits, which provide assurance on fiduciary risk. These differences were identified and discussed collaboratively during the programme design and Business Case phase, with shared understanding between DESNZ and the UNFCCC Secretariat on reporting expectations and proportionality.</w:t>
      </w:r>
    </w:p>
    <w:p w:rsidRPr="00D80C6C" w:rsidR="00B74143" w:rsidP="004D5FD5" w:rsidRDefault="00B74143" w14:paraId="3C5CF6C8" w14:textId="77777777">
      <w:pPr>
        <w:jc w:val="both"/>
        <w:rPr>
          <w:rFonts w:cs="Arial"/>
          <w:b/>
          <w:bCs/>
          <w:sz w:val="22"/>
          <w:szCs w:val="22"/>
        </w:rPr>
      </w:pPr>
    </w:p>
    <w:p w:rsidRPr="00D80C6C" w:rsidR="00B74143" w:rsidP="004D5FD5" w:rsidRDefault="3EE5F698" w14:paraId="55743C55" w14:textId="6723EAA8">
      <w:pPr>
        <w:jc w:val="both"/>
        <w:rPr>
          <w:rFonts w:cs="Arial"/>
          <w:sz w:val="22"/>
          <w:szCs w:val="22"/>
        </w:rPr>
      </w:pPr>
      <w:bookmarkStart w:name="_Toc390982136" w:id="76"/>
      <w:r w:rsidRPr="0B5ACFBB">
        <w:rPr>
          <w:rStyle w:val="Heading2Char"/>
        </w:rPr>
        <w:t>Overview of risk management</w:t>
      </w:r>
      <w:bookmarkEnd w:id="76"/>
      <w:r w:rsidRPr="0B5ACFBB">
        <w:rPr>
          <w:rFonts w:cs="Arial"/>
          <w:sz w:val="22"/>
          <w:szCs w:val="22"/>
        </w:rPr>
        <w:t xml:space="preserve"> </w:t>
      </w:r>
    </w:p>
    <w:p w:rsidRPr="00D80C6C" w:rsidR="00B74143" w:rsidP="004D5FD5" w:rsidRDefault="00B74143" w14:paraId="673B755F" w14:textId="77777777">
      <w:pPr>
        <w:jc w:val="both"/>
        <w:rPr>
          <w:rFonts w:cs="Arial"/>
          <w:sz w:val="22"/>
          <w:szCs w:val="22"/>
        </w:rPr>
      </w:pPr>
    </w:p>
    <w:p w:rsidRPr="00D80C6C" w:rsidR="00B74143" w:rsidP="65530469" w:rsidRDefault="7F8A4768" w14:paraId="6F12BE50" w14:textId="068EEF10">
      <w:pPr>
        <w:jc w:val="both"/>
        <w:rPr>
          <w:rFonts w:ascii="Times New Roman" w:hAnsi="Times New Roman"/>
          <w:color w:val="000000" w:themeColor="text1"/>
          <w:sz w:val="22"/>
          <w:szCs w:val="22"/>
        </w:rPr>
      </w:pPr>
      <w:r w:rsidRPr="4629D032" w:rsidR="7F8A4768">
        <w:rPr>
          <w:rFonts w:cs="Arial"/>
          <w:sz w:val="22"/>
          <w:szCs w:val="22"/>
        </w:rPr>
        <w:t xml:space="preserve">We have monitored risks and will seek up-to-date and accurate information from our delivery partner. </w:t>
      </w:r>
      <w:r w:rsidRPr="4629D032" w:rsidR="507AA4D6">
        <w:rPr>
          <w:rFonts w:cs="Arial"/>
          <w:sz w:val="22"/>
          <w:szCs w:val="22"/>
        </w:rPr>
        <w:t xml:space="preserve">We check in </w:t>
      </w:r>
      <w:r w:rsidRPr="4629D032" w:rsidR="33C9B832">
        <w:rPr>
          <w:rFonts w:cs="Arial"/>
          <w:sz w:val="22"/>
          <w:szCs w:val="22"/>
        </w:rPr>
        <w:t xml:space="preserve">with </w:t>
      </w:r>
      <w:r w:rsidRPr="4629D032" w:rsidR="507AA4D6">
        <w:rPr>
          <w:rFonts w:cs="Arial"/>
          <w:sz w:val="22"/>
          <w:szCs w:val="22"/>
        </w:rPr>
        <w:t>the UNFCCC Secretariat AFOLU Unit regularly, and raise any concerns on progress as needed. This is largely done on an ad-hoc basi</w:t>
      </w:r>
      <w:r w:rsidRPr="4629D032" w:rsidR="1A438467">
        <w:rPr>
          <w:rFonts w:cs="Arial"/>
          <w:sz w:val="22"/>
          <w:szCs w:val="22"/>
        </w:rPr>
        <w:t xml:space="preserve">s depending on programme needs. We are satisfied with the current risk management approach and find it proportionate to the needs and size of the programme. </w:t>
      </w:r>
    </w:p>
    <w:p w:rsidRPr="00D80C6C" w:rsidR="00B74143" w:rsidP="004D5FD5" w:rsidRDefault="2A97596C" w14:paraId="6553C2DF" w14:textId="77777777">
      <w:pPr>
        <w:pStyle w:val="Heading2"/>
        <w:jc w:val="both"/>
      </w:pPr>
      <w:bookmarkStart w:name="_Toc883240895" w:id="78"/>
      <w:r>
        <w:t>Current risks</w:t>
      </w:r>
      <w:bookmarkEnd w:id="78"/>
    </w:p>
    <w:p w:rsidRPr="00D80C6C" w:rsidR="00B74143" w:rsidP="004D5FD5" w:rsidRDefault="00B74143" w14:paraId="5967C405" w14:textId="77777777">
      <w:pPr>
        <w:contextualSpacing/>
        <w:jc w:val="both"/>
        <w:rPr>
          <w:rFonts w:cs="Arial"/>
          <w:sz w:val="22"/>
          <w:szCs w:val="22"/>
        </w:rPr>
      </w:pPr>
      <w:r w:rsidRPr="00D80C6C">
        <w:rPr>
          <w:rFonts w:cs="Arial"/>
          <w:sz w:val="22"/>
          <w:szCs w:val="22"/>
        </w:rPr>
        <w:t>A description of current risks should be set out below, along with mitigations and residual risk. Mitigations should include clear timeframes and action owners.</w:t>
      </w:r>
    </w:p>
    <w:p w:rsidRPr="00D80C6C" w:rsidR="00B74143" w:rsidP="004D5FD5" w:rsidRDefault="00B74143" w14:paraId="7CD7D9F1" w14:textId="77777777">
      <w:pPr>
        <w:contextualSpacing/>
        <w:jc w:val="both"/>
        <w:rPr>
          <w:rFonts w:cs="Arial"/>
          <w:i/>
          <w:iCs/>
          <w:sz w:val="22"/>
          <w:szCs w:val="22"/>
        </w:rPr>
      </w:pPr>
    </w:p>
    <w:tbl>
      <w:tblPr>
        <w:tblStyle w:val="TableGrid"/>
        <w:tblW w:w="0" w:type="auto"/>
        <w:jc w:val="center"/>
        <w:tblLook w:val="04A0" w:firstRow="1" w:lastRow="0" w:firstColumn="1" w:lastColumn="0" w:noHBand="0" w:noVBand="1"/>
      </w:tblPr>
      <w:tblGrid>
        <w:gridCol w:w="3122"/>
        <w:gridCol w:w="3000"/>
        <w:gridCol w:w="2894"/>
      </w:tblGrid>
      <w:tr w:rsidRPr="00D80C6C" w:rsidR="00B74143" w:rsidTr="4E7B7F16" w14:paraId="44DB7905" w14:textId="77777777">
        <w:trPr>
          <w:jc w:val="center"/>
        </w:trPr>
        <w:tc>
          <w:tcPr>
            <w:tcW w:w="3473" w:type="dxa"/>
            <w:shd w:val="clear" w:color="auto" w:fill="DEEAF6" w:themeFill="accent5" w:themeFillTint="33"/>
            <w:tcMar/>
          </w:tcPr>
          <w:p w:rsidRPr="00D80C6C" w:rsidR="00B74143" w:rsidP="004D5FD5" w:rsidRDefault="00B74143" w14:paraId="7FD0E27D" w14:textId="77777777">
            <w:pPr>
              <w:contextualSpacing/>
              <w:jc w:val="both"/>
              <w:rPr>
                <w:rFonts w:cs="Arial"/>
                <w:b/>
                <w:bCs/>
                <w:sz w:val="22"/>
                <w:szCs w:val="22"/>
              </w:rPr>
            </w:pPr>
            <w:r w:rsidRPr="00D80C6C">
              <w:rPr>
                <w:rFonts w:cs="Arial"/>
                <w:b/>
                <w:bCs/>
                <w:sz w:val="22"/>
                <w:szCs w:val="22"/>
              </w:rPr>
              <w:t xml:space="preserve">Risk description </w:t>
            </w:r>
          </w:p>
        </w:tc>
        <w:tc>
          <w:tcPr>
            <w:tcW w:w="3473" w:type="dxa"/>
            <w:shd w:val="clear" w:color="auto" w:fill="DEEAF6" w:themeFill="accent5" w:themeFillTint="33"/>
            <w:tcMar/>
          </w:tcPr>
          <w:p w:rsidRPr="00D80C6C" w:rsidR="00B74143" w:rsidP="004D5FD5" w:rsidRDefault="00B74143" w14:paraId="0B8DE401" w14:textId="77777777">
            <w:pPr>
              <w:contextualSpacing/>
              <w:jc w:val="both"/>
              <w:rPr>
                <w:rFonts w:cs="Arial"/>
                <w:b/>
                <w:bCs/>
                <w:sz w:val="22"/>
                <w:szCs w:val="22"/>
              </w:rPr>
            </w:pPr>
            <w:r w:rsidRPr="00D80C6C">
              <w:rPr>
                <w:rFonts w:cs="Arial"/>
                <w:b/>
                <w:bCs/>
                <w:sz w:val="22"/>
                <w:szCs w:val="22"/>
              </w:rPr>
              <w:t xml:space="preserve">Mitigation strategy </w:t>
            </w:r>
          </w:p>
        </w:tc>
        <w:tc>
          <w:tcPr>
            <w:tcW w:w="3474" w:type="dxa"/>
            <w:shd w:val="clear" w:color="auto" w:fill="DEEAF6" w:themeFill="accent5" w:themeFillTint="33"/>
            <w:tcMar/>
          </w:tcPr>
          <w:p w:rsidRPr="00D80C6C" w:rsidR="00B74143" w:rsidP="004D5FD5" w:rsidRDefault="00B74143" w14:paraId="5D70A0F3" w14:textId="77777777">
            <w:pPr>
              <w:contextualSpacing/>
              <w:jc w:val="both"/>
              <w:rPr>
                <w:rFonts w:cs="Arial"/>
                <w:b/>
                <w:bCs/>
                <w:sz w:val="22"/>
                <w:szCs w:val="22"/>
              </w:rPr>
            </w:pPr>
            <w:r w:rsidRPr="00D80C6C">
              <w:rPr>
                <w:rFonts w:cs="Arial"/>
                <w:b/>
                <w:bCs/>
                <w:sz w:val="22"/>
                <w:szCs w:val="22"/>
              </w:rPr>
              <w:t>Residual Risk rating</w:t>
            </w:r>
          </w:p>
        </w:tc>
      </w:tr>
      <w:tr w:rsidRPr="00D80C6C" w:rsidR="00B74143" w:rsidTr="4E7B7F16" w14:paraId="38C3D524" w14:textId="77777777">
        <w:trPr>
          <w:jc w:val="center"/>
        </w:trPr>
        <w:tc>
          <w:tcPr>
            <w:tcW w:w="3473" w:type="dxa"/>
            <w:tcMar/>
          </w:tcPr>
          <w:p w:rsidRPr="00D80C6C" w:rsidR="00B74143" w:rsidP="65530469" w:rsidRDefault="60F2809E" w14:paraId="32BEA07D" w14:textId="303499ED">
            <w:pPr>
              <w:contextualSpacing/>
              <w:rPr>
                <w:rFonts w:eastAsia="Arial" w:cs="Arial"/>
                <w:sz w:val="22"/>
                <w:szCs w:val="22"/>
              </w:rPr>
            </w:pPr>
            <w:r w:rsidRPr="65530469">
              <w:rPr>
                <w:rFonts w:eastAsia="Arial" w:cs="Arial"/>
                <w:b/>
                <w:bCs/>
                <w:color w:val="000000" w:themeColor="text1"/>
                <w:sz w:val="22"/>
                <w:szCs w:val="22"/>
              </w:rPr>
              <w:t>Dependence on Party submissions</w:t>
            </w:r>
            <w:r w:rsidRPr="65530469">
              <w:rPr>
                <w:rFonts w:eastAsia="Arial" w:cs="Arial"/>
                <w:color w:val="000000" w:themeColor="text1"/>
                <w:sz w:val="22"/>
                <w:szCs w:val="22"/>
              </w:rPr>
              <w:t> (e.g. FRELs, REDD+ results, BTR annexes) means delivery volumes are influenced by external political, technical and reporting cycles beyond programme control.</w:t>
            </w:r>
          </w:p>
        </w:tc>
        <w:tc>
          <w:tcPr>
            <w:tcW w:w="3473" w:type="dxa"/>
            <w:tcMar/>
          </w:tcPr>
          <w:p w:rsidRPr="00D80C6C" w:rsidR="00B74143" w:rsidP="65530469" w:rsidRDefault="60F2809E" w14:paraId="561FB5EC" w14:textId="65CF885D">
            <w:pPr>
              <w:contextualSpacing/>
              <w:rPr>
                <w:rFonts w:eastAsia="Arial" w:cs="Arial"/>
                <w:sz w:val="22"/>
                <w:szCs w:val="22"/>
              </w:rPr>
            </w:pPr>
            <w:r w:rsidRPr="65530469">
              <w:rPr>
                <w:rFonts w:eastAsia="Arial" w:cs="Arial"/>
                <w:color w:val="000000" w:themeColor="text1"/>
                <w:sz w:val="22"/>
                <w:szCs w:val="22"/>
              </w:rPr>
              <w:t>Flexible workplanning; maintaining readiness to respond to submissions as they arise; engagement through meetings and forums to better understand submission behaviour and timing.</w:t>
            </w:r>
          </w:p>
        </w:tc>
        <w:tc>
          <w:tcPr>
            <w:tcW w:w="3474" w:type="dxa"/>
            <w:tcMar/>
          </w:tcPr>
          <w:p w:rsidRPr="00D80C6C" w:rsidR="00B74143" w:rsidP="65530469" w:rsidRDefault="266B900B" w14:paraId="199308C3" w14:textId="7A50826D">
            <w:pPr>
              <w:contextualSpacing/>
              <w:jc w:val="both"/>
            </w:pPr>
            <w:r w:rsidRPr="65530469">
              <w:rPr>
                <w:rFonts w:cs="Arial"/>
                <w:sz w:val="22"/>
                <w:szCs w:val="22"/>
              </w:rPr>
              <w:t xml:space="preserve">Moderate </w:t>
            </w:r>
          </w:p>
        </w:tc>
      </w:tr>
      <w:tr w:rsidR="65530469" w:rsidTr="4E7B7F16" w14:paraId="7F2271A4" w14:textId="77777777">
        <w:trPr>
          <w:trHeight w:val="300"/>
          <w:jc w:val="center"/>
        </w:trPr>
        <w:tc>
          <w:tcPr>
            <w:tcW w:w="3035" w:type="dxa"/>
            <w:tcMar/>
          </w:tcPr>
          <w:p w:rsidR="579BB1BF" w:rsidP="65530469" w:rsidRDefault="579BB1BF" w14:paraId="6BD9B57B" w14:textId="33D9E4B7">
            <w:pPr>
              <w:contextualSpacing/>
            </w:pPr>
            <w:r w:rsidRPr="65530469">
              <w:rPr>
                <w:rFonts w:eastAsia="Arial" w:cs="Arial"/>
                <w:b/>
                <w:bCs/>
                <w:color w:val="000000" w:themeColor="text1"/>
                <w:sz w:val="22"/>
                <w:szCs w:val="22"/>
              </w:rPr>
              <w:t>Differences between UK UNFCCC institutional reporting systems and UK logframe-based reporting requirements</w:t>
            </w:r>
            <w:r w:rsidRPr="65530469">
              <w:rPr>
                <w:rFonts w:eastAsia="Arial" w:cs="Arial"/>
                <w:color w:val="000000" w:themeColor="text1"/>
                <w:sz w:val="22"/>
                <w:szCs w:val="22"/>
              </w:rPr>
              <w:t xml:space="preserve"> create challenges in aligning indicators, milestones and reporting timeframes, particularly where UNFCCC delivery is structured around Party submissions and UNFCCC reporting cycles/audits. </w:t>
            </w:r>
            <w:r w:rsidRPr="65530469">
              <w:rPr>
                <w:rFonts w:eastAsia="Arial" w:cs="Arial"/>
                <w:sz w:val="22"/>
                <w:szCs w:val="22"/>
              </w:rPr>
              <w:t xml:space="preserve"> </w:t>
            </w:r>
          </w:p>
        </w:tc>
        <w:tc>
          <w:tcPr>
            <w:tcW w:w="3003" w:type="dxa"/>
            <w:tcMar/>
          </w:tcPr>
          <w:p w:rsidR="579BB1BF" w:rsidP="65530469" w:rsidRDefault="579BB1BF" w14:paraId="1F556FAC" w14:textId="6BD270B5">
            <w:pPr>
              <w:contextualSpacing/>
            </w:pPr>
            <w:r w:rsidRPr="65530469">
              <w:rPr>
                <w:rFonts w:eastAsia="Arial" w:cs="Arial"/>
                <w:color w:val="000000" w:themeColor="text1"/>
                <w:sz w:val="22"/>
                <w:szCs w:val="22"/>
              </w:rPr>
              <w:t xml:space="preserve">Highly consultative programme design and inception phase; multiple iterations of the logframe; ongoing dialogue between DESNZ and UNFCCC to align indicators and milestones with realistic delivery and reporting cycles.  </w:t>
            </w:r>
            <w:r w:rsidRPr="65530469">
              <w:rPr>
                <w:rFonts w:eastAsia="Arial" w:cs="Arial"/>
                <w:sz w:val="22"/>
                <w:szCs w:val="22"/>
              </w:rPr>
              <w:t xml:space="preserve"> </w:t>
            </w:r>
          </w:p>
          <w:p w:rsidR="65530469" w:rsidP="65530469" w:rsidRDefault="65530469" w14:paraId="7BC6BD36" w14:textId="311AB11B">
            <w:pPr>
              <w:rPr>
                <w:rFonts w:eastAsia="Arial" w:cs="Arial"/>
                <w:color w:val="000000" w:themeColor="text1"/>
                <w:sz w:val="22"/>
                <w:szCs w:val="22"/>
              </w:rPr>
            </w:pPr>
          </w:p>
        </w:tc>
        <w:tc>
          <w:tcPr>
            <w:tcW w:w="2978" w:type="dxa"/>
            <w:tcMar/>
          </w:tcPr>
          <w:p w:rsidR="65530469" w:rsidP="65530469" w:rsidRDefault="5436EE8E" w14:paraId="1FCE7BED" w14:textId="5397E18A">
            <w:pPr>
              <w:jc w:val="both"/>
            </w:pPr>
            <w:r w:rsidRPr="6541D40F">
              <w:rPr>
                <w:rFonts w:cs="Arial"/>
                <w:sz w:val="22"/>
                <w:szCs w:val="22"/>
              </w:rPr>
              <w:t>Minor</w:t>
            </w:r>
          </w:p>
        </w:tc>
      </w:tr>
      <w:tr w:rsidRPr="00D80C6C" w:rsidR="00D0302B" w:rsidTr="4E7B7F16" w14:paraId="4130C0B9" w14:textId="77777777">
        <w:trPr>
          <w:jc w:val="center"/>
        </w:trPr>
        <w:tc>
          <w:tcPr>
            <w:tcW w:w="3473" w:type="dxa"/>
            <w:tcMar/>
          </w:tcPr>
          <w:p w:rsidRPr="00D80C6C" w:rsidR="00D0302B" w:rsidP="65530469" w:rsidRDefault="2A5837D3" w14:paraId="16302730" w14:textId="2C3B82B8">
            <w:pPr>
              <w:contextualSpacing/>
              <w:rPr>
                <w:rFonts w:eastAsia="Arial" w:cs="Arial"/>
                <w:sz w:val="22"/>
                <w:szCs w:val="22"/>
              </w:rPr>
            </w:pPr>
            <w:r w:rsidRPr="65530469">
              <w:rPr>
                <w:rFonts w:eastAsia="Arial" w:cs="Arial"/>
                <w:b/>
                <w:bCs/>
                <w:color w:val="000000" w:themeColor="text1"/>
                <w:sz w:val="22"/>
                <w:szCs w:val="22"/>
              </w:rPr>
              <w:t>Institutional and legal constraints in host countries </w:t>
            </w:r>
            <w:r w:rsidRPr="65530469">
              <w:rPr>
                <w:rFonts w:eastAsia="Arial" w:cs="Arial"/>
                <w:color w:val="000000" w:themeColor="text1"/>
                <w:sz w:val="22"/>
                <w:szCs w:val="22"/>
              </w:rPr>
              <w:t>(e.g. privileges and immunities, MoUs for in-country meetings) may delay planned workshops or technical sessions.</w:t>
            </w:r>
          </w:p>
        </w:tc>
        <w:tc>
          <w:tcPr>
            <w:tcW w:w="3473" w:type="dxa"/>
            <w:tcMar/>
          </w:tcPr>
          <w:p w:rsidRPr="00D80C6C" w:rsidR="00D0302B" w:rsidP="65530469" w:rsidRDefault="2A5837D3" w14:paraId="78B23A4E" w14:textId="4F8E8ABC">
            <w:pPr>
              <w:contextualSpacing/>
              <w:rPr>
                <w:rFonts w:eastAsia="Arial" w:cs="Arial"/>
                <w:sz w:val="22"/>
                <w:szCs w:val="22"/>
              </w:rPr>
            </w:pPr>
            <w:r w:rsidRPr="65530469">
              <w:rPr>
                <w:rFonts w:eastAsia="Arial" w:cs="Arial"/>
                <w:color w:val="000000" w:themeColor="text1"/>
                <w:sz w:val="22"/>
                <w:szCs w:val="22"/>
              </w:rPr>
              <w:t>Early engagement with host governments; contingency planning for alternative formats or revised timelines; coordination with other UN agencies and partners.</w:t>
            </w:r>
          </w:p>
          <w:p w:rsidRPr="00D80C6C" w:rsidR="00D0302B" w:rsidP="65530469" w:rsidRDefault="00D0302B" w14:paraId="505C27D1" w14:textId="0B5D3C68">
            <w:pPr>
              <w:contextualSpacing/>
              <w:jc w:val="both"/>
              <w:rPr>
                <w:rFonts w:cs="Arial"/>
                <w:b/>
                <w:bCs/>
                <w:sz w:val="22"/>
                <w:szCs w:val="22"/>
              </w:rPr>
            </w:pPr>
          </w:p>
        </w:tc>
        <w:tc>
          <w:tcPr>
            <w:tcW w:w="3474" w:type="dxa"/>
            <w:tcMar/>
          </w:tcPr>
          <w:p w:rsidRPr="00D80C6C" w:rsidR="00D0302B" w:rsidP="65530469" w:rsidRDefault="2A5837D3" w14:paraId="7A704C6C" w14:textId="5DA6C97D">
            <w:pPr>
              <w:contextualSpacing/>
              <w:jc w:val="both"/>
            </w:pPr>
            <w:r w:rsidRPr="65530469">
              <w:rPr>
                <w:rFonts w:cs="Arial"/>
                <w:sz w:val="22"/>
                <w:szCs w:val="22"/>
              </w:rPr>
              <w:t xml:space="preserve">Moderate </w:t>
            </w:r>
          </w:p>
        </w:tc>
      </w:tr>
      <w:tr w:rsidRPr="00D80C6C" w:rsidR="00D0302B" w:rsidTr="4E7B7F16" w14:paraId="7BF9B575" w14:textId="77777777">
        <w:trPr>
          <w:jc w:val="center"/>
        </w:trPr>
        <w:tc>
          <w:tcPr>
            <w:tcW w:w="3473" w:type="dxa"/>
            <w:tcMar/>
          </w:tcPr>
          <w:p w:rsidRPr="00D80C6C" w:rsidR="00D0302B" w:rsidP="334A2E68" w:rsidRDefault="2A5837D3" w14:paraId="6D2C275E" w14:textId="5805C5DA">
            <w:pPr>
              <w:spacing/>
              <w:contextualSpacing w:val="1"/>
              <w:rPr>
                <w:rFonts w:cs="Arial"/>
                <w:sz w:val="22"/>
                <w:szCs w:val="22"/>
              </w:rPr>
            </w:pPr>
            <w:r w:rsidRPr="4E7B7F16" w:rsidR="2A5837D3">
              <w:rPr>
                <w:rFonts w:cs="Arial"/>
                <w:b w:val="1"/>
                <w:bCs w:val="1"/>
                <w:sz w:val="22"/>
                <w:szCs w:val="22"/>
              </w:rPr>
              <w:t xml:space="preserve">Delay to the commencement of activities for the following year </w:t>
            </w:r>
            <w:r w:rsidRPr="4E7B7F16" w:rsidR="2A5837D3">
              <w:rPr>
                <w:rFonts w:cs="Arial"/>
                <w:sz w:val="22"/>
                <w:szCs w:val="22"/>
              </w:rPr>
              <w:t>if there are delays to finalising programme documents including the legal agreement</w:t>
            </w:r>
            <w:r w:rsidRPr="4E7B7F16" w:rsidR="122B8486">
              <w:rPr>
                <w:rFonts w:cs="Arial"/>
                <w:sz w:val="22"/>
                <w:szCs w:val="22"/>
              </w:rPr>
              <w:t xml:space="preserve">, to provide for the additional funding. </w:t>
            </w:r>
          </w:p>
        </w:tc>
        <w:tc>
          <w:tcPr>
            <w:tcW w:w="3473" w:type="dxa"/>
            <w:tcMar/>
          </w:tcPr>
          <w:p w:rsidRPr="00D80C6C" w:rsidR="00D0302B" w:rsidP="65530469" w:rsidRDefault="122B8486" w14:paraId="51EF2C12" w14:textId="0449B035">
            <w:pPr>
              <w:contextualSpacing/>
            </w:pPr>
            <w:r w:rsidRPr="65530469">
              <w:rPr>
                <w:rFonts w:cs="Arial"/>
                <w:sz w:val="22"/>
                <w:szCs w:val="22"/>
              </w:rPr>
              <w:t>Programme manager has worked with the delivery partner to agree a timeline and deliverables to ensure that the second year of programming can begin without any additional delay. Programme team and delivery part</w:t>
            </w:r>
            <w:r w:rsidRPr="65530469" w:rsidR="7A448907">
              <w:rPr>
                <w:rFonts w:cs="Arial"/>
                <w:sz w:val="22"/>
                <w:szCs w:val="22"/>
              </w:rPr>
              <w:t>n</w:t>
            </w:r>
            <w:r w:rsidRPr="65530469">
              <w:rPr>
                <w:rFonts w:cs="Arial"/>
                <w:sz w:val="22"/>
                <w:szCs w:val="22"/>
              </w:rPr>
              <w:t xml:space="preserve">er will check in regularly to provide updates and progress checks against the timeline. </w:t>
            </w:r>
          </w:p>
        </w:tc>
        <w:tc>
          <w:tcPr>
            <w:tcW w:w="3474" w:type="dxa"/>
            <w:tcMar/>
          </w:tcPr>
          <w:p w:rsidRPr="00D80C6C" w:rsidR="00D0302B" w:rsidP="65530469" w:rsidRDefault="7BEC588E" w14:paraId="5F7A902B" w14:textId="0C8708F5">
            <w:pPr>
              <w:contextualSpacing/>
              <w:jc w:val="both"/>
            </w:pPr>
            <w:r w:rsidRPr="65530469">
              <w:rPr>
                <w:rFonts w:cs="Arial"/>
                <w:sz w:val="22"/>
                <w:szCs w:val="22"/>
              </w:rPr>
              <w:t xml:space="preserve">Moderate </w:t>
            </w:r>
          </w:p>
        </w:tc>
      </w:tr>
    </w:tbl>
    <w:p w:rsidR="00D0302B" w:rsidP="004D5FD5" w:rsidRDefault="00D0302B" w14:paraId="68B30AF7" w14:textId="77777777">
      <w:pPr>
        <w:contextualSpacing/>
        <w:jc w:val="both"/>
        <w:rPr>
          <w:rStyle w:val="Heading2Char"/>
        </w:rPr>
      </w:pPr>
    </w:p>
    <w:p w:rsidRPr="00D80C6C" w:rsidR="00B74143" w:rsidP="1B96BBDE" w:rsidRDefault="2A97596C" w14:paraId="35CB9A45" w14:textId="4C20DC3B">
      <w:pPr>
        <w:contextualSpacing/>
        <w:jc w:val="both"/>
        <w:rPr>
          <w:rFonts w:cs="Arial"/>
          <w:sz w:val="22"/>
          <w:szCs w:val="22"/>
        </w:rPr>
      </w:pPr>
      <w:bookmarkStart w:name="_Toc1048697006" w:id="79"/>
      <w:r w:rsidRPr="0B5ACFBB">
        <w:rPr>
          <w:rStyle w:val="Heading2Char"/>
        </w:rPr>
        <w:t>Outstanding actions from risk assessment</w:t>
      </w:r>
      <w:bookmarkEnd w:id="79"/>
      <w:r w:rsidRPr="0B5ACFBB">
        <w:rPr>
          <w:rFonts w:cs="Arial"/>
          <w:b/>
          <w:bCs/>
          <w:sz w:val="22"/>
          <w:szCs w:val="22"/>
        </w:rPr>
        <w:t xml:space="preserve"> </w:t>
      </w:r>
    </w:p>
    <w:p w:rsidRPr="00D0302B" w:rsidR="003D222C" w:rsidP="0B5ACFBB" w:rsidRDefault="34A1A864" w14:paraId="42867710" w14:textId="66E42EE8">
      <w:pPr>
        <w:contextualSpacing/>
        <w:jc w:val="both"/>
        <w:rPr>
          <w:rFonts w:eastAsia="Arial" w:cs="Arial"/>
          <w:sz w:val="22"/>
          <w:szCs w:val="22"/>
        </w:rPr>
      </w:pPr>
      <w:r w:rsidRPr="0B5ACFBB">
        <w:rPr>
          <w:rFonts w:eastAsia="Arial" w:cs="Arial"/>
          <w:color w:val="000000" w:themeColor="text1"/>
          <w:sz w:val="22"/>
          <w:szCs w:val="22"/>
        </w:rPr>
        <w:t>No outstanding actions. Continuous risk assessment will occur throughout the year.</w:t>
      </w:r>
    </w:p>
    <w:p w:rsidR="00CB2873" w:rsidP="004D5FD5" w:rsidRDefault="00CB2873" w14:paraId="4ED4E9FA" w14:textId="59210279">
      <w:pPr>
        <w:jc w:val="both"/>
        <w:rPr>
          <w:rFonts w:cs="Arial"/>
          <w:bCs/>
          <w:sz w:val="22"/>
          <w:szCs w:val="22"/>
        </w:rPr>
      </w:pPr>
    </w:p>
    <w:tbl>
      <w:tblPr>
        <w:tblStyle w:val="TableGrid"/>
        <w:tblW w:w="0" w:type="auto"/>
        <w:tblLook w:val="04A0" w:firstRow="1" w:lastRow="0" w:firstColumn="1" w:lastColumn="0" w:noHBand="0" w:noVBand="1"/>
      </w:tblPr>
      <w:tblGrid>
        <w:gridCol w:w="9016"/>
      </w:tblGrid>
      <w:tr w:rsidR="00CB2873" w:rsidTr="3D0A482B" w14:paraId="3775346F" w14:textId="77777777">
        <w:tc>
          <w:tcPr>
            <w:tcW w:w="9016" w:type="dxa"/>
            <w:shd w:val="clear" w:color="auto" w:fill="DEEAF6" w:themeFill="accent5" w:themeFillTint="33"/>
            <w:tcMar/>
          </w:tcPr>
          <w:p w:rsidR="00CB2873" w:rsidP="004D5FD5" w:rsidRDefault="06E080C4" w14:paraId="64B9656F" w14:textId="7445FF76">
            <w:pPr>
              <w:jc w:val="both"/>
            </w:pPr>
            <w:bookmarkStart w:name="_Toc1274493754" w:id="80"/>
            <w:bookmarkStart w:name="_Toc800898579" w:id="81"/>
            <w:r w:rsidRPr="3D0A482B" w:rsidR="06E080C4">
              <w:rPr>
                <w:rStyle w:val="Heading1Char"/>
                <w:rFonts w:ascii="Arial" w:hAnsi="Arial" w:cs="Arial"/>
                <w:b w:val="1"/>
                <w:bCs w:val="1"/>
                <w:color w:val="auto"/>
              </w:rPr>
              <w:t xml:space="preserve">Section </w:t>
            </w:r>
            <w:r w:rsidRPr="3D0A482B" w:rsidR="78904A14">
              <w:rPr>
                <w:rStyle w:val="Heading1Char"/>
                <w:rFonts w:ascii="Arial" w:hAnsi="Arial" w:cs="Arial"/>
                <w:b w:val="1"/>
                <w:bCs w:val="1"/>
                <w:color w:val="auto"/>
              </w:rPr>
              <w:t>E</w:t>
            </w:r>
            <w:r w:rsidRPr="3D0A482B" w:rsidR="06E080C4">
              <w:rPr>
                <w:rStyle w:val="Heading1Char"/>
                <w:rFonts w:ascii="Arial" w:hAnsi="Arial" w:cs="Arial"/>
                <w:b w:val="1"/>
                <w:bCs w:val="1"/>
                <w:color w:val="auto"/>
              </w:rPr>
              <w:t xml:space="preserve">: Programme management: delivery, </w:t>
            </w:r>
            <w:r w:rsidRPr="3D0A482B" w:rsidR="06E080C4">
              <w:rPr>
                <w:rStyle w:val="Heading1Char"/>
                <w:rFonts w:ascii="Arial" w:hAnsi="Arial" w:cs="Arial"/>
                <w:b w:val="1"/>
                <w:bCs w:val="1"/>
                <w:color w:val="auto"/>
              </w:rPr>
              <w:t>VfM</w:t>
            </w:r>
            <w:r w:rsidRPr="3D0A482B" w:rsidR="06E080C4">
              <w:rPr>
                <w:rStyle w:val="Heading1Char"/>
                <w:rFonts w:ascii="Arial" w:hAnsi="Arial" w:cs="Arial"/>
                <w:b w:val="1"/>
                <w:bCs w:val="1"/>
                <w:color w:val="auto"/>
              </w:rPr>
              <w:t>, commercial and financial performance</w:t>
            </w:r>
            <w:bookmarkEnd w:id="80"/>
            <w:bookmarkEnd w:id="81"/>
            <w:r w:rsidR="06E080C4">
              <w:rPr/>
              <w:t xml:space="preserve"> </w:t>
            </w:r>
          </w:p>
        </w:tc>
      </w:tr>
    </w:tbl>
    <w:p w:rsidR="00CB2873" w:rsidP="004D5FD5" w:rsidRDefault="00CB2873" w14:paraId="6268AFF3" w14:textId="7623B8C4">
      <w:pPr>
        <w:jc w:val="both"/>
        <w:rPr>
          <w:rFonts w:cs="Arial"/>
          <w:bCs/>
          <w:sz w:val="22"/>
          <w:szCs w:val="22"/>
        </w:rPr>
      </w:pPr>
    </w:p>
    <w:p w:rsidR="1C58777F" w:rsidP="1C58777F" w:rsidRDefault="1C58777F" w14:paraId="6DEB8FEC" w14:textId="1BDD20A1">
      <w:pPr>
        <w:jc w:val="both"/>
        <w:rPr>
          <w:rFonts w:cs="Arial"/>
          <w:b/>
          <w:bCs/>
          <w:sz w:val="22"/>
          <w:szCs w:val="22"/>
        </w:rPr>
      </w:pPr>
    </w:p>
    <w:p w:rsidR="1C58777F" w:rsidP="3F182B96" w:rsidRDefault="2E16810E" w14:paraId="030EC58C" w14:textId="0B62F870">
      <w:r w:rsidRPr="3F182B96">
        <w:rPr>
          <w:rFonts w:cs="Arial"/>
          <w:b/>
          <w:bCs/>
          <w:sz w:val="22"/>
          <w:szCs w:val="22"/>
        </w:rPr>
        <w:t>Economy</w:t>
      </w:r>
    </w:p>
    <w:p w:rsidR="3F182B96" w:rsidP="3F182B96" w:rsidRDefault="3F182B96" w14:paraId="37B2B9C3" w14:textId="064A6A57">
      <w:pPr>
        <w:rPr>
          <w:rFonts w:cs="Arial"/>
          <w:b/>
          <w:bCs/>
          <w:sz w:val="22"/>
          <w:szCs w:val="22"/>
        </w:rPr>
      </w:pPr>
    </w:p>
    <w:p w:rsidR="2E16810E" w:rsidP="3F182B96" w:rsidRDefault="19203729" w14:paraId="00D7EC5B" w14:textId="6720C66C">
      <w:r w:rsidRPr="7E3FA2A3">
        <w:rPr>
          <w:rFonts w:cs="Arial"/>
          <w:sz w:val="22"/>
          <w:szCs w:val="22"/>
        </w:rPr>
        <w:t>Economy refers to the likelihood that inputs will be secured at an appropriate cost.</w:t>
      </w:r>
    </w:p>
    <w:p w:rsidR="7E3FA2A3" w:rsidP="7E3FA2A3" w:rsidRDefault="7E3FA2A3" w14:paraId="1E3B7F84" w14:textId="2174258F">
      <w:pPr>
        <w:rPr>
          <w:rFonts w:cs="Arial"/>
          <w:sz w:val="22"/>
          <w:szCs w:val="22"/>
        </w:rPr>
      </w:pPr>
    </w:p>
    <w:p w:rsidR="77B6FFDE" w:rsidRDefault="77B6FFDE" w14:paraId="101E68F8" w14:textId="7ADEB3F3">
      <w:r w:rsidRPr="2799A81E">
        <w:rPr>
          <w:rFonts w:cs="Arial"/>
          <w:sz w:val="22"/>
          <w:szCs w:val="22"/>
        </w:rPr>
        <w:t>The programme is delivered through the UNFCCC Secretariat, which holds the international mandate for operating the REDD+ architecture agreed under the Paris Agreement. Delivering equivalent technical assessments, information systems and coordination functions outside the UNFCCC framework would require duplicative governance and technical infrastructure. Using the existing AFOLU Unit therefore avoids duplication and allows the programme to leverage established systems, expertise and international processes and improves value for money.</w:t>
      </w:r>
    </w:p>
    <w:p w:rsidR="7E3FA2A3" w:rsidP="7E3FA2A3" w:rsidRDefault="7E3FA2A3" w14:paraId="767C82C3" w14:textId="1F832E9D">
      <w:pPr>
        <w:rPr>
          <w:rFonts w:cs="Arial"/>
          <w:sz w:val="22"/>
          <w:szCs w:val="22"/>
        </w:rPr>
      </w:pPr>
    </w:p>
    <w:p w:rsidR="59DAA38F" w:rsidP="17D5F989" w:rsidRDefault="7BE8898E" w14:paraId="3A586E9E" w14:textId="41410497">
      <w:pPr>
        <w:rPr>
          <w:rFonts w:cs="Arial"/>
          <w:sz w:val="22"/>
          <w:szCs w:val="22"/>
        </w:rPr>
      </w:pPr>
      <w:r w:rsidRPr="69332258" w:rsidR="6249C71C">
        <w:rPr>
          <w:rFonts w:cs="Arial"/>
          <w:sz w:val="22"/>
          <w:szCs w:val="22"/>
        </w:rPr>
        <w:t>The UNFCCC AFOLU Unit</w:t>
      </w:r>
      <w:r w:rsidRPr="69332258" w:rsidR="3A69D757">
        <w:rPr>
          <w:rFonts w:cs="Arial"/>
          <w:sz w:val="22"/>
          <w:szCs w:val="22"/>
        </w:rPr>
        <w:t xml:space="preserve">'s </w:t>
      </w:r>
      <w:r w:rsidRPr="69332258" w:rsidR="6249C71C">
        <w:rPr>
          <w:rFonts w:cs="Arial"/>
          <w:sz w:val="22"/>
          <w:szCs w:val="22"/>
        </w:rPr>
        <w:t xml:space="preserve">main costs are associated with staff resources, administrative costs associated with managing the annual cycle of technical assessments and results analysis, organising events and webinars, and producing guidance and reports for REDD+ countries. </w:t>
      </w:r>
    </w:p>
    <w:p w:rsidR="59DAA38F" w:rsidP="029BA167" w:rsidRDefault="075E0E61" w14:paraId="207B386F" w14:textId="6772F8CD">
      <w:pPr>
        <w:rPr>
          <w:rFonts w:cs="Arial"/>
          <w:sz w:val="22"/>
          <w:szCs w:val="22"/>
          <w:highlight w:val="yellow"/>
        </w:rPr>
      </w:pPr>
      <w:r w:rsidRPr="352FA995" w:rsidR="7ED20B15">
        <w:rPr>
          <w:rFonts w:cs="Arial"/>
          <w:sz w:val="22"/>
          <w:szCs w:val="22"/>
        </w:rPr>
        <w:t>The</w:t>
      </w:r>
      <w:r w:rsidRPr="352FA995" w:rsidR="66A75E00">
        <w:rPr>
          <w:rFonts w:cs="Arial"/>
          <w:sz w:val="22"/>
          <w:szCs w:val="22"/>
        </w:rPr>
        <w:t xml:space="preserve"> programme </w:t>
      </w:r>
      <w:r w:rsidRPr="352FA995" w:rsidR="66A75E00">
        <w:rPr>
          <w:rFonts w:cs="Arial"/>
          <w:sz w:val="22"/>
          <w:szCs w:val="22"/>
        </w:rPr>
        <w:t>support</w:t>
      </w:r>
      <w:r w:rsidRPr="352FA995" w:rsidR="66A75E00">
        <w:rPr>
          <w:rFonts w:cs="Arial"/>
          <w:sz w:val="22"/>
          <w:szCs w:val="22"/>
        </w:rPr>
        <w:t xml:space="preserve"> fees</w:t>
      </w:r>
      <w:r w:rsidRPr="352FA995" w:rsidR="7ED20B15">
        <w:rPr>
          <w:rFonts w:cs="Arial"/>
          <w:sz w:val="22"/>
          <w:szCs w:val="22"/>
        </w:rPr>
        <w:t xml:space="preserve"> funds are pooled into the overall programme support cost budget and not earmarked by donor (Norway and Switzerland provid</w:t>
      </w:r>
      <w:r w:rsidRPr="352FA995" w:rsidR="74757B49">
        <w:rPr>
          <w:rFonts w:cs="Arial"/>
          <w:sz w:val="22"/>
          <w:szCs w:val="22"/>
        </w:rPr>
        <w:t>e support fee</w:t>
      </w:r>
      <w:r w:rsidRPr="352FA995" w:rsidR="7ED20B15">
        <w:rPr>
          <w:rFonts w:cs="Arial"/>
          <w:sz w:val="22"/>
          <w:szCs w:val="22"/>
        </w:rPr>
        <w:t xml:space="preserve"> funding during the review period)</w:t>
      </w:r>
      <w:r w:rsidRPr="352FA995" w:rsidR="04C4AB8D">
        <w:rPr>
          <w:rFonts w:cs="Arial"/>
          <w:sz w:val="22"/>
          <w:szCs w:val="22"/>
        </w:rPr>
        <w:t xml:space="preserve"> and therefore </w:t>
      </w:r>
      <w:r w:rsidRPr="352FA995" w:rsidR="7ED20B15">
        <w:rPr>
          <w:rFonts w:cs="Arial"/>
          <w:sz w:val="22"/>
          <w:szCs w:val="22"/>
        </w:rPr>
        <w:t>we are unable to comment on</w:t>
      </w:r>
      <w:r w:rsidRPr="352FA995" w:rsidR="5C145F17">
        <w:rPr>
          <w:rFonts w:cs="Arial"/>
          <w:sz w:val="22"/>
          <w:szCs w:val="22"/>
        </w:rPr>
        <w:t xml:space="preserve"> exactly</w:t>
      </w:r>
      <w:r w:rsidRPr="352FA995" w:rsidR="7ED20B15">
        <w:rPr>
          <w:rFonts w:cs="Arial"/>
          <w:sz w:val="22"/>
          <w:szCs w:val="22"/>
        </w:rPr>
        <w:t xml:space="preserve"> what the UK’s</w:t>
      </w:r>
      <w:r w:rsidRPr="352FA995" w:rsidR="1EFEC03A">
        <w:rPr>
          <w:rFonts w:cs="Arial"/>
          <w:sz w:val="22"/>
          <w:szCs w:val="22"/>
        </w:rPr>
        <w:t xml:space="preserve"> support fee</w:t>
      </w:r>
      <w:r w:rsidRPr="352FA995" w:rsidR="7ED20B15">
        <w:rPr>
          <w:rFonts w:cs="Arial"/>
          <w:sz w:val="22"/>
          <w:szCs w:val="22"/>
        </w:rPr>
        <w:t xml:space="preserve"> cont</w:t>
      </w:r>
      <w:r w:rsidRPr="352FA995" w:rsidR="2EC5EF4C">
        <w:rPr>
          <w:rFonts w:cs="Arial"/>
          <w:sz w:val="22"/>
          <w:szCs w:val="22"/>
        </w:rPr>
        <w:t>ributions paid for</w:t>
      </w:r>
      <w:r w:rsidRPr="352FA995" w:rsidR="2EC5EF4C">
        <w:rPr>
          <w:rFonts w:cs="Arial"/>
          <w:sz w:val="22"/>
          <w:szCs w:val="22"/>
        </w:rPr>
        <w:t xml:space="preserve">. </w:t>
      </w:r>
      <w:r w:rsidRPr="352FA995" w:rsidR="1F5518F1">
        <w:rPr>
          <w:rFonts w:cs="Arial"/>
          <w:sz w:val="22"/>
          <w:szCs w:val="22"/>
        </w:rPr>
        <w:t xml:space="preserve">This is </w:t>
      </w:r>
      <w:r w:rsidRPr="352FA995" w:rsidR="1F5518F1">
        <w:rPr>
          <w:rFonts w:cs="Arial"/>
          <w:sz w:val="22"/>
          <w:szCs w:val="22"/>
        </w:rPr>
        <w:t>not unexpected</w:t>
      </w:r>
      <w:r w:rsidRPr="352FA995" w:rsidR="1F5518F1">
        <w:rPr>
          <w:rFonts w:cs="Arial"/>
          <w:sz w:val="22"/>
          <w:szCs w:val="22"/>
        </w:rPr>
        <w:t xml:space="preserve"> for programmes delivered through the UN</w:t>
      </w:r>
      <w:r w:rsidRPr="352FA995" w:rsidR="63B6DA91">
        <w:rPr>
          <w:rFonts w:cs="Arial"/>
          <w:sz w:val="22"/>
          <w:szCs w:val="22"/>
        </w:rPr>
        <w:t xml:space="preserve">. </w:t>
      </w:r>
      <w:r w:rsidRPr="352FA995" w:rsidR="51711D96">
        <w:rPr>
          <w:rFonts w:cs="Arial"/>
          <w:sz w:val="22"/>
          <w:szCs w:val="22"/>
        </w:rPr>
        <w:t>In line with standard UN practic</w:t>
      </w:r>
      <w:r w:rsidRPr="352FA995" w:rsidR="51711D96">
        <w:rPr>
          <w:rFonts w:cs="Arial"/>
          <w:sz w:val="22"/>
          <w:szCs w:val="22"/>
        </w:rPr>
        <w:t>e</w:t>
      </w:r>
      <w:r w:rsidRPr="352FA995" w:rsidR="51711D96">
        <w:rPr>
          <w:rFonts w:cs="Arial"/>
          <w:sz w:val="22"/>
          <w:szCs w:val="22"/>
        </w:rPr>
        <w:t xml:space="preserve"> </w:t>
      </w:r>
      <w:r w:rsidRPr="352FA995" w:rsidR="51711D96">
        <w:rPr>
          <w:rFonts w:cs="Arial"/>
          <w:sz w:val="22"/>
          <w:szCs w:val="22"/>
        </w:rPr>
        <w:t>programme support fees are</w:t>
      </w:r>
      <w:r w:rsidRPr="352FA995" w:rsidR="51711D96">
        <w:rPr>
          <w:rFonts w:cs="Arial"/>
          <w:sz w:val="22"/>
          <w:szCs w:val="22"/>
        </w:rPr>
        <w:t xml:space="preserve"> used to fund the administrative and institutional support services </w:t>
      </w:r>
      <w:r w:rsidRPr="352FA995" w:rsidR="51711D96">
        <w:rPr>
          <w:rFonts w:cs="Arial"/>
          <w:sz w:val="22"/>
          <w:szCs w:val="22"/>
        </w:rPr>
        <w:t>required</w:t>
      </w:r>
      <w:r w:rsidRPr="352FA995" w:rsidR="51711D96">
        <w:rPr>
          <w:rFonts w:cs="Arial"/>
          <w:sz w:val="22"/>
          <w:szCs w:val="22"/>
        </w:rPr>
        <w:t xml:space="preserve"> to implement the overall UNFCCC programme of work, rather than being </w:t>
      </w:r>
      <w:r w:rsidRPr="352FA995" w:rsidR="51711D96">
        <w:rPr>
          <w:rFonts w:cs="Arial"/>
          <w:sz w:val="22"/>
          <w:szCs w:val="22"/>
        </w:rPr>
        <w:t>allocated</w:t>
      </w:r>
      <w:r w:rsidRPr="352FA995" w:rsidR="51711D96">
        <w:rPr>
          <w:rFonts w:cs="Arial"/>
          <w:sz w:val="22"/>
          <w:szCs w:val="22"/>
        </w:rPr>
        <w:t xml:space="preserve"> to specific project activities. Examples of the types of functions supported through </w:t>
      </w:r>
      <w:r w:rsidRPr="352FA995" w:rsidR="51711D96">
        <w:rPr>
          <w:rFonts w:cs="Arial"/>
          <w:sz w:val="22"/>
          <w:szCs w:val="22"/>
        </w:rPr>
        <w:t>programme support fees</w:t>
      </w:r>
      <w:r w:rsidRPr="352FA995" w:rsidR="51711D96">
        <w:rPr>
          <w:rFonts w:cs="Arial"/>
          <w:sz w:val="22"/>
          <w:szCs w:val="22"/>
        </w:rPr>
        <w:t xml:space="preserve"> include finance and budget, human resources, procurement, information technology, legal services, conference and administrative support, security, and other institutional support services that enable the delivery of UNFCCC's mandated activities from all funds.</w:t>
      </w:r>
      <w:r w:rsidRPr="352FA995" w:rsidR="25BE45D3">
        <w:rPr>
          <w:rFonts w:cs="Arial"/>
          <w:sz w:val="22"/>
          <w:szCs w:val="22"/>
        </w:rPr>
        <w:t xml:space="preserve">  </w:t>
      </w:r>
    </w:p>
    <w:p w:rsidR="7E3FA2A3" w:rsidP="7E3FA2A3" w:rsidRDefault="7E3FA2A3" w14:paraId="7EC0FC65" w14:textId="5DE78952">
      <w:pPr>
        <w:rPr>
          <w:rFonts w:cs="Arial"/>
          <w:sz w:val="22"/>
          <w:szCs w:val="22"/>
          <w:highlight w:val="yellow"/>
        </w:rPr>
      </w:pPr>
    </w:p>
    <w:p w:rsidR="2C7FF83B" w:rsidP="2C7FF83B" w:rsidRDefault="2C7FF83B" w14:paraId="0EEB3FCC" w14:textId="465DE7CC">
      <w:pPr>
        <w:rPr>
          <w:rFonts w:cs="Arial"/>
          <w:sz w:val="22"/>
          <w:szCs w:val="22"/>
        </w:rPr>
      </w:pPr>
    </w:p>
    <w:p w:rsidR="6749C5DC" w:rsidP="0E55CEB9" w:rsidRDefault="6749C5DC" w14:paraId="5592D10F" w14:textId="7ADBE05E">
      <w:pPr>
        <w:rPr>
          <w:rFonts w:cs="Arial"/>
          <w:b w:val="1"/>
          <w:bCs w:val="1"/>
          <w:sz w:val="22"/>
          <w:szCs w:val="22"/>
        </w:rPr>
      </w:pPr>
      <w:r w:rsidRPr="352FA995" w:rsidR="6749C5DC">
        <w:rPr>
          <w:rFonts w:cs="Arial"/>
          <w:b w:val="1"/>
          <w:bCs w:val="1"/>
          <w:sz w:val="22"/>
          <w:szCs w:val="22"/>
        </w:rPr>
        <w:t>Efficiency</w:t>
      </w:r>
    </w:p>
    <w:p w:rsidR="0855DF1E" w:rsidP="0855DF1E" w:rsidRDefault="0855DF1E" w14:paraId="1D57E04C" w14:textId="0A5DAEAA">
      <w:pPr>
        <w:rPr>
          <w:rFonts w:cs="Arial"/>
          <w:b/>
          <w:bCs/>
          <w:sz w:val="22"/>
          <w:szCs w:val="22"/>
        </w:rPr>
      </w:pPr>
    </w:p>
    <w:p w:rsidR="1C58777F" w:rsidP="2496585B" w:rsidRDefault="6749C5DC" w14:paraId="00B51663" w14:textId="67B57613">
      <w:r w:rsidRPr="2496585B">
        <w:rPr>
          <w:rFonts w:cs="Arial"/>
          <w:sz w:val="22"/>
          <w:szCs w:val="22"/>
        </w:rPr>
        <w:t>Efficiency refers to how successfully inputs are converted into outputs.</w:t>
      </w:r>
    </w:p>
    <w:p w:rsidR="69F3219D" w:rsidP="69F3219D" w:rsidRDefault="69F3219D" w14:paraId="228044EC" w14:textId="559E4CBB">
      <w:pPr>
        <w:rPr>
          <w:rFonts w:cs="Arial"/>
          <w:sz w:val="22"/>
          <w:szCs w:val="22"/>
        </w:rPr>
      </w:pPr>
    </w:p>
    <w:p w:rsidR="154DC675" w:rsidP="12B917DD" w:rsidRDefault="56F588EA" w14:paraId="54F741FE" w14:textId="1B921B38">
      <w:pPr>
        <w:rPr>
          <w:rFonts w:cs="Arial"/>
          <w:sz w:val="22"/>
          <w:szCs w:val="22"/>
        </w:rPr>
      </w:pPr>
      <w:r w:rsidRPr="3A2DB719" w:rsidR="748A7398">
        <w:rPr>
          <w:rFonts w:cs="Arial"/>
          <w:sz w:val="22"/>
          <w:szCs w:val="22"/>
        </w:rPr>
        <w:t>Delivery</w:t>
      </w:r>
      <w:r w:rsidRPr="3A2DB719" w:rsidR="748A7398">
        <w:rPr>
          <w:rFonts w:cs="Arial"/>
          <w:sz w:val="22"/>
          <w:szCs w:val="22"/>
        </w:rPr>
        <w:t xml:space="preserve"> </w:t>
      </w:r>
      <w:r w:rsidRPr="3A2DB719" w:rsidR="3443D237">
        <w:rPr>
          <w:rFonts w:cs="Arial"/>
          <w:sz w:val="22"/>
          <w:szCs w:val="22"/>
        </w:rPr>
        <w:t>of activ</w:t>
      </w:r>
      <w:r w:rsidRPr="3A2DB719" w:rsidR="3443D237">
        <w:rPr>
          <w:rFonts w:cs="Arial"/>
          <w:sz w:val="22"/>
          <w:szCs w:val="22"/>
        </w:rPr>
        <w:t>ities within th</w:t>
      </w:r>
      <w:r w:rsidRPr="3A2DB719" w:rsidR="3443D237">
        <w:rPr>
          <w:rFonts w:cs="Arial"/>
          <w:sz w:val="22"/>
          <w:szCs w:val="22"/>
        </w:rPr>
        <w:t>is review pe</w:t>
      </w:r>
      <w:r w:rsidRPr="3A2DB719" w:rsidR="3443D237">
        <w:rPr>
          <w:rFonts w:cs="Arial"/>
          <w:sz w:val="22"/>
          <w:szCs w:val="22"/>
        </w:rPr>
        <w:t>riod</w:t>
      </w:r>
      <w:r w:rsidRPr="3A2DB719" w:rsidR="276D7A3F">
        <w:rPr>
          <w:rFonts w:cs="Arial"/>
          <w:sz w:val="22"/>
          <w:szCs w:val="22"/>
        </w:rPr>
        <w:t xml:space="preserve"> </w:t>
      </w:r>
      <w:r w:rsidRPr="3A2DB719" w:rsidR="2C8CC6B8">
        <w:rPr>
          <w:rFonts w:cs="Arial"/>
          <w:sz w:val="22"/>
          <w:szCs w:val="22"/>
        </w:rPr>
        <w:t>h</w:t>
      </w:r>
      <w:r w:rsidRPr="3A2DB719" w:rsidR="2C8CC6B8">
        <w:rPr>
          <w:rFonts w:cs="Arial"/>
          <w:sz w:val="22"/>
          <w:szCs w:val="22"/>
        </w:rPr>
        <w:t>ave</w:t>
      </w:r>
      <w:r w:rsidRPr="3A2DB719" w:rsidR="748A7398">
        <w:rPr>
          <w:rFonts w:cs="Arial"/>
          <w:sz w:val="22"/>
          <w:szCs w:val="22"/>
        </w:rPr>
        <w:t xml:space="preserve"> </w:t>
      </w:r>
      <w:r w:rsidRPr="3A2DB719" w:rsidR="2C8CC6B8">
        <w:rPr>
          <w:rFonts w:cs="Arial"/>
          <w:sz w:val="22"/>
          <w:szCs w:val="22"/>
        </w:rPr>
        <w:t>largely been</w:t>
      </w:r>
      <w:r w:rsidRPr="3A2DB719" w:rsidR="2C8CC6B8">
        <w:rPr>
          <w:rFonts w:cs="Arial"/>
          <w:sz w:val="22"/>
          <w:szCs w:val="22"/>
        </w:rPr>
        <w:t xml:space="preserve"> </w:t>
      </w:r>
      <w:r w:rsidRPr="3A2DB719" w:rsidR="748A7398">
        <w:rPr>
          <w:rFonts w:cs="Arial"/>
          <w:sz w:val="22"/>
          <w:szCs w:val="22"/>
        </w:rPr>
        <w:t xml:space="preserve">undertaken </w:t>
      </w:r>
      <w:r w:rsidRPr="3A2DB719" w:rsidR="748A7398">
        <w:rPr>
          <w:rFonts w:cs="Arial"/>
          <w:sz w:val="22"/>
          <w:szCs w:val="22"/>
        </w:rPr>
        <w:t>within</w:t>
      </w:r>
      <w:r w:rsidRPr="3A2DB719" w:rsidR="748A7398">
        <w:rPr>
          <w:rFonts w:cs="Arial"/>
          <w:sz w:val="22"/>
          <w:szCs w:val="22"/>
        </w:rPr>
        <w:t xml:space="preserve"> planned </w:t>
      </w:r>
      <w:r w:rsidRPr="3A2DB719" w:rsidR="748A7398">
        <w:rPr>
          <w:rFonts w:cs="Arial"/>
          <w:sz w:val="22"/>
          <w:szCs w:val="22"/>
        </w:rPr>
        <w:t>timeframes</w:t>
      </w:r>
      <w:r w:rsidRPr="3A2DB719" w:rsidR="748A7398">
        <w:rPr>
          <w:rFonts w:cs="Arial"/>
          <w:sz w:val="22"/>
          <w:szCs w:val="22"/>
        </w:rPr>
        <w:t>.</w:t>
      </w:r>
      <w:r w:rsidRPr="3A2DB719" w:rsidR="0877A64F">
        <w:rPr>
          <w:rFonts w:cs="Arial"/>
          <w:sz w:val="22"/>
          <w:szCs w:val="22"/>
        </w:rPr>
        <w:t xml:space="preserve"> There were significant</w:t>
      </w:r>
      <w:r w:rsidRPr="3A2DB719" w:rsidR="43528337">
        <w:rPr>
          <w:rFonts w:cs="Arial"/>
          <w:sz w:val="22"/>
          <w:szCs w:val="22"/>
        </w:rPr>
        <w:t xml:space="preserve"> delays to programme mobilisation and funding confirmation, </w:t>
      </w:r>
      <w:r w:rsidRPr="3A2DB719" w:rsidR="49B925FB">
        <w:rPr>
          <w:rFonts w:cs="Arial"/>
          <w:sz w:val="22"/>
          <w:szCs w:val="22"/>
        </w:rPr>
        <w:t xml:space="preserve">however </w:t>
      </w:r>
      <w:r w:rsidRPr="3A2DB719" w:rsidR="43528337">
        <w:rPr>
          <w:rFonts w:cs="Arial"/>
          <w:sz w:val="22"/>
          <w:szCs w:val="22"/>
        </w:rPr>
        <w:t xml:space="preserve">the programme successfully </w:t>
      </w:r>
      <w:r w:rsidRPr="3A2DB719" w:rsidR="43528337">
        <w:rPr>
          <w:rFonts w:cs="Arial"/>
          <w:sz w:val="22"/>
          <w:szCs w:val="22"/>
        </w:rPr>
        <w:t>acceler</w:t>
      </w:r>
      <w:r w:rsidRPr="3A2DB719" w:rsidR="43528337">
        <w:rPr>
          <w:rFonts w:cs="Arial"/>
          <w:sz w:val="22"/>
          <w:szCs w:val="22"/>
        </w:rPr>
        <w:t>at</w:t>
      </w:r>
      <w:r w:rsidRPr="3A2DB719" w:rsidR="43528337">
        <w:rPr>
          <w:rFonts w:cs="Arial"/>
          <w:sz w:val="22"/>
          <w:szCs w:val="22"/>
        </w:rPr>
        <w:t>ed de</w:t>
      </w:r>
      <w:r w:rsidRPr="3A2DB719" w:rsidR="43528337">
        <w:rPr>
          <w:rFonts w:cs="Arial"/>
          <w:sz w:val="22"/>
          <w:szCs w:val="22"/>
        </w:rPr>
        <w:t>li</w:t>
      </w:r>
      <w:r w:rsidRPr="3A2DB719" w:rsidR="43528337">
        <w:rPr>
          <w:rFonts w:cs="Arial"/>
          <w:sz w:val="22"/>
          <w:szCs w:val="22"/>
        </w:rPr>
        <w:t xml:space="preserve">very during the reporting period and achieved all output targets </w:t>
      </w:r>
      <w:r w:rsidRPr="3A2DB719" w:rsidR="030F3910">
        <w:rPr>
          <w:rFonts w:cs="Arial"/>
          <w:sz w:val="22"/>
          <w:szCs w:val="22"/>
        </w:rPr>
        <w:t>except for</w:t>
      </w:r>
      <w:r w:rsidRPr="3A2DB719" w:rsidR="43528337">
        <w:rPr>
          <w:rFonts w:cs="Arial"/>
          <w:sz w:val="22"/>
          <w:szCs w:val="22"/>
        </w:rPr>
        <w:t xml:space="preserve"> one minor indicator shortfall. This </w:t>
      </w:r>
      <w:r w:rsidRPr="3A2DB719" w:rsidR="43528337">
        <w:rPr>
          <w:rFonts w:cs="Arial"/>
          <w:sz w:val="22"/>
          <w:szCs w:val="22"/>
        </w:rPr>
        <w:t>demonstrates</w:t>
      </w:r>
      <w:r w:rsidRPr="3A2DB719" w:rsidR="43528337">
        <w:rPr>
          <w:rFonts w:cs="Arial"/>
          <w:sz w:val="22"/>
          <w:szCs w:val="22"/>
        </w:rPr>
        <w:t xml:space="preserve"> effective operational management and</w:t>
      </w:r>
      <w:r w:rsidRPr="3A2DB719" w:rsidR="43528337">
        <w:rPr>
          <w:rFonts w:cs="Arial"/>
          <w:sz w:val="22"/>
          <w:szCs w:val="22"/>
        </w:rPr>
        <w:t xml:space="preserve"> adapta</w:t>
      </w:r>
      <w:r w:rsidRPr="3A2DB719" w:rsidR="43528337">
        <w:rPr>
          <w:rFonts w:cs="Arial"/>
          <w:sz w:val="22"/>
          <w:szCs w:val="22"/>
        </w:rPr>
        <w:t xml:space="preserve">tion to a </w:t>
      </w:r>
      <w:r w:rsidRPr="3A2DB719" w:rsidR="43528337">
        <w:rPr>
          <w:rFonts w:cs="Arial"/>
          <w:sz w:val="22"/>
          <w:szCs w:val="22"/>
        </w:rPr>
        <w:t>compres</w:t>
      </w:r>
      <w:r w:rsidRPr="3A2DB719" w:rsidR="43528337">
        <w:rPr>
          <w:rFonts w:cs="Arial"/>
          <w:sz w:val="22"/>
          <w:szCs w:val="22"/>
        </w:rPr>
        <w:t xml:space="preserve">sed implementation </w:t>
      </w:r>
      <w:r w:rsidRPr="3A2DB719" w:rsidR="43528337">
        <w:rPr>
          <w:rFonts w:cs="Arial"/>
          <w:sz w:val="22"/>
          <w:szCs w:val="22"/>
        </w:rPr>
        <w:t>timeframe</w:t>
      </w:r>
      <w:r w:rsidRPr="3A2DB719" w:rsidR="43528337">
        <w:rPr>
          <w:rFonts w:cs="Arial"/>
          <w:sz w:val="22"/>
          <w:szCs w:val="22"/>
        </w:rPr>
        <w:t>.</w:t>
      </w:r>
    </w:p>
    <w:p w:rsidR="10D32DD4" w:rsidP="10D32DD4" w:rsidRDefault="10D32DD4" w14:paraId="78589E9F" w14:textId="4D02D252">
      <w:pPr>
        <w:pStyle w:val="Normal"/>
        <w:rPr>
          <w:rFonts w:cs="Arial"/>
          <w:sz w:val="22"/>
          <w:szCs w:val="22"/>
          <w:highlight w:val="yellow"/>
        </w:rPr>
      </w:pPr>
    </w:p>
    <w:p w:rsidR="154DC675" w:rsidP="38047320" w:rsidRDefault="56F588EA" w14:paraId="53BA0CBA" w14:textId="5C5A10EA">
      <w:pPr>
        <w:pStyle w:val="Normal"/>
      </w:pPr>
      <w:r w:rsidRPr="12B917DD" w:rsidR="6DB1CA4C">
        <w:rPr>
          <w:rFonts w:cs="Arial"/>
          <w:sz w:val="22"/>
          <w:szCs w:val="22"/>
        </w:rPr>
        <w:t xml:space="preserve">The AFOLU Unit has </w:t>
      </w:r>
      <w:r w:rsidRPr="12B917DD" w:rsidR="6DB1CA4C">
        <w:rPr>
          <w:rFonts w:cs="Arial"/>
          <w:sz w:val="22"/>
          <w:szCs w:val="22"/>
        </w:rPr>
        <w:t>engaged constructively with DE</w:t>
      </w:r>
      <w:r w:rsidRPr="12B917DD" w:rsidR="2EA50F2B">
        <w:rPr>
          <w:rFonts w:cs="Arial"/>
          <w:sz w:val="22"/>
          <w:szCs w:val="22"/>
        </w:rPr>
        <w:t xml:space="preserve">SNZ throughout the delivery of the </w:t>
      </w:r>
      <w:r w:rsidRPr="12B917DD" w:rsidR="2EA50F2B">
        <w:rPr>
          <w:rFonts w:cs="Arial"/>
          <w:sz w:val="22"/>
          <w:szCs w:val="22"/>
        </w:rPr>
        <w:t>programme</w:t>
      </w:r>
      <w:r w:rsidRPr="12B917DD" w:rsidR="2EA50F2B">
        <w:rPr>
          <w:rFonts w:cs="Arial"/>
          <w:sz w:val="22"/>
          <w:szCs w:val="22"/>
        </w:rPr>
        <w:t xml:space="preserve"> and</w:t>
      </w:r>
      <w:r w:rsidRPr="12B917DD" w:rsidR="2EA50F2B">
        <w:rPr>
          <w:rFonts w:cs="Arial"/>
          <w:sz w:val="22"/>
          <w:szCs w:val="22"/>
        </w:rPr>
        <w:t xml:space="preserve"> shown flexibility and </w:t>
      </w:r>
      <w:r w:rsidRPr="12B917DD" w:rsidR="2EA50F2B">
        <w:rPr>
          <w:rFonts w:cs="Arial"/>
          <w:sz w:val="22"/>
          <w:szCs w:val="22"/>
        </w:rPr>
        <w:t xml:space="preserve">adaptability </w:t>
      </w:r>
      <w:r w:rsidRPr="12B917DD" w:rsidR="5C3E8F28">
        <w:rPr>
          <w:rFonts w:cs="Arial"/>
          <w:sz w:val="22"/>
          <w:szCs w:val="22"/>
        </w:rPr>
        <w:t xml:space="preserve">when working through changing programme circumstances and budget. </w:t>
      </w:r>
      <w:r w:rsidRPr="12B917DD" w:rsidR="70693485">
        <w:rPr>
          <w:rFonts w:cs="Arial"/>
          <w:sz w:val="22"/>
          <w:szCs w:val="22"/>
        </w:rPr>
        <w:t>Workin</w:t>
      </w:r>
      <w:r w:rsidRPr="12B917DD" w:rsidR="70693485">
        <w:rPr>
          <w:rFonts w:cs="Arial"/>
          <w:sz w:val="22"/>
          <w:szCs w:val="22"/>
        </w:rPr>
        <w:t>g direct</w:t>
      </w:r>
      <w:r w:rsidRPr="12B917DD" w:rsidR="70693485">
        <w:rPr>
          <w:rFonts w:cs="Arial"/>
          <w:sz w:val="22"/>
          <w:szCs w:val="22"/>
        </w:rPr>
        <w:t xml:space="preserve">ly with the UNFCCC </w:t>
      </w:r>
      <w:r w:rsidRPr="12B917DD" w:rsidR="70693485">
        <w:rPr>
          <w:rFonts w:cs="Arial"/>
          <w:sz w:val="22"/>
          <w:szCs w:val="22"/>
        </w:rPr>
        <w:t>levera</w:t>
      </w:r>
      <w:r w:rsidRPr="12B917DD" w:rsidR="70693485">
        <w:rPr>
          <w:rFonts w:cs="Arial"/>
          <w:sz w:val="22"/>
          <w:szCs w:val="22"/>
        </w:rPr>
        <w:t>ge</w:t>
      </w:r>
      <w:r w:rsidRPr="12B917DD" w:rsidR="70693485">
        <w:rPr>
          <w:rFonts w:cs="Arial"/>
          <w:sz w:val="22"/>
          <w:szCs w:val="22"/>
        </w:rPr>
        <w:t>s</w:t>
      </w:r>
      <w:r w:rsidRPr="12B917DD" w:rsidR="70693485">
        <w:rPr>
          <w:rFonts w:cs="Arial"/>
          <w:sz w:val="22"/>
          <w:szCs w:val="22"/>
        </w:rPr>
        <w:t xml:space="preserve"> their </w:t>
      </w:r>
      <w:r w:rsidRPr="12B917DD" w:rsidR="70693485">
        <w:rPr>
          <w:rFonts w:cs="Arial"/>
          <w:sz w:val="22"/>
          <w:szCs w:val="22"/>
        </w:rPr>
        <w:t>unmatc</w:t>
      </w:r>
      <w:r w:rsidRPr="12B917DD" w:rsidR="70693485">
        <w:rPr>
          <w:rFonts w:cs="Arial"/>
          <w:sz w:val="22"/>
          <w:szCs w:val="22"/>
        </w:rPr>
        <w:t xml:space="preserve">hed </w:t>
      </w:r>
      <w:r w:rsidRPr="12B917DD" w:rsidR="70693485">
        <w:rPr>
          <w:rFonts w:cs="Arial"/>
          <w:sz w:val="22"/>
          <w:szCs w:val="22"/>
        </w:rPr>
        <w:t>expertise</w:t>
      </w:r>
      <w:r w:rsidRPr="12B917DD" w:rsidR="70693485">
        <w:rPr>
          <w:rFonts w:cs="Arial"/>
          <w:sz w:val="22"/>
          <w:szCs w:val="22"/>
        </w:rPr>
        <w:t xml:space="preserve"> on REDD+ and relationships with developing and developed c</w:t>
      </w:r>
      <w:r w:rsidRPr="12B917DD" w:rsidR="70693485">
        <w:rPr>
          <w:rFonts w:cs="Arial"/>
          <w:sz w:val="22"/>
          <w:szCs w:val="22"/>
        </w:rPr>
        <w:t xml:space="preserve">ountries </w:t>
      </w:r>
      <w:r w:rsidRPr="12B917DD" w:rsidR="70693485">
        <w:rPr>
          <w:rFonts w:cs="Arial"/>
          <w:sz w:val="22"/>
          <w:szCs w:val="22"/>
        </w:rPr>
        <w:t>engaging on REDD+</w:t>
      </w:r>
      <w:r w:rsidRPr="12B917DD" w:rsidR="70693485">
        <w:rPr>
          <w:rFonts w:cs="Arial"/>
          <w:sz w:val="22"/>
          <w:szCs w:val="22"/>
        </w:rPr>
        <w:t>. It also</w:t>
      </w:r>
      <w:r w:rsidRPr="12B917DD" w:rsidR="70693485">
        <w:rPr>
          <w:rFonts w:cs="Arial"/>
          <w:sz w:val="22"/>
          <w:szCs w:val="22"/>
        </w:rPr>
        <w:t xml:space="preserve"> recognises that the Secretariat is the only entity with a standing mandate to coordinate the various reporting and review processes of individual Party submissions through their NDCs and BTRs on climate actions and greenhouse gas emissions and removal trends, including on REDD+. </w:t>
      </w:r>
    </w:p>
    <w:p w:rsidR="123B761E" w:rsidP="123B761E" w:rsidRDefault="123B761E" w14:paraId="2DCBA1B7" w14:textId="0A03230D">
      <w:pPr>
        <w:pStyle w:val="Normal"/>
        <w:rPr>
          <w:rFonts w:cs="Arial"/>
          <w:sz w:val="22"/>
          <w:szCs w:val="22"/>
        </w:rPr>
      </w:pPr>
    </w:p>
    <w:p w:rsidR="13F3C29B" w:rsidP="73521FE0" w:rsidRDefault="13F3C29B" w14:paraId="2C0ECCF9" w14:textId="3765F274">
      <w:pPr>
        <w:pStyle w:val="Normal"/>
        <w:rPr>
          <w:rFonts w:cs="Arial"/>
          <w:sz w:val="22"/>
          <w:szCs w:val="22"/>
        </w:rPr>
      </w:pPr>
      <w:r w:rsidRPr="35CC24A0" w:rsidR="3AACCAFB">
        <w:rPr>
          <w:rFonts w:cs="Arial"/>
          <w:sz w:val="22"/>
          <w:szCs w:val="22"/>
        </w:rPr>
        <w:t xml:space="preserve">The programme has spent </w:t>
      </w:r>
      <w:r w:rsidRPr="35CC24A0" w:rsidR="3AACCAFB">
        <w:rPr>
          <w:rFonts w:cs="Arial"/>
          <w:sz w:val="22"/>
          <w:szCs w:val="22"/>
        </w:rPr>
        <w:t>83.09% of its budget for the year</w:t>
      </w:r>
      <w:r w:rsidRPr="35CC24A0" w:rsidR="159B4990">
        <w:rPr>
          <w:rFonts w:cs="Arial"/>
          <w:sz w:val="22"/>
          <w:szCs w:val="22"/>
        </w:rPr>
        <w:t xml:space="preserve"> (as </w:t>
      </w:r>
      <w:r w:rsidRPr="35CC24A0" w:rsidR="48837C38">
        <w:rPr>
          <w:rFonts w:cs="Arial"/>
          <w:sz w:val="22"/>
          <w:szCs w:val="22"/>
        </w:rPr>
        <w:t>of</w:t>
      </w:r>
      <w:r w:rsidRPr="35CC24A0" w:rsidR="159B4990">
        <w:rPr>
          <w:rFonts w:cs="Arial"/>
          <w:sz w:val="22"/>
          <w:szCs w:val="22"/>
        </w:rPr>
        <w:t xml:space="preserve"> </w:t>
      </w:r>
      <w:r w:rsidRPr="35CC24A0" w:rsidR="159B4990">
        <w:rPr>
          <w:rFonts w:cs="Arial"/>
          <w:sz w:val="22"/>
          <w:szCs w:val="22"/>
        </w:rPr>
        <w:t xml:space="preserve">1 July) with underspend due to the </w:t>
      </w:r>
      <w:r w:rsidRPr="35CC24A0" w:rsidR="159B4990">
        <w:rPr>
          <w:rFonts w:cs="Arial"/>
          <w:sz w:val="22"/>
          <w:szCs w:val="22"/>
        </w:rPr>
        <w:t>initial</w:t>
      </w:r>
      <w:r w:rsidRPr="35CC24A0" w:rsidR="159B4990">
        <w:rPr>
          <w:rFonts w:cs="Arial"/>
          <w:sz w:val="22"/>
          <w:szCs w:val="22"/>
        </w:rPr>
        <w:t xml:space="preserve"> delays in programme implementation. The delivery partner has </w:t>
      </w:r>
      <w:r w:rsidRPr="35CC24A0" w:rsidR="159B4990">
        <w:rPr>
          <w:rFonts w:cs="Arial"/>
          <w:sz w:val="22"/>
          <w:szCs w:val="22"/>
        </w:rPr>
        <w:t>advised</w:t>
      </w:r>
      <w:r w:rsidRPr="35CC24A0" w:rsidR="159B4990">
        <w:rPr>
          <w:rFonts w:cs="Arial"/>
          <w:sz w:val="22"/>
          <w:szCs w:val="22"/>
        </w:rPr>
        <w:t xml:space="preserve"> that the remaining funds will be spent over </w:t>
      </w:r>
      <w:r w:rsidRPr="35CC24A0" w:rsidR="159B4990">
        <w:rPr>
          <w:rFonts w:cs="Arial"/>
          <w:sz w:val="22"/>
          <w:szCs w:val="22"/>
        </w:rPr>
        <w:t>the month of July</w:t>
      </w:r>
      <w:r w:rsidRPr="35CC24A0" w:rsidR="159B4990">
        <w:rPr>
          <w:rFonts w:cs="Arial"/>
          <w:sz w:val="22"/>
          <w:szCs w:val="22"/>
        </w:rPr>
        <w:t xml:space="preserve">. </w:t>
      </w:r>
    </w:p>
    <w:p w:rsidR="154DC675" w:rsidP="50137F9F" w:rsidRDefault="154DC675" w14:paraId="0B03404A" w14:textId="02B84890">
      <w:pPr>
        <w:rPr>
          <w:rFonts w:cs="Arial"/>
          <w:sz w:val="22"/>
          <w:szCs w:val="22"/>
        </w:rPr>
      </w:pPr>
    </w:p>
    <w:p w:rsidR="154DC675" w:rsidP="50137F9F" w:rsidRDefault="56F588EA" w14:paraId="69794ACD" w14:textId="33FA26B8">
      <w:pPr>
        <w:rPr>
          <w:rFonts w:cs="Arial"/>
          <w:sz w:val="22"/>
          <w:szCs w:val="22"/>
        </w:rPr>
      </w:pPr>
      <w:r w:rsidRPr="352FA995" w:rsidR="2E422CCF">
        <w:rPr>
          <w:rFonts w:cs="Arial"/>
          <w:sz w:val="22"/>
          <w:szCs w:val="22"/>
        </w:rPr>
        <w:t xml:space="preserve">Seven technical assessments of FREL/FRLs and seven technical analyses of REDD+ results were completed within one year of submission, while 100% of technical analyses were uploaded to the REDD+ Web Platform within the required </w:t>
      </w:r>
      <w:r w:rsidRPr="352FA995" w:rsidR="2E422CCF">
        <w:rPr>
          <w:rFonts w:cs="Arial"/>
          <w:sz w:val="22"/>
          <w:szCs w:val="22"/>
        </w:rPr>
        <w:t>timeframe</w:t>
      </w:r>
      <w:r w:rsidRPr="352FA995" w:rsidR="2E422CCF">
        <w:rPr>
          <w:rFonts w:cs="Arial"/>
          <w:sz w:val="22"/>
          <w:szCs w:val="22"/>
        </w:rPr>
        <w:t xml:space="preserve">. This </w:t>
      </w:r>
      <w:r w:rsidRPr="352FA995" w:rsidR="2E422CCF">
        <w:rPr>
          <w:rFonts w:cs="Arial"/>
          <w:sz w:val="22"/>
          <w:szCs w:val="22"/>
        </w:rPr>
        <w:t>s</w:t>
      </w:r>
      <w:r w:rsidRPr="352FA995" w:rsidR="0F2EF83C">
        <w:rPr>
          <w:rFonts w:cs="Arial"/>
          <w:sz w:val="22"/>
          <w:szCs w:val="22"/>
        </w:rPr>
        <w:t>how</w:t>
      </w:r>
      <w:r w:rsidRPr="352FA995" w:rsidR="2E422CCF">
        <w:rPr>
          <w:rFonts w:cs="Arial"/>
          <w:sz w:val="22"/>
          <w:szCs w:val="22"/>
        </w:rPr>
        <w:t>s</w:t>
      </w:r>
      <w:r w:rsidRPr="352FA995" w:rsidR="2E422CCF">
        <w:rPr>
          <w:rFonts w:cs="Arial"/>
          <w:sz w:val="22"/>
          <w:szCs w:val="22"/>
        </w:rPr>
        <w:t xml:space="preserve"> </w:t>
      </w:r>
      <w:r w:rsidRPr="352FA995" w:rsidR="2E422CCF">
        <w:rPr>
          <w:rFonts w:cs="Arial"/>
          <w:sz w:val="22"/>
          <w:szCs w:val="22"/>
        </w:rPr>
        <w:t>the AFOLU Unit converted staff and administrative inputs into technical outputs efficiently</w:t>
      </w:r>
      <w:r w:rsidRPr="352FA995" w:rsidR="3AAFAB26">
        <w:rPr>
          <w:rFonts w:cs="Arial"/>
          <w:sz w:val="22"/>
          <w:szCs w:val="22"/>
        </w:rPr>
        <w:t>.</w:t>
      </w:r>
    </w:p>
    <w:p w:rsidR="2496585B" w:rsidP="2496585B" w:rsidRDefault="2496585B" w14:paraId="688B211A" w14:textId="5491A2A7">
      <w:pPr>
        <w:rPr>
          <w:rFonts w:cs="Arial"/>
          <w:sz w:val="22"/>
          <w:szCs w:val="22"/>
        </w:rPr>
      </w:pPr>
    </w:p>
    <w:p w:rsidR="3505497A" w:rsidP="5A0345F8" w:rsidRDefault="78F73742" w14:paraId="5EFB7FCC" w14:textId="363FB9AC">
      <w:pPr>
        <w:rPr>
          <w:rFonts w:cs="Arial"/>
          <w:sz w:val="22"/>
          <w:szCs w:val="22"/>
        </w:rPr>
      </w:pPr>
      <w:r w:rsidRPr="5A0345F8">
        <w:rPr>
          <w:rFonts w:cs="Arial"/>
          <w:sz w:val="22"/>
          <w:szCs w:val="22"/>
        </w:rPr>
        <w:t xml:space="preserve">The </w:t>
      </w:r>
      <w:r w:rsidRPr="5A0345F8" w:rsidR="3761A069">
        <w:rPr>
          <w:rFonts w:cs="Arial"/>
          <w:sz w:val="22"/>
          <w:szCs w:val="22"/>
        </w:rPr>
        <w:t>output scoring in Section C demonstrates that the AFOLU Unit’s operations were efficient in this review period. Of the six out</w:t>
      </w:r>
      <w:r w:rsidRPr="5A0345F8" w:rsidR="58AA8B82">
        <w:rPr>
          <w:rFonts w:cs="Arial"/>
          <w:sz w:val="22"/>
          <w:szCs w:val="22"/>
        </w:rPr>
        <w:t xml:space="preserve">puts scored, four (67%) received a score of </w:t>
      </w:r>
      <w:bookmarkStart w:name="_Int_zsqIqpFs" w:id="89"/>
      <w:r w:rsidRPr="5A0345F8" w:rsidR="58AA8B82">
        <w:rPr>
          <w:rFonts w:cs="Arial"/>
          <w:sz w:val="22"/>
          <w:szCs w:val="22"/>
        </w:rPr>
        <w:t>A</w:t>
      </w:r>
      <w:bookmarkEnd w:id="89"/>
      <w:r w:rsidRPr="5A0345F8" w:rsidR="58AA8B82">
        <w:rPr>
          <w:rFonts w:cs="Arial"/>
          <w:sz w:val="22"/>
          <w:szCs w:val="22"/>
        </w:rPr>
        <w:t xml:space="preserve"> and two were rated A+. Of the</w:t>
      </w:r>
      <w:r w:rsidRPr="5A0345F8" w:rsidR="6372C1B4">
        <w:rPr>
          <w:rFonts w:cs="Arial"/>
          <w:sz w:val="22"/>
          <w:szCs w:val="22"/>
        </w:rPr>
        <w:t xml:space="preserve"> 15</w:t>
      </w:r>
      <w:r w:rsidRPr="5A0345F8" w:rsidR="58AA8B82">
        <w:rPr>
          <w:rFonts w:cs="Arial"/>
          <w:sz w:val="22"/>
          <w:szCs w:val="22"/>
        </w:rPr>
        <w:t xml:space="preserve"> sub-indicators, </w:t>
      </w:r>
      <w:r w:rsidRPr="5A0345F8" w:rsidR="43BCCD22">
        <w:rPr>
          <w:rFonts w:cs="Arial"/>
          <w:sz w:val="22"/>
          <w:szCs w:val="22"/>
        </w:rPr>
        <w:t xml:space="preserve">only </w:t>
      </w:r>
      <w:r w:rsidRPr="5A0345F8" w:rsidR="7ADE682F">
        <w:rPr>
          <w:rFonts w:cs="Arial"/>
          <w:sz w:val="22"/>
          <w:szCs w:val="22"/>
        </w:rPr>
        <w:t xml:space="preserve">one </w:t>
      </w:r>
      <w:r w:rsidRPr="5A0345F8" w:rsidR="43BCCD22">
        <w:rPr>
          <w:rFonts w:cs="Arial"/>
          <w:sz w:val="22"/>
          <w:szCs w:val="22"/>
        </w:rPr>
        <w:t>(13%) did not hit the target – and th</w:t>
      </w:r>
      <w:r w:rsidRPr="5A0345F8" w:rsidR="583E4E74">
        <w:rPr>
          <w:rFonts w:cs="Arial"/>
          <w:sz w:val="22"/>
          <w:szCs w:val="22"/>
        </w:rPr>
        <w:t>i</w:t>
      </w:r>
      <w:r w:rsidRPr="5A0345F8" w:rsidR="43BCCD22">
        <w:rPr>
          <w:rFonts w:cs="Arial"/>
          <w:sz w:val="22"/>
          <w:szCs w:val="22"/>
        </w:rPr>
        <w:t>s w</w:t>
      </w:r>
      <w:r w:rsidRPr="5A0345F8" w:rsidR="7F02BAAC">
        <w:rPr>
          <w:rFonts w:cs="Arial"/>
          <w:sz w:val="22"/>
          <w:szCs w:val="22"/>
        </w:rPr>
        <w:t>as a</w:t>
      </w:r>
      <w:r w:rsidRPr="5A0345F8" w:rsidR="43BCCD22">
        <w:rPr>
          <w:rFonts w:cs="Arial"/>
          <w:sz w:val="22"/>
          <w:szCs w:val="22"/>
        </w:rPr>
        <w:t xml:space="preserve"> narrow miss.</w:t>
      </w:r>
    </w:p>
    <w:p w:rsidR="575BD691" w:rsidP="575BD691" w:rsidRDefault="575BD691" w14:paraId="7A56F8D5" w14:textId="38662601">
      <w:pPr>
        <w:rPr>
          <w:rFonts w:cs="Arial"/>
          <w:sz w:val="22"/>
          <w:szCs w:val="22"/>
        </w:rPr>
      </w:pPr>
    </w:p>
    <w:p w:rsidR="6809405F" w:rsidRDefault="6809405F" w14:paraId="139A63D8" w14:textId="52B94B55">
      <w:r w:rsidRPr="384DB028">
        <w:rPr>
          <w:rFonts w:cs="Arial"/>
          <w:b/>
          <w:bCs/>
          <w:sz w:val="22"/>
          <w:szCs w:val="22"/>
        </w:rPr>
        <w:t>Effectiveness and cost-effectiveness</w:t>
      </w:r>
    </w:p>
    <w:p w:rsidR="384DB028" w:rsidP="384DB028" w:rsidRDefault="384DB028" w14:paraId="080C15FB" w14:textId="5FB842DE">
      <w:pPr>
        <w:rPr>
          <w:rFonts w:cs="Arial"/>
          <w:b/>
          <w:bCs/>
          <w:sz w:val="22"/>
          <w:szCs w:val="22"/>
        </w:rPr>
      </w:pPr>
    </w:p>
    <w:p w:rsidR="5BBB1B57" w:rsidP="47D224E2" w:rsidRDefault="44B3A182" w14:paraId="6C223CD4" w14:textId="02F56255">
      <w:r w:rsidRPr="30EAD9E5">
        <w:rPr>
          <w:rFonts w:cs="Arial"/>
          <w:sz w:val="22"/>
          <w:szCs w:val="22"/>
        </w:rPr>
        <w:t>Effectiveness refers to the likelihood that programme outputs achieve desired outcomes and ICF KPIs, whilst cost-effectiveness refers to rate at which funding transforms into desired outcomes and impacts, relative to the cost of inputs. Maximising economy, efficiency, effectiveness, and equity will ultimately increase cost-effectiveness.</w:t>
      </w:r>
    </w:p>
    <w:p w:rsidR="30EAD9E5" w:rsidP="30EAD9E5" w:rsidRDefault="30EAD9E5" w14:paraId="6F8E1D91" w14:textId="771B58F6">
      <w:pPr>
        <w:rPr>
          <w:rFonts w:cs="Arial"/>
          <w:sz w:val="22"/>
          <w:szCs w:val="22"/>
        </w:rPr>
      </w:pPr>
    </w:p>
    <w:p w:rsidR="5447084D" w:rsidP="37288FDF" w:rsidRDefault="5447084D" w14:paraId="5848190A" w14:textId="3AB85D34">
      <w:pPr>
        <w:rPr>
          <w:rFonts w:cs="Arial"/>
          <w:sz w:val="22"/>
          <w:szCs w:val="22"/>
        </w:rPr>
      </w:pPr>
      <w:r w:rsidRPr="37288FDF">
        <w:rPr>
          <w:rFonts w:cs="Arial"/>
          <w:sz w:val="22"/>
          <w:szCs w:val="22"/>
        </w:rPr>
        <w:t>The programme has met or exceeded 3 of its 4 outcome targets for July 2026, indicating a strong start with regards to Effectiveness.</w:t>
      </w:r>
    </w:p>
    <w:p w:rsidR="37288FDF" w:rsidP="37288FDF" w:rsidRDefault="37288FDF" w14:paraId="74B1916B" w14:textId="4C63C7AC">
      <w:pPr>
        <w:rPr>
          <w:rFonts w:cs="Arial"/>
          <w:sz w:val="22"/>
          <w:szCs w:val="22"/>
          <w:highlight w:val="yellow"/>
        </w:rPr>
      </w:pPr>
    </w:p>
    <w:p w:rsidR="2B1048EE" w:rsidP="5E7F05B5" w:rsidRDefault="12BDDCB3" w14:paraId="19E711F6" w14:textId="36465DA5">
      <w:pPr>
        <w:rPr>
          <w:rFonts w:cs="Arial"/>
          <w:sz w:val="22"/>
          <w:szCs w:val="22"/>
        </w:rPr>
      </w:pPr>
      <w:r w:rsidRPr="352FA995" w:rsidR="3EF228C2">
        <w:rPr>
          <w:rFonts w:cs="Arial"/>
          <w:sz w:val="22"/>
          <w:szCs w:val="22"/>
        </w:rPr>
        <w:t xml:space="preserve">The programme directly supports countries to meet REDD+ reporting requirements and by </w:t>
      </w:r>
      <w:r w:rsidRPr="352FA995" w:rsidR="3EF228C2">
        <w:rPr>
          <w:rFonts w:cs="Arial"/>
          <w:sz w:val="22"/>
          <w:szCs w:val="22"/>
        </w:rPr>
        <w:t>maintaining</w:t>
      </w:r>
      <w:r w:rsidRPr="352FA995" w:rsidR="3EF228C2">
        <w:rPr>
          <w:rFonts w:cs="Arial"/>
          <w:sz w:val="22"/>
          <w:szCs w:val="22"/>
        </w:rPr>
        <w:t xml:space="preserve"> transparency infrastructure under the </w:t>
      </w:r>
      <w:r w:rsidRPr="352FA995" w:rsidR="3EF228C2">
        <w:rPr>
          <w:rFonts w:cs="Arial"/>
          <w:sz w:val="22"/>
          <w:szCs w:val="22"/>
        </w:rPr>
        <w:t>Warsaw</w:t>
      </w:r>
      <w:r w:rsidRPr="352FA995" w:rsidR="3EF228C2">
        <w:rPr>
          <w:rFonts w:cs="Arial"/>
          <w:sz w:val="22"/>
          <w:szCs w:val="22"/>
        </w:rPr>
        <w:t xml:space="preserve"> Framework for REDD+</w:t>
      </w:r>
      <w:r w:rsidRPr="352FA995" w:rsidR="6A0F293C">
        <w:rPr>
          <w:rFonts w:cs="Arial"/>
          <w:sz w:val="22"/>
          <w:szCs w:val="22"/>
        </w:rPr>
        <w:t>.</w:t>
      </w:r>
      <w:r w:rsidRPr="352FA995" w:rsidR="3EF228C2">
        <w:rPr>
          <w:rFonts w:cs="Arial"/>
          <w:sz w:val="22"/>
          <w:szCs w:val="22"/>
        </w:rPr>
        <w:t xml:space="preserve"> </w:t>
      </w:r>
      <w:r w:rsidRPr="352FA995" w:rsidR="3EF228C2">
        <w:rPr>
          <w:rFonts w:cs="Arial"/>
          <w:sz w:val="22"/>
          <w:szCs w:val="22"/>
        </w:rPr>
        <w:t xml:space="preserve">During the reporting period, the Lima Information Hub </w:t>
      </w:r>
      <w:r w:rsidRPr="352FA995" w:rsidR="3EF228C2">
        <w:rPr>
          <w:rFonts w:cs="Arial"/>
          <w:sz w:val="22"/>
          <w:szCs w:val="22"/>
        </w:rPr>
        <w:t>published reports from 69 countries</w:t>
      </w:r>
      <w:r w:rsidRPr="352FA995" w:rsidR="3EF228C2">
        <w:rPr>
          <w:rFonts w:cs="Arial"/>
          <w:sz w:val="22"/>
          <w:szCs w:val="22"/>
        </w:rPr>
        <w:t xml:space="preserve"> and over 14.1 billion tonnes CO2e of technically analysed REDD+ results, </w:t>
      </w:r>
      <w:r w:rsidRPr="352FA995" w:rsidR="3EF228C2">
        <w:rPr>
          <w:rFonts w:cs="Arial"/>
          <w:sz w:val="22"/>
          <w:szCs w:val="22"/>
        </w:rPr>
        <w:t>demonstrating</w:t>
      </w:r>
      <w:r w:rsidRPr="352FA995" w:rsidR="3EF228C2">
        <w:rPr>
          <w:rFonts w:cs="Arial"/>
          <w:sz w:val="22"/>
          <w:szCs w:val="22"/>
        </w:rPr>
        <w:t xml:space="preserve"> continued engagement by Parties and sustained use of UNFCCC transparency mechanisms.</w:t>
      </w:r>
    </w:p>
    <w:p w:rsidR="37288FDF" w:rsidP="37288FDF" w:rsidRDefault="37288FDF" w14:paraId="341BF181" w14:textId="72600250">
      <w:pPr>
        <w:rPr>
          <w:rFonts w:cs="Arial"/>
          <w:sz w:val="22"/>
          <w:szCs w:val="22"/>
          <w:highlight w:val="yellow"/>
        </w:rPr>
      </w:pPr>
    </w:p>
    <w:p w:rsidR="37288FDF" w:rsidP="05338FFA" w:rsidRDefault="3BC54AAA" w14:paraId="1E284892" w14:textId="7775B326">
      <w:pPr>
        <w:rPr>
          <w:rFonts w:cs="Arial"/>
          <w:sz w:val="22"/>
          <w:szCs w:val="22"/>
        </w:rPr>
      </w:pPr>
      <w:r w:rsidRPr="05338FFA" w:rsidR="4D241B80">
        <w:rPr>
          <w:rFonts w:cs="Arial"/>
          <w:sz w:val="22"/>
          <w:szCs w:val="22"/>
        </w:rPr>
        <w:t>The programme has also demonstrated strong progress towards improved cooperation and ambition on REDD+. The REDD+ Global Summit, Community of Practice activities and South-South exchanges created opportunities for countries to share implementation experience, discuss common challenges and learn from peers. This is supported by survey evidence showing that 100% of respondents acquired new knowledge through South-South exchanges.</w:t>
      </w:r>
    </w:p>
    <w:p w:rsidR="5BBB1B57" w:rsidP="47D224E2" w:rsidRDefault="5BBB1B57" w14:paraId="581837A7" w14:textId="5F670190">
      <w:pPr>
        <w:rPr>
          <w:rFonts w:cs="Arial"/>
          <w:sz w:val="22"/>
          <w:szCs w:val="22"/>
        </w:rPr>
      </w:pPr>
    </w:p>
    <w:p w:rsidR="4DDFEBDF" w:rsidP="414E1138" w:rsidRDefault="4C5B7E39" w14:paraId="7B150FBD" w14:textId="0825CEF7">
      <w:pPr>
        <w:rPr>
          <w:rFonts w:cs="Arial"/>
          <w:sz w:val="22"/>
          <w:szCs w:val="22"/>
        </w:rPr>
      </w:pPr>
      <w:r w:rsidRPr="05338FFA" w:rsidR="7E967675">
        <w:rPr>
          <w:rFonts w:cs="Arial"/>
          <w:sz w:val="22"/>
          <w:szCs w:val="22"/>
        </w:rPr>
        <w:t>The programme has met or exceeded 3 of its 4 outcome targets for July 2026</w:t>
      </w:r>
      <w:r w:rsidRPr="05338FFA" w:rsidR="18F63D64">
        <w:rPr>
          <w:rFonts w:cs="Arial"/>
          <w:sz w:val="22"/>
          <w:szCs w:val="22"/>
        </w:rPr>
        <w:t>, indicating a strong start with regards to Effectiveness.</w:t>
      </w:r>
      <w:r w:rsidRPr="05338FFA" w:rsidR="215847AC">
        <w:rPr>
          <w:rFonts w:cs="Arial"/>
          <w:sz w:val="22"/>
          <w:szCs w:val="22"/>
        </w:rPr>
        <w:t xml:space="preserve"> </w:t>
      </w:r>
      <w:r w:rsidRPr="05338FFA" w:rsidR="19919A9D">
        <w:rPr>
          <w:rFonts w:cs="Arial"/>
          <w:sz w:val="22"/>
          <w:szCs w:val="22"/>
        </w:rPr>
        <w:t xml:space="preserve">The proportion of forest countries with a FREL/FRL submitted to the UNFCCC that also </w:t>
      </w:r>
      <w:r w:rsidRPr="05338FFA" w:rsidR="78C5C527">
        <w:rPr>
          <w:rFonts w:cs="Arial"/>
          <w:sz w:val="22"/>
          <w:szCs w:val="22"/>
        </w:rPr>
        <w:t>submitted a Safeguards Information Summary Report was</w:t>
      </w:r>
      <w:r w:rsidRPr="05338FFA" w:rsidR="47265B66">
        <w:rPr>
          <w:rFonts w:cs="Arial"/>
          <w:sz w:val="22"/>
          <w:szCs w:val="22"/>
        </w:rPr>
        <w:t xml:space="preserve"> marginally</w:t>
      </w:r>
      <w:r w:rsidRPr="05338FFA" w:rsidR="56D4521B">
        <w:rPr>
          <w:rFonts w:cs="Arial"/>
          <w:sz w:val="22"/>
          <w:szCs w:val="22"/>
        </w:rPr>
        <w:t xml:space="preserve"> below target (48% rather than 52%)</w:t>
      </w:r>
      <w:r w:rsidRPr="05338FFA" w:rsidR="47265B66">
        <w:rPr>
          <w:rFonts w:cs="Arial"/>
          <w:sz w:val="22"/>
          <w:szCs w:val="22"/>
        </w:rPr>
        <w:t xml:space="preserve"> </w:t>
      </w:r>
      <w:r w:rsidRPr="05338FFA" w:rsidR="175C0E1C">
        <w:rPr>
          <w:rFonts w:cs="Arial"/>
          <w:sz w:val="22"/>
          <w:szCs w:val="22"/>
        </w:rPr>
        <w:t>because two new country FREL/FRLs were submitted with no accompanying safeguard report.</w:t>
      </w:r>
    </w:p>
    <w:p w:rsidR="4963D71E" w:rsidP="4963D71E" w:rsidRDefault="4963D71E" w14:paraId="2F2A7706" w14:textId="3FDE63FA">
      <w:pPr>
        <w:rPr>
          <w:rFonts w:cs="Arial"/>
          <w:sz w:val="22"/>
          <w:szCs w:val="22"/>
        </w:rPr>
      </w:pPr>
    </w:p>
    <w:p w:rsidR="1FE14991" w:rsidP="47A42BA8" w:rsidRDefault="1FE14991" w14:paraId="3BE5EEB6" w14:textId="0BBB6DBD">
      <w:pPr>
        <w:pStyle w:val="Normal"/>
        <w:suppressLineNumbers w:val="0"/>
        <w:bidi w:val="0"/>
        <w:spacing w:before="0" w:beforeAutospacing="off" w:after="0" w:afterAutospacing="off" w:line="240" w:lineRule="auto"/>
        <w:ind w:left="0" w:right="0"/>
        <w:jc w:val="left"/>
      </w:pPr>
      <w:r w:rsidRPr="4E7B7F16" w:rsidR="7471CD83">
        <w:rPr>
          <w:rFonts w:cs="Arial"/>
          <w:sz w:val="22"/>
          <w:szCs w:val="22"/>
        </w:rPr>
        <w:t>Although the programme does not currently include indicators suitable for calculating formal cost-effectiveness metrics,</w:t>
      </w:r>
      <w:r w:rsidRPr="4E7B7F16" w:rsidR="7471CD83">
        <w:rPr>
          <w:rFonts w:cs="Arial"/>
          <w:sz w:val="22"/>
          <w:szCs w:val="22"/>
        </w:rPr>
        <w:t xml:space="preserve"> there are early indications of positive value for money. The programme achieved or exceeded three of four outcome targets, </w:t>
      </w:r>
      <w:r w:rsidRPr="4E7B7F16" w:rsidR="5222FC2F">
        <w:rPr>
          <w:rFonts w:cs="Arial"/>
          <w:sz w:val="22"/>
          <w:szCs w:val="22"/>
        </w:rPr>
        <w:t xml:space="preserve">met and </w:t>
      </w:r>
      <w:r w:rsidRPr="4E7B7F16" w:rsidR="7471CD83">
        <w:rPr>
          <w:rFonts w:cs="Arial"/>
          <w:sz w:val="22"/>
          <w:szCs w:val="22"/>
        </w:rPr>
        <w:t xml:space="preserve">exceeded performance expectations </w:t>
      </w:r>
      <w:r w:rsidRPr="4E7B7F16" w:rsidR="3FE5391C">
        <w:rPr>
          <w:rFonts w:cs="Arial"/>
          <w:sz w:val="22"/>
          <w:szCs w:val="22"/>
        </w:rPr>
        <w:t xml:space="preserve">in all </w:t>
      </w:r>
      <w:r w:rsidRPr="4E7B7F16" w:rsidR="3FE5391C">
        <w:rPr>
          <w:rFonts w:cs="Arial"/>
          <w:sz w:val="22"/>
          <w:szCs w:val="22"/>
        </w:rPr>
        <w:t>bar</w:t>
      </w:r>
      <w:r w:rsidRPr="4E7B7F16" w:rsidR="3FE5391C">
        <w:rPr>
          <w:rFonts w:cs="Arial"/>
          <w:sz w:val="22"/>
          <w:szCs w:val="22"/>
        </w:rPr>
        <w:t xml:space="preserve"> one output indicator,</w:t>
      </w:r>
      <w:r w:rsidRPr="4E7B7F16" w:rsidR="7471CD83">
        <w:rPr>
          <w:rFonts w:cs="Arial"/>
          <w:sz w:val="22"/>
          <w:szCs w:val="22"/>
        </w:rPr>
        <w:t xml:space="preserve"> and delivered substantial volumes of technical reviews, knowledge </w:t>
      </w:r>
      <w:r w:rsidRPr="4E7B7F16" w:rsidR="7471CD83">
        <w:rPr>
          <w:rFonts w:cs="Arial"/>
          <w:sz w:val="22"/>
          <w:szCs w:val="22"/>
        </w:rPr>
        <w:t>products</w:t>
      </w:r>
      <w:r w:rsidRPr="4E7B7F16" w:rsidR="7471CD83">
        <w:rPr>
          <w:rFonts w:cs="Arial"/>
          <w:sz w:val="22"/>
          <w:szCs w:val="22"/>
        </w:rPr>
        <w:t xml:space="preserve"> and international exchanges within a </w:t>
      </w:r>
      <w:r w:rsidRPr="4E7B7F16" w:rsidR="7471CD83">
        <w:rPr>
          <w:rFonts w:cs="Arial"/>
          <w:sz w:val="22"/>
          <w:szCs w:val="22"/>
        </w:rPr>
        <w:t>relatively modest</w:t>
      </w:r>
      <w:r w:rsidRPr="4E7B7F16" w:rsidR="7471CD83">
        <w:rPr>
          <w:rFonts w:cs="Arial"/>
          <w:sz w:val="22"/>
          <w:szCs w:val="22"/>
        </w:rPr>
        <w:t xml:space="preserve"> programme budget. </w:t>
      </w:r>
      <w:r w:rsidRPr="4E7B7F16" w:rsidR="46AC55D1">
        <w:rPr>
          <w:rFonts w:cs="Arial"/>
          <w:sz w:val="22"/>
          <w:szCs w:val="22"/>
        </w:rPr>
        <w:t>The UNFCCC Secretariat is the only body with a formal mandate from Parties to</w:t>
      </w:r>
      <w:r w:rsidRPr="4E7B7F16" w:rsidR="685E4D5A">
        <w:rPr>
          <w:rFonts w:cs="Arial"/>
          <w:sz w:val="22"/>
          <w:szCs w:val="22"/>
        </w:rPr>
        <w:t xml:space="preserve"> </w:t>
      </w:r>
      <w:r w:rsidRPr="4E7B7F16" w:rsidR="685E4D5A">
        <w:rPr>
          <w:rFonts w:cs="Arial"/>
          <w:sz w:val="22"/>
          <w:szCs w:val="22"/>
        </w:rPr>
        <w:t>operate</w:t>
      </w:r>
      <w:r w:rsidRPr="4E7B7F16" w:rsidR="46AC55D1">
        <w:rPr>
          <w:rFonts w:cs="Arial"/>
          <w:sz w:val="22"/>
          <w:szCs w:val="22"/>
        </w:rPr>
        <w:t xml:space="preserve"> the REDD+ architecture under the Paris Agreement</w:t>
      </w:r>
      <w:r w:rsidRPr="4E7B7F16" w:rsidR="4DA5F6B2">
        <w:rPr>
          <w:rFonts w:cs="Arial"/>
          <w:sz w:val="22"/>
          <w:szCs w:val="22"/>
        </w:rPr>
        <w:t xml:space="preserve"> </w:t>
      </w:r>
      <w:r w:rsidRPr="4E7B7F16" w:rsidR="00AE696A">
        <w:rPr>
          <w:rFonts w:cs="Arial"/>
          <w:sz w:val="22"/>
          <w:szCs w:val="22"/>
        </w:rPr>
        <w:t>and delivering</w:t>
      </w:r>
      <w:r w:rsidRPr="4E7B7F16" w:rsidR="46AC55D1">
        <w:rPr>
          <w:rFonts w:cs="Arial"/>
          <w:sz w:val="22"/>
          <w:szCs w:val="22"/>
        </w:rPr>
        <w:t xml:space="preserve"> equivalent services outside the UNFCCC framework would require creation of parallel governance, reporting and technical systems, making simple unit-cost comparisons of limited value. </w:t>
      </w:r>
    </w:p>
    <w:p w:rsidR="1FE14991" w:rsidP="47A42BA8" w:rsidRDefault="1FE14991" w14:paraId="57F4CE32" w14:textId="6799BB4A">
      <w:pPr>
        <w:pStyle w:val="Normal"/>
        <w:suppressLineNumbers w:val="0"/>
        <w:bidi w:val="0"/>
        <w:spacing w:before="0" w:beforeAutospacing="off" w:after="0" w:afterAutospacing="off" w:line="240" w:lineRule="auto"/>
        <w:ind w:left="0" w:right="0"/>
        <w:jc w:val="left"/>
      </w:pPr>
      <w:r w:rsidRPr="2D528E9C" w:rsidR="1FE14991">
        <w:rPr>
          <w:rFonts w:cs="Arial"/>
          <w:sz w:val="22"/>
          <w:szCs w:val="22"/>
        </w:rPr>
        <w:t xml:space="preserve">Future revisions to the </w:t>
      </w:r>
      <w:r w:rsidRPr="2D528E9C" w:rsidR="1FE14991">
        <w:rPr>
          <w:rFonts w:cs="Arial"/>
          <w:sz w:val="22"/>
          <w:szCs w:val="22"/>
        </w:rPr>
        <w:t>logframe</w:t>
      </w:r>
      <w:r w:rsidRPr="2D528E9C" w:rsidR="1FE14991">
        <w:rPr>
          <w:rFonts w:cs="Arial"/>
          <w:sz w:val="22"/>
          <w:szCs w:val="22"/>
        </w:rPr>
        <w:t xml:space="preserve"> should consider whether </w:t>
      </w:r>
      <w:r w:rsidRPr="2D528E9C" w:rsidR="1FE14991">
        <w:rPr>
          <w:rFonts w:cs="Arial"/>
          <w:sz w:val="22"/>
          <w:szCs w:val="22"/>
        </w:rPr>
        <w:t>additional</w:t>
      </w:r>
      <w:r w:rsidRPr="2D528E9C" w:rsidR="1FE14991">
        <w:rPr>
          <w:rFonts w:cs="Arial"/>
          <w:sz w:val="22"/>
          <w:szCs w:val="22"/>
        </w:rPr>
        <w:t xml:space="preserve"> indicators could support a more systematic assessment of cost-effectiveness</w:t>
      </w:r>
      <w:r w:rsidRPr="2D528E9C" w:rsidR="320E9153">
        <w:rPr>
          <w:rFonts w:cs="Arial"/>
          <w:sz w:val="22"/>
          <w:szCs w:val="22"/>
        </w:rPr>
        <w:t xml:space="preserve">. </w:t>
      </w:r>
    </w:p>
    <w:p w:rsidR="7CC7B8B9" w:rsidP="7CC7B8B9" w:rsidRDefault="7CC7B8B9" w14:paraId="41EF2CA3" w14:textId="241AB7FB">
      <w:pPr>
        <w:rPr>
          <w:rFonts w:cs="Arial"/>
          <w:sz w:val="22"/>
          <w:szCs w:val="22"/>
        </w:rPr>
      </w:pPr>
    </w:p>
    <w:p w:rsidR="6809405F" w:rsidRDefault="6809405F" w14:paraId="4E9BDAF7" w14:textId="5D936148">
      <w:r w:rsidRPr="52A9D65C">
        <w:rPr>
          <w:rFonts w:cs="Arial"/>
          <w:b/>
          <w:bCs/>
          <w:sz w:val="22"/>
          <w:szCs w:val="22"/>
        </w:rPr>
        <w:t>Equity</w:t>
      </w:r>
    </w:p>
    <w:p w:rsidR="52A9D65C" w:rsidP="52A9D65C" w:rsidRDefault="52A9D65C" w14:paraId="195C3551" w14:textId="084E960D">
      <w:pPr>
        <w:rPr>
          <w:rFonts w:cs="Arial"/>
          <w:b/>
          <w:bCs/>
          <w:sz w:val="22"/>
          <w:szCs w:val="22"/>
        </w:rPr>
      </w:pPr>
    </w:p>
    <w:p w:rsidR="6809405F" w:rsidRDefault="6809405F" w14:paraId="6FD077E4" w14:textId="3219D1BF">
      <w:r w:rsidRPr="52A9D65C">
        <w:rPr>
          <w:rFonts w:cs="Arial"/>
          <w:sz w:val="22"/>
          <w:szCs w:val="22"/>
        </w:rPr>
        <w:t>Equity refers to how programme benefits are distributed among target populations.</w:t>
      </w:r>
    </w:p>
    <w:p w:rsidR="0B561F8D" w:rsidP="0B561F8D" w:rsidRDefault="0B561F8D" w14:paraId="5EF33204" w14:textId="1D923C33">
      <w:pPr>
        <w:rPr>
          <w:rFonts w:cs="Arial"/>
          <w:sz w:val="22"/>
          <w:szCs w:val="22"/>
        </w:rPr>
      </w:pPr>
    </w:p>
    <w:p w:rsidR="6809405F" w:rsidP="52A9D65C" w:rsidRDefault="6809405F" w14:paraId="3AEBD8F5" w14:textId="53AA14D5">
      <w:r w:rsidRPr="0EA3B5B9">
        <w:rPr>
          <w:rFonts w:cs="Arial"/>
          <w:sz w:val="22"/>
          <w:szCs w:val="22"/>
        </w:rPr>
        <w:t>By design, this programme will not have direct impacts on any groups with protected characteristics, such as sex or race. However, the overarching intention of the programme is combating deforestation, which would indirectly benefit the more-than 1.6 billion people who live in forests and depend on them for their livelihoods, using them as a primary source of food, fuel, and medicine. The programme supports the implementation of national safeguards for REDD+ which recognise and mitigate potential adverse impacts on marginalised groups. Lastly, UN organisations like the UNFCCC are required to consider and monitor gender in their policies and programming.</w:t>
      </w:r>
    </w:p>
    <w:p w:rsidR="52A9D65C" w:rsidP="0EA3B5B9" w:rsidRDefault="52A9D65C" w14:paraId="2C57BE52" w14:textId="56D7E1B4">
      <w:pPr>
        <w:rPr>
          <w:rFonts w:cs="Arial"/>
          <w:sz w:val="22"/>
          <w:szCs w:val="22"/>
        </w:rPr>
      </w:pPr>
    </w:p>
    <w:p w:rsidR="26D70E6E" w:rsidP="26D70E6E" w:rsidRDefault="26D70E6E" w14:paraId="4123ABA2" w14:textId="4BFCC744">
      <w:pPr>
        <w:rPr>
          <w:rFonts w:cs="Arial"/>
          <w:sz w:val="22"/>
          <w:szCs w:val="22"/>
        </w:rPr>
      </w:pPr>
    </w:p>
    <w:p w:rsidR="77323D18" w:rsidP="45565A0F" w:rsidRDefault="422EE0B2" w14:paraId="28DA38B5" w14:textId="19D95B41">
      <w:pPr>
        <w:jc w:val="both"/>
      </w:pPr>
      <w:r w:rsidRPr="3919F0BD">
        <w:rPr>
          <w:rFonts w:cs="Arial"/>
          <w:b/>
          <w:bCs/>
          <w:sz w:val="22"/>
          <w:szCs w:val="22"/>
        </w:rPr>
        <w:t xml:space="preserve">Paris Alignment </w:t>
      </w:r>
    </w:p>
    <w:p w:rsidR="3919F0BD" w:rsidP="3919F0BD" w:rsidRDefault="3919F0BD" w14:paraId="0AA89220" w14:textId="791058AF">
      <w:pPr>
        <w:jc w:val="both"/>
        <w:rPr>
          <w:rFonts w:cs="Arial"/>
          <w:b/>
          <w:bCs/>
          <w:sz w:val="22"/>
          <w:szCs w:val="22"/>
        </w:rPr>
      </w:pPr>
    </w:p>
    <w:p w:rsidR="3919F0BD" w:rsidP="2C313048" w:rsidRDefault="62050D9D" w14:paraId="5F95B50A" w14:textId="494318AB">
      <w:pPr>
        <w:tabs>
          <w:tab w:val="left" w:pos="4678"/>
        </w:tabs>
        <w:jc w:val="both"/>
        <w:rPr>
          <w:rFonts w:eastAsia="Arial" w:cs="Arial"/>
          <w:color w:val="000000" w:themeColor="text1"/>
          <w:sz w:val="22"/>
          <w:szCs w:val="22"/>
        </w:rPr>
      </w:pPr>
      <w:r w:rsidRPr="5FE9D00D" w:rsidR="62050D9D">
        <w:rPr>
          <w:rFonts w:eastAsia="Arial" w:cs="Arial"/>
          <w:color w:val="000000" w:themeColor="text1" w:themeTint="FF" w:themeShade="FF"/>
          <w:sz w:val="22"/>
          <w:szCs w:val="22"/>
        </w:rPr>
        <w:t xml:space="preserve">This programme does not go against HMG’s fossil fuel policy, nor does it go against of the UK’s partner countries’ climate plans. </w:t>
      </w:r>
      <w:r w:rsidRPr="5FE9D00D" w:rsidR="62050D9D">
        <w:rPr>
          <w:rFonts w:eastAsia="Arial" w:cs="Arial"/>
          <w:color w:val="000000" w:themeColor="text1" w:themeTint="FF" w:themeShade="FF"/>
          <w:sz w:val="22"/>
          <w:szCs w:val="22"/>
        </w:rPr>
        <w:t>An initial</w:t>
      </w:r>
      <w:r w:rsidRPr="5FE9D00D" w:rsidR="62050D9D">
        <w:rPr>
          <w:rFonts w:eastAsia="Arial" w:cs="Arial"/>
          <w:color w:val="000000" w:themeColor="text1" w:themeTint="FF" w:themeShade="FF"/>
          <w:sz w:val="22"/>
          <w:szCs w:val="22"/>
        </w:rPr>
        <w:t xml:space="preserve"> assessment against the DESNZ INZ PMO’s Paris Alignment principles has been </w:t>
      </w:r>
      <w:r w:rsidRPr="5FE9D00D" w:rsidR="62050D9D">
        <w:rPr>
          <w:rFonts w:eastAsia="Arial" w:cs="Arial"/>
          <w:color w:val="000000" w:themeColor="text1" w:themeTint="FF" w:themeShade="FF"/>
          <w:sz w:val="22"/>
          <w:szCs w:val="22"/>
        </w:rPr>
        <w:t>undertaken</w:t>
      </w:r>
      <w:r w:rsidRPr="5FE9D00D" w:rsidR="1357732E">
        <w:rPr>
          <w:rFonts w:eastAsia="Arial" w:cs="Arial"/>
          <w:color w:val="000000" w:themeColor="text1" w:themeTint="FF" w:themeShade="FF"/>
          <w:sz w:val="22"/>
          <w:szCs w:val="22"/>
        </w:rPr>
        <w:t>,</w:t>
      </w:r>
      <w:r w:rsidRPr="5FE9D00D" w:rsidR="62050D9D">
        <w:rPr>
          <w:rFonts w:eastAsia="Arial" w:cs="Arial"/>
          <w:color w:val="000000" w:themeColor="text1" w:themeTint="FF" w:themeShade="FF"/>
          <w:sz w:val="22"/>
          <w:szCs w:val="22"/>
        </w:rPr>
        <w:t xml:space="preserve"> and we have not </w:t>
      </w:r>
      <w:r w:rsidRPr="5FE9D00D" w:rsidR="62050D9D">
        <w:rPr>
          <w:rFonts w:eastAsia="Arial" w:cs="Arial"/>
          <w:color w:val="000000" w:themeColor="text1" w:themeTint="FF" w:themeShade="FF"/>
          <w:sz w:val="22"/>
          <w:szCs w:val="22"/>
        </w:rPr>
        <w:t>identified</w:t>
      </w:r>
      <w:r w:rsidRPr="5FE9D00D" w:rsidR="62050D9D">
        <w:rPr>
          <w:rFonts w:eastAsia="Arial" w:cs="Arial"/>
          <w:color w:val="000000" w:themeColor="text1" w:themeTint="FF" w:themeShade="FF"/>
          <w:sz w:val="22"/>
          <w:szCs w:val="22"/>
        </w:rPr>
        <w:t xml:space="preserve"> any climate or environment risks to this programme. This is because it will not </w:t>
      </w:r>
      <w:r w:rsidRPr="5FE9D00D" w:rsidR="62050D9D">
        <w:rPr>
          <w:rFonts w:eastAsia="Arial" w:cs="Arial"/>
          <w:color w:val="000000" w:themeColor="text1" w:themeTint="FF" w:themeShade="FF"/>
          <w:sz w:val="22"/>
          <w:szCs w:val="22"/>
        </w:rPr>
        <w:t>operate</w:t>
      </w:r>
      <w:r w:rsidRPr="5FE9D00D" w:rsidR="62050D9D">
        <w:rPr>
          <w:rFonts w:eastAsia="Arial" w:cs="Arial"/>
          <w:color w:val="000000" w:themeColor="text1" w:themeTint="FF" w:themeShade="FF"/>
          <w:sz w:val="22"/>
          <w:szCs w:val="22"/>
        </w:rPr>
        <w:t xml:space="preserve"> on the ground in climate-vulnerable environments, therefore the climate risks and environmental hazards are limited. The AFOLU Unit works from Bonn, Germany and is not expected to face any climate-related challenges during the programme period. Therefore, we have not completed a full Climate and Environment risk assessment.</w:t>
      </w:r>
      <w:r w:rsidRPr="5FE9D00D" w:rsidR="4B5D34D2">
        <w:rPr>
          <w:rFonts w:eastAsia="Arial" w:cs="Arial"/>
          <w:color w:val="000000" w:themeColor="text1" w:themeTint="FF" w:themeShade="FF"/>
          <w:sz w:val="22"/>
          <w:szCs w:val="22"/>
        </w:rPr>
        <w:t xml:space="preserve"> </w:t>
      </w:r>
    </w:p>
    <w:p w:rsidR="3919F0BD" w:rsidP="2C313048" w:rsidRDefault="3919F0BD" w14:paraId="18D8D95D" w14:textId="6A13E0DE">
      <w:pPr>
        <w:tabs>
          <w:tab w:val="left" w:pos="4678"/>
        </w:tabs>
        <w:jc w:val="both"/>
        <w:rPr>
          <w:rFonts w:eastAsia="Arial" w:cs="Arial"/>
          <w:color w:val="000000" w:themeColor="text1"/>
          <w:sz w:val="22"/>
          <w:szCs w:val="22"/>
        </w:rPr>
      </w:pPr>
    </w:p>
    <w:p w:rsidR="5E0677FE" w:rsidP="59EBAE2E" w:rsidRDefault="3C541FD2" w14:paraId="525B1453" w14:textId="2858A6B3">
      <w:pPr>
        <w:tabs>
          <w:tab w:val="left" w:pos="4678"/>
        </w:tabs>
        <w:jc w:val="both"/>
      </w:pPr>
      <w:r w:rsidRPr="352FA995" w:rsidR="2AD7D8B6">
        <w:rPr>
          <w:rFonts w:eastAsia="Arial" w:cs="Arial"/>
          <w:color w:val="000000" w:themeColor="text1" w:themeTint="FF" w:themeShade="FF"/>
          <w:sz w:val="22"/>
          <w:szCs w:val="22"/>
        </w:rPr>
        <w:t xml:space="preserve">This programme is strongly aligned with the Paris Agreement. </w:t>
      </w:r>
      <w:r w:rsidRPr="352FA995" w:rsidR="2AD7D8B6">
        <w:rPr>
          <w:rFonts w:eastAsia="Arial" w:cs="Arial"/>
          <w:color w:val="000000" w:themeColor="text1" w:themeTint="FF" w:themeShade="FF"/>
          <w:sz w:val="22"/>
          <w:szCs w:val="22"/>
        </w:rPr>
        <w:t>The programme aims to increase ambition on and inclusion of forests and forest finance within the new Nationally Determined Contributions (NDCs)</w:t>
      </w:r>
      <w:r w:rsidRPr="352FA995" w:rsidR="5555ABFE">
        <w:rPr>
          <w:rFonts w:eastAsia="Arial" w:cs="Arial"/>
          <w:color w:val="000000" w:themeColor="text1" w:themeTint="FF" w:themeShade="FF"/>
          <w:sz w:val="22"/>
          <w:szCs w:val="22"/>
        </w:rPr>
        <w:t>.</w:t>
      </w:r>
      <w:r w:rsidRPr="352FA995" w:rsidR="2AD7D8B6">
        <w:rPr>
          <w:rFonts w:eastAsia="Arial" w:cs="Arial"/>
          <w:color w:val="000000" w:themeColor="text1" w:themeTint="FF" w:themeShade="FF"/>
          <w:sz w:val="22"/>
          <w:szCs w:val="22"/>
        </w:rPr>
        <w:t xml:space="preserve"> </w:t>
      </w:r>
      <w:r w:rsidRPr="352FA995" w:rsidR="2AD7D8B6">
        <w:rPr>
          <w:rFonts w:eastAsia="Arial" w:cs="Arial"/>
          <w:color w:val="000000" w:themeColor="text1" w:themeTint="FF" w:themeShade="FF"/>
          <w:sz w:val="22"/>
          <w:szCs w:val="22"/>
        </w:rPr>
        <w:t>This will support enhanced climate action, with greater recognition of the critical role forests will play in achieving our Paris Agreement targets. Therefore, in supporting greater climate ambition, the programme is aligned with the Paris Agreement.</w:t>
      </w:r>
    </w:p>
    <w:p w:rsidR="64C052FD" w:rsidP="64C052FD" w:rsidRDefault="64C052FD" w14:paraId="226D4D09" w14:textId="77777777">
      <w:pPr>
        <w:jc w:val="both"/>
        <w:rPr>
          <w:rFonts w:cs="Arial"/>
          <w:color w:val="000000" w:themeColor="text1"/>
          <w:sz w:val="22"/>
          <w:szCs w:val="22"/>
        </w:rPr>
      </w:pPr>
    </w:p>
    <w:p w:rsidR="3D0D4F92" w:rsidP="64C052FD" w:rsidRDefault="5DE6F70B" w14:paraId="57E428E2" w14:textId="61A7649B">
      <w:pPr>
        <w:jc w:val="both"/>
        <w:rPr>
          <w:rFonts w:cs="Arial"/>
          <w:color w:val="000000" w:themeColor="text1"/>
          <w:sz w:val="22"/>
          <w:szCs w:val="22"/>
        </w:rPr>
      </w:pPr>
      <w:r w:rsidRPr="4E7B7F16" w:rsidR="5DE6F70B">
        <w:rPr>
          <w:rFonts w:cs="Arial"/>
          <w:color w:val="000000" w:themeColor="text1" w:themeTint="FF" w:themeShade="FF"/>
          <w:sz w:val="22"/>
          <w:szCs w:val="22"/>
        </w:rPr>
        <w:t xml:space="preserve">Progress on Outcome 1 has moderately exceeded expectations. 14,106,003,769 tonnes CO2 </w:t>
      </w:r>
      <w:r w:rsidRPr="4E7B7F16" w:rsidR="5DE6F70B">
        <w:rPr>
          <w:rFonts w:cs="Arial"/>
          <w:color w:val="000000" w:themeColor="text1" w:themeTint="FF" w:themeShade="FF"/>
          <w:sz w:val="22"/>
          <w:szCs w:val="22"/>
        </w:rPr>
        <w:t>eq</w:t>
      </w:r>
      <w:r w:rsidRPr="4E7B7F16" w:rsidR="5DE6F70B">
        <w:rPr>
          <w:rFonts w:cs="Arial"/>
          <w:color w:val="000000" w:themeColor="text1" w:themeTint="FF" w:themeShade="FF"/>
          <w:sz w:val="22"/>
          <w:szCs w:val="22"/>
        </w:rPr>
        <w:t xml:space="preserve"> of technically analysed REDD+ results were published on the REDD+ Lima Information Hub. This was the total of submissions from</w:t>
      </w:r>
      <w:r w:rsidRPr="4E7B7F16" w:rsidR="786D3E24">
        <w:rPr>
          <w:rFonts w:cs="Arial"/>
          <w:color w:val="000000" w:themeColor="text1" w:themeTint="FF" w:themeShade="FF"/>
          <w:sz w:val="22"/>
          <w:szCs w:val="22"/>
        </w:rPr>
        <w:t xml:space="preserve"> </w:t>
      </w:r>
      <w:r w:rsidRPr="4E7B7F16" w:rsidR="5DE6F70B">
        <w:rPr>
          <w:rFonts w:cs="Arial"/>
          <w:color w:val="000000" w:themeColor="text1" w:themeTint="FF" w:themeShade="FF"/>
          <w:sz w:val="22"/>
          <w:szCs w:val="22"/>
        </w:rPr>
        <w:t>22</w:t>
      </w:r>
      <w:r w:rsidRPr="4E7B7F16" w:rsidR="5DE6F70B">
        <w:rPr>
          <w:rFonts w:cs="Arial"/>
          <w:color w:val="000000" w:themeColor="text1" w:themeTint="FF" w:themeShade="FF"/>
          <w:sz w:val="22"/>
          <w:szCs w:val="22"/>
        </w:rPr>
        <w:t xml:space="preserve"> countries. The Lima REDD+ Information Hub aims to increase transparency of information on REDD+ results-based actions. </w:t>
      </w:r>
    </w:p>
    <w:p w:rsidR="64C052FD" w:rsidP="64C052FD" w:rsidRDefault="64C052FD" w14:paraId="6CCB4326" w14:textId="5488D8BD">
      <w:pPr>
        <w:tabs>
          <w:tab w:val="left" w:pos="4678"/>
        </w:tabs>
        <w:jc w:val="both"/>
        <w:rPr>
          <w:rFonts w:eastAsia="Arial" w:cs="Arial"/>
          <w:color w:val="000000" w:themeColor="text1"/>
          <w:sz w:val="22"/>
          <w:szCs w:val="22"/>
        </w:rPr>
      </w:pPr>
    </w:p>
    <w:p w:rsidR="3919F0BD" w:rsidP="3919F0BD" w:rsidRDefault="3919F0BD" w14:paraId="69C34CCA" w14:textId="6B47B16C">
      <w:pPr>
        <w:tabs>
          <w:tab w:val="left" w:pos="4678"/>
        </w:tabs>
        <w:jc w:val="both"/>
        <w:rPr>
          <w:rFonts w:ascii="Aptos" w:hAnsi="Aptos" w:eastAsia="Aptos" w:cs="Aptos"/>
          <w:color w:val="000000" w:themeColor="text1"/>
          <w:sz w:val="22"/>
          <w:szCs w:val="22"/>
        </w:rPr>
      </w:pPr>
    </w:p>
    <w:p w:rsidR="5E0677FE" w:rsidP="0EABF1F5" w:rsidRDefault="33D54A29" w14:paraId="47AAB174" w14:textId="32DC063C">
      <w:pPr>
        <w:tabs>
          <w:tab w:val="left" w:pos="4678"/>
        </w:tabs>
        <w:jc w:val="both"/>
      </w:pPr>
      <w:r w:rsidRPr="59EBAE2E">
        <w:rPr>
          <w:rFonts w:ascii="Aptos" w:hAnsi="Aptos" w:eastAsia="Aptos" w:cs="Aptos"/>
          <w:b/>
          <w:bCs/>
          <w:color w:val="000000" w:themeColor="text1"/>
          <w:sz w:val="22"/>
          <w:szCs w:val="22"/>
        </w:rPr>
        <w:t>Paris Alignment table</w:t>
      </w:r>
    </w:p>
    <w:p w:rsidR="3919F0BD" w:rsidP="3919F0BD" w:rsidRDefault="3919F0BD" w14:paraId="6D0566FC" w14:textId="1C65D5DC">
      <w:pPr>
        <w:tabs>
          <w:tab w:val="left" w:pos="4678"/>
        </w:tabs>
        <w:jc w:val="both"/>
        <w:rPr>
          <w:rFonts w:ascii="Aptos" w:hAnsi="Aptos" w:eastAsia="Aptos" w:cs="Aptos"/>
          <w:color w:val="000000" w:themeColor="text1"/>
          <w:sz w:val="22"/>
          <w:szCs w:val="22"/>
        </w:rPr>
      </w:pPr>
    </w:p>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4496"/>
        <w:gridCol w:w="4514"/>
      </w:tblGrid>
      <w:tr w:rsidR="3919F0BD" w:rsidTr="060E0266" w14:paraId="776FF199" w14:textId="77777777">
        <w:trPr>
          <w:trHeight w:val="285"/>
        </w:trPr>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79AFC971" w14:textId="5CCE8FD0">
            <w:pPr>
              <w:tabs>
                <w:tab w:val="left" w:pos="4678"/>
              </w:tabs>
              <w:jc w:val="both"/>
              <w:rPr>
                <w:rFonts w:eastAsia="Arial" w:cs="Arial"/>
                <w:color w:val="000000" w:themeColor="text1"/>
                <w:sz w:val="22"/>
                <w:szCs w:val="22"/>
              </w:rPr>
            </w:pPr>
            <w:r w:rsidRPr="060E0266">
              <w:rPr>
                <w:rFonts w:eastAsia="Arial" w:cs="Arial"/>
                <w:b/>
                <w:bCs/>
                <w:color w:val="000000" w:themeColor="text1"/>
                <w:sz w:val="22"/>
                <w:szCs w:val="22"/>
              </w:rPr>
              <w:t>Paris alignment pillar</w:t>
            </w:r>
          </w:p>
        </w:tc>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5E8FE580" w14:textId="3CDB5F0B">
            <w:pPr>
              <w:tabs>
                <w:tab w:val="left" w:pos="4678"/>
              </w:tabs>
              <w:jc w:val="both"/>
              <w:rPr>
                <w:rFonts w:eastAsia="Arial" w:cs="Arial"/>
                <w:color w:val="000000" w:themeColor="text1"/>
                <w:sz w:val="22"/>
                <w:szCs w:val="22"/>
              </w:rPr>
            </w:pPr>
            <w:r w:rsidRPr="060E0266">
              <w:rPr>
                <w:rFonts w:eastAsia="Arial" w:cs="Arial"/>
                <w:b/>
                <w:bCs/>
                <w:color w:val="000000" w:themeColor="text1"/>
                <w:sz w:val="22"/>
                <w:szCs w:val="22"/>
              </w:rPr>
              <w:t>Description of activity</w:t>
            </w:r>
          </w:p>
        </w:tc>
      </w:tr>
      <w:tr w:rsidR="3919F0BD" w:rsidTr="060E0266" w14:paraId="6CA5A99E" w14:textId="77777777">
        <w:trPr>
          <w:trHeight w:val="285"/>
        </w:trPr>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48E29E24" w14:textId="4BFB1083">
            <w:pPr>
              <w:tabs>
                <w:tab w:val="left" w:pos="4678"/>
              </w:tabs>
              <w:jc w:val="both"/>
              <w:rPr>
                <w:rFonts w:eastAsia="Arial" w:cs="Arial"/>
                <w:color w:val="000000" w:themeColor="text1"/>
                <w:sz w:val="22"/>
                <w:szCs w:val="22"/>
              </w:rPr>
            </w:pPr>
            <w:r w:rsidRPr="060E0266">
              <w:rPr>
                <w:rFonts w:eastAsia="Arial" w:cs="Arial"/>
                <w:color w:val="000000" w:themeColor="text1"/>
                <w:sz w:val="22"/>
                <w:szCs w:val="22"/>
              </w:rPr>
              <w:t>How have you taken a proportional approach to climate and environment risk assurance?</w:t>
            </w:r>
          </w:p>
        </w:tc>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643A2554" w14:textId="4781E8D0">
            <w:pPr>
              <w:tabs>
                <w:tab w:val="left" w:pos="4678"/>
              </w:tabs>
              <w:rPr>
                <w:rFonts w:eastAsia="Arial" w:cs="Arial"/>
                <w:color w:val="000000" w:themeColor="text1"/>
                <w:sz w:val="22"/>
                <w:szCs w:val="22"/>
              </w:rPr>
            </w:pPr>
            <w:r w:rsidRPr="060E0266">
              <w:rPr>
                <w:rFonts w:eastAsia="Arial" w:cs="Arial"/>
                <w:color w:val="000000" w:themeColor="text1"/>
                <w:sz w:val="22"/>
                <w:szCs w:val="22"/>
              </w:rPr>
              <w:t xml:space="preserve">A rapid climate and environmental risk assessment was undertaken using the DESNZ Screening Tool. As this programme has no on the ground activities, none of the four climate screening factors apply and no further scoping or the CRAA is required. </w:t>
            </w:r>
          </w:p>
        </w:tc>
      </w:tr>
      <w:tr w:rsidR="3919F0BD" w:rsidTr="060E0266" w14:paraId="40B045C4" w14:textId="77777777">
        <w:trPr>
          <w:trHeight w:val="285"/>
        </w:trPr>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7CF19633" w14:textId="2940C574">
            <w:pPr>
              <w:tabs>
                <w:tab w:val="left" w:pos="4678"/>
              </w:tabs>
              <w:jc w:val="both"/>
              <w:rPr>
                <w:rFonts w:eastAsia="Arial" w:cs="Arial"/>
                <w:color w:val="000000" w:themeColor="text1"/>
                <w:sz w:val="22"/>
                <w:szCs w:val="22"/>
              </w:rPr>
            </w:pPr>
            <w:r w:rsidRPr="060E0266">
              <w:rPr>
                <w:rFonts w:eastAsia="Arial" w:cs="Arial"/>
                <w:color w:val="000000" w:themeColor="text1"/>
                <w:sz w:val="22"/>
                <w:szCs w:val="22"/>
              </w:rPr>
              <w:t>How have you taken a proportional approach to using shadow carbon pricing?</w:t>
            </w:r>
          </w:p>
        </w:tc>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67C33F8B" w14:textId="3F202273">
            <w:pPr>
              <w:tabs>
                <w:tab w:val="left" w:pos="4678"/>
              </w:tabs>
              <w:jc w:val="both"/>
              <w:rPr>
                <w:rFonts w:eastAsia="Arial" w:cs="Arial"/>
                <w:color w:val="000000" w:themeColor="text1"/>
                <w:sz w:val="22"/>
                <w:szCs w:val="22"/>
              </w:rPr>
            </w:pPr>
            <w:r w:rsidRPr="060E0266">
              <w:rPr>
                <w:rFonts w:eastAsia="Arial" w:cs="Arial"/>
                <w:color w:val="000000" w:themeColor="text1"/>
                <w:sz w:val="22"/>
                <w:szCs w:val="22"/>
              </w:rPr>
              <w:t xml:space="preserve"> N/A to this programme</w:t>
            </w:r>
          </w:p>
        </w:tc>
      </w:tr>
      <w:tr w:rsidR="3919F0BD" w:rsidTr="060E0266" w14:paraId="06E41FD1" w14:textId="77777777">
        <w:trPr>
          <w:trHeight w:val="285"/>
        </w:trPr>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0E79CEB5" w14:textId="799C31DF">
            <w:pPr>
              <w:tabs>
                <w:tab w:val="left" w:pos="4678"/>
              </w:tabs>
              <w:jc w:val="both"/>
              <w:rPr>
                <w:rFonts w:eastAsia="Arial" w:cs="Arial"/>
                <w:color w:val="000000" w:themeColor="text1"/>
                <w:sz w:val="22"/>
                <w:szCs w:val="22"/>
              </w:rPr>
            </w:pPr>
            <w:r w:rsidRPr="060E0266">
              <w:rPr>
                <w:rFonts w:eastAsia="Arial" w:cs="Arial"/>
                <w:color w:val="000000" w:themeColor="text1"/>
                <w:sz w:val="22"/>
                <w:szCs w:val="22"/>
              </w:rPr>
              <w:t>Does the programme adhere to HMG’s fossil fuel policy?</w:t>
            </w:r>
          </w:p>
        </w:tc>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221C7E67" w14:textId="278D32E2">
            <w:pPr>
              <w:tabs>
                <w:tab w:val="left" w:pos="4678"/>
              </w:tabs>
              <w:jc w:val="both"/>
              <w:rPr>
                <w:rFonts w:eastAsia="Arial" w:cs="Arial"/>
                <w:color w:val="000000" w:themeColor="text1"/>
                <w:sz w:val="22"/>
                <w:szCs w:val="22"/>
              </w:rPr>
            </w:pPr>
            <w:r w:rsidRPr="060E0266">
              <w:rPr>
                <w:rFonts w:eastAsia="Arial" w:cs="Arial"/>
                <w:color w:val="000000" w:themeColor="text1"/>
                <w:sz w:val="22"/>
                <w:szCs w:val="22"/>
              </w:rPr>
              <w:t xml:space="preserve"> N/A to this programme</w:t>
            </w:r>
          </w:p>
        </w:tc>
      </w:tr>
      <w:tr w:rsidR="3919F0BD" w:rsidTr="060E0266" w14:paraId="6835CBAF" w14:textId="77777777">
        <w:trPr>
          <w:trHeight w:val="285"/>
        </w:trPr>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042FE50C" w14:textId="0E9E86B3">
            <w:pPr>
              <w:tabs>
                <w:tab w:val="left" w:pos="4678"/>
              </w:tabs>
              <w:jc w:val="both"/>
              <w:rPr>
                <w:rFonts w:eastAsia="Arial" w:cs="Arial"/>
                <w:color w:val="000000" w:themeColor="text1"/>
                <w:sz w:val="22"/>
                <w:szCs w:val="22"/>
              </w:rPr>
            </w:pPr>
            <w:r w:rsidRPr="060E0266">
              <w:rPr>
                <w:rFonts w:eastAsia="Arial" w:cs="Arial"/>
                <w:color w:val="000000" w:themeColor="text1"/>
                <w:sz w:val="22"/>
                <w:szCs w:val="22"/>
              </w:rPr>
              <w:t>Are you ensuring the programme does not undermine impacted countries climate plans?</w:t>
            </w:r>
          </w:p>
        </w:tc>
        <w:tc>
          <w:tcPr>
            <w:tcW w:w="4860" w:type="dxa"/>
            <w:tcBorders>
              <w:top w:val="single" w:color="A3A3A3" w:sz="6" w:space="0"/>
              <w:left w:val="single" w:color="A3A3A3" w:sz="6" w:space="0"/>
              <w:bottom w:val="single" w:color="A3A3A3" w:sz="6" w:space="0"/>
              <w:right w:val="single" w:color="A3A3A3" w:sz="6" w:space="0"/>
            </w:tcBorders>
            <w:tcMar>
              <w:top w:w="75" w:type="dxa"/>
              <w:left w:w="75" w:type="dxa"/>
              <w:bottom w:w="75" w:type="dxa"/>
              <w:right w:w="75" w:type="dxa"/>
            </w:tcMar>
          </w:tcPr>
          <w:p w:rsidR="3919F0BD" w:rsidP="060E0266" w:rsidRDefault="5FCFB9DA" w14:paraId="49A181FB" w14:textId="26526B3C">
            <w:pPr>
              <w:tabs>
                <w:tab w:val="left" w:pos="4678"/>
              </w:tabs>
              <w:jc w:val="both"/>
              <w:rPr>
                <w:rFonts w:eastAsia="Arial" w:cs="Arial"/>
                <w:color w:val="000000" w:themeColor="text1"/>
                <w:sz w:val="22"/>
                <w:szCs w:val="22"/>
              </w:rPr>
            </w:pPr>
            <w:r w:rsidRPr="060E0266">
              <w:rPr>
                <w:rFonts w:eastAsia="Arial" w:cs="Arial"/>
                <w:color w:val="000000" w:themeColor="text1"/>
                <w:sz w:val="22"/>
                <w:szCs w:val="22"/>
              </w:rPr>
              <w:t xml:space="preserve"> Yes. The programme is intended to support countries’ climate plans as described in earlier sections. </w:t>
            </w:r>
          </w:p>
        </w:tc>
      </w:tr>
    </w:tbl>
    <w:p w:rsidR="3919F0BD" w:rsidP="3919F0BD" w:rsidRDefault="3919F0BD" w14:paraId="2DDA38B7" w14:textId="4877F30B">
      <w:pPr>
        <w:tabs>
          <w:tab w:val="left" w:pos="4678"/>
        </w:tabs>
        <w:jc w:val="both"/>
        <w:rPr>
          <w:rFonts w:ascii="Aptos" w:hAnsi="Aptos" w:eastAsia="Aptos" w:cs="Aptos"/>
          <w:color w:val="000000" w:themeColor="text1"/>
          <w:sz w:val="22"/>
          <w:szCs w:val="22"/>
        </w:rPr>
      </w:pPr>
    </w:p>
    <w:p w:rsidR="24958D28" w:rsidP="59EBAE2E" w:rsidRDefault="24958D28" w14:paraId="54553C26" w14:textId="49B158D1">
      <w:pPr>
        <w:jc w:val="both"/>
        <w:rPr>
          <w:rFonts w:cs="Arial"/>
          <w:b/>
          <w:bCs/>
          <w:sz w:val="22"/>
          <w:szCs w:val="22"/>
        </w:rPr>
      </w:pPr>
    </w:p>
    <w:p w:rsidR="24958D28" w:rsidP="24958D28" w:rsidRDefault="24958D28" w14:paraId="31875769" w14:textId="07D42045">
      <w:pPr>
        <w:jc w:val="both"/>
        <w:rPr>
          <w:rFonts w:cs="Arial"/>
          <w:sz w:val="22"/>
          <w:szCs w:val="22"/>
        </w:rPr>
      </w:pPr>
    </w:p>
    <w:tbl>
      <w:tblPr>
        <w:tblStyle w:val="TableGrid"/>
        <w:tblW w:w="0" w:type="auto"/>
        <w:tblInd w:w="-5" w:type="dxa"/>
        <w:tblLook w:val="04A0" w:firstRow="1" w:lastRow="0" w:firstColumn="1" w:lastColumn="0" w:noHBand="0" w:noVBand="1"/>
      </w:tblPr>
      <w:tblGrid>
        <w:gridCol w:w="4508"/>
        <w:gridCol w:w="2268"/>
      </w:tblGrid>
      <w:tr w:rsidRPr="00D80C6C" w:rsidR="003D222C" w:rsidTr="410F587C" w14:paraId="237FE329" w14:textId="77777777">
        <w:tc>
          <w:tcPr>
            <w:tcW w:w="4508"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1927CCB6" w14:paraId="31FF5132" w14:textId="77777777">
            <w:pPr>
              <w:jc w:val="both"/>
              <w:rPr>
                <w:rFonts w:cs="Arial"/>
                <w:sz w:val="22"/>
                <w:szCs w:val="22"/>
              </w:rPr>
            </w:pPr>
            <w:r w:rsidRPr="410F587C">
              <w:rPr>
                <w:rFonts w:cs="Arial"/>
                <w:sz w:val="22"/>
                <w:szCs w:val="22"/>
              </w:rPr>
              <w:t>Date of last narrative financial report</w:t>
            </w:r>
          </w:p>
        </w:tc>
        <w:tc>
          <w:tcPr>
            <w:tcW w:w="2268" w:type="dxa"/>
            <w:tcBorders>
              <w:top w:val="single" w:color="auto" w:sz="4" w:space="0"/>
              <w:left w:val="single" w:color="auto" w:sz="4" w:space="0"/>
              <w:bottom w:val="single" w:color="auto" w:sz="4" w:space="0"/>
              <w:right w:val="single" w:color="auto" w:sz="4" w:space="0"/>
            </w:tcBorders>
          </w:tcPr>
          <w:p w:rsidRPr="00D80C6C" w:rsidR="003D222C" w:rsidP="004D5FD5" w:rsidRDefault="307B0F2C" w14:paraId="2ADAB5DF" w14:textId="4BD29A56">
            <w:pPr>
              <w:jc w:val="both"/>
            </w:pPr>
            <w:r w:rsidRPr="410F587C">
              <w:rPr>
                <w:rFonts w:cs="Arial"/>
                <w:sz w:val="22"/>
                <w:szCs w:val="22"/>
              </w:rPr>
              <w:t>June 2026</w:t>
            </w:r>
          </w:p>
        </w:tc>
      </w:tr>
      <w:tr w:rsidRPr="00D80C6C" w:rsidR="003D222C" w:rsidTr="410F587C" w14:paraId="1FE89B21" w14:textId="77777777">
        <w:tc>
          <w:tcPr>
            <w:tcW w:w="4508" w:type="dxa"/>
            <w:tcBorders>
              <w:top w:val="single" w:color="auto" w:sz="4" w:space="0"/>
              <w:left w:val="single" w:color="auto" w:sz="4" w:space="0"/>
              <w:bottom w:val="single" w:color="auto" w:sz="4" w:space="0"/>
              <w:right w:val="single" w:color="auto" w:sz="4" w:space="0"/>
            </w:tcBorders>
            <w:shd w:val="clear" w:color="auto" w:fill="DEEAF6" w:themeFill="accent5" w:themeFillTint="33"/>
            <w:hideMark/>
          </w:tcPr>
          <w:p w:rsidRPr="00D80C6C" w:rsidR="003D222C" w:rsidP="004D5FD5" w:rsidRDefault="003D222C" w14:paraId="7C3A69BE" w14:textId="77777777">
            <w:pPr>
              <w:jc w:val="both"/>
              <w:rPr>
                <w:rFonts w:cs="Arial"/>
                <w:sz w:val="22"/>
                <w:szCs w:val="22"/>
              </w:rPr>
            </w:pPr>
            <w:r w:rsidRPr="00D80C6C">
              <w:rPr>
                <w:rFonts w:cs="Arial"/>
                <w:sz w:val="22"/>
                <w:szCs w:val="22"/>
              </w:rPr>
              <w:t>Date of last audited annual statement</w:t>
            </w:r>
          </w:p>
        </w:tc>
        <w:tc>
          <w:tcPr>
            <w:tcW w:w="2268" w:type="dxa"/>
            <w:tcBorders>
              <w:top w:val="single" w:color="auto" w:sz="4" w:space="0"/>
              <w:left w:val="single" w:color="auto" w:sz="4" w:space="0"/>
              <w:bottom w:val="single" w:color="auto" w:sz="4" w:space="0"/>
              <w:right w:val="single" w:color="auto" w:sz="4" w:space="0"/>
            </w:tcBorders>
          </w:tcPr>
          <w:p w:rsidRPr="00D80C6C" w:rsidR="003D222C" w:rsidP="004D5FD5" w:rsidRDefault="1E811845" w14:paraId="67F793A9" w14:textId="7C98E322">
            <w:pPr>
              <w:jc w:val="both"/>
            </w:pPr>
            <w:r w:rsidRPr="410F587C">
              <w:rPr>
                <w:rFonts w:cs="Arial"/>
                <w:sz w:val="22"/>
                <w:szCs w:val="22"/>
              </w:rPr>
              <w:t>June 2026</w:t>
            </w:r>
          </w:p>
        </w:tc>
      </w:tr>
    </w:tbl>
    <w:p w:rsidRPr="00D80C6C" w:rsidR="003D222C" w:rsidP="004D5FD5" w:rsidRDefault="003D222C" w14:paraId="39940792" w14:textId="77777777">
      <w:pPr>
        <w:spacing w:after="160" w:line="259" w:lineRule="auto"/>
        <w:jc w:val="both"/>
        <w:rPr>
          <w:rFonts w:cs="Arial"/>
          <w:sz w:val="22"/>
          <w:szCs w:val="22"/>
        </w:rPr>
      </w:pPr>
    </w:p>
    <w:p w:rsidRPr="00D80C6C" w:rsidR="003D222C" w:rsidP="004D5FD5" w:rsidRDefault="003D222C" w14:paraId="7EF349EC" w14:textId="77777777">
      <w:pPr>
        <w:spacing w:after="160" w:line="259" w:lineRule="auto"/>
        <w:jc w:val="both"/>
        <w:rPr>
          <w:rFonts w:cs="Arial"/>
          <w:sz w:val="22"/>
          <w:szCs w:val="22"/>
        </w:rPr>
      </w:pPr>
    </w:p>
    <w:p w:rsidRPr="00D80C6C" w:rsidR="003D222C" w:rsidP="004D5FD5" w:rsidRDefault="003D222C" w14:paraId="4AB97E44" w14:textId="77777777">
      <w:pPr>
        <w:jc w:val="both"/>
        <w:rPr>
          <w:rFonts w:cs="Arial"/>
          <w:sz w:val="22"/>
          <w:szCs w:val="22"/>
        </w:rPr>
      </w:pPr>
    </w:p>
    <w:p w:rsidR="68500D38" w:rsidP="74AF8906" w:rsidRDefault="68500D38" w14:paraId="76875ED9" w14:textId="6C47FA34">
      <w:pPr>
        <w:pStyle w:val="Normal"/>
      </w:pPr>
    </w:p>
    <w:p w:rsidR="2331E609" w:rsidP="2331E609" w:rsidRDefault="2331E609" w14:paraId="5B7A9575" w14:textId="6F459F1A">
      <w:pPr>
        <w:pStyle w:val="Normal"/>
        <w:jc w:val="both"/>
        <w:rPr>
          <w:rFonts w:cs="Arial"/>
          <w:sz w:val="22"/>
          <w:szCs w:val="22"/>
        </w:rPr>
      </w:pPr>
    </w:p>
    <w:sectPr w:rsidRPr="00D80C6C" w:rsidR="003D222C" w:rsidSect="001C6CE4">
      <w:headerReference w:type="default" r:id="rId21"/>
      <w:footerReference w:type="default" r:id="rId22"/>
      <w:headerReference w:type="first" r:id="rId23"/>
      <w:footerReference w:type="first" r:id="rId24"/>
      <w:pgSz w:w="11906" w:h="16838" w:orient="portrait"/>
      <w:pgMar w:top="709" w:right="1440" w:bottom="709" w:left="1440" w:header="708" w:footer="708" w:gutter="0"/>
      <w:pgBorders w:offsetFrom="page">
        <w:top w:val="single" w:color="auto" w:sz="4" w:space="24"/>
        <w:left w:val="single" w:color="auto" w:sz="4" w:space="24"/>
        <w:bottom w:val="single" w:color="auto" w:sz="4" w:space="24"/>
        <w:right w:val="single" w:color="auto" w:sz="4" w:space="24"/>
      </w:pgBorders>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345E" w:rsidP="003D222C" w:rsidRDefault="00CD345E" w14:paraId="31C8B77D" w14:textId="77777777">
      <w:r>
        <w:separator/>
      </w:r>
    </w:p>
  </w:endnote>
  <w:endnote w:type="continuationSeparator" w:id="0">
    <w:p w:rsidR="00CD345E" w:rsidP="003D222C" w:rsidRDefault="00CD345E" w14:paraId="709D443E" w14:textId="77777777">
      <w:r>
        <w:continuationSeparator/>
      </w:r>
    </w:p>
  </w:endnote>
  <w:endnote w:type="continuationNotice" w:id="1">
    <w:p w:rsidR="00CD345E" w:rsidRDefault="00CD345E" w14:paraId="03C978D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779427"/>
      <w:docPartObj>
        <w:docPartGallery w:val="Page Numbers (Bottom of Page)"/>
        <w:docPartUnique/>
      </w:docPartObj>
    </w:sdtPr>
    <w:sdtEndPr>
      <w:rPr>
        <w:noProof/>
      </w:rPr>
    </w:sdtEndPr>
    <w:sdtContent>
      <w:p w:rsidR="00920D19" w:rsidRDefault="00920D19" w14:paraId="6505D46B" w14:textId="26A3B6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20D19" w:rsidRDefault="00920D19" w14:paraId="1D87279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0217" w:rsidP="00090217" w:rsidRDefault="1B96BBDE" w14:paraId="368DDCA5" w14:textId="2D2F2811">
    <w:pPr>
      <w:pStyle w:val="BEISDate"/>
    </w:pPr>
    <w:r>
      <w:t>July 2026</w:t>
    </w:r>
  </w:p>
  <w:p w:rsidR="00090217" w:rsidRDefault="00090217" w14:paraId="4E83EFA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345E" w:rsidP="003D222C" w:rsidRDefault="00CD345E" w14:paraId="473720A9" w14:textId="77777777">
      <w:r>
        <w:separator/>
      </w:r>
    </w:p>
  </w:footnote>
  <w:footnote w:type="continuationSeparator" w:id="0">
    <w:p w:rsidR="00CD345E" w:rsidP="003D222C" w:rsidRDefault="00CD345E" w14:paraId="1D81FFE1" w14:textId="77777777">
      <w:r>
        <w:continuationSeparator/>
      </w:r>
    </w:p>
  </w:footnote>
  <w:footnote w:type="continuationNotice" w:id="1">
    <w:p w:rsidR="00CD345E" w:rsidRDefault="00CD345E" w14:paraId="46A36912" w14:textId="77777777"/>
  </w:footnote>
  <w:footnote w:id="2">
    <w:p w:rsidR="2FCB4038" w:rsidP="2FCB4038" w:rsidRDefault="2FCB4038" w14:paraId="3BB4896C" w14:textId="769C6302">
      <w:pPr>
        <w:pStyle w:val="FootnoteText"/>
      </w:pPr>
      <w:r w:rsidRPr="2FCB4038">
        <w:rPr>
          <w:rStyle w:val="FootnoteReference"/>
        </w:rPr>
        <w:footnoteRef/>
      </w:r>
      <w:r w:rsidR="5BD7228B">
        <w:t xml:space="preserve"> Rubric for assessing extent to which “upgrades to the REDD+ website have improved the ease of data sharing, transparency of REDD+ reporting and user experience of forest countries”. 1= unsatisfactory (no evidence that upgrades to the REDD+ website have improved the ease of data sharing, transparency of REDD+ reporting and user experience of forest countries), 2 = limited (some evidence to infer upgrades to the REDD+ website have improved the ease of data sharing, transparency of REDD+ reporting and user experience of forest countries, 3 = satisfactory (satisfactory qualitative evidence from user surveys indicates over 50% of users think upgrades to the REDD+ website have improved the ease of data sharing, transparency of REDD+ reporting and over all user experience of forest countries, 4 = strong (compelling qualitative evidence from user surveys indicates over 80% of users think upgrades to the REDD+ website have improved the ease of data sharing, transparency of REDD+ reporting and over all user experience of forest countries. </w:t>
      </w:r>
    </w:p>
  </w:footnote>
  <w:footnote w:id="1194">
    <w:p w:rsidR="52D6DA31" w:rsidP="52D6DA31" w:rsidRDefault="52D6DA31" w14:paraId="12715696" w14:textId="6560D61F">
      <w:pPr>
        <w:pStyle w:val="FootnoteText"/>
        <w:bidi w:val="0"/>
      </w:pPr>
      <w:r w:rsidRPr="52D6DA31">
        <w:rPr>
          <w:rStyle w:val="FootnoteReference"/>
        </w:rPr>
        <w:footnoteRef/>
      </w:r>
      <w:r w:rsidR="10183F77">
        <w:rPr/>
        <w:t xml:space="preserve"> KPI 15 </w:t>
      </w:r>
      <w:r w:rsidR="10183F77">
        <w:rPr/>
        <w:t>Scores</w:t>
      </w:r>
      <w:r w:rsidR="10183F77">
        <w:rPr/>
        <w:t>: 1 = substantial evidence that suggests transformational change is unlikely or will not occur, 2 = par</w:t>
      </w:r>
      <w:r w:rsidR="10183F77">
        <w:rPr/>
        <w:t>tial evidence that</w:t>
      </w:r>
      <w:r w:rsidR="10183F77">
        <w:rPr/>
        <w:t xml:space="preserve"> sugges</w:t>
      </w:r>
      <w:r w:rsidR="10183F77">
        <w:rPr/>
        <w:t>ts transformational change is unlikely, 3 = not enough evidence yet to assess, or the b</w:t>
      </w:r>
      <w:r w:rsidR="10183F77">
        <w:rPr/>
        <w:t>ala</w:t>
      </w:r>
      <w:r w:rsidR="10183F77">
        <w:rPr/>
        <w:t xml:space="preserve">nce of evidence is inconclusive, 4 = partial evidence that suggests transformation change is likely </w:t>
      </w:r>
    </w:p>
  </w:footnote>
  <w:footnote w:id="13419">
    <w:p w:rsidR="545DD8B7" w:rsidP="545DD8B7" w:rsidRDefault="545DD8B7" w14:paraId="18786D1B" w14:textId="667E53C4">
      <w:pPr>
        <w:pStyle w:val="FootnoteText"/>
        <w:bidi w:val="0"/>
        <w:rPr>
          <w:noProof w:val="0"/>
          <w:lang w:val="en-GB"/>
        </w:rPr>
      </w:pPr>
      <w:r w:rsidRPr="545DD8B7">
        <w:rPr>
          <w:rStyle w:val="FootnoteReference"/>
        </w:rPr>
        <w:footnoteRef/>
      </w:r>
      <w:r w:rsidR="545DD8B7">
        <w:rPr/>
        <w:t xml:space="preserve"> </w:t>
      </w:r>
      <w:hyperlink r:id="R15c7c76842074a15">
        <w:r w:rsidRPr="545DD8B7" w:rsidR="545DD8B7">
          <w:rPr>
            <w:rStyle w:val="Hyperlink"/>
            <w:noProof w:val="0"/>
            <w:lang w:val="en-GB"/>
          </w:rPr>
          <w:t>OP2. The evolving role of REDD+ National Strategies and Action Plans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00598" w:rsidR="00164467" w:rsidP="00164467" w:rsidRDefault="00DD177F" w14:paraId="78DECE93" w14:textId="47E59726">
    <w:pPr>
      <w:pStyle w:val="Header"/>
      <w:pBdr>
        <w:bottom w:val="single" w:color="2B7EE2" w:sz="2" w:space="3"/>
      </w:pBdr>
      <w:rPr>
        <w:color w:val="041E42"/>
        <w:sz w:val="22"/>
      </w:rPr>
    </w:pPr>
    <w:r>
      <w:rPr>
        <w:color w:val="041E42"/>
        <w:sz w:val="22"/>
      </w:rPr>
      <w:t>UNFCCC REDD+ Support Programme Annual Review 2026</w:t>
    </w:r>
  </w:p>
  <w:p w:rsidR="00164467" w:rsidRDefault="00164467" w14:paraId="0FC91C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FEB" w:rsidRDefault="00E64702" w14:paraId="227BA78C" w14:textId="2ECCA5CD">
    <w:pPr>
      <w:pStyle w:val="Header"/>
    </w:pPr>
    <w:r>
      <w:rPr>
        <w:noProof/>
      </w:rPr>
      <w:drawing>
        <wp:inline distT="0" distB="0" distL="0" distR="0" wp14:anchorId="653BEA8C" wp14:editId="2F7827DB">
          <wp:extent cx="2131029" cy="936702"/>
          <wp:effectExtent l="0" t="0" r="0" b="0"/>
          <wp:docPr id="1165208529" name="Picture 116520852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08529"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7930" cy="94413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zsqIqpFs" int2:invalidationBookmarkName="" int2:hashCode="bc1M4j2I4u6VaL" int2:id="aPmiwaA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CDC1"/>
    <w:multiLevelType w:val="hybridMultilevel"/>
    <w:tmpl w:val="FFFFFFFF"/>
    <w:lvl w:ilvl="0" w:tplc="1660B43A">
      <w:start w:val="1"/>
      <w:numFmt w:val="bullet"/>
      <w:lvlText w:val=""/>
      <w:lvlJc w:val="left"/>
      <w:pPr>
        <w:ind w:left="720" w:hanging="360"/>
      </w:pPr>
      <w:rPr>
        <w:rFonts w:hint="default" w:ascii="Symbol" w:hAnsi="Symbol"/>
      </w:rPr>
    </w:lvl>
    <w:lvl w:ilvl="1" w:tplc="91005948">
      <w:start w:val="1"/>
      <w:numFmt w:val="bullet"/>
      <w:lvlText w:val="o"/>
      <w:lvlJc w:val="left"/>
      <w:pPr>
        <w:ind w:left="1009" w:hanging="363"/>
      </w:pPr>
      <w:rPr>
        <w:rFonts w:hint="default" w:ascii="Courier New" w:hAnsi="Courier New"/>
      </w:rPr>
    </w:lvl>
    <w:lvl w:ilvl="2" w:tplc="8F6A8264">
      <w:start w:val="1"/>
      <w:numFmt w:val="bullet"/>
      <w:lvlText w:val=""/>
      <w:lvlJc w:val="left"/>
      <w:pPr>
        <w:ind w:left="2160" w:hanging="360"/>
      </w:pPr>
      <w:rPr>
        <w:rFonts w:hint="default" w:ascii="Wingdings" w:hAnsi="Wingdings"/>
      </w:rPr>
    </w:lvl>
    <w:lvl w:ilvl="3" w:tplc="C33C9152">
      <w:start w:val="1"/>
      <w:numFmt w:val="bullet"/>
      <w:lvlText w:val=""/>
      <w:lvlJc w:val="left"/>
      <w:pPr>
        <w:ind w:left="2880" w:hanging="360"/>
      </w:pPr>
      <w:rPr>
        <w:rFonts w:hint="default" w:ascii="Symbol" w:hAnsi="Symbol"/>
      </w:rPr>
    </w:lvl>
    <w:lvl w:ilvl="4" w:tplc="91001D70">
      <w:start w:val="1"/>
      <w:numFmt w:val="bullet"/>
      <w:lvlText w:val="o"/>
      <w:lvlJc w:val="left"/>
      <w:pPr>
        <w:ind w:left="3600" w:hanging="360"/>
      </w:pPr>
      <w:rPr>
        <w:rFonts w:hint="default" w:ascii="Courier New" w:hAnsi="Courier New"/>
      </w:rPr>
    </w:lvl>
    <w:lvl w:ilvl="5" w:tplc="A634C5A2">
      <w:start w:val="1"/>
      <w:numFmt w:val="bullet"/>
      <w:lvlText w:val=""/>
      <w:lvlJc w:val="left"/>
      <w:pPr>
        <w:ind w:left="4320" w:hanging="360"/>
      </w:pPr>
      <w:rPr>
        <w:rFonts w:hint="default" w:ascii="Wingdings" w:hAnsi="Wingdings"/>
      </w:rPr>
    </w:lvl>
    <w:lvl w:ilvl="6" w:tplc="78E8C1B6">
      <w:start w:val="1"/>
      <w:numFmt w:val="bullet"/>
      <w:lvlText w:val=""/>
      <w:lvlJc w:val="left"/>
      <w:pPr>
        <w:ind w:left="5040" w:hanging="360"/>
      </w:pPr>
      <w:rPr>
        <w:rFonts w:hint="default" w:ascii="Symbol" w:hAnsi="Symbol"/>
      </w:rPr>
    </w:lvl>
    <w:lvl w:ilvl="7" w:tplc="F3245FA2">
      <w:start w:val="1"/>
      <w:numFmt w:val="bullet"/>
      <w:lvlText w:val="o"/>
      <w:lvlJc w:val="left"/>
      <w:pPr>
        <w:ind w:left="5760" w:hanging="360"/>
      </w:pPr>
      <w:rPr>
        <w:rFonts w:hint="default" w:ascii="Courier New" w:hAnsi="Courier New"/>
      </w:rPr>
    </w:lvl>
    <w:lvl w:ilvl="8" w:tplc="3FFADDC4">
      <w:start w:val="1"/>
      <w:numFmt w:val="bullet"/>
      <w:lvlText w:val=""/>
      <w:lvlJc w:val="left"/>
      <w:pPr>
        <w:ind w:left="6480" w:hanging="360"/>
      </w:pPr>
      <w:rPr>
        <w:rFonts w:hint="default" w:ascii="Wingdings" w:hAnsi="Wingdings"/>
      </w:rPr>
    </w:lvl>
  </w:abstractNum>
  <w:abstractNum w:abstractNumId="1" w15:restartNumberingAfterBreak="0">
    <w:nsid w:val="123D2261"/>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AC35234"/>
    <w:multiLevelType w:val="hybridMultilevel"/>
    <w:tmpl w:val="C9B84288"/>
    <w:lvl w:ilvl="0" w:tplc="D63693FC">
      <w:start w:val="1"/>
      <w:numFmt w:val="bullet"/>
      <w:lvlText w:val="-"/>
      <w:lvlJc w:val="left"/>
      <w:pPr>
        <w:ind w:left="1080" w:hanging="360"/>
      </w:pPr>
      <w:rPr>
        <w:rFonts w:hint="default" w:ascii="Courier New" w:hAnsi="Courier New"/>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1D862167"/>
    <w:multiLevelType w:val="multilevel"/>
    <w:tmpl w:val="FFFFFFFF"/>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4" w15:restartNumberingAfterBreak="0">
    <w:nsid w:val="1E0E2462"/>
    <w:multiLevelType w:val="hybridMultilevel"/>
    <w:tmpl w:val="FFFFFFFF"/>
    <w:lvl w:ilvl="0" w:tplc="8BACE5C8">
      <w:start w:val="1"/>
      <w:numFmt w:val="bullet"/>
      <w:lvlText w:val=""/>
      <w:lvlJc w:val="left"/>
      <w:pPr>
        <w:ind w:left="720" w:hanging="360"/>
      </w:pPr>
      <w:rPr>
        <w:rFonts w:hint="default" w:ascii="Symbol" w:hAnsi="Symbol"/>
      </w:rPr>
    </w:lvl>
    <w:lvl w:ilvl="1" w:tplc="DF42A66A">
      <w:start w:val="1"/>
      <w:numFmt w:val="bullet"/>
      <w:lvlText w:val="o"/>
      <w:lvlJc w:val="left"/>
      <w:pPr>
        <w:ind w:left="1440" w:hanging="360"/>
      </w:pPr>
      <w:rPr>
        <w:rFonts w:hint="default" w:ascii="Courier New" w:hAnsi="Courier New"/>
      </w:rPr>
    </w:lvl>
    <w:lvl w:ilvl="2" w:tplc="D26CF59C">
      <w:start w:val="1"/>
      <w:numFmt w:val="bullet"/>
      <w:lvlText w:val=""/>
      <w:lvlJc w:val="left"/>
      <w:pPr>
        <w:ind w:left="2160" w:hanging="360"/>
      </w:pPr>
      <w:rPr>
        <w:rFonts w:hint="default" w:ascii="Wingdings" w:hAnsi="Wingdings"/>
      </w:rPr>
    </w:lvl>
    <w:lvl w:ilvl="3" w:tplc="219A5EC8">
      <w:start w:val="1"/>
      <w:numFmt w:val="bullet"/>
      <w:lvlText w:val=""/>
      <w:lvlJc w:val="left"/>
      <w:pPr>
        <w:ind w:left="2880" w:hanging="360"/>
      </w:pPr>
      <w:rPr>
        <w:rFonts w:hint="default" w:ascii="Symbol" w:hAnsi="Symbol"/>
      </w:rPr>
    </w:lvl>
    <w:lvl w:ilvl="4" w:tplc="BA003C0E">
      <w:start w:val="1"/>
      <w:numFmt w:val="bullet"/>
      <w:lvlText w:val="o"/>
      <w:lvlJc w:val="left"/>
      <w:pPr>
        <w:ind w:left="3600" w:hanging="360"/>
      </w:pPr>
      <w:rPr>
        <w:rFonts w:hint="default" w:ascii="Courier New" w:hAnsi="Courier New"/>
      </w:rPr>
    </w:lvl>
    <w:lvl w:ilvl="5" w:tplc="77B6F546">
      <w:start w:val="1"/>
      <w:numFmt w:val="bullet"/>
      <w:lvlText w:val=""/>
      <w:lvlJc w:val="left"/>
      <w:pPr>
        <w:ind w:left="4320" w:hanging="360"/>
      </w:pPr>
      <w:rPr>
        <w:rFonts w:hint="default" w:ascii="Wingdings" w:hAnsi="Wingdings"/>
      </w:rPr>
    </w:lvl>
    <w:lvl w:ilvl="6" w:tplc="1E58913E">
      <w:start w:val="1"/>
      <w:numFmt w:val="bullet"/>
      <w:lvlText w:val=""/>
      <w:lvlJc w:val="left"/>
      <w:pPr>
        <w:ind w:left="5040" w:hanging="360"/>
      </w:pPr>
      <w:rPr>
        <w:rFonts w:hint="default" w:ascii="Symbol" w:hAnsi="Symbol"/>
      </w:rPr>
    </w:lvl>
    <w:lvl w:ilvl="7" w:tplc="7E446CF4">
      <w:start w:val="1"/>
      <w:numFmt w:val="bullet"/>
      <w:lvlText w:val="o"/>
      <w:lvlJc w:val="left"/>
      <w:pPr>
        <w:ind w:left="5760" w:hanging="360"/>
      </w:pPr>
      <w:rPr>
        <w:rFonts w:hint="default" w:ascii="Courier New" w:hAnsi="Courier New"/>
      </w:rPr>
    </w:lvl>
    <w:lvl w:ilvl="8" w:tplc="54EAE73E">
      <w:start w:val="1"/>
      <w:numFmt w:val="bullet"/>
      <w:lvlText w:val=""/>
      <w:lvlJc w:val="left"/>
      <w:pPr>
        <w:ind w:left="6480" w:hanging="360"/>
      </w:pPr>
      <w:rPr>
        <w:rFonts w:hint="default" w:ascii="Wingdings" w:hAnsi="Wingdings"/>
      </w:rPr>
    </w:lvl>
  </w:abstractNum>
  <w:abstractNum w:abstractNumId="5" w15:restartNumberingAfterBreak="0">
    <w:nsid w:val="21B13E5F"/>
    <w:multiLevelType w:val="hybridMultilevel"/>
    <w:tmpl w:val="1EDE7E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2356490D"/>
    <w:multiLevelType w:val="hybridMultilevel"/>
    <w:tmpl w:val="90A452C8"/>
    <w:lvl w:ilvl="0" w:tplc="D63693FC">
      <w:start w:val="1"/>
      <w:numFmt w:val="bullet"/>
      <w:lvlText w:val="-"/>
      <w:lvlJc w:val="left"/>
      <w:pPr>
        <w:ind w:left="1080" w:hanging="360"/>
      </w:pPr>
      <w:rPr>
        <w:rFonts w:hint="default" w:ascii="Courier New" w:hAnsi="Courier New"/>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287063C7"/>
    <w:multiLevelType w:val="multilevel"/>
    <w:tmpl w:val="FFFFFFFF"/>
    <w:lvl w:ilvl="0">
      <w:start w:val="3"/>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8" w15:restartNumberingAfterBreak="0">
    <w:nsid w:val="28A0DB75"/>
    <w:multiLevelType w:val="hybridMultilevel"/>
    <w:tmpl w:val="FFFFFFFF"/>
    <w:lvl w:ilvl="0" w:tplc="A7F62BAC">
      <w:start w:val="1"/>
      <w:numFmt w:val="lowerLetter"/>
      <w:lvlText w:val="%1."/>
      <w:lvlJc w:val="left"/>
      <w:pPr>
        <w:ind w:left="720" w:hanging="360"/>
      </w:pPr>
    </w:lvl>
    <w:lvl w:ilvl="1" w:tplc="D06072D6">
      <w:start w:val="1"/>
      <w:numFmt w:val="lowerLetter"/>
      <w:lvlText w:val="%2."/>
      <w:lvlJc w:val="left"/>
      <w:pPr>
        <w:ind w:left="1440" w:hanging="360"/>
      </w:pPr>
    </w:lvl>
    <w:lvl w:ilvl="2" w:tplc="DA30049A">
      <w:start w:val="1"/>
      <w:numFmt w:val="lowerRoman"/>
      <w:lvlText w:val="%3."/>
      <w:lvlJc w:val="right"/>
      <w:pPr>
        <w:ind w:left="2160" w:hanging="180"/>
      </w:pPr>
    </w:lvl>
    <w:lvl w:ilvl="3" w:tplc="C114C5D4">
      <w:start w:val="1"/>
      <w:numFmt w:val="decimal"/>
      <w:lvlText w:val="%4."/>
      <w:lvlJc w:val="left"/>
      <w:pPr>
        <w:ind w:left="2880" w:hanging="360"/>
      </w:pPr>
    </w:lvl>
    <w:lvl w:ilvl="4" w:tplc="CBBC6758">
      <w:start w:val="1"/>
      <w:numFmt w:val="lowerLetter"/>
      <w:lvlText w:val="%5."/>
      <w:lvlJc w:val="left"/>
      <w:pPr>
        <w:ind w:left="3600" w:hanging="360"/>
      </w:pPr>
    </w:lvl>
    <w:lvl w:ilvl="5" w:tplc="281AE25E">
      <w:start w:val="1"/>
      <w:numFmt w:val="lowerRoman"/>
      <w:lvlText w:val="%6."/>
      <w:lvlJc w:val="right"/>
      <w:pPr>
        <w:ind w:left="4320" w:hanging="180"/>
      </w:pPr>
    </w:lvl>
    <w:lvl w:ilvl="6" w:tplc="C52005D0">
      <w:start w:val="1"/>
      <w:numFmt w:val="decimal"/>
      <w:lvlText w:val="%7."/>
      <w:lvlJc w:val="left"/>
      <w:pPr>
        <w:ind w:left="5040" w:hanging="360"/>
      </w:pPr>
    </w:lvl>
    <w:lvl w:ilvl="7" w:tplc="789C73FE">
      <w:start w:val="1"/>
      <w:numFmt w:val="lowerLetter"/>
      <w:lvlText w:val="%8."/>
      <w:lvlJc w:val="left"/>
      <w:pPr>
        <w:ind w:left="5760" w:hanging="360"/>
      </w:pPr>
    </w:lvl>
    <w:lvl w:ilvl="8" w:tplc="7486D390">
      <w:start w:val="1"/>
      <w:numFmt w:val="lowerRoman"/>
      <w:lvlText w:val="%9."/>
      <w:lvlJc w:val="right"/>
      <w:pPr>
        <w:ind w:left="6480" w:hanging="180"/>
      </w:pPr>
    </w:lvl>
  </w:abstractNum>
  <w:abstractNum w:abstractNumId="9" w15:restartNumberingAfterBreak="0">
    <w:nsid w:val="29BE1B9A"/>
    <w:multiLevelType w:val="multilevel"/>
    <w:tmpl w:val="44420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C12A8B1"/>
    <w:multiLevelType w:val="hybridMultilevel"/>
    <w:tmpl w:val="FFFFFFFF"/>
    <w:lvl w:ilvl="0" w:tplc="ADA042A8">
      <w:start w:val="1"/>
      <w:numFmt w:val="bullet"/>
      <w:lvlText w:val=""/>
      <w:lvlJc w:val="left"/>
      <w:pPr>
        <w:ind w:left="855" w:hanging="360"/>
      </w:pPr>
      <w:rPr>
        <w:rFonts w:hint="default" w:ascii="Symbol" w:hAnsi="Symbol"/>
      </w:rPr>
    </w:lvl>
    <w:lvl w:ilvl="1" w:tplc="B3D8DE5C">
      <w:start w:val="1"/>
      <w:numFmt w:val="bullet"/>
      <w:lvlText w:val="o"/>
      <w:lvlJc w:val="left"/>
      <w:pPr>
        <w:ind w:left="1440" w:hanging="360"/>
      </w:pPr>
      <w:rPr>
        <w:rFonts w:hint="default" w:ascii="Courier New" w:hAnsi="Courier New"/>
      </w:rPr>
    </w:lvl>
    <w:lvl w:ilvl="2" w:tplc="EB966FB2">
      <w:start w:val="1"/>
      <w:numFmt w:val="bullet"/>
      <w:lvlText w:val=""/>
      <w:lvlJc w:val="left"/>
      <w:pPr>
        <w:ind w:left="2160" w:hanging="360"/>
      </w:pPr>
      <w:rPr>
        <w:rFonts w:hint="default" w:ascii="Wingdings" w:hAnsi="Wingdings"/>
      </w:rPr>
    </w:lvl>
    <w:lvl w:ilvl="3" w:tplc="8A26432C">
      <w:start w:val="1"/>
      <w:numFmt w:val="bullet"/>
      <w:lvlText w:val=""/>
      <w:lvlJc w:val="left"/>
      <w:pPr>
        <w:ind w:left="2880" w:hanging="360"/>
      </w:pPr>
      <w:rPr>
        <w:rFonts w:hint="default" w:ascii="Symbol" w:hAnsi="Symbol"/>
      </w:rPr>
    </w:lvl>
    <w:lvl w:ilvl="4" w:tplc="663A5348">
      <w:start w:val="1"/>
      <w:numFmt w:val="bullet"/>
      <w:lvlText w:val="o"/>
      <w:lvlJc w:val="left"/>
      <w:pPr>
        <w:ind w:left="3600" w:hanging="360"/>
      </w:pPr>
      <w:rPr>
        <w:rFonts w:hint="default" w:ascii="Courier New" w:hAnsi="Courier New"/>
      </w:rPr>
    </w:lvl>
    <w:lvl w:ilvl="5" w:tplc="6C0EDF9E">
      <w:start w:val="1"/>
      <w:numFmt w:val="bullet"/>
      <w:lvlText w:val=""/>
      <w:lvlJc w:val="left"/>
      <w:pPr>
        <w:ind w:left="4320" w:hanging="360"/>
      </w:pPr>
      <w:rPr>
        <w:rFonts w:hint="default" w:ascii="Wingdings" w:hAnsi="Wingdings"/>
      </w:rPr>
    </w:lvl>
    <w:lvl w:ilvl="6" w:tplc="3ACADAFC">
      <w:start w:val="1"/>
      <w:numFmt w:val="bullet"/>
      <w:lvlText w:val=""/>
      <w:lvlJc w:val="left"/>
      <w:pPr>
        <w:ind w:left="5040" w:hanging="360"/>
      </w:pPr>
      <w:rPr>
        <w:rFonts w:hint="default" w:ascii="Symbol" w:hAnsi="Symbol"/>
      </w:rPr>
    </w:lvl>
    <w:lvl w:ilvl="7" w:tplc="93B0552C">
      <w:start w:val="1"/>
      <w:numFmt w:val="bullet"/>
      <w:lvlText w:val="o"/>
      <w:lvlJc w:val="left"/>
      <w:pPr>
        <w:ind w:left="5760" w:hanging="360"/>
      </w:pPr>
      <w:rPr>
        <w:rFonts w:hint="default" w:ascii="Courier New" w:hAnsi="Courier New"/>
      </w:rPr>
    </w:lvl>
    <w:lvl w:ilvl="8" w:tplc="F61657F4">
      <w:start w:val="1"/>
      <w:numFmt w:val="bullet"/>
      <w:lvlText w:val=""/>
      <w:lvlJc w:val="left"/>
      <w:pPr>
        <w:ind w:left="6480" w:hanging="360"/>
      </w:pPr>
      <w:rPr>
        <w:rFonts w:hint="default" w:ascii="Wingdings" w:hAnsi="Wingdings"/>
      </w:rPr>
    </w:lvl>
  </w:abstractNum>
  <w:abstractNum w:abstractNumId="11" w15:restartNumberingAfterBreak="0">
    <w:nsid w:val="2F64D1DC"/>
    <w:multiLevelType w:val="hybridMultilevel"/>
    <w:tmpl w:val="FFFFFFFF"/>
    <w:lvl w:ilvl="0" w:tplc="382A297A">
      <w:start w:val="1"/>
      <w:numFmt w:val="bullet"/>
      <w:lvlText w:val=""/>
      <w:lvlJc w:val="left"/>
      <w:pPr>
        <w:ind w:left="720" w:hanging="360"/>
      </w:pPr>
      <w:rPr>
        <w:rFonts w:hint="default" w:ascii="Symbol" w:hAnsi="Symbol"/>
      </w:rPr>
    </w:lvl>
    <w:lvl w:ilvl="1" w:tplc="9F7828DE">
      <w:start w:val="1"/>
      <w:numFmt w:val="bullet"/>
      <w:lvlText w:val="o"/>
      <w:lvlJc w:val="left"/>
      <w:pPr>
        <w:ind w:left="1440" w:hanging="360"/>
      </w:pPr>
      <w:rPr>
        <w:rFonts w:hint="default" w:ascii="Courier New" w:hAnsi="Courier New"/>
      </w:rPr>
    </w:lvl>
    <w:lvl w:ilvl="2" w:tplc="2E085420">
      <w:start w:val="1"/>
      <w:numFmt w:val="bullet"/>
      <w:lvlText w:val=""/>
      <w:lvlJc w:val="left"/>
      <w:pPr>
        <w:ind w:left="2160" w:hanging="360"/>
      </w:pPr>
      <w:rPr>
        <w:rFonts w:hint="default" w:ascii="Wingdings" w:hAnsi="Wingdings"/>
      </w:rPr>
    </w:lvl>
    <w:lvl w:ilvl="3" w:tplc="E7D44EBE">
      <w:start w:val="1"/>
      <w:numFmt w:val="bullet"/>
      <w:lvlText w:val=""/>
      <w:lvlJc w:val="left"/>
      <w:pPr>
        <w:ind w:left="2880" w:hanging="360"/>
      </w:pPr>
      <w:rPr>
        <w:rFonts w:hint="default" w:ascii="Symbol" w:hAnsi="Symbol"/>
      </w:rPr>
    </w:lvl>
    <w:lvl w:ilvl="4" w:tplc="302A33C4">
      <w:start w:val="1"/>
      <w:numFmt w:val="bullet"/>
      <w:lvlText w:val="o"/>
      <w:lvlJc w:val="left"/>
      <w:pPr>
        <w:ind w:left="3600" w:hanging="360"/>
      </w:pPr>
      <w:rPr>
        <w:rFonts w:hint="default" w:ascii="Courier New" w:hAnsi="Courier New"/>
      </w:rPr>
    </w:lvl>
    <w:lvl w:ilvl="5" w:tplc="5E568F4C">
      <w:start w:val="1"/>
      <w:numFmt w:val="bullet"/>
      <w:lvlText w:val=""/>
      <w:lvlJc w:val="left"/>
      <w:pPr>
        <w:ind w:left="4320" w:hanging="360"/>
      </w:pPr>
      <w:rPr>
        <w:rFonts w:hint="default" w:ascii="Wingdings" w:hAnsi="Wingdings"/>
      </w:rPr>
    </w:lvl>
    <w:lvl w:ilvl="6" w:tplc="C28C064E">
      <w:start w:val="1"/>
      <w:numFmt w:val="bullet"/>
      <w:lvlText w:val=""/>
      <w:lvlJc w:val="left"/>
      <w:pPr>
        <w:ind w:left="5040" w:hanging="360"/>
      </w:pPr>
      <w:rPr>
        <w:rFonts w:hint="default" w:ascii="Symbol" w:hAnsi="Symbol"/>
      </w:rPr>
    </w:lvl>
    <w:lvl w:ilvl="7" w:tplc="38D2463A">
      <w:start w:val="1"/>
      <w:numFmt w:val="bullet"/>
      <w:lvlText w:val="o"/>
      <w:lvlJc w:val="left"/>
      <w:pPr>
        <w:ind w:left="5760" w:hanging="360"/>
      </w:pPr>
      <w:rPr>
        <w:rFonts w:hint="default" w:ascii="Courier New" w:hAnsi="Courier New"/>
      </w:rPr>
    </w:lvl>
    <w:lvl w:ilvl="8" w:tplc="8C24E8F8">
      <w:start w:val="1"/>
      <w:numFmt w:val="bullet"/>
      <w:lvlText w:val=""/>
      <w:lvlJc w:val="left"/>
      <w:pPr>
        <w:ind w:left="6480" w:hanging="360"/>
      </w:pPr>
      <w:rPr>
        <w:rFonts w:hint="default" w:ascii="Wingdings" w:hAnsi="Wingdings"/>
      </w:rPr>
    </w:lvl>
  </w:abstractNum>
  <w:abstractNum w:abstractNumId="12" w15:restartNumberingAfterBreak="0">
    <w:nsid w:val="31774C53"/>
    <w:multiLevelType w:val="multilevel"/>
    <w:tmpl w:val="FFFFFFFF"/>
    <w:lvl w:ilvl="0">
      <w:start w:val="4"/>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3" w15:restartNumberingAfterBreak="0">
    <w:nsid w:val="33D93E18"/>
    <w:multiLevelType w:val="hybridMultilevel"/>
    <w:tmpl w:val="D9B213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45426D5"/>
    <w:multiLevelType w:val="hybridMultilevel"/>
    <w:tmpl w:val="A316044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8C445E"/>
    <w:multiLevelType w:val="multilevel"/>
    <w:tmpl w:val="FFFFFFFF"/>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10B1514"/>
    <w:multiLevelType w:val="multilevel"/>
    <w:tmpl w:val="FFFFFFFF"/>
    <w:lvl w:ilvl="0">
      <w:start w:val="2"/>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7" w15:restartNumberingAfterBreak="0">
    <w:nsid w:val="42A9E51D"/>
    <w:multiLevelType w:val="multilevel"/>
    <w:tmpl w:val="FFFFFFFF"/>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4467EE2"/>
    <w:multiLevelType w:val="hybridMultilevel"/>
    <w:tmpl w:val="148C98AA"/>
    <w:lvl w:ilvl="0" w:tplc="D63693FC">
      <w:start w:val="1"/>
      <w:numFmt w:val="bullet"/>
      <w:lvlText w:val="-"/>
      <w:lvlJc w:val="left"/>
      <w:pPr>
        <w:ind w:left="1080" w:hanging="360"/>
      </w:pPr>
      <w:rPr>
        <w:rFonts w:hint="default" w:ascii="Courier New" w:hAnsi="Courier New"/>
      </w:rPr>
    </w:lvl>
    <w:lvl w:ilvl="1" w:tplc="D63693FC">
      <w:start w:val="1"/>
      <w:numFmt w:val="bullet"/>
      <w:lvlText w:val="-"/>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46F97A37"/>
    <w:multiLevelType w:val="hybridMultilevel"/>
    <w:tmpl w:val="B3068798"/>
    <w:lvl w:ilvl="0" w:tplc="D63693FC">
      <w:start w:val="1"/>
      <w:numFmt w:val="bullet"/>
      <w:lvlText w:val="-"/>
      <w:lvlJc w:val="left"/>
      <w:pPr>
        <w:ind w:left="1080" w:hanging="360"/>
      </w:pPr>
      <w:rPr>
        <w:rFonts w:hint="default" w:ascii="Courier New" w:hAnsi="Courier New"/>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52001B62"/>
    <w:multiLevelType w:val="hybridMultilevel"/>
    <w:tmpl w:val="735ADD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5C80F08"/>
    <w:multiLevelType w:val="multilevel"/>
    <w:tmpl w:val="C7A219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8C8E66B"/>
    <w:multiLevelType w:val="multilevel"/>
    <w:tmpl w:val="FFFFFFFF"/>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0B659C7"/>
    <w:multiLevelType w:val="hybridMultilevel"/>
    <w:tmpl w:val="FFFFFFFF"/>
    <w:lvl w:ilvl="0" w:tplc="5852A780">
      <w:start w:val="1"/>
      <w:numFmt w:val="bullet"/>
      <w:lvlText w:val=""/>
      <w:lvlJc w:val="left"/>
      <w:pPr>
        <w:ind w:left="720" w:hanging="360"/>
      </w:pPr>
      <w:rPr>
        <w:rFonts w:hint="default" w:ascii="Symbol" w:hAnsi="Symbol"/>
      </w:rPr>
    </w:lvl>
    <w:lvl w:ilvl="1" w:tplc="83469120">
      <w:start w:val="1"/>
      <w:numFmt w:val="bullet"/>
      <w:lvlText w:val="o"/>
      <w:lvlJc w:val="left"/>
      <w:pPr>
        <w:ind w:left="1009" w:hanging="363"/>
      </w:pPr>
      <w:rPr>
        <w:rFonts w:hint="default" w:ascii="Courier New" w:hAnsi="Courier New"/>
      </w:rPr>
    </w:lvl>
    <w:lvl w:ilvl="2" w:tplc="09E026D8">
      <w:start w:val="1"/>
      <w:numFmt w:val="bullet"/>
      <w:lvlText w:val=""/>
      <w:lvlJc w:val="left"/>
      <w:pPr>
        <w:ind w:left="2160" w:hanging="360"/>
      </w:pPr>
      <w:rPr>
        <w:rFonts w:hint="default" w:ascii="Wingdings" w:hAnsi="Wingdings"/>
      </w:rPr>
    </w:lvl>
    <w:lvl w:ilvl="3" w:tplc="A26A6ADA">
      <w:start w:val="1"/>
      <w:numFmt w:val="bullet"/>
      <w:lvlText w:val=""/>
      <w:lvlJc w:val="left"/>
      <w:pPr>
        <w:ind w:left="2880" w:hanging="360"/>
      </w:pPr>
      <w:rPr>
        <w:rFonts w:hint="default" w:ascii="Symbol" w:hAnsi="Symbol"/>
      </w:rPr>
    </w:lvl>
    <w:lvl w:ilvl="4" w:tplc="A2865FF8">
      <w:start w:val="1"/>
      <w:numFmt w:val="bullet"/>
      <w:lvlText w:val="o"/>
      <w:lvlJc w:val="left"/>
      <w:pPr>
        <w:ind w:left="3600" w:hanging="360"/>
      </w:pPr>
      <w:rPr>
        <w:rFonts w:hint="default" w:ascii="Courier New" w:hAnsi="Courier New"/>
      </w:rPr>
    </w:lvl>
    <w:lvl w:ilvl="5" w:tplc="47060242">
      <w:start w:val="1"/>
      <w:numFmt w:val="bullet"/>
      <w:lvlText w:val=""/>
      <w:lvlJc w:val="left"/>
      <w:pPr>
        <w:ind w:left="4320" w:hanging="360"/>
      </w:pPr>
      <w:rPr>
        <w:rFonts w:hint="default" w:ascii="Wingdings" w:hAnsi="Wingdings"/>
      </w:rPr>
    </w:lvl>
    <w:lvl w:ilvl="6" w:tplc="F97E15C2">
      <w:start w:val="1"/>
      <w:numFmt w:val="bullet"/>
      <w:lvlText w:val=""/>
      <w:lvlJc w:val="left"/>
      <w:pPr>
        <w:ind w:left="5040" w:hanging="360"/>
      </w:pPr>
      <w:rPr>
        <w:rFonts w:hint="default" w:ascii="Symbol" w:hAnsi="Symbol"/>
      </w:rPr>
    </w:lvl>
    <w:lvl w:ilvl="7" w:tplc="2280FEEC">
      <w:start w:val="1"/>
      <w:numFmt w:val="bullet"/>
      <w:lvlText w:val="o"/>
      <w:lvlJc w:val="left"/>
      <w:pPr>
        <w:ind w:left="5760" w:hanging="360"/>
      </w:pPr>
      <w:rPr>
        <w:rFonts w:hint="default" w:ascii="Courier New" w:hAnsi="Courier New"/>
      </w:rPr>
    </w:lvl>
    <w:lvl w:ilvl="8" w:tplc="2B76BFF8">
      <w:start w:val="1"/>
      <w:numFmt w:val="bullet"/>
      <w:lvlText w:val=""/>
      <w:lvlJc w:val="left"/>
      <w:pPr>
        <w:ind w:left="6480" w:hanging="360"/>
      </w:pPr>
      <w:rPr>
        <w:rFonts w:hint="default" w:ascii="Wingdings" w:hAnsi="Wingdings"/>
      </w:rPr>
    </w:lvl>
  </w:abstractNum>
  <w:abstractNum w:abstractNumId="24" w15:restartNumberingAfterBreak="0">
    <w:nsid w:val="7346855F"/>
    <w:multiLevelType w:val="multilevel"/>
    <w:tmpl w:val="FFFFFFFF"/>
    <w:lvl w:ilvl="0">
      <w:start w:val="1"/>
      <w:numFmt w:val="bullet"/>
      <w:lvlText w:val="o"/>
      <w:lvlJc w:val="left"/>
      <w:pPr>
        <w:ind w:left="72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5" w15:restartNumberingAfterBreak="0">
    <w:nsid w:val="7975573E"/>
    <w:multiLevelType w:val="multilevel"/>
    <w:tmpl w:val="5F1646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C64057"/>
    <w:multiLevelType w:val="hybridMultilevel"/>
    <w:tmpl w:val="FFFFFFFF"/>
    <w:lvl w:ilvl="0" w:tplc="C2D87942">
      <w:start w:val="1"/>
      <w:numFmt w:val="bullet"/>
      <w:lvlText w:val=""/>
      <w:lvlJc w:val="left"/>
      <w:pPr>
        <w:ind w:left="720" w:hanging="360"/>
      </w:pPr>
      <w:rPr>
        <w:rFonts w:hint="default" w:ascii="Symbol" w:hAnsi="Symbol"/>
      </w:rPr>
    </w:lvl>
    <w:lvl w:ilvl="1" w:tplc="4CAE17F2">
      <w:start w:val="1"/>
      <w:numFmt w:val="bullet"/>
      <w:lvlText w:val="o"/>
      <w:lvlJc w:val="left"/>
      <w:pPr>
        <w:ind w:left="1440" w:hanging="360"/>
      </w:pPr>
      <w:rPr>
        <w:rFonts w:hint="default" w:ascii="Courier New" w:hAnsi="Courier New"/>
      </w:rPr>
    </w:lvl>
    <w:lvl w:ilvl="2" w:tplc="0E9CD466">
      <w:start w:val="1"/>
      <w:numFmt w:val="bullet"/>
      <w:lvlText w:val=""/>
      <w:lvlJc w:val="left"/>
      <w:pPr>
        <w:ind w:left="2160" w:hanging="360"/>
      </w:pPr>
      <w:rPr>
        <w:rFonts w:hint="default" w:ascii="Wingdings" w:hAnsi="Wingdings"/>
      </w:rPr>
    </w:lvl>
    <w:lvl w:ilvl="3" w:tplc="DDFA64E4">
      <w:start w:val="1"/>
      <w:numFmt w:val="bullet"/>
      <w:lvlText w:val=""/>
      <w:lvlJc w:val="left"/>
      <w:pPr>
        <w:ind w:left="2880" w:hanging="360"/>
      </w:pPr>
      <w:rPr>
        <w:rFonts w:hint="default" w:ascii="Symbol" w:hAnsi="Symbol"/>
      </w:rPr>
    </w:lvl>
    <w:lvl w:ilvl="4" w:tplc="E8662A50">
      <w:start w:val="1"/>
      <w:numFmt w:val="bullet"/>
      <w:lvlText w:val="o"/>
      <w:lvlJc w:val="left"/>
      <w:pPr>
        <w:ind w:left="3600" w:hanging="360"/>
      </w:pPr>
      <w:rPr>
        <w:rFonts w:hint="default" w:ascii="Courier New" w:hAnsi="Courier New"/>
      </w:rPr>
    </w:lvl>
    <w:lvl w:ilvl="5" w:tplc="9D72A134">
      <w:start w:val="1"/>
      <w:numFmt w:val="bullet"/>
      <w:lvlText w:val=""/>
      <w:lvlJc w:val="left"/>
      <w:pPr>
        <w:ind w:left="4320" w:hanging="360"/>
      </w:pPr>
      <w:rPr>
        <w:rFonts w:hint="default" w:ascii="Wingdings" w:hAnsi="Wingdings"/>
      </w:rPr>
    </w:lvl>
    <w:lvl w:ilvl="6" w:tplc="D6A88A7A">
      <w:start w:val="1"/>
      <w:numFmt w:val="bullet"/>
      <w:lvlText w:val=""/>
      <w:lvlJc w:val="left"/>
      <w:pPr>
        <w:ind w:left="5040" w:hanging="360"/>
      </w:pPr>
      <w:rPr>
        <w:rFonts w:hint="default" w:ascii="Symbol" w:hAnsi="Symbol"/>
      </w:rPr>
    </w:lvl>
    <w:lvl w:ilvl="7" w:tplc="FA588FD6">
      <w:start w:val="1"/>
      <w:numFmt w:val="bullet"/>
      <w:lvlText w:val="o"/>
      <w:lvlJc w:val="left"/>
      <w:pPr>
        <w:ind w:left="5760" w:hanging="360"/>
      </w:pPr>
      <w:rPr>
        <w:rFonts w:hint="default" w:ascii="Courier New" w:hAnsi="Courier New"/>
      </w:rPr>
    </w:lvl>
    <w:lvl w:ilvl="8" w:tplc="A8BA6568">
      <w:start w:val="1"/>
      <w:numFmt w:val="bullet"/>
      <w:lvlText w:val=""/>
      <w:lvlJc w:val="left"/>
      <w:pPr>
        <w:ind w:left="6480" w:hanging="360"/>
      </w:pPr>
      <w:rPr>
        <w:rFonts w:hint="default" w:ascii="Wingdings" w:hAnsi="Wingdings"/>
      </w:rPr>
    </w:lvl>
  </w:abstractNum>
  <w:num w:numId="1" w16cid:durableId="1587898">
    <w:abstractNumId w:val="8"/>
  </w:num>
  <w:num w:numId="2" w16cid:durableId="1818065953">
    <w:abstractNumId w:val="26"/>
  </w:num>
  <w:num w:numId="3" w16cid:durableId="1049308502">
    <w:abstractNumId w:val="11"/>
  </w:num>
  <w:num w:numId="4" w16cid:durableId="1183397702">
    <w:abstractNumId w:val="0"/>
  </w:num>
  <w:num w:numId="5" w16cid:durableId="1315063852">
    <w:abstractNumId w:val="10"/>
  </w:num>
  <w:num w:numId="6" w16cid:durableId="910627168">
    <w:abstractNumId w:val="22"/>
  </w:num>
  <w:num w:numId="7" w16cid:durableId="1441491218">
    <w:abstractNumId w:val="15"/>
  </w:num>
  <w:num w:numId="8" w16cid:durableId="1547137026">
    <w:abstractNumId w:val="17"/>
  </w:num>
  <w:num w:numId="9" w16cid:durableId="1776631928">
    <w:abstractNumId w:val="1"/>
  </w:num>
  <w:num w:numId="10" w16cid:durableId="1851338002">
    <w:abstractNumId w:val="23"/>
  </w:num>
  <w:num w:numId="11" w16cid:durableId="1602643484">
    <w:abstractNumId w:val="12"/>
  </w:num>
  <w:num w:numId="12" w16cid:durableId="476263862">
    <w:abstractNumId w:val="7"/>
  </w:num>
  <w:num w:numId="13" w16cid:durableId="497574361">
    <w:abstractNumId w:val="16"/>
  </w:num>
  <w:num w:numId="14" w16cid:durableId="1510872749">
    <w:abstractNumId w:val="3"/>
  </w:num>
  <w:num w:numId="15" w16cid:durableId="1598714425">
    <w:abstractNumId w:val="24"/>
  </w:num>
  <w:num w:numId="16" w16cid:durableId="1048920116">
    <w:abstractNumId w:val="5"/>
  </w:num>
  <w:num w:numId="17" w16cid:durableId="714812672">
    <w:abstractNumId w:val="20"/>
  </w:num>
  <w:num w:numId="18" w16cid:durableId="748505300">
    <w:abstractNumId w:val="14"/>
  </w:num>
  <w:num w:numId="19" w16cid:durableId="1302731980">
    <w:abstractNumId w:val="19"/>
  </w:num>
  <w:num w:numId="20" w16cid:durableId="554388160">
    <w:abstractNumId w:val="6"/>
  </w:num>
  <w:num w:numId="21" w16cid:durableId="1329014394">
    <w:abstractNumId w:val="2"/>
  </w:num>
  <w:num w:numId="22" w16cid:durableId="611786646">
    <w:abstractNumId w:val="18"/>
  </w:num>
  <w:num w:numId="23" w16cid:durableId="977539182">
    <w:abstractNumId w:val="25"/>
  </w:num>
  <w:num w:numId="24" w16cid:durableId="313417156">
    <w:abstractNumId w:val="4"/>
  </w:num>
  <w:num w:numId="25" w16cid:durableId="1748842240">
    <w:abstractNumId w:val="21"/>
  </w:num>
  <w:num w:numId="26" w16cid:durableId="187838309">
    <w:abstractNumId w:val="9"/>
  </w:num>
  <w:num w:numId="27" w16cid:durableId="798645925">
    <w:abstractNumId w:val="1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2C"/>
    <w:rsid w:val="0000238C"/>
    <w:rsid w:val="00004228"/>
    <w:rsid w:val="00004515"/>
    <w:rsid w:val="00004819"/>
    <w:rsid w:val="00012100"/>
    <w:rsid w:val="00014788"/>
    <w:rsid w:val="00015685"/>
    <w:rsid w:val="000208A6"/>
    <w:rsid w:val="0002157B"/>
    <w:rsid w:val="00021A74"/>
    <w:rsid w:val="00022455"/>
    <w:rsid w:val="000224EC"/>
    <w:rsid w:val="00023069"/>
    <w:rsid w:val="000237FC"/>
    <w:rsid w:val="00023D69"/>
    <w:rsid w:val="00023F01"/>
    <w:rsid w:val="00030A84"/>
    <w:rsid w:val="00030CC6"/>
    <w:rsid w:val="00035E9D"/>
    <w:rsid w:val="000375E2"/>
    <w:rsid w:val="000422F9"/>
    <w:rsid w:val="000425EB"/>
    <w:rsid w:val="00042CDC"/>
    <w:rsid w:val="00043322"/>
    <w:rsid w:val="000439E5"/>
    <w:rsid w:val="00045115"/>
    <w:rsid w:val="00051F98"/>
    <w:rsid w:val="000604B4"/>
    <w:rsid w:val="000617BD"/>
    <w:rsid w:val="00062B1A"/>
    <w:rsid w:val="000630C0"/>
    <w:rsid w:val="00064915"/>
    <w:rsid w:val="0006571A"/>
    <w:rsid w:val="00066382"/>
    <w:rsid w:val="0007159C"/>
    <w:rsid w:val="00071640"/>
    <w:rsid w:val="00072EDE"/>
    <w:rsid w:val="00075A22"/>
    <w:rsid w:val="00077221"/>
    <w:rsid w:val="00080399"/>
    <w:rsid w:val="00080C85"/>
    <w:rsid w:val="0008189F"/>
    <w:rsid w:val="00083E43"/>
    <w:rsid w:val="00087D12"/>
    <w:rsid w:val="00090217"/>
    <w:rsid w:val="00092E30"/>
    <w:rsid w:val="0009502C"/>
    <w:rsid w:val="0009789D"/>
    <w:rsid w:val="000A4120"/>
    <w:rsid w:val="000A4B1E"/>
    <w:rsid w:val="000A5D80"/>
    <w:rsid w:val="000A6930"/>
    <w:rsid w:val="000B07E4"/>
    <w:rsid w:val="000B1899"/>
    <w:rsid w:val="000B1E6D"/>
    <w:rsid w:val="000B4F42"/>
    <w:rsid w:val="000B5A29"/>
    <w:rsid w:val="000B6690"/>
    <w:rsid w:val="000C2765"/>
    <w:rsid w:val="000C4035"/>
    <w:rsid w:val="000C41D7"/>
    <w:rsid w:val="000C7540"/>
    <w:rsid w:val="000D06A2"/>
    <w:rsid w:val="000D14B2"/>
    <w:rsid w:val="000D37E9"/>
    <w:rsid w:val="000D47D2"/>
    <w:rsid w:val="000D74D0"/>
    <w:rsid w:val="000E121F"/>
    <w:rsid w:val="000E4031"/>
    <w:rsid w:val="000E47C5"/>
    <w:rsid w:val="000E5885"/>
    <w:rsid w:val="000E7C79"/>
    <w:rsid w:val="000E7D94"/>
    <w:rsid w:val="000F1BAF"/>
    <w:rsid w:val="00101002"/>
    <w:rsid w:val="001013A6"/>
    <w:rsid w:val="00102759"/>
    <w:rsid w:val="0010531F"/>
    <w:rsid w:val="001121C1"/>
    <w:rsid w:val="00112433"/>
    <w:rsid w:val="00112E33"/>
    <w:rsid w:val="00116D0F"/>
    <w:rsid w:val="00122129"/>
    <w:rsid w:val="00122D2E"/>
    <w:rsid w:val="00125931"/>
    <w:rsid w:val="001259CF"/>
    <w:rsid w:val="00130015"/>
    <w:rsid w:val="001330CE"/>
    <w:rsid w:val="00134C86"/>
    <w:rsid w:val="001356EA"/>
    <w:rsid w:val="0013786F"/>
    <w:rsid w:val="0014532C"/>
    <w:rsid w:val="00146DD7"/>
    <w:rsid w:val="00152714"/>
    <w:rsid w:val="00152F94"/>
    <w:rsid w:val="001532A6"/>
    <w:rsid w:val="00157E79"/>
    <w:rsid w:val="0016149B"/>
    <w:rsid w:val="00163381"/>
    <w:rsid w:val="00164467"/>
    <w:rsid w:val="0016584D"/>
    <w:rsid w:val="00165BDC"/>
    <w:rsid w:val="001667FF"/>
    <w:rsid w:val="00172258"/>
    <w:rsid w:val="00172753"/>
    <w:rsid w:val="00172EB4"/>
    <w:rsid w:val="0017553A"/>
    <w:rsid w:val="00177E85"/>
    <w:rsid w:val="00183FCB"/>
    <w:rsid w:val="0018409D"/>
    <w:rsid w:val="00192A89"/>
    <w:rsid w:val="00195C3B"/>
    <w:rsid w:val="001A415E"/>
    <w:rsid w:val="001A4AA4"/>
    <w:rsid w:val="001B0B4F"/>
    <w:rsid w:val="001B12D9"/>
    <w:rsid w:val="001B14BA"/>
    <w:rsid w:val="001B17F9"/>
    <w:rsid w:val="001B2832"/>
    <w:rsid w:val="001B5C09"/>
    <w:rsid w:val="001C2378"/>
    <w:rsid w:val="001C25B5"/>
    <w:rsid w:val="001C6CE4"/>
    <w:rsid w:val="001C7810"/>
    <w:rsid w:val="001C7B32"/>
    <w:rsid w:val="001C7EA4"/>
    <w:rsid w:val="001D035D"/>
    <w:rsid w:val="001D0666"/>
    <w:rsid w:val="001D41C8"/>
    <w:rsid w:val="001D688B"/>
    <w:rsid w:val="001D76AF"/>
    <w:rsid w:val="001D77D2"/>
    <w:rsid w:val="001E0190"/>
    <w:rsid w:val="001E1D4B"/>
    <w:rsid w:val="001E27D6"/>
    <w:rsid w:val="001E2A92"/>
    <w:rsid w:val="001E3AC6"/>
    <w:rsid w:val="001E46E5"/>
    <w:rsid w:val="001F2F19"/>
    <w:rsid w:val="001F36B9"/>
    <w:rsid w:val="002024EA"/>
    <w:rsid w:val="002073E1"/>
    <w:rsid w:val="002105D0"/>
    <w:rsid w:val="0021079D"/>
    <w:rsid w:val="00214BBC"/>
    <w:rsid w:val="00224863"/>
    <w:rsid w:val="002255D6"/>
    <w:rsid w:val="00225B05"/>
    <w:rsid w:val="00225D4D"/>
    <w:rsid w:val="00230B3B"/>
    <w:rsid w:val="00234902"/>
    <w:rsid w:val="00235403"/>
    <w:rsid w:val="002408B0"/>
    <w:rsid w:val="00241323"/>
    <w:rsid w:val="0024598E"/>
    <w:rsid w:val="002459FE"/>
    <w:rsid w:val="002460C4"/>
    <w:rsid w:val="00246283"/>
    <w:rsid w:val="00251380"/>
    <w:rsid w:val="00251DCF"/>
    <w:rsid w:val="0025DBFD"/>
    <w:rsid w:val="002618CE"/>
    <w:rsid w:val="00262184"/>
    <w:rsid w:val="00264A97"/>
    <w:rsid w:val="00265CB3"/>
    <w:rsid w:val="00272DF1"/>
    <w:rsid w:val="002747AE"/>
    <w:rsid w:val="002763E6"/>
    <w:rsid w:val="00276517"/>
    <w:rsid w:val="002765E9"/>
    <w:rsid w:val="00276661"/>
    <w:rsid w:val="00277DDE"/>
    <w:rsid w:val="00280754"/>
    <w:rsid w:val="00280EB3"/>
    <w:rsid w:val="002849B6"/>
    <w:rsid w:val="00284DDB"/>
    <w:rsid w:val="00292068"/>
    <w:rsid w:val="00292560"/>
    <w:rsid w:val="00292B6C"/>
    <w:rsid w:val="002936E8"/>
    <w:rsid w:val="00293DE2"/>
    <w:rsid w:val="002942F0"/>
    <w:rsid w:val="0029494A"/>
    <w:rsid w:val="00297704"/>
    <w:rsid w:val="00297D9F"/>
    <w:rsid w:val="002A0C5F"/>
    <w:rsid w:val="002A275F"/>
    <w:rsid w:val="002A7F85"/>
    <w:rsid w:val="002B2154"/>
    <w:rsid w:val="002B3926"/>
    <w:rsid w:val="002B4A34"/>
    <w:rsid w:val="002B4AC4"/>
    <w:rsid w:val="002B68E9"/>
    <w:rsid w:val="002C0BFF"/>
    <w:rsid w:val="002C108D"/>
    <w:rsid w:val="002C51D2"/>
    <w:rsid w:val="002C7238"/>
    <w:rsid w:val="002D09A5"/>
    <w:rsid w:val="002D22F1"/>
    <w:rsid w:val="002D67CF"/>
    <w:rsid w:val="002E0FA6"/>
    <w:rsid w:val="002E1A46"/>
    <w:rsid w:val="002E1F9A"/>
    <w:rsid w:val="002E34F8"/>
    <w:rsid w:val="002E47F9"/>
    <w:rsid w:val="002E53BC"/>
    <w:rsid w:val="002E6434"/>
    <w:rsid w:val="002E7988"/>
    <w:rsid w:val="002F1262"/>
    <w:rsid w:val="002F1625"/>
    <w:rsid w:val="002F1D25"/>
    <w:rsid w:val="002F38B1"/>
    <w:rsid w:val="002F470C"/>
    <w:rsid w:val="002F5DB8"/>
    <w:rsid w:val="002F6FBF"/>
    <w:rsid w:val="002F7768"/>
    <w:rsid w:val="0030176F"/>
    <w:rsid w:val="00302AB8"/>
    <w:rsid w:val="00303740"/>
    <w:rsid w:val="003069CF"/>
    <w:rsid w:val="00310401"/>
    <w:rsid w:val="00310D88"/>
    <w:rsid w:val="00311698"/>
    <w:rsid w:val="003121BB"/>
    <w:rsid w:val="00315C85"/>
    <w:rsid w:val="00317176"/>
    <w:rsid w:val="00317315"/>
    <w:rsid w:val="00321651"/>
    <w:rsid w:val="00321EB1"/>
    <w:rsid w:val="003220EB"/>
    <w:rsid w:val="003249D1"/>
    <w:rsid w:val="003262DE"/>
    <w:rsid w:val="0032645F"/>
    <w:rsid w:val="00326F41"/>
    <w:rsid w:val="00327714"/>
    <w:rsid w:val="00327929"/>
    <w:rsid w:val="00332F8A"/>
    <w:rsid w:val="00341B3F"/>
    <w:rsid w:val="00346ABA"/>
    <w:rsid w:val="00346E31"/>
    <w:rsid w:val="00346F93"/>
    <w:rsid w:val="00351576"/>
    <w:rsid w:val="003548CD"/>
    <w:rsid w:val="00355E37"/>
    <w:rsid w:val="003674B6"/>
    <w:rsid w:val="003678EC"/>
    <w:rsid w:val="003703C9"/>
    <w:rsid w:val="00372473"/>
    <w:rsid w:val="00375D3D"/>
    <w:rsid w:val="00376323"/>
    <w:rsid w:val="00376877"/>
    <w:rsid w:val="00377F4D"/>
    <w:rsid w:val="003815A1"/>
    <w:rsid w:val="00381E9C"/>
    <w:rsid w:val="00383988"/>
    <w:rsid w:val="003865AD"/>
    <w:rsid w:val="00386DFC"/>
    <w:rsid w:val="00390DC5"/>
    <w:rsid w:val="003921C6"/>
    <w:rsid w:val="00392881"/>
    <w:rsid w:val="00393C44"/>
    <w:rsid w:val="0039615E"/>
    <w:rsid w:val="003A1454"/>
    <w:rsid w:val="003A375D"/>
    <w:rsid w:val="003A4191"/>
    <w:rsid w:val="003A4FCF"/>
    <w:rsid w:val="003A76C1"/>
    <w:rsid w:val="003A79D3"/>
    <w:rsid w:val="003B0E1B"/>
    <w:rsid w:val="003B1644"/>
    <w:rsid w:val="003B1E50"/>
    <w:rsid w:val="003B2038"/>
    <w:rsid w:val="003B21B0"/>
    <w:rsid w:val="003B5B2B"/>
    <w:rsid w:val="003C071B"/>
    <w:rsid w:val="003C0F06"/>
    <w:rsid w:val="003C1077"/>
    <w:rsid w:val="003C3398"/>
    <w:rsid w:val="003C36D6"/>
    <w:rsid w:val="003C6017"/>
    <w:rsid w:val="003C6709"/>
    <w:rsid w:val="003D0A49"/>
    <w:rsid w:val="003D222C"/>
    <w:rsid w:val="003D2756"/>
    <w:rsid w:val="003D51C3"/>
    <w:rsid w:val="003D5FD9"/>
    <w:rsid w:val="003E37BB"/>
    <w:rsid w:val="003E394A"/>
    <w:rsid w:val="003F1C39"/>
    <w:rsid w:val="003F3586"/>
    <w:rsid w:val="003F5FA7"/>
    <w:rsid w:val="003F6325"/>
    <w:rsid w:val="003F6641"/>
    <w:rsid w:val="003F7786"/>
    <w:rsid w:val="00401217"/>
    <w:rsid w:val="00402699"/>
    <w:rsid w:val="00402BDD"/>
    <w:rsid w:val="00405513"/>
    <w:rsid w:val="00405ED7"/>
    <w:rsid w:val="00406224"/>
    <w:rsid w:val="00407DF2"/>
    <w:rsid w:val="0041566E"/>
    <w:rsid w:val="00415AB7"/>
    <w:rsid w:val="00422499"/>
    <w:rsid w:val="00422B67"/>
    <w:rsid w:val="0042388D"/>
    <w:rsid w:val="004313F3"/>
    <w:rsid w:val="00431FA3"/>
    <w:rsid w:val="004359B3"/>
    <w:rsid w:val="00436907"/>
    <w:rsid w:val="004412BE"/>
    <w:rsid w:val="00442493"/>
    <w:rsid w:val="00442707"/>
    <w:rsid w:val="00445224"/>
    <w:rsid w:val="004467DE"/>
    <w:rsid w:val="004470D5"/>
    <w:rsid w:val="00447BBF"/>
    <w:rsid w:val="00450345"/>
    <w:rsid w:val="0045348A"/>
    <w:rsid w:val="004539BF"/>
    <w:rsid w:val="00454176"/>
    <w:rsid w:val="004544FE"/>
    <w:rsid w:val="00460615"/>
    <w:rsid w:val="004620CA"/>
    <w:rsid w:val="00463B74"/>
    <w:rsid w:val="004674E7"/>
    <w:rsid w:val="004678D0"/>
    <w:rsid w:val="0047020B"/>
    <w:rsid w:val="00471C14"/>
    <w:rsid w:val="00474B67"/>
    <w:rsid w:val="00476502"/>
    <w:rsid w:val="00476FA9"/>
    <w:rsid w:val="00481734"/>
    <w:rsid w:val="00483F0C"/>
    <w:rsid w:val="00485523"/>
    <w:rsid w:val="00490499"/>
    <w:rsid w:val="00491000"/>
    <w:rsid w:val="00491092"/>
    <w:rsid w:val="004934DE"/>
    <w:rsid w:val="00495286"/>
    <w:rsid w:val="004A041B"/>
    <w:rsid w:val="004A367B"/>
    <w:rsid w:val="004A6585"/>
    <w:rsid w:val="004A68C5"/>
    <w:rsid w:val="004A7090"/>
    <w:rsid w:val="004B1E0A"/>
    <w:rsid w:val="004B3CB5"/>
    <w:rsid w:val="004B4073"/>
    <w:rsid w:val="004B49D0"/>
    <w:rsid w:val="004C31B4"/>
    <w:rsid w:val="004C5A10"/>
    <w:rsid w:val="004C7115"/>
    <w:rsid w:val="004D0E66"/>
    <w:rsid w:val="004D2202"/>
    <w:rsid w:val="004D2737"/>
    <w:rsid w:val="004D2FC0"/>
    <w:rsid w:val="004D5FD5"/>
    <w:rsid w:val="004D77CF"/>
    <w:rsid w:val="004E106C"/>
    <w:rsid w:val="004E178D"/>
    <w:rsid w:val="004E1CDD"/>
    <w:rsid w:val="004E58C7"/>
    <w:rsid w:val="004E5D8A"/>
    <w:rsid w:val="004F0EEB"/>
    <w:rsid w:val="004F38ED"/>
    <w:rsid w:val="004F511C"/>
    <w:rsid w:val="004F5889"/>
    <w:rsid w:val="004F634F"/>
    <w:rsid w:val="004F6C94"/>
    <w:rsid w:val="00501AE7"/>
    <w:rsid w:val="00503522"/>
    <w:rsid w:val="00504804"/>
    <w:rsid w:val="00504998"/>
    <w:rsid w:val="0050654E"/>
    <w:rsid w:val="00506BA7"/>
    <w:rsid w:val="00510F53"/>
    <w:rsid w:val="00511364"/>
    <w:rsid w:val="005150E9"/>
    <w:rsid w:val="005155E4"/>
    <w:rsid w:val="00516CA0"/>
    <w:rsid w:val="00517332"/>
    <w:rsid w:val="0051D94D"/>
    <w:rsid w:val="005226D0"/>
    <w:rsid w:val="00523527"/>
    <w:rsid w:val="0052407F"/>
    <w:rsid w:val="00524340"/>
    <w:rsid w:val="0053604B"/>
    <w:rsid w:val="00540088"/>
    <w:rsid w:val="005406E7"/>
    <w:rsid w:val="0054126D"/>
    <w:rsid w:val="00541ED7"/>
    <w:rsid w:val="00543522"/>
    <w:rsid w:val="00544804"/>
    <w:rsid w:val="00544A80"/>
    <w:rsid w:val="00544EFD"/>
    <w:rsid w:val="005450DB"/>
    <w:rsid w:val="005461AF"/>
    <w:rsid w:val="00546684"/>
    <w:rsid w:val="00547705"/>
    <w:rsid w:val="005506F0"/>
    <w:rsid w:val="0055146F"/>
    <w:rsid w:val="0055220E"/>
    <w:rsid w:val="0055682E"/>
    <w:rsid w:val="00567DD2"/>
    <w:rsid w:val="005709A8"/>
    <w:rsid w:val="0057143E"/>
    <w:rsid w:val="0057533F"/>
    <w:rsid w:val="00577765"/>
    <w:rsid w:val="00580B45"/>
    <w:rsid w:val="005938E9"/>
    <w:rsid w:val="005956F6"/>
    <w:rsid w:val="005971B4"/>
    <w:rsid w:val="005A1FC7"/>
    <w:rsid w:val="005A226C"/>
    <w:rsid w:val="005A4A2A"/>
    <w:rsid w:val="005A55DF"/>
    <w:rsid w:val="005A6F80"/>
    <w:rsid w:val="005A72B9"/>
    <w:rsid w:val="005A734A"/>
    <w:rsid w:val="005A7E49"/>
    <w:rsid w:val="005A7F8C"/>
    <w:rsid w:val="005B0586"/>
    <w:rsid w:val="005B191D"/>
    <w:rsid w:val="005B463C"/>
    <w:rsid w:val="005B6D7F"/>
    <w:rsid w:val="005B79DC"/>
    <w:rsid w:val="005C0FAE"/>
    <w:rsid w:val="005C2CD1"/>
    <w:rsid w:val="005C33CD"/>
    <w:rsid w:val="005C503E"/>
    <w:rsid w:val="005C5418"/>
    <w:rsid w:val="005C6F86"/>
    <w:rsid w:val="005D03C6"/>
    <w:rsid w:val="005D046F"/>
    <w:rsid w:val="005D0941"/>
    <w:rsid w:val="005D34A2"/>
    <w:rsid w:val="005D7BC6"/>
    <w:rsid w:val="005E18BD"/>
    <w:rsid w:val="005E2557"/>
    <w:rsid w:val="005E3824"/>
    <w:rsid w:val="005E4CFD"/>
    <w:rsid w:val="005E6A30"/>
    <w:rsid w:val="005E6A38"/>
    <w:rsid w:val="005E6F1F"/>
    <w:rsid w:val="005E7765"/>
    <w:rsid w:val="005F001D"/>
    <w:rsid w:val="005F02BC"/>
    <w:rsid w:val="005F06B1"/>
    <w:rsid w:val="005F1E1A"/>
    <w:rsid w:val="005F2FB9"/>
    <w:rsid w:val="00601704"/>
    <w:rsid w:val="00602756"/>
    <w:rsid w:val="00602EA6"/>
    <w:rsid w:val="00604314"/>
    <w:rsid w:val="00606817"/>
    <w:rsid w:val="00607638"/>
    <w:rsid w:val="00611197"/>
    <w:rsid w:val="0061204A"/>
    <w:rsid w:val="006127D1"/>
    <w:rsid w:val="00614870"/>
    <w:rsid w:val="0061579D"/>
    <w:rsid w:val="006205A0"/>
    <w:rsid w:val="00620F10"/>
    <w:rsid w:val="00621165"/>
    <w:rsid w:val="00622CA4"/>
    <w:rsid w:val="006246D9"/>
    <w:rsid w:val="006305D6"/>
    <w:rsid w:val="006327D8"/>
    <w:rsid w:val="00633718"/>
    <w:rsid w:val="0063799D"/>
    <w:rsid w:val="006411D5"/>
    <w:rsid w:val="006413D9"/>
    <w:rsid w:val="0064238D"/>
    <w:rsid w:val="006445D8"/>
    <w:rsid w:val="00646739"/>
    <w:rsid w:val="0064699D"/>
    <w:rsid w:val="00653CEE"/>
    <w:rsid w:val="0065741D"/>
    <w:rsid w:val="00658115"/>
    <w:rsid w:val="00660E90"/>
    <w:rsid w:val="0066236C"/>
    <w:rsid w:val="0066268E"/>
    <w:rsid w:val="00663BD9"/>
    <w:rsid w:val="00664A81"/>
    <w:rsid w:val="00670978"/>
    <w:rsid w:val="00671E2F"/>
    <w:rsid w:val="0067267D"/>
    <w:rsid w:val="00677C9F"/>
    <w:rsid w:val="00682382"/>
    <w:rsid w:val="00684787"/>
    <w:rsid w:val="00684D43"/>
    <w:rsid w:val="00684D59"/>
    <w:rsid w:val="00687425"/>
    <w:rsid w:val="00690062"/>
    <w:rsid w:val="00690170"/>
    <w:rsid w:val="00691842"/>
    <w:rsid w:val="0069285C"/>
    <w:rsid w:val="00693916"/>
    <w:rsid w:val="006973AF"/>
    <w:rsid w:val="006A11D3"/>
    <w:rsid w:val="006A29FE"/>
    <w:rsid w:val="006A79E4"/>
    <w:rsid w:val="006B2722"/>
    <w:rsid w:val="006B38A6"/>
    <w:rsid w:val="006B6E53"/>
    <w:rsid w:val="006B789C"/>
    <w:rsid w:val="006C1C2D"/>
    <w:rsid w:val="006C3900"/>
    <w:rsid w:val="006C516E"/>
    <w:rsid w:val="006C6AE3"/>
    <w:rsid w:val="006D1608"/>
    <w:rsid w:val="006D4081"/>
    <w:rsid w:val="006D7E6B"/>
    <w:rsid w:val="006D7EBD"/>
    <w:rsid w:val="006E124E"/>
    <w:rsid w:val="006E1628"/>
    <w:rsid w:val="006E29AE"/>
    <w:rsid w:val="006E3A30"/>
    <w:rsid w:val="006E43B5"/>
    <w:rsid w:val="006E474B"/>
    <w:rsid w:val="006E67F8"/>
    <w:rsid w:val="006F033B"/>
    <w:rsid w:val="006F4DD5"/>
    <w:rsid w:val="006F53C4"/>
    <w:rsid w:val="006F5F22"/>
    <w:rsid w:val="006F77E8"/>
    <w:rsid w:val="007037B5"/>
    <w:rsid w:val="0070504D"/>
    <w:rsid w:val="0070559E"/>
    <w:rsid w:val="00706691"/>
    <w:rsid w:val="00707BEC"/>
    <w:rsid w:val="007127B3"/>
    <w:rsid w:val="00713EC1"/>
    <w:rsid w:val="00720EAA"/>
    <w:rsid w:val="007211EB"/>
    <w:rsid w:val="0072128B"/>
    <w:rsid w:val="00721591"/>
    <w:rsid w:val="00722765"/>
    <w:rsid w:val="00722EE4"/>
    <w:rsid w:val="007235DD"/>
    <w:rsid w:val="00724607"/>
    <w:rsid w:val="00734B0D"/>
    <w:rsid w:val="0073638C"/>
    <w:rsid w:val="00737E29"/>
    <w:rsid w:val="00740805"/>
    <w:rsid w:val="00741423"/>
    <w:rsid w:val="00742440"/>
    <w:rsid w:val="00743512"/>
    <w:rsid w:val="00743E88"/>
    <w:rsid w:val="00744551"/>
    <w:rsid w:val="00745398"/>
    <w:rsid w:val="00745DAE"/>
    <w:rsid w:val="0074746D"/>
    <w:rsid w:val="00754A48"/>
    <w:rsid w:val="0075679A"/>
    <w:rsid w:val="0076100B"/>
    <w:rsid w:val="00763186"/>
    <w:rsid w:val="007632E2"/>
    <w:rsid w:val="00765353"/>
    <w:rsid w:val="00771E52"/>
    <w:rsid w:val="00772B29"/>
    <w:rsid w:val="0077326E"/>
    <w:rsid w:val="00774FE6"/>
    <w:rsid w:val="0077756C"/>
    <w:rsid w:val="00777D93"/>
    <w:rsid w:val="007836C7"/>
    <w:rsid w:val="00786C3C"/>
    <w:rsid w:val="00787BE2"/>
    <w:rsid w:val="00787D44"/>
    <w:rsid w:val="00792B52"/>
    <w:rsid w:val="00793028"/>
    <w:rsid w:val="007933E7"/>
    <w:rsid w:val="00793935"/>
    <w:rsid w:val="0079781A"/>
    <w:rsid w:val="00797E83"/>
    <w:rsid w:val="007A0740"/>
    <w:rsid w:val="007A3325"/>
    <w:rsid w:val="007A4B15"/>
    <w:rsid w:val="007A4F3C"/>
    <w:rsid w:val="007A6729"/>
    <w:rsid w:val="007A6ED2"/>
    <w:rsid w:val="007B24F7"/>
    <w:rsid w:val="007B360A"/>
    <w:rsid w:val="007B3B6C"/>
    <w:rsid w:val="007B5FFD"/>
    <w:rsid w:val="007B7EE6"/>
    <w:rsid w:val="007C1659"/>
    <w:rsid w:val="007C16AC"/>
    <w:rsid w:val="007C16EA"/>
    <w:rsid w:val="007C1877"/>
    <w:rsid w:val="007C1B33"/>
    <w:rsid w:val="007C2FFA"/>
    <w:rsid w:val="007C6CE4"/>
    <w:rsid w:val="007D1D64"/>
    <w:rsid w:val="007D30B9"/>
    <w:rsid w:val="007D6095"/>
    <w:rsid w:val="007D6C3D"/>
    <w:rsid w:val="007E06F9"/>
    <w:rsid w:val="007E12F5"/>
    <w:rsid w:val="007E2A2A"/>
    <w:rsid w:val="007E3686"/>
    <w:rsid w:val="007E3F3C"/>
    <w:rsid w:val="007E677F"/>
    <w:rsid w:val="007F123D"/>
    <w:rsid w:val="007F139E"/>
    <w:rsid w:val="007F2B57"/>
    <w:rsid w:val="007F3750"/>
    <w:rsid w:val="007F641D"/>
    <w:rsid w:val="00800C57"/>
    <w:rsid w:val="00801D81"/>
    <w:rsid w:val="008029BC"/>
    <w:rsid w:val="00807A14"/>
    <w:rsid w:val="00811D8C"/>
    <w:rsid w:val="00812900"/>
    <w:rsid w:val="0082093B"/>
    <w:rsid w:val="008235BA"/>
    <w:rsid w:val="00826C33"/>
    <w:rsid w:val="008278E6"/>
    <w:rsid w:val="00830760"/>
    <w:rsid w:val="00830B68"/>
    <w:rsid w:val="00830D08"/>
    <w:rsid w:val="00833753"/>
    <w:rsid w:val="0083416A"/>
    <w:rsid w:val="008347A6"/>
    <w:rsid w:val="00837CA7"/>
    <w:rsid w:val="008401D7"/>
    <w:rsid w:val="00841817"/>
    <w:rsid w:val="00842C58"/>
    <w:rsid w:val="00844649"/>
    <w:rsid w:val="00844E1E"/>
    <w:rsid w:val="00845482"/>
    <w:rsid w:val="00847E21"/>
    <w:rsid w:val="0085054E"/>
    <w:rsid w:val="008507F1"/>
    <w:rsid w:val="00852DC9"/>
    <w:rsid w:val="00852FDD"/>
    <w:rsid w:val="00854197"/>
    <w:rsid w:val="008543EE"/>
    <w:rsid w:val="008545EA"/>
    <w:rsid w:val="00857A02"/>
    <w:rsid w:val="0086052D"/>
    <w:rsid w:val="00860B15"/>
    <w:rsid w:val="00862059"/>
    <w:rsid w:val="008628EF"/>
    <w:rsid w:val="0086548F"/>
    <w:rsid w:val="0086591E"/>
    <w:rsid w:val="00865B2F"/>
    <w:rsid w:val="008667C3"/>
    <w:rsid w:val="00867777"/>
    <w:rsid w:val="008686FD"/>
    <w:rsid w:val="00872F0F"/>
    <w:rsid w:val="00876BEE"/>
    <w:rsid w:val="0088171C"/>
    <w:rsid w:val="00885BB9"/>
    <w:rsid w:val="00886ED6"/>
    <w:rsid w:val="00890E9F"/>
    <w:rsid w:val="00894DAE"/>
    <w:rsid w:val="00896118"/>
    <w:rsid w:val="0089618B"/>
    <w:rsid w:val="00896F08"/>
    <w:rsid w:val="008A0A6D"/>
    <w:rsid w:val="008A7C18"/>
    <w:rsid w:val="008B1D52"/>
    <w:rsid w:val="008B2EE1"/>
    <w:rsid w:val="008B5993"/>
    <w:rsid w:val="008B768A"/>
    <w:rsid w:val="008C15F7"/>
    <w:rsid w:val="008C1833"/>
    <w:rsid w:val="008C44D8"/>
    <w:rsid w:val="008C4C05"/>
    <w:rsid w:val="008D1F49"/>
    <w:rsid w:val="008D3049"/>
    <w:rsid w:val="008D4618"/>
    <w:rsid w:val="008D485E"/>
    <w:rsid w:val="008D4919"/>
    <w:rsid w:val="008E05C3"/>
    <w:rsid w:val="008E4EA6"/>
    <w:rsid w:val="008F16F3"/>
    <w:rsid w:val="008F1EE8"/>
    <w:rsid w:val="008F24AA"/>
    <w:rsid w:val="008F56A7"/>
    <w:rsid w:val="008F57B0"/>
    <w:rsid w:val="008F7404"/>
    <w:rsid w:val="00902248"/>
    <w:rsid w:val="0090343C"/>
    <w:rsid w:val="009148E4"/>
    <w:rsid w:val="00916E04"/>
    <w:rsid w:val="00917CBB"/>
    <w:rsid w:val="00920D19"/>
    <w:rsid w:val="00921304"/>
    <w:rsid w:val="009218DF"/>
    <w:rsid w:val="009219A5"/>
    <w:rsid w:val="00926C27"/>
    <w:rsid w:val="00933399"/>
    <w:rsid w:val="00933866"/>
    <w:rsid w:val="009351E1"/>
    <w:rsid w:val="00935B60"/>
    <w:rsid w:val="0093682C"/>
    <w:rsid w:val="00937B00"/>
    <w:rsid w:val="0094038E"/>
    <w:rsid w:val="00940993"/>
    <w:rsid w:val="00944AAC"/>
    <w:rsid w:val="00945233"/>
    <w:rsid w:val="00945443"/>
    <w:rsid w:val="00945C47"/>
    <w:rsid w:val="009461AB"/>
    <w:rsid w:val="0094660C"/>
    <w:rsid w:val="00946656"/>
    <w:rsid w:val="009501F4"/>
    <w:rsid w:val="009509BF"/>
    <w:rsid w:val="00953846"/>
    <w:rsid w:val="00954C0D"/>
    <w:rsid w:val="00957503"/>
    <w:rsid w:val="00964881"/>
    <w:rsid w:val="00964968"/>
    <w:rsid w:val="0096698B"/>
    <w:rsid w:val="00970C20"/>
    <w:rsid w:val="00975DCB"/>
    <w:rsid w:val="00980883"/>
    <w:rsid w:val="0098153F"/>
    <w:rsid w:val="00983600"/>
    <w:rsid w:val="00984441"/>
    <w:rsid w:val="009907AD"/>
    <w:rsid w:val="00990DB5"/>
    <w:rsid w:val="0099138D"/>
    <w:rsid w:val="00995F8D"/>
    <w:rsid w:val="00997F6B"/>
    <w:rsid w:val="009A10CA"/>
    <w:rsid w:val="009A21DB"/>
    <w:rsid w:val="009A2822"/>
    <w:rsid w:val="009A3768"/>
    <w:rsid w:val="009A3859"/>
    <w:rsid w:val="009A40FC"/>
    <w:rsid w:val="009A49D1"/>
    <w:rsid w:val="009A5B7B"/>
    <w:rsid w:val="009A5DC8"/>
    <w:rsid w:val="009A7D7F"/>
    <w:rsid w:val="009B1315"/>
    <w:rsid w:val="009B3D65"/>
    <w:rsid w:val="009B5FDF"/>
    <w:rsid w:val="009B76A4"/>
    <w:rsid w:val="009C3A94"/>
    <w:rsid w:val="009C4054"/>
    <w:rsid w:val="009C7A68"/>
    <w:rsid w:val="009C7D75"/>
    <w:rsid w:val="009D157A"/>
    <w:rsid w:val="009D1EEF"/>
    <w:rsid w:val="009D28E4"/>
    <w:rsid w:val="009D570A"/>
    <w:rsid w:val="009D5DB7"/>
    <w:rsid w:val="009D63B7"/>
    <w:rsid w:val="009E0269"/>
    <w:rsid w:val="009E0664"/>
    <w:rsid w:val="009E0C5F"/>
    <w:rsid w:val="009E1EAF"/>
    <w:rsid w:val="009E2C55"/>
    <w:rsid w:val="009E3F6E"/>
    <w:rsid w:val="009E520E"/>
    <w:rsid w:val="009F0E6A"/>
    <w:rsid w:val="009F111B"/>
    <w:rsid w:val="009F21B4"/>
    <w:rsid w:val="009F2457"/>
    <w:rsid w:val="009F3C86"/>
    <w:rsid w:val="009F410E"/>
    <w:rsid w:val="009F4EEB"/>
    <w:rsid w:val="009F5370"/>
    <w:rsid w:val="009F5710"/>
    <w:rsid w:val="009F6680"/>
    <w:rsid w:val="009F6766"/>
    <w:rsid w:val="00A00F6B"/>
    <w:rsid w:val="00A02E96"/>
    <w:rsid w:val="00A04016"/>
    <w:rsid w:val="00A05000"/>
    <w:rsid w:val="00A07AD8"/>
    <w:rsid w:val="00A10BDB"/>
    <w:rsid w:val="00A13A6C"/>
    <w:rsid w:val="00A16BAF"/>
    <w:rsid w:val="00A20657"/>
    <w:rsid w:val="00A274D0"/>
    <w:rsid w:val="00A27AEA"/>
    <w:rsid w:val="00A309EF"/>
    <w:rsid w:val="00A4431C"/>
    <w:rsid w:val="00A46E61"/>
    <w:rsid w:val="00A51066"/>
    <w:rsid w:val="00A5180C"/>
    <w:rsid w:val="00A5180E"/>
    <w:rsid w:val="00A61F74"/>
    <w:rsid w:val="00A62244"/>
    <w:rsid w:val="00A62D44"/>
    <w:rsid w:val="00A64025"/>
    <w:rsid w:val="00A644D6"/>
    <w:rsid w:val="00A65DD7"/>
    <w:rsid w:val="00A702AB"/>
    <w:rsid w:val="00A7122A"/>
    <w:rsid w:val="00A712B0"/>
    <w:rsid w:val="00A720C6"/>
    <w:rsid w:val="00A77681"/>
    <w:rsid w:val="00A77F12"/>
    <w:rsid w:val="00A8023B"/>
    <w:rsid w:val="00A804E0"/>
    <w:rsid w:val="00A8172F"/>
    <w:rsid w:val="00A82672"/>
    <w:rsid w:val="00A833A0"/>
    <w:rsid w:val="00A8530A"/>
    <w:rsid w:val="00A86616"/>
    <w:rsid w:val="00A871E2"/>
    <w:rsid w:val="00A90165"/>
    <w:rsid w:val="00A90E30"/>
    <w:rsid w:val="00A9296F"/>
    <w:rsid w:val="00A95D0D"/>
    <w:rsid w:val="00AA0738"/>
    <w:rsid w:val="00AA093B"/>
    <w:rsid w:val="00AA28F1"/>
    <w:rsid w:val="00AA2943"/>
    <w:rsid w:val="00AA2F35"/>
    <w:rsid w:val="00AA3265"/>
    <w:rsid w:val="00AA718D"/>
    <w:rsid w:val="00AA748E"/>
    <w:rsid w:val="00AA7917"/>
    <w:rsid w:val="00AB0D0F"/>
    <w:rsid w:val="00AB3249"/>
    <w:rsid w:val="00AB493F"/>
    <w:rsid w:val="00AB4E1E"/>
    <w:rsid w:val="00AB4F81"/>
    <w:rsid w:val="00AC0B29"/>
    <w:rsid w:val="00AC11A5"/>
    <w:rsid w:val="00AC1DE0"/>
    <w:rsid w:val="00AC207E"/>
    <w:rsid w:val="00AC7590"/>
    <w:rsid w:val="00AD03E3"/>
    <w:rsid w:val="00AD3890"/>
    <w:rsid w:val="00AD50F1"/>
    <w:rsid w:val="00AE4AA8"/>
    <w:rsid w:val="00AE4FF6"/>
    <w:rsid w:val="00AE696A"/>
    <w:rsid w:val="00AE747A"/>
    <w:rsid w:val="00AF1FFA"/>
    <w:rsid w:val="00AF335B"/>
    <w:rsid w:val="00AF5AC4"/>
    <w:rsid w:val="00B005F2"/>
    <w:rsid w:val="00B030CD"/>
    <w:rsid w:val="00B038F0"/>
    <w:rsid w:val="00B063C1"/>
    <w:rsid w:val="00B06671"/>
    <w:rsid w:val="00B105E3"/>
    <w:rsid w:val="00B17FA9"/>
    <w:rsid w:val="00B23823"/>
    <w:rsid w:val="00B24294"/>
    <w:rsid w:val="00B24E2B"/>
    <w:rsid w:val="00B26377"/>
    <w:rsid w:val="00B31A88"/>
    <w:rsid w:val="00B34EB5"/>
    <w:rsid w:val="00B36A09"/>
    <w:rsid w:val="00B36D62"/>
    <w:rsid w:val="00B36EDE"/>
    <w:rsid w:val="00B3754B"/>
    <w:rsid w:val="00B43298"/>
    <w:rsid w:val="00B442D1"/>
    <w:rsid w:val="00B448EA"/>
    <w:rsid w:val="00B53ABD"/>
    <w:rsid w:val="00B54E1D"/>
    <w:rsid w:val="00B552D8"/>
    <w:rsid w:val="00B55444"/>
    <w:rsid w:val="00B60C14"/>
    <w:rsid w:val="00B61F4A"/>
    <w:rsid w:val="00B63E5C"/>
    <w:rsid w:val="00B64337"/>
    <w:rsid w:val="00B67C66"/>
    <w:rsid w:val="00B6E0F1"/>
    <w:rsid w:val="00B74143"/>
    <w:rsid w:val="00B74AA6"/>
    <w:rsid w:val="00B75948"/>
    <w:rsid w:val="00B75A12"/>
    <w:rsid w:val="00B75FD7"/>
    <w:rsid w:val="00B777A5"/>
    <w:rsid w:val="00B77B92"/>
    <w:rsid w:val="00B8304F"/>
    <w:rsid w:val="00B837ED"/>
    <w:rsid w:val="00B85D84"/>
    <w:rsid w:val="00B864D2"/>
    <w:rsid w:val="00B8E0E6"/>
    <w:rsid w:val="00B93452"/>
    <w:rsid w:val="00B95AD0"/>
    <w:rsid w:val="00B9789B"/>
    <w:rsid w:val="00BA0C2B"/>
    <w:rsid w:val="00BA109E"/>
    <w:rsid w:val="00BA562D"/>
    <w:rsid w:val="00BA5F75"/>
    <w:rsid w:val="00BA77D1"/>
    <w:rsid w:val="00BA78F0"/>
    <w:rsid w:val="00BA79FC"/>
    <w:rsid w:val="00BB008B"/>
    <w:rsid w:val="00BB1765"/>
    <w:rsid w:val="00BB3220"/>
    <w:rsid w:val="00BB4E7C"/>
    <w:rsid w:val="00BB4FF2"/>
    <w:rsid w:val="00BB690D"/>
    <w:rsid w:val="00BB709F"/>
    <w:rsid w:val="00BB7139"/>
    <w:rsid w:val="00BC150B"/>
    <w:rsid w:val="00BC184B"/>
    <w:rsid w:val="00BC5958"/>
    <w:rsid w:val="00BD11E8"/>
    <w:rsid w:val="00BD35C3"/>
    <w:rsid w:val="00BD3921"/>
    <w:rsid w:val="00BD5DE7"/>
    <w:rsid w:val="00BD6E83"/>
    <w:rsid w:val="00BE2E42"/>
    <w:rsid w:val="00BE5B53"/>
    <w:rsid w:val="00BE77A2"/>
    <w:rsid w:val="00BE7CA8"/>
    <w:rsid w:val="00BF52F6"/>
    <w:rsid w:val="00BF5A99"/>
    <w:rsid w:val="00BF633B"/>
    <w:rsid w:val="00C01E12"/>
    <w:rsid w:val="00C02966"/>
    <w:rsid w:val="00C031D4"/>
    <w:rsid w:val="00C079ED"/>
    <w:rsid w:val="00C10E33"/>
    <w:rsid w:val="00C176D4"/>
    <w:rsid w:val="00C2017E"/>
    <w:rsid w:val="00C211EB"/>
    <w:rsid w:val="00C226DA"/>
    <w:rsid w:val="00C22C27"/>
    <w:rsid w:val="00C26179"/>
    <w:rsid w:val="00C279F9"/>
    <w:rsid w:val="00C318F2"/>
    <w:rsid w:val="00C34E5E"/>
    <w:rsid w:val="00C35D1A"/>
    <w:rsid w:val="00C37717"/>
    <w:rsid w:val="00C42D09"/>
    <w:rsid w:val="00C4359E"/>
    <w:rsid w:val="00C43B89"/>
    <w:rsid w:val="00C45AD9"/>
    <w:rsid w:val="00C4710C"/>
    <w:rsid w:val="00C47457"/>
    <w:rsid w:val="00C47C4D"/>
    <w:rsid w:val="00C503E2"/>
    <w:rsid w:val="00C511AC"/>
    <w:rsid w:val="00C53482"/>
    <w:rsid w:val="00C54643"/>
    <w:rsid w:val="00C56BD6"/>
    <w:rsid w:val="00C62527"/>
    <w:rsid w:val="00C63A31"/>
    <w:rsid w:val="00C64A62"/>
    <w:rsid w:val="00C66209"/>
    <w:rsid w:val="00C67FEB"/>
    <w:rsid w:val="00C7731C"/>
    <w:rsid w:val="00C948B9"/>
    <w:rsid w:val="00CB0677"/>
    <w:rsid w:val="00CB2356"/>
    <w:rsid w:val="00CB2873"/>
    <w:rsid w:val="00CB297E"/>
    <w:rsid w:val="00CB2D92"/>
    <w:rsid w:val="00CB3E4F"/>
    <w:rsid w:val="00CB4ACE"/>
    <w:rsid w:val="00CB5812"/>
    <w:rsid w:val="00CB6BDB"/>
    <w:rsid w:val="00CC748B"/>
    <w:rsid w:val="00CC7A13"/>
    <w:rsid w:val="00CD1CE9"/>
    <w:rsid w:val="00CD345E"/>
    <w:rsid w:val="00CD542E"/>
    <w:rsid w:val="00CD6DC6"/>
    <w:rsid w:val="00CDB43B"/>
    <w:rsid w:val="00CE0D99"/>
    <w:rsid w:val="00CE16B1"/>
    <w:rsid w:val="00CE1C67"/>
    <w:rsid w:val="00CE1D43"/>
    <w:rsid w:val="00CE2B12"/>
    <w:rsid w:val="00CE4911"/>
    <w:rsid w:val="00CE52AF"/>
    <w:rsid w:val="00CE6B27"/>
    <w:rsid w:val="00CE7CC3"/>
    <w:rsid w:val="00CF2784"/>
    <w:rsid w:val="00CF2C0B"/>
    <w:rsid w:val="00CF510E"/>
    <w:rsid w:val="00CF51DB"/>
    <w:rsid w:val="00CF56EE"/>
    <w:rsid w:val="00CF64C0"/>
    <w:rsid w:val="00CF6E97"/>
    <w:rsid w:val="00D0169D"/>
    <w:rsid w:val="00D0183B"/>
    <w:rsid w:val="00D01BA3"/>
    <w:rsid w:val="00D024B7"/>
    <w:rsid w:val="00D0302B"/>
    <w:rsid w:val="00D0727C"/>
    <w:rsid w:val="00D13634"/>
    <w:rsid w:val="00D14380"/>
    <w:rsid w:val="00D16189"/>
    <w:rsid w:val="00D16B49"/>
    <w:rsid w:val="00D21210"/>
    <w:rsid w:val="00D21563"/>
    <w:rsid w:val="00D2330D"/>
    <w:rsid w:val="00D259D3"/>
    <w:rsid w:val="00D263F9"/>
    <w:rsid w:val="00D2658F"/>
    <w:rsid w:val="00D319E3"/>
    <w:rsid w:val="00D404AC"/>
    <w:rsid w:val="00D41AF0"/>
    <w:rsid w:val="00D421A3"/>
    <w:rsid w:val="00D42F7D"/>
    <w:rsid w:val="00D43DC2"/>
    <w:rsid w:val="00D45236"/>
    <w:rsid w:val="00D5284F"/>
    <w:rsid w:val="00D53E93"/>
    <w:rsid w:val="00D55344"/>
    <w:rsid w:val="00D56ED4"/>
    <w:rsid w:val="00D60353"/>
    <w:rsid w:val="00D624D4"/>
    <w:rsid w:val="00D63C20"/>
    <w:rsid w:val="00D642F0"/>
    <w:rsid w:val="00D649ED"/>
    <w:rsid w:val="00D6515D"/>
    <w:rsid w:val="00D67FDD"/>
    <w:rsid w:val="00D73C2E"/>
    <w:rsid w:val="00D73C4B"/>
    <w:rsid w:val="00D7442D"/>
    <w:rsid w:val="00D8069B"/>
    <w:rsid w:val="00D806F3"/>
    <w:rsid w:val="00D80C6C"/>
    <w:rsid w:val="00D81013"/>
    <w:rsid w:val="00D843A7"/>
    <w:rsid w:val="00D912F8"/>
    <w:rsid w:val="00D91A1B"/>
    <w:rsid w:val="00D92A45"/>
    <w:rsid w:val="00D92F67"/>
    <w:rsid w:val="00D940B2"/>
    <w:rsid w:val="00D975E5"/>
    <w:rsid w:val="00D97CBD"/>
    <w:rsid w:val="00DA0587"/>
    <w:rsid w:val="00DA0813"/>
    <w:rsid w:val="00DA1CDD"/>
    <w:rsid w:val="00DA3A87"/>
    <w:rsid w:val="00DA3CC6"/>
    <w:rsid w:val="00DA651F"/>
    <w:rsid w:val="00DA6B40"/>
    <w:rsid w:val="00DB3B57"/>
    <w:rsid w:val="00DB4AAF"/>
    <w:rsid w:val="00DC66C8"/>
    <w:rsid w:val="00DC74A0"/>
    <w:rsid w:val="00DD1095"/>
    <w:rsid w:val="00DD177F"/>
    <w:rsid w:val="00DD2003"/>
    <w:rsid w:val="00DD4663"/>
    <w:rsid w:val="00DE0062"/>
    <w:rsid w:val="00DE0FE7"/>
    <w:rsid w:val="00DE284E"/>
    <w:rsid w:val="00DE352C"/>
    <w:rsid w:val="00DE778A"/>
    <w:rsid w:val="00DF088F"/>
    <w:rsid w:val="00DF096F"/>
    <w:rsid w:val="00DF409F"/>
    <w:rsid w:val="00DF46ED"/>
    <w:rsid w:val="00DF688A"/>
    <w:rsid w:val="00DF7330"/>
    <w:rsid w:val="00DF7D96"/>
    <w:rsid w:val="00E017E0"/>
    <w:rsid w:val="00E02281"/>
    <w:rsid w:val="00E027E1"/>
    <w:rsid w:val="00E0710C"/>
    <w:rsid w:val="00E10276"/>
    <w:rsid w:val="00E120B8"/>
    <w:rsid w:val="00E126A5"/>
    <w:rsid w:val="00E15460"/>
    <w:rsid w:val="00E17E10"/>
    <w:rsid w:val="00E20EAB"/>
    <w:rsid w:val="00E2132E"/>
    <w:rsid w:val="00E218D2"/>
    <w:rsid w:val="00E23E7F"/>
    <w:rsid w:val="00E2774B"/>
    <w:rsid w:val="00E33B64"/>
    <w:rsid w:val="00E3492B"/>
    <w:rsid w:val="00E35F1E"/>
    <w:rsid w:val="00E46EFF"/>
    <w:rsid w:val="00E500CC"/>
    <w:rsid w:val="00E51799"/>
    <w:rsid w:val="00E52F06"/>
    <w:rsid w:val="00E5453D"/>
    <w:rsid w:val="00E56421"/>
    <w:rsid w:val="00E60449"/>
    <w:rsid w:val="00E6044C"/>
    <w:rsid w:val="00E611F0"/>
    <w:rsid w:val="00E61352"/>
    <w:rsid w:val="00E6282A"/>
    <w:rsid w:val="00E64702"/>
    <w:rsid w:val="00E65991"/>
    <w:rsid w:val="00E65D18"/>
    <w:rsid w:val="00E71F29"/>
    <w:rsid w:val="00E75E63"/>
    <w:rsid w:val="00E811D7"/>
    <w:rsid w:val="00E822C3"/>
    <w:rsid w:val="00E82972"/>
    <w:rsid w:val="00E82E9A"/>
    <w:rsid w:val="00E844D7"/>
    <w:rsid w:val="00E90934"/>
    <w:rsid w:val="00E93CD4"/>
    <w:rsid w:val="00E9482C"/>
    <w:rsid w:val="00E9486F"/>
    <w:rsid w:val="00E97002"/>
    <w:rsid w:val="00EB6A77"/>
    <w:rsid w:val="00EB7471"/>
    <w:rsid w:val="00EC0669"/>
    <w:rsid w:val="00EC1E4B"/>
    <w:rsid w:val="00EC2CDA"/>
    <w:rsid w:val="00ED0BB2"/>
    <w:rsid w:val="00ED0F4B"/>
    <w:rsid w:val="00ED20C8"/>
    <w:rsid w:val="00ED2A4D"/>
    <w:rsid w:val="00ED2F58"/>
    <w:rsid w:val="00ED313F"/>
    <w:rsid w:val="00ED3EFC"/>
    <w:rsid w:val="00ED5FD4"/>
    <w:rsid w:val="00ED6321"/>
    <w:rsid w:val="00ED6329"/>
    <w:rsid w:val="00ED6730"/>
    <w:rsid w:val="00EE208F"/>
    <w:rsid w:val="00EE239B"/>
    <w:rsid w:val="00EE57BB"/>
    <w:rsid w:val="00EE5E16"/>
    <w:rsid w:val="00EE6525"/>
    <w:rsid w:val="00EF122C"/>
    <w:rsid w:val="00EF26ED"/>
    <w:rsid w:val="00EF6089"/>
    <w:rsid w:val="00EF7DA5"/>
    <w:rsid w:val="00F013F9"/>
    <w:rsid w:val="00F02DD1"/>
    <w:rsid w:val="00F05E5D"/>
    <w:rsid w:val="00F11340"/>
    <w:rsid w:val="00F13759"/>
    <w:rsid w:val="00F14330"/>
    <w:rsid w:val="00F148F0"/>
    <w:rsid w:val="00F14906"/>
    <w:rsid w:val="00F165EB"/>
    <w:rsid w:val="00F2127D"/>
    <w:rsid w:val="00F228CD"/>
    <w:rsid w:val="00F2317F"/>
    <w:rsid w:val="00F23D38"/>
    <w:rsid w:val="00F27740"/>
    <w:rsid w:val="00F27939"/>
    <w:rsid w:val="00F30D4E"/>
    <w:rsid w:val="00F32C0C"/>
    <w:rsid w:val="00F33B09"/>
    <w:rsid w:val="00F351B8"/>
    <w:rsid w:val="00F366CC"/>
    <w:rsid w:val="00F40F1D"/>
    <w:rsid w:val="00F41958"/>
    <w:rsid w:val="00F42024"/>
    <w:rsid w:val="00F4339B"/>
    <w:rsid w:val="00F43F07"/>
    <w:rsid w:val="00F452F4"/>
    <w:rsid w:val="00F4572C"/>
    <w:rsid w:val="00F5568E"/>
    <w:rsid w:val="00F56493"/>
    <w:rsid w:val="00F567BE"/>
    <w:rsid w:val="00F61437"/>
    <w:rsid w:val="00F61A33"/>
    <w:rsid w:val="00F63041"/>
    <w:rsid w:val="00F6317B"/>
    <w:rsid w:val="00F65E82"/>
    <w:rsid w:val="00F72948"/>
    <w:rsid w:val="00F73419"/>
    <w:rsid w:val="00F75EEE"/>
    <w:rsid w:val="00F77B69"/>
    <w:rsid w:val="00F820F5"/>
    <w:rsid w:val="00F82EA7"/>
    <w:rsid w:val="00F82F28"/>
    <w:rsid w:val="00F84D27"/>
    <w:rsid w:val="00F85248"/>
    <w:rsid w:val="00F86709"/>
    <w:rsid w:val="00F91680"/>
    <w:rsid w:val="00F918C4"/>
    <w:rsid w:val="00F91B0C"/>
    <w:rsid w:val="00F937AC"/>
    <w:rsid w:val="00F9469B"/>
    <w:rsid w:val="00F97436"/>
    <w:rsid w:val="00FA0609"/>
    <w:rsid w:val="00FA06DF"/>
    <w:rsid w:val="00FA0E07"/>
    <w:rsid w:val="00FA2BA0"/>
    <w:rsid w:val="00FA2E41"/>
    <w:rsid w:val="00FA61B7"/>
    <w:rsid w:val="00FB15F7"/>
    <w:rsid w:val="00FB2415"/>
    <w:rsid w:val="00FB4942"/>
    <w:rsid w:val="00FB73E9"/>
    <w:rsid w:val="00FB75B2"/>
    <w:rsid w:val="00FB7F58"/>
    <w:rsid w:val="00FC0DFF"/>
    <w:rsid w:val="00FC1247"/>
    <w:rsid w:val="00FC16A6"/>
    <w:rsid w:val="00FC54CE"/>
    <w:rsid w:val="00FD159B"/>
    <w:rsid w:val="00FD175B"/>
    <w:rsid w:val="00FD1A86"/>
    <w:rsid w:val="00FD4A77"/>
    <w:rsid w:val="00FD4CDB"/>
    <w:rsid w:val="00FD5A13"/>
    <w:rsid w:val="00FE0B59"/>
    <w:rsid w:val="00FE19C2"/>
    <w:rsid w:val="00FE2105"/>
    <w:rsid w:val="00FE2180"/>
    <w:rsid w:val="00FE26D6"/>
    <w:rsid w:val="00FE5086"/>
    <w:rsid w:val="00FE585B"/>
    <w:rsid w:val="00FE5B67"/>
    <w:rsid w:val="00FE6976"/>
    <w:rsid w:val="00FE749B"/>
    <w:rsid w:val="00FE74A2"/>
    <w:rsid w:val="00FE7C1E"/>
    <w:rsid w:val="00FF2215"/>
    <w:rsid w:val="00FF234A"/>
    <w:rsid w:val="010F3B8B"/>
    <w:rsid w:val="01187D15"/>
    <w:rsid w:val="012FCA5C"/>
    <w:rsid w:val="014426EB"/>
    <w:rsid w:val="014D0DA9"/>
    <w:rsid w:val="014E4250"/>
    <w:rsid w:val="016E7A31"/>
    <w:rsid w:val="0173DA86"/>
    <w:rsid w:val="01A64D4F"/>
    <w:rsid w:val="01EFB6C3"/>
    <w:rsid w:val="01F41412"/>
    <w:rsid w:val="02067650"/>
    <w:rsid w:val="0223F1FC"/>
    <w:rsid w:val="02399993"/>
    <w:rsid w:val="024BC7CA"/>
    <w:rsid w:val="024C16FF"/>
    <w:rsid w:val="0278D667"/>
    <w:rsid w:val="0279525E"/>
    <w:rsid w:val="029BA167"/>
    <w:rsid w:val="02A6035D"/>
    <w:rsid w:val="02B27481"/>
    <w:rsid w:val="02E085A6"/>
    <w:rsid w:val="030A022F"/>
    <w:rsid w:val="030F3910"/>
    <w:rsid w:val="030F5BC1"/>
    <w:rsid w:val="0339C94A"/>
    <w:rsid w:val="033D41A7"/>
    <w:rsid w:val="03563AB5"/>
    <w:rsid w:val="036C58A5"/>
    <w:rsid w:val="036E874C"/>
    <w:rsid w:val="03944324"/>
    <w:rsid w:val="03959878"/>
    <w:rsid w:val="03961A91"/>
    <w:rsid w:val="039B0222"/>
    <w:rsid w:val="039F9132"/>
    <w:rsid w:val="03D36D08"/>
    <w:rsid w:val="03DA9D06"/>
    <w:rsid w:val="03F01F0D"/>
    <w:rsid w:val="0424538A"/>
    <w:rsid w:val="0450DD6C"/>
    <w:rsid w:val="046619C9"/>
    <w:rsid w:val="046E6297"/>
    <w:rsid w:val="047ADCF5"/>
    <w:rsid w:val="047BEDC8"/>
    <w:rsid w:val="047CB6A7"/>
    <w:rsid w:val="047E0562"/>
    <w:rsid w:val="0481EA4B"/>
    <w:rsid w:val="048682E6"/>
    <w:rsid w:val="048D72A0"/>
    <w:rsid w:val="04A47E10"/>
    <w:rsid w:val="04B531F0"/>
    <w:rsid w:val="04C4414A"/>
    <w:rsid w:val="04C4AB8D"/>
    <w:rsid w:val="04CBD1F7"/>
    <w:rsid w:val="0503050E"/>
    <w:rsid w:val="05074318"/>
    <w:rsid w:val="0512B687"/>
    <w:rsid w:val="051C2740"/>
    <w:rsid w:val="051C37EF"/>
    <w:rsid w:val="053176E2"/>
    <w:rsid w:val="05338FFA"/>
    <w:rsid w:val="055811FF"/>
    <w:rsid w:val="0568DB13"/>
    <w:rsid w:val="0574ACA5"/>
    <w:rsid w:val="05B347D6"/>
    <w:rsid w:val="05CED3B7"/>
    <w:rsid w:val="05E47578"/>
    <w:rsid w:val="05FE0069"/>
    <w:rsid w:val="060E0266"/>
    <w:rsid w:val="065066C2"/>
    <w:rsid w:val="0651492B"/>
    <w:rsid w:val="0671C9A9"/>
    <w:rsid w:val="06839899"/>
    <w:rsid w:val="068BB1CF"/>
    <w:rsid w:val="068E9F29"/>
    <w:rsid w:val="06B61B61"/>
    <w:rsid w:val="06C0CCBB"/>
    <w:rsid w:val="06C3EC0B"/>
    <w:rsid w:val="06D12921"/>
    <w:rsid w:val="06E080C4"/>
    <w:rsid w:val="06FFC4AE"/>
    <w:rsid w:val="07030DE2"/>
    <w:rsid w:val="07543018"/>
    <w:rsid w:val="075E0E61"/>
    <w:rsid w:val="0778DBE1"/>
    <w:rsid w:val="0779A1ED"/>
    <w:rsid w:val="07837BB0"/>
    <w:rsid w:val="0786A529"/>
    <w:rsid w:val="07914293"/>
    <w:rsid w:val="07A5B4E7"/>
    <w:rsid w:val="07AA4BC3"/>
    <w:rsid w:val="07B77109"/>
    <w:rsid w:val="07B83E79"/>
    <w:rsid w:val="07CA591D"/>
    <w:rsid w:val="07F8799A"/>
    <w:rsid w:val="07FA2AE3"/>
    <w:rsid w:val="07FD63B5"/>
    <w:rsid w:val="08177A2E"/>
    <w:rsid w:val="08289055"/>
    <w:rsid w:val="08455208"/>
    <w:rsid w:val="0853030F"/>
    <w:rsid w:val="0855DF1E"/>
    <w:rsid w:val="086E82BF"/>
    <w:rsid w:val="0872F697"/>
    <w:rsid w:val="0877A64F"/>
    <w:rsid w:val="08C33E99"/>
    <w:rsid w:val="08D9BFA7"/>
    <w:rsid w:val="091EBCA9"/>
    <w:rsid w:val="094A1CDC"/>
    <w:rsid w:val="0954191A"/>
    <w:rsid w:val="09AD534E"/>
    <w:rsid w:val="09C5E7DE"/>
    <w:rsid w:val="09D0BBA3"/>
    <w:rsid w:val="09F058FE"/>
    <w:rsid w:val="09F08A75"/>
    <w:rsid w:val="09F9D092"/>
    <w:rsid w:val="0A06E376"/>
    <w:rsid w:val="0A071CD9"/>
    <w:rsid w:val="0A11D26F"/>
    <w:rsid w:val="0A11FFCF"/>
    <w:rsid w:val="0A233F85"/>
    <w:rsid w:val="0A301F8B"/>
    <w:rsid w:val="0A321C44"/>
    <w:rsid w:val="0A4A673D"/>
    <w:rsid w:val="0A4F47E5"/>
    <w:rsid w:val="0A52CBED"/>
    <w:rsid w:val="0AD87D03"/>
    <w:rsid w:val="0ADF8A3B"/>
    <w:rsid w:val="0B1CB8D7"/>
    <w:rsid w:val="0B22F839"/>
    <w:rsid w:val="0B406093"/>
    <w:rsid w:val="0B43E4B8"/>
    <w:rsid w:val="0B4603F1"/>
    <w:rsid w:val="0B47315C"/>
    <w:rsid w:val="0B561F8D"/>
    <w:rsid w:val="0B5ACFBB"/>
    <w:rsid w:val="0B62D53D"/>
    <w:rsid w:val="0B9A8504"/>
    <w:rsid w:val="0C0E429E"/>
    <w:rsid w:val="0C24ED44"/>
    <w:rsid w:val="0C31610A"/>
    <w:rsid w:val="0C365221"/>
    <w:rsid w:val="0C50640D"/>
    <w:rsid w:val="0C6576C1"/>
    <w:rsid w:val="0C727376"/>
    <w:rsid w:val="0C7B8D31"/>
    <w:rsid w:val="0C7C26D4"/>
    <w:rsid w:val="0C7CFA1C"/>
    <w:rsid w:val="0CA6AB20"/>
    <w:rsid w:val="0CE02A58"/>
    <w:rsid w:val="0CE731C4"/>
    <w:rsid w:val="0CF091DB"/>
    <w:rsid w:val="0D278FD7"/>
    <w:rsid w:val="0D2AD88A"/>
    <w:rsid w:val="0D2BA9C7"/>
    <w:rsid w:val="0D36440C"/>
    <w:rsid w:val="0D3D82E1"/>
    <w:rsid w:val="0D451F1B"/>
    <w:rsid w:val="0D4D64B3"/>
    <w:rsid w:val="0D5974DE"/>
    <w:rsid w:val="0D68554A"/>
    <w:rsid w:val="0D807587"/>
    <w:rsid w:val="0D8FB7ED"/>
    <w:rsid w:val="0D9300EE"/>
    <w:rsid w:val="0D98F75E"/>
    <w:rsid w:val="0D9ED3FA"/>
    <w:rsid w:val="0DA36B13"/>
    <w:rsid w:val="0DAAE9C5"/>
    <w:rsid w:val="0DB5F2AA"/>
    <w:rsid w:val="0DC41A33"/>
    <w:rsid w:val="0DC784C2"/>
    <w:rsid w:val="0E02BA6D"/>
    <w:rsid w:val="0E0CBDAD"/>
    <w:rsid w:val="0E25DC24"/>
    <w:rsid w:val="0E29E20B"/>
    <w:rsid w:val="0E32FEB0"/>
    <w:rsid w:val="0E36D97D"/>
    <w:rsid w:val="0E496457"/>
    <w:rsid w:val="0E55CEB9"/>
    <w:rsid w:val="0EA3B5B9"/>
    <w:rsid w:val="0EABF1F5"/>
    <w:rsid w:val="0ED1379A"/>
    <w:rsid w:val="0F00250D"/>
    <w:rsid w:val="0F01DEB8"/>
    <w:rsid w:val="0F0B4E30"/>
    <w:rsid w:val="0F182CB9"/>
    <w:rsid w:val="0F2EF83C"/>
    <w:rsid w:val="0F57467A"/>
    <w:rsid w:val="0F60438C"/>
    <w:rsid w:val="0F7424DF"/>
    <w:rsid w:val="0F8EBCBF"/>
    <w:rsid w:val="0F9EB2FD"/>
    <w:rsid w:val="0FA4296E"/>
    <w:rsid w:val="0FCE59D6"/>
    <w:rsid w:val="1016B5BD"/>
    <w:rsid w:val="10183F77"/>
    <w:rsid w:val="10432E71"/>
    <w:rsid w:val="105D96A3"/>
    <w:rsid w:val="1093C663"/>
    <w:rsid w:val="10B485AC"/>
    <w:rsid w:val="10C6DBEC"/>
    <w:rsid w:val="10C9B2E4"/>
    <w:rsid w:val="10D32DD4"/>
    <w:rsid w:val="10D7C9C6"/>
    <w:rsid w:val="10E372E0"/>
    <w:rsid w:val="1117BF59"/>
    <w:rsid w:val="11234AEC"/>
    <w:rsid w:val="11578C55"/>
    <w:rsid w:val="11A7D82E"/>
    <w:rsid w:val="11B90409"/>
    <w:rsid w:val="11BAFDE1"/>
    <w:rsid w:val="11BE71F3"/>
    <w:rsid w:val="11EF5648"/>
    <w:rsid w:val="121151B7"/>
    <w:rsid w:val="122B8486"/>
    <w:rsid w:val="12362155"/>
    <w:rsid w:val="123B761E"/>
    <w:rsid w:val="123D655B"/>
    <w:rsid w:val="12453733"/>
    <w:rsid w:val="1277708A"/>
    <w:rsid w:val="129FD7F1"/>
    <w:rsid w:val="12ABD83F"/>
    <w:rsid w:val="12B917DD"/>
    <w:rsid w:val="12BDDCB3"/>
    <w:rsid w:val="12BDF3B4"/>
    <w:rsid w:val="12CAE514"/>
    <w:rsid w:val="12D08B83"/>
    <w:rsid w:val="12D3166E"/>
    <w:rsid w:val="12D8C4AE"/>
    <w:rsid w:val="13031ED9"/>
    <w:rsid w:val="1312C9D7"/>
    <w:rsid w:val="1316A901"/>
    <w:rsid w:val="1329E910"/>
    <w:rsid w:val="13304A9F"/>
    <w:rsid w:val="1357732E"/>
    <w:rsid w:val="135A21B0"/>
    <w:rsid w:val="136FF49B"/>
    <w:rsid w:val="13979ADE"/>
    <w:rsid w:val="13C095B2"/>
    <w:rsid w:val="13EA7A19"/>
    <w:rsid w:val="13F3C29B"/>
    <w:rsid w:val="13F7C3D8"/>
    <w:rsid w:val="13FB30A9"/>
    <w:rsid w:val="142015AC"/>
    <w:rsid w:val="142DE13A"/>
    <w:rsid w:val="1436FEFD"/>
    <w:rsid w:val="1440ACC9"/>
    <w:rsid w:val="1458FD35"/>
    <w:rsid w:val="14919B80"/>
    <w:rsid w:val="14C0B6EB"/>
    <w:rsid w:val="14CFB7EF"/>
    <w:rsid w:val="14CFD466"/>
    <w:rsid w:val="14F9B4A8"/>
    <w:rsid w:val="1509D65D"/>
    <w:rsid w:val="1512EFF4"/>
    <w:rsid w:val="151C3539"/>
    <w:rsid w:val="15207399"/>
    <w:rsid w:val="153D0DE1"/>
    <w:rsid w:val="154DC675"/>
    <w:rsid w:val="159B4990"/>
    <w:rsid w:val="159F08A2"/>
    <w:rsid w:val="15ADDA9B"/>
    <w:rsid w:val="15BA612F"/>
    <w:rsid w:val="15BB2440"/>
    <w:rsid w:val="15C66BAB"/>
    <w:rsid w:val="15CF3A40"/>
    <w:rsid w:val="15CFC967"/>
    <w:rsid w:val="15D34F50"/>
    <w:rsid w:val="16188B22"/>
    <w:rsid w:val="1632B64D"/>
    <w:rsid w:val="1647CB77"/>
    <w:rsid w:val="166B5EE2"/>
    <w:rsid w:val="167C6F95"/>
    <w:rsid w:val="173BC742"/>
    <w:rsid w:val="1752E080"/>
    <w:rsid w:val="175416C3"/>
    <w:rsid w:val="175C0E1C"/>
    <w:rsid w:val="17620490"/>
    <w:rsid w:val="177102DE"/>
    <w:rsid w:val="17A48CC2"/>
    <w:rsid w:val="17CC4F51"/>
    <w:rsid w:val="17D5F989"/>
    <w:rsid w:val="17E48A7B"/>
    <w:rsid w:val="17EECE7F"/>
    <w:rsid w:val="180C5338"/>
    <w:rsid w:val="1825F235"/>
    <w:rsid w:val="18527899"/>
    <w:rsid w:val="18629C85"/>
    <w:rsid w:val="1865C0C3"/>
    <w:rsid w:val="18F63D64"/>
    <w:rsid w:val="19203729"/>
    <w:rsid w:val="19240BE4"/>
    <w:rsid w:val="1927CCB6"/>
    <w:rsid w:val="192F4B15"/>
    <w:rsid w:val="1935DE4D"/>
    <w:rsid w:val="1954DA42"/>
    <w:rsid w:val="19893469"/>
    <w:rsid w:val="198E7039"/>
    <w:rsid w:val="19919A9D"/>
    <w:rsid w:val="199BC69D"/>
    <w:rsid w:val="19AAD1D1"/>
    <w:rsid w:val="19B7C8FC"/>
    <w:rsid w:val="19D29062"/>
    <w:rsid w:val="19E27D71"/>
    <w:rsid w:val="19F997F4"/>
    <w:rsid w:val="1A104FE2"/>
    <w:rsid w:val="1A1FC38A"/>
    <w:rsid w:val="1A24D865"/>
    <w:rsid w:val="1A438467"/>
    <w:rsid w:val="1A43C262"/>
    <w:rsid w:val="1A50DB70"/>
    <w:rsid w:val="1A7A6FC9"/>
    <w:rsid w:val="1A7E9CD8"/>
    <w:rsid w:val="1A8CC993"/>
    <w:rsid w:val="1A907D7C"/>
    <w:rsid w:val="1A912402"/>
    <w:rsid w:val="1AA15BC7"/>
    <w:rsid w:val="1AAE7830"/>
    <w:rsid w:val="1AB78314"/>
    <w:rsid w:val="1ABB4BDA"/>
    <w:rsid w:val="1ADAF767"/>
    <w:rsid w:val="1AEA2603"/>
    <w:rsid w:val="1B0B215C"/>
    <w:rsid w:val="1B1D694B"/>
    <w:rsid w:val="1B2B0BE2"/>
    <w:rsid w:val="1B48F7DD"/>
    <w:rsid w:val="1B7F1505"/>
    <w:rsid w:val="1B8C6DD1"/>
    <w:rsid w:val="1B96BBDE"/>
    <w:rsid w:val="1BB07B4E"/>
    <w:rsid w:val="1BD3F40D"/>
    <w:rsid w:val="1BDAB750"/>
    <w:rsid w:val="1BE7839B"/>
    <w:rsid w:val="1BFD4F06"/>
    <w:rsid w:val="1C34667C"/>
    <w:rsid w:val="1C3C9518"/>
    <w:rsid w:val="1C45AE0B"/>
    <w:rsid w:val="1C58777F"/>
    <w:rsid w:val="1C607B06"/>
    <w:rsid w:val="1C7B633E"/>
    <w:rsid w:val="1C7EFEF6"/>
    <w:rsid w:val="1C952608"/>
    <w:rsid w:val="1CBFD89D"/>
    <w:rsid w:val="1CEC80CD"/>
    <w:rsid w:val="1CF6AA54"/>
    <w:rsid w:val="1D1399F5"/>
    <w:rsid w:val="1D1725F2"/>
    <w:rsid w:val="1D3A427C"/>
    <w:rsid w:val="1D3CF4E5"/>
    <w:rsid w:val="1D5A238D"/>
    <w:rsid w:val="1D5E912B"/>
    <w:rsid w:val="1D738719"/>
    <w:rsid w:val="1D74FC00"/>
    <w:rsid w:val="1D7FE608"/>
    <w:rsid w:val="1D8AB219"/>
    <w:rsid w:val="1D94E56C"/>
    <w:rsid w:val="1DA7455E"/>
    <w:rsid w:val="1DAF0A96"/>
    <w:rsid w:val="1DD0FF2F"/>
    <w:rsid w:val="1DD47B6D"/>
    <w:rsid w:val="1DF2AE25"/>
    <w:rsid w:val="1E11D6C3"/>
    <w:rsid w:val="1E179265"/>
    <w:rsid w:val="1E36C0A8"/>
    <w:rsid w:val="1E71C3F2"/>
    <w:rsid w:val="1E811845"/>
    <w:rsid w:val="1E8A3D0E"/>
    <w:rsid w:val="1EB628E8"/>
    <w:rsid w:val="1EC4E0DC"/>
    <w:rsid w:val="1EEA9FD2"/>
    <w:rsid w:val="1EFEC03A"/>
    <w:rsid w:val="1F117B7B"/>
    <w:rsid w:val="1F2F7DC2"/>
    <w:rsid w:val="1F42253E"/>
    <w:rsid w:val="1F46F849"/>
    <w:rsid w:val="1F5518F1"/>
    <w:rsid w:val="1F78835C"/>
    <w:rsid w:val="1F8DE03F"/>
    <w:rsid w:val="1F972ED4"/>
    <w:rsid w:val="1FC8675C"/>
    <w:rsid w:val="1FDC5138"/>
    <w:rsid w:val="1FE14991"/>
    <w:rsid w:val="1FE6A70E"/>
    <w:rsid w:val="2009AD43"/>
    <w:rsid w:val="201663E8"/>
    <w:rsid w:val="20262009"/>
    <w:rsid w:val="203DE22F"/>
    <w:rsid w:val="205BD87F"/>
    <w:rsid w:val="20673E90"/>
    <w:rsid w:val="20860998"/>
    <w:rsid w:val="20A439EA"/>
    <w:rsid w:val="20AFC645"/>
    <w:rsid w:val="20CE5D5A"/>
    <w:rsid w:val="2142A917"/>
    <w:rsid w:val="2148F548"/>
    <w:rsid w:val="215847AC"/>
    <w:rsid w:val="2178002D"/>
    <w:rsid w:val="2191D4BC"/>
    <w:rsid w:val="21E6C8F5"/>
    <w:rsid w:val="22230EFB"/>
    <w:rsid w:val="2249B152"/>
    <w:rsid w:val="2270B95F"/>
    <w:rsid w:val="227853BA"/>
    <w:rsid w:val="22934E16"/>
    <w:rsid w:val="22BC45EF"/>
    <w:rsid w:val="22BFEBB5"/>
    <w:rsid w:val="22C3BA7A"/>
    <w:rsid w:val="22EB1378"/>
    <w:rsid w:val="22F30A6F"/>
    <w:rsid w:val="23042CAE"/>
    <w:rsid w:val="230F99E9"/>
    <w:rsid w:val="232DE763"/>
    <w:rsid w:val="2331E609"/>
    <w:rsid w:val="237C9CC3"/>
    <w:rsid w:val="2385E0DE"/>
    <w:rsid w:val="23940364"/>
    <w:rsid w:val="23991859"/>
    <w:rsid w:val="23B1FE58"/>
    <w:rsid w:val="23C93B06"/>
    <w:rsid w:val="23E16536"/>
    <w:rsid w:val="240607A4"/>
    <w:rsid w:val="240D5C08"/>
    <w:rsid w:val="240ED2AD"/>
    <w:rsid w:val="2411DAE5"/>
    <w:rsid w:val="24178AC4"/>
    <w:rsid w:val="2422657E"/>
    <w:rsid w:val="243AD924"/>
    <w:rsid w:val="243F41D2"/>
    <w:rsid w:val="246A80EC"/>
    <w:rsid w:val="246B60F6"/>
    <w:rsid w:val="2482F860"/>
    <w:rsid w:val="248B907E"/>
    <w:rsid w:val="24958D28"/>
    <w:rsid w:val="2496585B"/>
    <w:rsid w:val="249BCC6A"/>
    <w:rsid w:val="24AF820C"/>
    <w:rsid w:val="24CC523B"/>
    <w:rsid w:val="24DD8B5A"/>
    <w:rsid w:val="24F2E4AC"/>
    <w:rsid w:val="24F723C5"/>
    <w:rsid w:val="250212B4"/>
    <w:rsid w:val="253F0EAB"/>
    <w:rsid w:val="254226A5"/>
    <w:rsid w:val="254C099E"/>
    <w:rsid w:val="2551F891"/>
    <w:rsid w:val="259D08AC"/>
    <w:rsid w:val="25BE45D3"/>
    <w:rsid w:val="25CCF54A"/>
    <w:rsid w:val="25E53896"/>
    <w:rsid w:val="262CCCBE"/>
    <w:rsid w:val="2640796A"/>
    <w:rsid w:val="2662713D"/>
    <w:rsid w:val="2664E6D3"/>
    <w:rsid w:val="266B900B"/>
    <w:rsid w:val="2683A49C"/>
    <w:rsid w:val="26A80248"/>
    <w:rsid w:val="26D70E6E"/>
    <w:rsid w:val="270936C5"/>
    <w:rsid w:val="272252CD"/>
    <w:rsid w:val="272ADB50"/>
    <w:rsid w:val="2750EF59"/>
    <w:rsid w:val="27547F8D"/>
    <w:rsid w:val="2757B262"/>
    <w:rsid w:val="275F88A0"/>
    <w:rsid w:val="276D7A3F"/>
    <w:rsid w:val="279037C7"/>
    <w:rsid w:val="2799A81E"/>
    <w:rsid w:val="279F658B"/>
    <w:rsid w:val="27A453B3"/>
    <w:rsid w:val="27C4BB81"/>
    <w:rsid w:val="27C82777"/>
    <w:rsid w:val="27E50A59"/>
    <w:rsid w:val="27E9BB0E"/>
    <w:rsid w:val="27F3B811"/>
    <w:rsid w:val="2811D7EA"/>
    <w:rsid w:val="28243F6F"/>
    <w:rsid w:val="28430F59"/>
    <w:rsid w:val="2869DAC4"/>
    <w:rsid w:val="287BD4AF"/>
    <w:rsid w:val="28888B8C"/>
    <w:rsid w:val="288DE8E1"/>
    <w:rsid w:val="2892D9C0"/>
    <w:rsid w:val="289451EB"/>
    <w:rsid w:val="2896AC08"/>
    <w:rsid w:val="28987249"/>
    <w:rsid w:val="28C31070"/>
    <w:rsid w:val="29259B94"/>
    <w:rsid w:val="29651125"/>
    <w:rsid w:val="2983C288"/>
    <w:rsid w:val="29928113"/>
    <w:rsid w:val="29955768"/>
    <w:rsid w:val="29988592"/>
    <w:rsid w:val="29A1C918"/>
    <w:rsid w:val="29AFB990"/>
    <w:rsid w:val="29D125DF"/>
    <w:rsid w:val="29D2E494"/>
    <w:rsid w:val="29D37326"/>
    <w:rsid w:val="29E63B27"/>
    <w:rsid w:val="2A13654D"/>
    <w:rsid w:val="2A18A1B9"/>
    <w:rsid w:val="2A23E67C"/>
    <w:rsid w:val="2A433C59"/>
    <w:rsid w:val="2A4788B3"/>
    <w:rsid w:val="2A565B5A"/>
    <w:rsid w:val="2A5837D3"/>
    <w:rsid w:val="2A648F5F"/>
    <w:rsid w:val="2A6DD11F"/>
    <w:rsid w:val="2A7731FA"/>
    <w:rsid w:val="2A7BF0F7"/>
    <w:rsid w:val="2A7EEEEA"/>
    <w:rsid w:val="2A9452DD"/>
    <w:rsid w:val="2A97596C"/>
    <w:rsid w:val="2AA48388"/>
    <w:rsid w:val="2ABDDCE6"/>
    <w:rsid w:val="2ACD23B6"/>
    <w:rsid w:val="2AD7D8B6"/>
    <w:rsid w:val="2AD8F067"/>
    <w:rsid w:val="2B1048EE"/>
    <w:rsid w:val="2B150366"/>
    <w:rsid w:val="2B1C6BA4"/>
    <w:rsid w:val="2B23C4CB"/>
    <w:rsid w:val="2B25450B"/>
    <w:rsid w:val="2B5B939D"/>
    <w:rsid w:val="2B784072"/>
    <w:rsid w:val="2B82B43F"/>
    <w:rsid w:val="2B97B641"/>
    <w:rsid w:val="2B9AA594"/>
    <w:rsid w:val="2BAC694C"/>
    <w:rsid w:val="2BBC6F06"/>
    <w:rsid w:val="2BC584A4"/>
    <w:rsid w:val="2BC8422B"/>
    <w:rsid w:val="2BD0F39A"/>
    <w:rsid w:val="2BDFC3EE"/>
    <w:rsid w:val="2BE98B7D"/>
    <w:rsid w:val="2C042FE8"/>
    <w:rsid w:val="2C28CC88"/>
    <w:rsid w:val="2C313048"/>
    <w:rsid w:val="2C689832"/>
    <w:rsid w:val="2C7057B1"/>
    <w:rsid w:val="2C7FF83B"/>
    <w:rsid w:val="2C8B7898"/>
    <w:rsid w:val="2C8CC6B8"/>
    <w:rsid w:val="2C9AB5CD"/>
    <w:rsid w:val="2CA478E8"/>
    <w:rsid w:val="2D01BCB6"/>
    <w:rsid w:val="2D15628A"/>
    <w:rsid w:val="2D35F027"/>
    <w:rsid w:val="2D43238C"/>
    <w:rsid w:val="2D528E9C"/>
    <w:rsid w:val="2D5A064E"/>
    <w:rsid w:val="2D6354EC"/>
    <w:rsid w:val="2D7B9CC2"/>
    <w:rsid w:val="2DAC927B"/>
    <w:rsid w:val="2DB37C41"/>
    <w:rsid w:val="2DBD5B22"/>
    <w:rsid w:val="2DD5F643"/>
    <w:rsid w:val="2E16810E"/>
    <w:rsid w:val="2E16C864"/>
    <w:rsid w:val="2E422CCF"/>
    <w:rsid w:val="2E429154"/>
    <w:rsid w:val="2E4BE514"/>
    <w:rsid w:val="2E6BF3A6"/>
    <w:rsid w:val="2E6C39D0"/>
    <w:rsid w:val="2E7B8888"/>
    <w:rsid w:val="2E87DCA9"/>
    <w:rsid w:val="2E966F1E"/>
    <w:rsid w:val="2EA50F2B"/>
    <w:rsid w:val="2EC5EF4C"/>
    <w:rsid w:val="2EEFCBFB"/>
    <w:rsid w:val="2EF8DB01"/>
    <w:rsid w:val="2EFF58C8"/>
    <w:rsid w:val="2F2B5534"/>
    <w:rsid w:val="2F6C8CB8"/>
    <w:rsid w:val="2F941329"/>
    <w:rsid w:val="2F959C8C"/>
    <w:rsid w:val="2FAEEA51"/>
    <w:rsid w:val="2FC8A1CC"/>
    <w:rsid w:val="2FCB4038"/>
    <w:rsid w:val="2FD22470"/>
    <w:rsid w:val="2FF24E89"/>
    <w:rsid w:val="30193D0A"/>
    <w:rsid w:val="301C291B"/>
    <w:rsid w:val="30673481"/>
    <w:rsid w:val="307A4AF9"/>
    <w:rsid w:val="307B0F2C"/>
    <w:rsid w:val="308A7232"/>
    <w:rsid w:val="308C0147"/>
    <w:rsid w:val="30BABC17"/>
    <w:rsid w:val="30C835BE"/>
    <w:rsid w:val="30DAAC51"/>
    <w:rsid w:val="30EAD9E5"/>
    <w:rsid w:val="30F26DE4"/>
    <w:rsid w:val="3103F16D"/>
    <w:rsid w:val="311501A0"/>
    <w:rsid w:val="31157E0E"/>
    <w:rsid w:val="311C1240"/>
    <w:rsid w:val="3124AC2B"/>
    <w:rsid w:val="313BF0A8"/>
    <w:rsid w:val="313E45F5"/>
    <w:rsid w:val="31496710"/>
    <w:rsid w:val="31514D57"/>
    <w:rsid w:val="31538059"/>
    <w:rsid w:val="31A26782"/>
    <w:rsid w:val="31BCA3C4"/>
    <w:rsid w:val="320E9153"/>
    <w:rsid w:val="32429DEE"/>
    <w:rsid w:val="3247D8AE"/>
    <w:rsid w:val="32565B67"/>
    <w:rsid w:val="3284C9B8"/>
    <w:rsid w:val="329A5592"/>
    <w:rsid w:val="32B5BD6A"/>
    <w:rsid w:val="32B81081"/>
    <w:rsid w:val="32BC7B16"/>
    <w:rsid w:val="32C000B9"/>
    <w:rsid w:val="32EEFCB4"/>
    <w:rsid w:val="32F26C78"/>
    <w:rsid w:val="33160EE1"/>
    <w:rsid w:val="3319B3C8"/>
    <w:rsid w:val="3333C90D"/>
    <w:rsid w:val="334A2E68"/>
    <w:rsid w:val="336737C7"/>
    <w:rsid w:val="337C1E2A"/>
    <w:rsid w:val="33C9B832"/>
    <w:rsid w:val="33D54A29"/>
    <w:rsid w:val="33E48E24"/>
    <w:rsid w:val="34032FF3"/>
    <w:rsid w:val="34259E23"/>
    <w:rsid w:val="343D3D52"/>
    <w:rsid w:val="3443D237"/>
    <w:rsid w:val="349C682A"/>
    <w:rsid w:val="34A1A864"/>
    <w:rsid w:val="34A2BDEB"/>
    <w:rsid w:val="34B36FE8"/>
    <w:rsid w:val="34B4E9D5"/>
    <w:rsid w:val="34C769F2"/>
    <w:rsid w:val="34CE9F54"/>
    <w:rsid w:val="34ECAB93"/>
    <w:rsid w:val="3505497A"/>
    <w:rsid w:val="3521E603"/>
    <w:rsid w:val="3524DC5E"/>
    <w:rsid w:val="35294E85"/>
    <w:rsid w:val="352FA995"/>
    <w:rsid w:val="3565B9BB"/>
    <w:rsid w:val="35C779A8"/>
    <w:rsid w:val="35C79815"/>
    <w:rsid w:val="35CC24A0"/>
    <w:rsid w:val="35CCAC5C"/>
    <w:rsid w:val="35D4025E"/>
    <w:rsid w:val="35DB36EA"/>
    <w:rsid w:val="35DC2FF5"/>
    <w:rsid w:val="36242D1A"/>
    <w:rsid w:val="362BB355"/>
    <w:rsid w:val="363D9364"/>
    <w:rsid w:val="364F3AB1"/>
    <w:rsid w:val="365D0CE0"/>
    <w:rsid w:val="3663453B"/>
    <w:rsid w:val="36990CBF"/>
    <w:rsid w:val="36B9CA62"/>
    <w:rsid w:val="36F24545"/>
    <w:rsid w:val="36F33DD3"/>
    <w:rsid w:val="371EFE09"/>
    <w:rsid w:val="3722FDDB"/>
    <w:rsid w:val="3723C5BF"/>
    <w:rsid w:val="37288FDF"/>
    <w:rsid w:val="3736163A"/>
    <w:rsid w:val="3745D044"/>
    <w:rsid w:val="37468BBD"/>
    <w:rsid w:val="37530DE9"/>
    <w:rsid w:val="375ABAF9"/>
    <w:rsid w:val="375EAE9B"/>
    <w:rsid w:val="3761A069"/>
    <w:rsid w:val="3764FBE0"/>
    <w:rsid w:val="37991667"/>
    <w:rsid w:val="379A6598"/>
    <w:rsid w:val="37F02690"/>
    <w:rsid w:val="3803E50D"/>
    <w:rsid w:val="38047320"/>
    <w:rsid w:val="380DBA01"/>
    <w:rsid w:val="38135DC4"/>
    <w:rsid w:val="3815F719"/>
    <w:rsid w:val="3818E5E6"/>
    <w:rsid w:val="382A5D51"/>
    <w:rsid w:val="38376D8C"/>
    <w:rsid w:val="384DB028"/>
    <w:rsid w:val="384FA242"/>
    <w:rsid w:val="386D797F"/>
    <w:rsid w:val="3875972A"/>
    <w:rsid w:val="38770EA5"/>
    <w:rsid w:val="389002D4"/>
    <w:rsid w:val="3892D9B1"/>
    <w:rsid w:val="38991E8B"/>
    <w:rsid w:val="38B76144"/>
    <w:rsid w:val="38C3876C"/>
    <w:rsid w:val="38E73784"/>
    <w:rsid w:val="38EB23A3"/>
    <w:rsid w:val="38F8FD53"/>
    <w:rsid w:val="3903B201"/>
    <w:rsid w:val="3919F0BD"/>
    <w:rsid w:val="395A1C5C"/>
    <w:rsid w:val="3976A42C"/>
    <w:rsid w:val="39A02C5B"/>
    <w:rsid w:val="39A9101C"/>
    <w:rsid w:val="39CD39C2"/>
    <w:rsid w:val="39D22E6A"/>
    <w:rsid w:val="39D78F8E"/>
    <w:rsid w:val="39FC1BE1"/>
    <w:rsid w:val="39FCF525"/>
    <w:rsid w:val="3A1C86A8"/>
    <w:rsid w:val="3A213469"/>
    <w:rsid w:val="3A221014"/>
    <w:rsid w:val="3A2DB719"/>
    <w:rsid w:val="3A3F7DAE"/>
    <w:rsid w:val="3A5014C3"/>
    <w:rsid w:val="3A60D487"/>
    <w:rsid w:val="3A69D757"/>
    <w:rsid w:val="3A6CDC49"/>
    <w:rsid w:val="3AA4DDD8"/>
    <w:rsid w:val="3AACCAFB"/>
    <w:rsid w:val="3AAFAB26"/>
    <w:rsid w:val="3AB42498"/>
    <w:rsid w:val="3ABD10C1"/>
    <w:rsid w:val="3AE6637E"/>
    <w:rsid w:val="3AE9E22D"/>
    <w:rsid w:val="3B3EF067"/>
    <w:rsid w:val="3B49EE75"/>
    <w:rsid w:val="3B4FD52F"/>
    <w:rsid w:val="3B650569"/>
    <w:rsid w:val="3B9C3AB7"/>
    <w:rsid w:val="3BC40C89"/>
    <w:rsid w:val="3BC54AAA"/>
    <w:rsid w:val="3BC6A021"/>
    <w:rsid w:val="3BC724D9"/>
    <w:rsid w:val="3C163D2D"/>
    <w:rsid w:val="3C25D418"/>
    <w:rsid w:val="3C337CAB"/>
    <w:rsid w:val="3C50F5E2"/>
    <w:rsid w:val="3C541FD2"/>
    <w:rsid w:val="3C693A1A"/>
    <w:rsid w:val="3C6F9AF1"/>
    <w:rsid w:val="3C758A65"/>
    <w:rsid w:val="3CA1BB7B"/>
    <w:rsid w:val="3D01688D"/>
    <w:rsid w:val="3D0A482B"/>
    <w:rsid w:val="3D0D4F92"/>
    <w:rsid w:val="3D170E6F"/>
    <w:rsid w:val="3D173FBC"/>
    <w:rsid w:val="3D4432E3"/>
    <w:rsid w:val="3D68EC0F"/>
    <w:rsid w:val="3DC03827"/>
    <w:rsid w:val="3DE32A1D"/>
    <w:rsid w:val="3DFA7790"/>
    <w:rsid w:val="3DFBFE83"/>
    <w:rsid w:val="3E06ED13"/>
    <w:rsid w:val="3E1058D6"/>
    <w:rsid w:val="3E1D86E1"/>
    <w:rsid w:val="3E2B507D"/>
    <w:rsid w:val="3E3468BA"/>
    <w:rsid w:val="3E38003D"/>
    <w:rsid w:val="3E3CECF8"/>
    <w:rsid w:val="3E3D2AB7"/>
    <w:rsid w:val="3E55A927"/>
    <w:rsid w:val="3E8C8886"/>
    <w:rsid w:val="3E8CF057"/>
    <w:rsid w:val="3E8EFF5F"/>
    <w:rsid w:val="3E961A42"/>
    <w:rsid w:val="3E9B21AB"/>
    <w:rsid w:val="3EB02FEA"/>
    <w:rsid w:val="3EB30C60"/>
    <w:rsid w:val="3EE5F698"/>
    <w:rsid w:val="3EF228C2"/>
    <w:rsid w:val="3EFC767E"/>
    <w:rsid w:val="3F0400F7"/>
    <w:rsid w:val="3F0A24E5"/>
    <w:rsid w:val="3F182B96"/>
    <w:rsid w:val="3F2394B9"/>
    <w:rsid w:val="3F2CD0C1"/>
    <w:rsid w:val="3F2F64A6"/>
    <w:rsid w:val="3F4322FA"/>
    <w:rsid w:val="3F518D5E"/>
    <w:rsid w:val="3F57CE6D"/>
    <w:rsid w:val="3F71BD88"/>
    <w:rsid w:val="3F76CE01"/>
    <w:rsid w:val="3FB3F5ED"/>
    <w:rsid w:val="3FDE6AC3"/>
    <w:rsid w:val="3FE5391C"/>
    <w:rsid w:val="3FEBE4C8"/>
    <w:rsid w:val="3FF5DC35"/>
    <w:rsid w:val="402FC1ED"/>
    <w:rsid w:val="40642AFF"/>
    <w:rsid w:val="407387AE"/>
    <w:rsid w:val="4079C9D8"/>
    <w:rsid w:val="40817A2D"/>
    <w:rsid w:val="40CCBDAD"/>
    <w:rsid w:val="410F587C"/>
    <w:rsid w:val="413CC5ED"/>
    <w:rsid w:val="414214F8"/>
    <w:rsid w:val="414E1138"/>
    <w:rsid w:val="4187DFD0"/>
    <w:rsid w:val="418946FF"/>
    <w:rsid w:val="41ACE933"/>
    <w:rsid w:val="41C9BBC3"/>
    <w:rsid w:val="41CD3C51"/>
    <w:rsid w:val="41D14CD3"/>
    <w:rsid w:val="41EC40F4"/>
    <w:rsid w:val="422EE0B2"/>
    <w:rsid w:val="4235C6B5"/>
    <w:rsid w:val="423B7EFF"/>
    <w:rsid w:val="4248BD4B"/>
    <w:rsid w:val="42775D76"/>
    <w:rsid w:val="42996C4F"/>
    <w:rsid w:val="42A325F1"/>
    <w:rsid w:val="42CD4DC1"/>
    <w:rsid w:val="42D0FC55"/>
    <w:rsid w:val="42E1BF8F"/>
    <w:rsid w:val="42E931E5"/>
    <w:rsid w:val="42F1EB13"/>
    <w:rsid w:val="43446704"/>
    <w:rsid w:val="43528337"/>
    <w:rsid w:val="43A4EBED"/>
    <w:rsid w:val="43BCCD22"/>
    <w:rsid w:val="43C7F4C3"/>
    <w:rsid w:val="43EAFEE9"/>
    <w:rsid w:val="442AE782"/>
    <w:rsid w:val="4449DDBC"/>
    <w:rsid w:val="445454AA"/>
    <w:rsid w:val="449BD045"/>
    <w:rsid w:val="44A5CA22"/>
    <w:rsid w:val="44B07EB1"/>
    <w:rsid w:val="44B3A182"/>
    <w:rsid w:val="44CDDFDC"/>
    <w:rsid w:val="44E3FDD1"/>
    <w:rsid w:val="44EAFDF1"/>
    <w:rsid w:val="44F71931"/>
    <w:rsid w:val="44FCFBCB"/>
    <w:rsid w:val="450D99DC"/>
    <w:rsid w:val="45565A0F"/>
    <w:rsid w:val="4566CFEA"/>
    <w:rsid w:val="458E9B44"/>
    <w:rsid w:val="459BB6A6"/>
    <w:rsid w:val="45A4B927"/>
    <w:rsid w:val="45C61FCB"/>
    <w:rsid w:val="45F3D031"/>
    <w:rsid w:val="46001B77"/>
    <w:rsid w:val="4629D032"/>
    <w:rsid w:val="46916135"/>
    <w:rsid w:val="469CF9ED"/>
    <w:rsid w:val="46AC55D1"/>
    <w:rsid w:val="46B9706D"/>
    <w:rsid w:val="46E05826"/>
    <w:rsid w:val="470C27A8"/>
    <w:rsid w:val="47265B66"/>
    <w:rsid w:val="472E443B"/>
    <w:rsid w:val="4743958F"/>
    <w:rsid w:val="4759E62B"/>
    <w:rsid w:val="476531F0"/>
    <w:rsid w:val="477A2520"/>
    <w:rsid w:val="47A42BA8"/>
    <w:rsid w:val="47BCEB67"/>
    <w:rsid w:val="47D224E2"/>
    <w:rsid w:val="483FAF7E"/>
    <w:rsid w:val="48485FB7"/>
    <w:rsid w:val="485B063A"/>
    <w:rsid w:val="48612F5D"/>
    <w:rsid w:val="4868527F"/>
    <w:rsid w:val="48837C38"/>
    <w:rsid w:val="48A86115"/>
    <w:rsid w:val="48B46489"/>
    <w:rsid w:val="48BD3E4E"/>
    <w:rsid w:val="48BED29F"/>
    <w:rsid w:val="48D46DE9"/>
    <w:rsid w:val="48E43384"/>
    <w:rsid w:val="48EA38F4"/>
    <w:rsid w:val="48EF6E50"/>
    <w:rsid w:val="48F80EDC"/>
    <w:rsid w:val="49001DF4"/>
    <w:rsid w:val="490ED774"/>
    <w:rsid w:val="493E6BCE"/>
    <w:rsid w:val="494D3DBE"/>
    <w:rsid w:val="4963D71E"/>
    <w:rsid w:val="496AE152"/>
    <w:rsid w:val="498B9057"/>
    <w:rsid w:val="49B72D55"/>
    <w:rsid w:val="49B925FB"/>
    <w:rsid w:val="49BF86FB"/>
    <w:rsid w:val="49D58428"/>
    <w:rsid w:val="49E449BA"/>
    <w:rsid w:val="4A190B23"/>
    <w:rsid w:val="4A5578D9"/>
    <w:rsid w:val="4A650E03"/>
    <w:rsid w:val="4A683CA3"/>
    <w:rsid w:val="4A7BA245"/>
    <w:rsid w:val="4A8237A0"/>
    <w:rsid w:val="4A99969B"/>
    <w:rsid w:val="4A9C81D9"/>
    <w:rsid w:val="4ACEF158"/>
    <w:rsid w:val="4AD42069"/>
    <w:rsid w:val="4AD4658B"/>
    <w:rsid w:val="4AE908EE"/>
    <w:rsid w:val="4B0377DF"/>
    <w:rsid w:val="4B1AB229"/>
    <w:rsid w:val="4B1E78BF"/>
    <w:rsid w:val="4B45D888"/>
    <w:rsid w:val="4B4FF237"/>
    <w:rsid w:val="4B5D34D2"/>
    <w:rsid w:val="4BF5F392"/>
    <w:rsid w:val="4C5B7E39"/>
    <w:rsid w:val="4C6E1A09"/>
    <w:rsid w:val="4C7585EB"/>
    <w:rsid w:val="4C7D632E"/>
    <w:rsid w:val="4C9544C1"/>
    <w:rsid w:val="4C9C1852"/>
    <w:rsid w:val="4CA8A9C5"/>
    <w:rsid w:val="4CB2B166"/>
    <w:rsid w:val="4CD6B850"/>
    <w:rsid w:val="4CFD019D"/>
    <w:rsid w:val="4CFEEE7B"/>
    <w:rsid w:val="4D241B80"/>
    <w:rsid w:val="4D277817"/>
    <w:rsid w:val="4D2A9DDA"/>
    <w:rsid w:val="4D40A210"/>
    <w:rsid w:val="4D464D72"/>
    <w:rsid w:val="4D6C1A53"/>
    <w:rsid w:val="4D822A71"/>
    <w:rsid w:val="4DA5F6B2"/>
    <w:rsid w:val="4DBB6505"/>
    <w:rsid w:val="4DC2D69A"/>
    <w:rsid w:val="4DCED869"/>
    <w:rsid w:val="4DDADA43"/>
    <w:rsid w:val="4DDB44A0"/>
    <w:rsid w:val="4DDFEBDF"/>
    <w:rsid w:val="4DEA0A01"/>
    <w:rsid w:val="4DF0AC4B"/>
    <w:rsid w:val="4DF35CBA"/>
    <w:rsid w:val="4DFF9554"/>
    <w:rsid w:val="4E32113D"/>
    <w:rsid w:val="4E3A784A"/>
    <w:rsid w:val="4E42759D"/>
    <w:rsid w:val="4E5AFFA4"/>
    <w:rsid w:val="4E793945"/>
    <w:rsid w:val="4E7B7F16"/>
    <w:rsid w:val="4E92703F"/>
    <w:rsid w:val="4E9405E5"/>
    <w:rsid w:val="4E98841E"/>
    <w:rsid w:val="4ED325D1"/>
    <w:rsid w:val="4EE1DF60"/>
    <w:rsid w:val="4EED26C9"/>
    <w:rsid w:val="4F03573A"/>
    <w:rsid w:val="4F17F2EA"/>
    <w:rsid w:val="4F1B1973"/>
    <w:rsid w:val="4F2522C8"/>
    <w:rsid w:val="4F4D9F48"/>
    <w:rsid w:val="4F5DBDCD"/>
    <w:rsid w:val="4F68E8B2"/>
    <w:rsid w:val="4F76A2EB"/>
    <w:rsid w:val="4F89EA2A"/>
    <w:rsid w:val="4F959760"/>
    <w:rsid w:val="4FB023D7"/>
    <w:rsid w:val="4FB18516"/>
    <w:rsid w:val="4FD58F0B"/>
    <w:rsid w:val="4FFD7F65"/>
    <w:rsid w:val="50137F9F"/>
    <w:rsid w:val="501796CD"/>
    <w:rsid w:val="503082FD"/>
    <w:rsid w:val="503F6B82"/>
    <w:rsid w:val="507AA4D6"/>
    <w:rsid w:val="50850B8F"/>
    <w:rsid w:val="5091EF4C"/>
    <w:rsid w:val="50D5111D"/>
    <w:rsid w:val="5114B4C3"/>
    <w:rsid w:val="5150DA67"/>
    <w:rsid w:val="51711D96"/>
    <w:rsid w:val="51868ABC"/>
    <w:rsid w:val="52002AB8"/>
    <w:rsid w:val="5222FC2F"/>
    <w:rsid w:val="523DFE5F"/>
    <w:rsid w:val="525257B2"/>
    <w:rsid w:val="525EDD60"/>
    <w:rsid w:val="527A8EFF"/>
    <w:rsid w:val="5287185D"/>
    <w:rsid w:val="52A325A8"/>
    <w:rsid w:val="52A382F7"/>
    <w:rsid w:val="52A9D65C"/>
    <w:rsid w:val="52B6E2C2"/>
    <w:rsid w:val="52D6DA31"/>
    <w:rsid w:val="52E897CC"/>
    <w:rsid w:val="530A9970"/>
    <w:rsid w:val="535D76A5"/>
    <w:rsid w:val="536B3AA3"/>
    <w:rsid w:val="5374071A"/>
    <w:rsid w:val="5374E944"/>
    <w:rsid w:val="539B1E6F"/>
    <w:rsid w:val="53CC6F3B"/>
    <w:rsid w:val="53DCA244"/>
    <w:rsid w:val="53F2CBC8"/>
    <w:rsid w:val="540B1073"/>
    <w:rsid w:val="540C9C38"/>
    <w:rsid w:val="5421B67F"/>
    <w:rsid w:val="54248BFF"/>
    <w:rsid w:val="5436EE8E"/>
    <w:rsid w:val="5447084D"/>
    <w:rsid w:val="54521AA9"/>
    <w:rsid w:val="545DD8B7"/>
    <w:rsid w:val="546487E4"/>
    <w:rsid w:val="546789EE"/>
    <w:rsid w:val="5474BF6E"/>
    <w:rsid w:val="5481CCA2"/>
    <w:rsid w:val="5486B162"/>
    <w:rsid w:val="54C25D1F"/>
    <w:rsid w:val="54DAA2EC"/>
    <w:rsid w:val="54F547FC"/>
    <w:rsid w:val="5523DF67"/>
    <w:rsid w:val="554E82AE"/>
    <w:rsid w:val="55504E19"/>
    <w:rsid w:val="5555ABFE"/>
    <w:rsid w:val="555CBFF7"/>
    <w:rsid w:val="55756A93"/>
    <w:rsid w:val="55F71FF3"/>
    <w:rsid w:val="56033FC8"/>
    <w:rsid w:val="5617A24A"/>
    <w:rsid w:val="564719CE"/>
    <w:rsid w:val="56481696"/>
    <w:rsid w:val="5654F4CD"/>
    <w:rsid w:val="56897241"/>
    <w:rsid w:val="568DFE58"/>
    <w:rsid w:val="569A0CF1"/>
    <w:rsid w:val="56D4521B"/>
    <w:rsid w:val="56DD777C"/>
    <w:rsid w:val="56F588EA"/>
    <w:rsid w:val="57150FCB"/>
    <w:rsid w:val="5726DCC2"/>
    <w:rsid w:val="574C184B"/>
    <w:rsid w:val="57513D49"/>
    <w:rsid w:val="575BD691"/>
    <w:rsid w:val="575FCF6B"/>
    <w:rsid w:val="576D30F9"/>
    <w:rsid w:val="577D3EB8"/>
    <w:rsid w:val="57814DD5"/>
    <w:rsid w:val="578379C5"/>
    <w:rsid w:val="579BB1BF"/>
    <w:rsid w:val="57BA2DDD"/>
    <w:rsid w:val="57E5A090"/>
    <w:rsid w:val="581CDBBF"/>
    <w:rsid w:val="582EEABA"/>
    <w:rsid w:val="583E4E74"/>
    <w:rsid w:val="58AA8B82"/>
    <w:rsid w:val="58C93030"/>
    <w:rsid w:val="58C9D910"/>
    <w:rsid w:val="58D192DE"/>
    <w:rsid w:val="58DB62AD"/>
    <w:rsid w:val="58E05566"/>
    <w:rsid w:val="58E34DE8"/>
    <w:rsid w:val="58E8119B"/>
    <w:rsid w:val="58E8E172"/>
    <w:rsid w:val="58FBF9EB"/>
    <w:rsid w:val="590B9398"/>
    <w:rsid w:val="59175EE1"/>
    <w:rsid w:val="5941FB3F"/>
    <w:rsid w:val="596DB108"/>
    <w:rsid w:val="59736221"/>
    <w:rsid w:val="597EAC7F"/>
    <w:rsid w:val="598ED227"/>
    <w:rsid w:val="59BD1DB1"/>
    <w:rsid w:val="59D23FA6"/>
    <w:rsid w:val="59DA61E6"/>
    <w:rsid w:val="59DAA38F"/>
    <w:rsid w:val="59E51181"/>
    <w:rsid w:val="59EBAE2E"/>
    <w:rsid w:val="5A0345F8"/>
    <w:rsid w:val="5A041D0C"/>
    <w:rsid w:val="5A10D052"/>
    <w:rsid w:val="5A1DE022"/>
    <w:rsid w:val="5A3E9299"/>
    <w:rsid w:val="5A3F48FF"/>
    <w:rsid w:val="5A5AEE00"/>
    <w:rsid w:val="5A5E9C99"/>
    <w:rsid w:val="5A6187FF"/>
    <w:rsid w:val="5A6B34CC"/>
    <w:rsid w:val="5A75D2AD"/>
    <w:rsid w:val="5AA389AC"/>
    <w:rsid w:val="5AA5B763"/>
    <w:rsid w:val="5AA65C67"/>
    <w:rsid w:val="5AA7F347"/>
    <w:rsid w:val="5AEB46D4"/>
    <w:rsid w:val="5AED801E"/>
    <w:rsid w:val="5AF8B39A"/>
    <w:rsid w:val="5B015605"/>
    <w:rsid w:val="5B4552EB"/>
    <w:rsid w:val="5B4FA344"/>
    <w:rsid w:val="5B8BDF0D"/>
    <w:rsid w:val="5B962D88"/>
    <w:rsid w:val="5BBB1B57"/>
    <w:rsid w:val="5BCBE9E5"/>
    <w:rsid w:val="5BCE2382"/>
    <w:rsid w:val="5BD7228B"/>
    <w:rsid w:val="5BE8E2DA"/>
    <w:rsid w:val="5BFEFECA"/>
    <w:rsid w:val="5C0CA779"/>
    <w:rsid w:val="5C145F17"/>
    <w:rsid w:val="5C233CB2"/>
    <w:rsid w:val="5C2DAF84"/>
    <w:rsid w:val="5C3E8F28"/>
    <w:rsid w:val="5C3EA75A"/>
    <w:rsid w:val="5C4A08C9"/>
    <w:rsid w:val="5C4D0D09"/>
    <w:rsid w:val="5C6BCB24"/>
    <w:rsid w:val="5C951FC2"/>
    <w:rsid w:val="5CC3FE1B"/>
    <w:rsid w:val="5CDBA64A"/>
    <w:rsid w:val="5CE7394D"/>
    <w:rsid w:val="5CE91206"/>
    <w:rsid w:val="5CF938A4"/>
    <w:rsid w:val="5D30DE44"/>
    <w:rsid w:val="5D680FE3"/>
    <w:rsid w:val="5D6C86AF"/>
    <w:rsid w:val="5D7F696C"/>
    <w:rsid w:val="5D8F895B"/>
    <w:rsid w:val="5DB70778"/>
    <w:rsid w:val="5DBBA5F4"/>
    <w:rsid w:val="5DBDE8FB"/>
    <w:rsid w:val="5DD4F4C3"/>
    <w:rsid w:val="5DE6F70B"/>
    <w:rsid w:val="5E036B4D"/>
    <w:rsid w:val="5E0677FE"/>
    <w:rsid w:val="5E1E3D7C"/>
    <w:rsid w:val="5E27E254"/>
    <w:rsid w:val="5E572A5F"/>
    <w:rsid w:val="5E64953B"/>
    <w:rsid w:val="5E79676A"/>
    <w:rsid w:val="5E7F05B5"/>
    <w:rsid w:val="5E8C3DE9"/>
    <w:rsid w:val="5E8CB55A"/>
    <w:rsid w:val="5EEEBD0B"/>
    <w:rsid w:val="5EFCB1C6"/>
    <w:rsid w:val="5F0384EA"/>
    <w:rsid w:val="5F153FD8"/>
    <w:rsid w:val="5F1F0134"/>
    <w:rsid w:val="5F5C3937"/>
    <w:rsid w:val="5F5E6910"/>
    <w:rsid w:val="5F8A6E11"/>
    <w:rsid w:val="5F8DE9E4"/>
    <w:rsid w:val="5F9761EA"/>
    <w:rsid w:val="5FB15D50"/>
    <w:rsid w:val="5FC957AC"/>
    <w:rsid w:val="5FCFB9DA"/>
    <w:rsid w:val="5FE9D00D"/>
    <w:rsid w:val="602C2991"/>
    <w:rsid w:val="6044FEFE"/>
    <w:rsid w:val="6055012D"/>
    <w:rsid w:val="6071DE30"/>
    <w:rsid w:val="60722CFE"/>
    <w:rsid w:val="60738164"/>
    <w:rsid w:val="607B61B2"/>
    <w:rsid w:val="608B470D"/>
    <w:rsid w:val="60ABC306"/>
    <w:rsid w:val="60B983D7"/>
    <w:rsid w:val="60B9A504"/>
    <w:rsid w:val="60E85895"/>
    <w:rsid w:val="60F2809E"/>
    <w:rsid w:val="60F83BA1"/>
    <w:rsid w:val="611FD60C"/>
    <w:rsid w:val="613144C0"/>
    <w:rsid w:val="6146C73C"/>
    <w:rsid w:val="616564D4"/>
    <w:rsid w:val="61910956"/>
    <w:rsid w:val="61C85D3F"/>
    <w:rsid w:val="62050D9D"/>
    <w:rsid w:val="621C2E1B"/>
    <w:rsid w:val="621F0026"/>
    <w:rsid w:val="623FA8BC"/>
    <w:rsid w:val="6249C71C"/>
    <w:rsid w:val="62820290"/>
    <w:rsid w:val="628B4480"/>
    <w:rsid w:val="6290C767"/>
    <w:rsid w:val="6295D298"/>
    <w:rsid w:val="62AB3D60"/>
    <w:rsid w:val="62C8880F"/>
    <w:rsid w:val="62D949BC"/>
    <w:rsid w:val="62F79215"/>
    <w:rsid w:val="631B1BBF"/>
    <w:rsid w:val="631E1391"/>
    <w:rsid w:val="632585CA"/>
    <w:rsid w:val="63262E96"/>
    <w:rsid w:val="6326678C"/>
    <w:rsid w:val="635F82CD"/>
    <w:rsid w:val="6372C1B4"/>
    <w:rsid w:val="6376D909"/>
    <w:rsid w:val="637B8009"/>
    <w:rsid w:val="637D7805"/>
    <w:rsid w:val="63B6DA91"/>
    <w:rsid w:val="63CBD927"/>
    <w:rsid w:val="63CD0B0E"/>
    <w:rsid w:val="63DDB787"/>
    <w:rsid w:val="63EC71C5"/>
    <w:rsid w:val="64022DB6"/>
    <w:rsid w:val="6406FAA2"/>
    <w:rsid w:val="64179FB7"/>
    <w:rsid w:val="642969DC"/>
    <w:rsid w:val="64463844"/>
    <w:rsid w:val="645F762E"/>
    <w:rsid w:val="648C07E4"/>
    <w:rsid w:val="649BACEF"/>
    <w:rsid w:val="64AC1F5C"/>
    <w:rsid w:val="64C052FD"/>
    <w:rsid w:val="64D4EEBB"/>
    <w:rsid w:val="64E91F86"/>
    <w:rsid w:val="64F4561F"/>
    <w:rsid w:val="64FACD5C"/>
    <w:rsid w:val="650DB16F"/>
    <w:rsid w:val="6528B24F"/>
    <w:rsid w:val="6541D40F"/>
    <w:rsid w:val="654B3C06"/>
    <w:rsid w:val="654CEE3E"/>
    <w:rsid w:val="65530469"/>
    <w:rsid w:val="65563B66"/>
    <w:rsid w:val="65714AA2"/>
    <w:rsid w:val="657D22F3"/>
    <w:rsid w:val="658DAEB2"/>
    <w:rsid w:val="65991726"/>
    <w:rsid w:val="659F1F0A"/>
    <w:rsid w:val="65E0C69C"/>
    <w:rsid w:val="65FA4AC6"/>
    <w:rsid w:val="65FBADE1"/>
    <w:rsid w:val="6603506F"/>
    <w:rsid w:val="661EF8FD"/>
    <w:rsid w:val="662399CC"/>
    <w:rsid w:val="66691D75"/>
    <w:rsid w:val="666E4673"/>
    <w:rsid w:val="6677B7D9"/>
    <w:rsid w:val="66866203"/>
    <w:rsid w:val="66A0A4F2"/>
    <w:rsid w:val="66A75E00"/>
    <w:rsid w:val="66E14BB1"/>
    <w:rsid w:val="671E8EDA"/>
    <w:rsid w:val="672FA891"/>
    <w:rsid w:val="6749C5DC"/>
    <w:rsid w:val="67531962"/>
    <w:rsid w:val="6764D1C9"/>
    <w:rsid w:val="677808F9"/>
    <w:rsid w:val="678B6EC0"/>
    <w:rsid w:val="67D1E42F"/>
    <w:rsid w:val="67E79C22"/>
    <w:rsid w:val="67F2016C"/>
    <w:rsid w:val="6809405F"/>
    <w:rsid w:val="680A8CA1"/>
    <w:rsid w:val="680B5425"/>
    <w:rsid w:val="682F3C89"/>
    <w:rsid w:val="68324CC6"/>
    <w:rsid w:val="68500D38"/>
    <w:rsid w:val="685E4D5A"/>
    <w:rsid w:val="6860A62A"/>
    <w:rsid w:val="6863B5A2"/>
    <w:rsid w:val="686988ED"/>
    <w:rsid w:val="686BB325"/>
    <w:rsid w:val="68766513"/>
    <w:rsid w:val="688D9A99"/>
    <w:rsid w:val="68BE29D9"/>
    <w:rsid w:val="68D15A4D"/>
    <w:rsid w:val="68EB53C4"/>
    <w:rsid w:val="6910AC30"/>
    <w:rsid w:val="692C692E"/>
    <w:rsid w:val="69332258"/>
    <w:rsid w:val="694D3AFC"/>
    <w:rsid w:val="6952320B"/>
    <w:rsid w:val="6955E2F5"/>
    <w:rsid w:val="69629AFA"/>
    <w:rsid w:val="6970D3E9"/>
    <w:rsid w:val="6972759A"/>
    <w:rsid w:val="697D21BF"/>
    <w:rsid w:val="698B0379"/>
    <w:rsid w:val="69BD0949"/>
    <w:rsid w:val="69EF9EFC"/>
    <w:rsid w:val="69F3219D"/>
    <w:rsid w:val="6A099333"/>
    <w:rsid w:val="6A0E45A6"/>
    <w:rsid w:val="6A0F293C"/>
    <w:rsid w:val="6A1CDAE3"/>
    <w:rsid w:val="6A27D0AD"/>
    <w:rsid w:val="6A50CBB9"/>
    <w:rsid w:val="6A9B180F"/>
    <w:rsid w:val="6AE26EAA"/>
    <w:rsid w:val="6B050D75"/>
    <w:rsid w:val="6B193C29"/>
    <w:rsid w:val="6B484424"/>
    <w:rsid w:val="6BA59440"/>
    <w:rsid w:val="6BAE9C6E"/>
    <w:rsid w:val="6BB01E9B"/>
    <w:rsid w:val="6BBC16B3"/>
    <w:rsid w:val="6BCE17EB"/>
    <w:rsid w:val="6BE82992"/>
    <w:rsid w:val="6BF36BC7"/>
    <w:rsid w:val="6BF6FC05"/>
    <w:rsid w:val="6C0E1EC0"/>
    <w:rsid w:val="6C282531"/>
    <w:rsid w:val="6C31C702"/>
    <w:rsid w:val="6C68CF77"/>
    <w:rsid w:val="6C6A6B9A"/>
    <w:rsid w:val="6C75FECC"/>
    <w:rsid w:val="6C95CA66"/>
    <w:rsid w:val="6CA2A15E"/>
    <w:rsid w:val="6CA9D6E8"/>
    <w:rsid w:val="6CC0C05D"/>
    <w:rsid w:val="6CC6000D"/>
    <w:rsid w:val="6CEEA4DC"/>
    <w:rsid w:val="6D1674AD"/>
    <w:rsid w:val="6D273159"/>
    <w:rsid w:val="6D450D89"/>
    <w:rsid w:val="6D4B3CE5"/>
    <w:rsid w:val="6D518A5B"/>
    <w:rsid w:val="6D624133"/>
    <w:rsid w:val="6DB1CA4C"/>
    <w:rsid w:val="6DC37AF5"/>
    <w:rsid w:val="6DCEA32C"/>
    <w:rsid w:val="6DE74407"/>
    <w:rsid w:val="6E173F36"/>
    <w:rsid w:val="6E25C40F"/>
    <w:rsid w:val="6E40514A"/>
    <w:rsid w:val="6E49AB2F"/>
    <w:rsid w:val="6E4D5FB1"/>
    <w:rsid w:val="6E59F88F"/>
    <w:rsid w:val="6E629221"/>
    <w:rsid w:val="6E6401CC"/>
    <w:rsid w:val="6EA3B4FF"/>
    <w:rsid w:val="6EAD6C1D"/>
    <w:rsid w:val="6EF4EC4F"/>
    <w:rsid w:val="6F044DD3"/>
    <w:rsid w:val="6F0E0B81"/>
    <w:rsid w:val="6F156CA1"/>
    <w:rsid w:val="6F1B7DE9"/>
    <w:rsid w:val="6F26C2BA"/>
    <w:rsid w:val="6F298A4B"/>
    <w:rsid w:val="6F29BFAB"/>
    <w:rsid w:val="6F6893D5"/>
    <w:rsid w:val="6FC65728"/>
    <w:rsid w:val="6FD583EE"/>
    <w:rsid w:val="6FD8266D"/>
    <w:rsid w:val="6FDB6D7E"/>
    <w:rsid w:val="6FF8BF4D"/>
    <w:rsid w:val="6FFDCF1E"/>
    <w:rsid w:val="7027032A"/>
    <w:rsid w:val="70693485"/>
    <w:rsid w:val="70979B97"/>
    <w:rsid w:val="70BC77DF"/>
    <w:rsid w:val="70D05EEA"/>
    <w:rsid w:val="70E421AC"/>
    <w:rsid w:val="711CF7CD"/>
    <w:rsid w:val="7133EB8C"/>
    <w:rsid w:val="71389A2F"/>
    <w:rsid w:val="71584D09"/>
    <w:rsid w:val="717F2A43"/>
    <w:rsid w:val="718C68B9"/>
    <w:rsid w:val="71B119B6"/>
    <w:rsid w:val="71F74A1A"/>
    <w:rsid w:val="720583EC"/>
    <w:rsid w:val="7243DAB4"/>
    <w:rsid w:val="725BF339"/>
    <w:rsid w:val="7263533B"/>
    <w:rsid w:val="726BD93E"/>
    <w:rsid w:val="7288870E"/>
    <w:rsid w:val="72C8AF6B"/>
    <w:rsid w:val="72FA2CBD"/>
    <w:rsid w:val="73213739"/>
    <w:rsid w:val="73521FE0"/>
    <w:rsid w:val="735714B5"/>
    <w:rsid w:val="735AB45F"/>
    <w:rsid w:val="736D9A90"/>
    <w:rsid w:val="73A5FA37"/>
    <w:rsid w:val="73B9555E"/>
    <w:rsid w:val="73BE6983"/>
    <w:rsid w:val="73E1972E"/>
    <w:rsid w:val="73FB70C0"/>
    <w:rsid w:val="7409FC21"/>
    <w:rsid w:val="7413AE2A"/>
    <w:rsid w:val="74203082"/>
    <w:rsid w:val="7428D5FA"/>
    <w:rsid w:val="743D04AE"/>
    <w:rsid w:val="745014E2"/>
    <w:rsid w:val="745684F6"/>
    <w:rsid w:val="7471CD83"/>
    <w:rsid w:val="74757B49"/>
    <w:rsid w:val="747A6CE7"/>
    <w:rsid w:val="748A7398"/>
    <w:rsid w:val="748FC292"/>
    <w:rsid w:val="74AB41EC"/>
    <w:rsid w:val="74AF380C"/>
    <w:rsid w:val="74AF8906"/>
    <w:rsid w:val="74B22981"/>
    <w:rsid w:val="74BA3CBD"/>
    <w:rsid w:val="74C8E36D"/>
    <w:rsid w:val="74F978ED"/>
    <w:rsid w:val="7558CAA8"/>
    <w:rsid w:val="75AB4AB0"/>
    <w:rsid w:val="75EC6B39"/>
    <w:rsid w:val="75F4772E"/>
    <w:rsid w:val="75FA6A0E"/>
    <w:rsid w:val="760D54DB"/>
    <w:rsid w:val="761254A2"/>
    <w:rsid w:val="76236F51"/>
    <w:rsid w:val="76355D7B"/>
    <w:rsid w:val="764F9D72"/>
    <w:rsid w:val="76523C5B"/>
    <w:rsid w:val="7656E6D5"/>
    <w:rsid w:val="76745919"/>
    <w:rsid w:val="76BF131A"/>
    <w:rsid w:val="76D5E739"/>
    <w:rsid w:val="7707EBD7"/>
    <w:rsid w:val="77323D18"/>
    <w:rsid w:val="77523BA1"/>
    <w:rsid w:val="7778E057"/>
    <w:rsid w:val="777B92E1"/>
    <w:rsid w:val="777DA4AA"/>
    <w:rsid w:val="778CEDB3"/>
    <w:rsid w:val="77B6FFDE"/>
    <w:rsid w:val="77CAC53D"/>
    <w:rsid w:val="77D14432"/>
    <w:rsid w:val="77D66C65"/>
    <w:rsid w:val="77E21FDF"/>
    <w:rsid w:val="786D3E24"/>
    <w:rsid w:val="78904A14"/>
    <w:rsid w:val="789BD016"/>
    <w:rsid w:val="78C5C527"/>
    <w:rsid w:val="78D0F072"/>
    <w:rsid w:val="78D13302"/>
    <w:rsid w:val="78EC66AB"/>
    <w:rsid w:val="78F09900"/>
    <w:rsid w:val="78F73742"/>
    <w:rsid w:val="7909DDDA"/>
    <w:rsid w:val="791CBB81"/>
    <w:rsid w:val="791E9845"/>
    <w:rsid w:val="79396EAB"/>
    <w:rsid w:val="7940F3D6"/>
    <w:rsid w:val="795A322B"/>
    <w:rsid w:val="7969228D"/>
    <w:rsid w:val="79DAB5B4"/>
    <w:rsid w:val="79DCC319"/>
    <w:rsid w:val="79E49AF1"/>
    <w:rsid w:val="7A215F2D"/>
    <w:rsid w:val="7A448907"/>
    <w:rsid w:val="7A505F8B"/>
    <w:rsid w:val="7A53338A"/>
    <w:rsid w:val="7A87423B"/>
    <w:rsid w:val="7A8C4074"/>
    <w:rsid w:val="7A8E3FB1"/>
    <w:rsid w:val="7AC2937D"/>
    <w:rsid w:val="7AD2BF94"/>
    <w:rsid w:val="7ADE682F"/>
    <w:rsid w:val="7AE4BAB1"/>
    <w:rsid w:val="7B2C3320"/>
    <w:rsid w:val="7B85D79F"/>
    <w:rsid w:val="7BA6C992"/>
    <w:rsid w:val="7BB72262"/>
    <w:rsid w:val="7BDA6176"/>
    <w:rsid w:val="7BDD647A"/>
    <w:rsid w:val="7BE8898E"/>
    <w:rsid w:val="7BEC588E"/>
    <w:rsid w:val="7BFE4E97"/>
    <w:rsid w:val="7C054946"/>
    <w:rsid w:val="7C26D6AA"/>
    <w:rsid w:val="7C293944"/>
    <w:rsid w:val="7C41047A"/>
    <w:rsid w:val="7C49EBA0"/>
    <w:rsid w:val="7C6F6696"/>
    <w:rsid w:val="7C8268AF"/>
    <w:rsid w:val="7C855FBA"/>
    <w:rsid w:val="7C93ED20"/>
    <w:rsid w:val="7CA45D25"/>
    <w:rsid w:val="7CAA3412"/>
    <w:rsid w:val="7CB6EF59"/>
    <w:rsid w:val="7CB79174"/>
    <w:rsid w:val="7CC7B8B9"/>
    <w:rsid w:val="7CDC7866"/>
    <w:rsid w:val="7CF3D5D7"/>
    <w:rsid w:val="7D04F93F"/>
    <w:rsid w:val="7D090271"/>
    <w:rsid w:val="7D3278E2"/>
    <w:rsid w:val="7D4964A7"/>
    <w:rsid w:val="7D528FB2"/>
    <w:rsid w:val="7D5ACE6F"/>
    <w:rsid w:val="7D6BC2CD"/>
    <w:rsid w:val="7D868012"/>
    <w:rsid w:val="7DA94344"/>
    <w:rsid w:val="7DC20B45"/>
    <w:rsid w:val="7DFBEFCC"/>
    <w:rsid w:val="7E13B7E9"/>
    <w:rsid w:val="7E1765EE"/>
    <w:rsid w:val="7E2537DC"/>
    <w:rsid w:val="7E2D6C5B"/>
    <w:rsid w:val="7E3FA2A3"/>
    <w:rsid w:val="7E5B4FED"/>
    <w:rsid w:val="7E6F3220"/>
    <w:rsid w:val="7E729557"/>
    <w:rsid w:val="7E935912"/>
    <w:rsid w:val="7E967675"/>
    <w:rsid w:val="7EA0EF01"/>
    <w:rsid w:val="7EAE0D31"/>
    <w:rsid w:val="7EB126E0"/>
    <w:rsid w:val="7EB5CD0E"/>
    <w:rsid w:val="7EBF7F98"/>
    <w:rsid w:val="7ECD0990"/>
    <w:rsid w:val="7ED20B15"/>
    <w:rsid w:val="7F02BAAC"/>
    <w:rsid w:val="7F0E4133"/>
    <w:rsid w:val="7F1AEF66"/>
    <w:rsid w:val="7F335A53"/>
    <w:rsid w:val="7F35A2EB"/>
    <w:rsid w:val="7F4580DB"/>
    <w:rsid w:val="7F6944E7"/>
    <w:rsid w:val="7F77A559"/>
    <w:rsid w:val="7F8A4768"/>
    <w:rsid w:val="7F9F59CE"/>
    <w:rsid w:val="7FC883C8"/>
    <w:rsid w:val="7FC89E82"/>
    <w:rsid w:val="7FE073C7"/>
    <w:rsid w:val="7FFC8FB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848CA"/>
  <w15:chartTrackingRefBased/>
  <w15:docId w15:val="{A4BACC55-8BBC-4B2A-9E0B-9086BDBBFE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3D222C"/>
    <w:pPr>
      <w:spacing w:after="0" w:line="240" w:lineRule="auto"/>
    </w:pPr>
    <w:rPr>
      <w:rFonts w:ascii="Arial" w:hAnsi="Arial" w:eastAsia="Times New Roman" w:cs="Times New Roman"/>
      <w:sz w:val="24"/>
      <w:szCs w:val="24"/>
    </w:rPr>
  </w:style>
  <w:style w:type="paragraph" w:styleId="Heading1">
    <w:name w:val="heading 1"/>
    <w:basedOn w:val="Normal"/>
    <w:next w:val="Normal"/>
    <w:link w:val="Heading1Char"/>
    <w:uiPriority w:val="9"/>
    <w:qFormat/>
    <w:rsid w:val="001B14B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D222C"/>
    <w:pPr>
      <w:spacing w:before="240"/>
      <w:outlineLvl w:val="1"/>
    </w:pPr>
    <w:rPr>
      <w:b/>
      <w:i/>
      <w:kern w:val="28"/>
      <w:sz w:val="28"/>
      <w:szCs w:val="28"/>
    </w:rPr>
  </w:style>
  <w:style w:type="paragraph" w:styleId="Heading3">
    <w:name w:val="heading 3"/>
    <w:basedOn w:val="Normal"/>
    <w:next w:val="Normal"/>
    <w:link w:val="Heading3Char"/>
    <w:uiPriority w:val="9"/>
    <w:unhideWhenUsed/>
    <w:qFormat/>
    <w:rsid w:val="00953846"/>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3D222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D222C"/>
    <w:rPr>
      <w:rFonts w:ascii="Segoe UI" w:hAnsi="Segoe UI" w:cs="Segoe UI"/>
      <w:sz w:val="18"/>
      <w:szCs w:val="18"/>
    </w:rPr>
  </w:style>
  <w:style w:type="character" w:styleId="Heading2Char" w:customStyle="1">
    <w:name w:val="Heading 2 Char"/>
    <w:basedOn w:val="DefaultParagraphFont"/>
    <w:link w:val="Heading2"/>
    <w:rsid w:val="003D222C"/>
    <w:rPr>
      <w:rFonts w:ascii="Arial" w:hAnsi="Arial" w:eastAsia="Times New Roman" w:cs="Times New Roman"/>
      <w:b/>
      <w:i/>
      <w:kern w:val="28"/>
      <w:sz w:val="28"/>
      <w:szCs w:val="28"/>
    </w:rPr>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uiPriority w:val="34"/>
    <w:qFormat/>
    <w:rsid w:val="003D222C"/>
    <w:pPr>
      <w:spacing w:after="240"/>
      <w:ind w:left="720"/>
      <w:contextualSpacing/>
    </w:pPr>
    <w:rPr>
      <w:szCs w:val="20"/>
      <w:lang w:eastAsia="en-GB"/>
    </w:rPr>
  </w:style>
  <w:style w:type="character" w:styleId="ListParagraphChar" w:customStyle="1">
    <w:name w:val="List Paragraph Char"/>
    <w:aliases w:val="Recommendatio Char,Párrafo de lista Char,Recommendation Char,OBC Bullet Char,Dot pt Char,F5 List Paragraph Char,List Paragraph1 Char,No Spacing1 Char,List Paragraph Char Char Char Char,Indicator Text Char,Numbered Para 1 Char,L Char"/>
    <w:basedOn w:val="DefaultParagraphFont"/>
    <w:link w:val="ListParagraph"/>
    <w:uiPriority w:val="34"/>
    <w:qFormat/>
    <w:locked/>
    <w:rsid w:val="003D222C"/>
    <w:rPr>
      <w:rFonts w:ascii="Arial" w:hAnsi="Arial" w:eastAsia="Times New Roman" w:cs="Times New Roman"/>
      <w:sz w:val="24"/>
      <w:szCs w:val="20"/>
      <w:lang w:eastAsia="en-GB"/>
    </w:rPr>
  </w:style>
  <w:style w:type="table" w:styleId="TableGrid">
    <w:name w:val="Table Grid"/>
    <w:basedOn w:val="TableNormal"/>
    <w:rsid w:val="003D222C"/>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D222C"/>
    <w:rPr>
      <w:color w:val="0563C1" w:themeColor="hyperlink"/>
      <w:u w:val="single"/>
    </w:rPr>
  </w:style>
  <w:style w:type="paragraph" w:styleId="Header">
    <w:name w:val="header"/>
    <w:basedOn w:val="Normal"/>
    <w:link w:val="HeaderChar"/>
    <w:uiPriority w:val="99"/>
    <w:unhideWhenUsed/>
    <w:rsid w:val="003D222C"/>
    <w:pPr>
      <w:tabs>
        <w:tab w:val="center" w:pos="4513"/>
        <w:tab w:val="right" w:pos="9026"/>
      </w:tabs>
    </w:pPr>
  </w:style>
  <w:style w:type="character" w:styleId="HeaderChar" w:customStyle="1">
    <w:name w:val="Header Char"/>
    <w:basedOn w:val="DefaultParagraphFont"/>
    <w:link w:val="Header"/>
    <w:uiPriority w:val="99"/>
    <w:rsid w:val="003D222C"/>
    <w:rPr>
      <w:rFonts w:ascii="Arial" w:hAnsi="Arial" w:eastAsia="Times New Roman" w:cs="Times New Roman"/>
      <w:sz w:val="24"/>
      <w:szCs w:val="24"/>
    </w:rPr>
  </w:style>
  <w:style w:type="paragraph" w:styleId="Footer">
    <w:name w:val="footer"/>
    <w:basedOn w:val="Normal"/>
    <w:link w:val="FooterChar"/>
    <w:uiPriority w:val="99"/>
    <w:unhideWhenUsed/>
    <w:rsid w:val="001A4AA4"/>
    <w:pPr>
      <w:tabs>
        <w:tab w:val="center" w:pos="4513"/>
        <w:tab w:val="right" w:pos="9026"/>
      </w:tabs>
    </w:pPr>
  </w:style>
  <w:style w:type="character" w:styleId="FooterChar" w:customStyle="1">
    <w:name w:val="Footer Char"/>
    <w:basedOn w:val="DefaultParagraphFont"/>
    <w:link w:val="Footer"/>
    <w:uiPriority w:val="99"/>
    <w:rsid w:val="001A4AA4"/>
    <w:rPr>
      <w:rFonts w:ascii="Arial" w:hAnsi="Arial" w:eastAsia="Times New Roman" w:cs="Times New Roman"/>
      <w:sz w:val="24"/>
      <w:szCs w:val="24"/>
    </w:rPr>
  </w:style>
  <w:style w:type="character" w:styleId="UnresolvedMention">
    <w:name w:val="Unresolved Mention"/>
    <w:basedOn w:val="DefaultParagraphFont"/>
    <w:uiPriority w:val="99"/>
    <w:semiHidden/>
    <w:unhideWhenUsed/>
    <w:rsid w:val="00386DFC"/>
    <w:rPr>
      <w:color w:val="605E5C"/>
      <w:shd w:val="clear" w:color="auto" w:fill="E1DFDD"/>
    </w:rPr>
  </w:style>
  <w:style w:type="character" w:styleId="FollowedHyperlink">
    <w:name w:val="FollowedHyperlink"/>
    <w:basedOn w:val="DefaultParagraphFont"/>
    <w:uiPriority w:val="99"/>
    <w:semiHidden/>
    <w:unhideWhenUsed/>
    <w:rsid w:val="001356EA"/>
    <w:rPr>
      <w:color w:val="954F72" w:themeColor="followedHyperlink"/>
      <w:u w:val="single"/>
    </w:rPr>
  </w:style>
  <w:style w:type="paragraph" w:styleId="Revision">
    <w:name w:val="Revision"/>
    <w:hidden/>
    <w:uiPriority w:val="99"/>
    <w:semiHidden/>
    <w:rsid w:val="00FE0B59"/>
    <w:pPr>
      <w:spacing w:after="0" w:line="240" w:lineRule="auto"/>
    </w:pPr>
    <w:rPr>
      <w:rFonts w:ascii="Arial" w:hAnsi="Arial" w:eastAsia="Times New Roman" w:cs="Times New Roman"/>
      <w:sz w:val="24"/>
      <w:szCs w:val="24"/>
    </w:rPr>
  </w:style>
  <w:style w:type="paragraph" w:styleId="BEISTitle" w:customStyle="1">
    <w:name w:val="BEIS Title"/>
    <w:basedOn w:val="Normal"/>
    <w:next w:val="Normal"/>
    <w:rsid w:val="00885BB9"/>
    <w:pPr>
      <w:spacing w:after="240" w:line="320" w:lineRule="atLeast"/>
    </w:pPr>
    <w:rPr>
      <w:rFonts w:eastAsiaTheme="minorHAnsi" w:cstheme="minorBidi"/>
      <w:color w:val="041E42"/>
      <w:sz w:val="76"/>
      <w:szCs w:val="22"/>
    </w:rPr>
  </w:style>
  <w:style w:type="paragraph" w:styleId="BEISDate" w:customStyle="1">
    <w:name w:val="BEIS Date"/>
    <w:basedOn w:val="Normal"/>
    <w:rsid w:val="00090217"/>
    <w:pPr>
      <w:spacing w:line="320" w:lineRule="atLeast"/>
    </w:pPr>
    <w:rPr>
      <w:rFonts w:eastAsiaTheme="minorHAnsi" w:cstheme="minorBidi"/>
      <w:color w:val="868686"/>
      <w:sz w:val="28"/>
      <w:szCs w:val="22"/>
    </w:rPr>
  </w:style>
  <w:style w:type="character" w:styleId="Heading1Char" w:customStyle="1">
    <w:name w:val="Heading 1 Char"/>
    <w:basedOn w:val="DefaultParagraphFont"/>
    <w:link w:val="Heading1"/>
    <w:uiPriority w:val="9"/>
    <w:rsid w:val="001B14BA"/>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1B14BA"/>
    <w:pPr>
      <w:spacing w:line="259" w:lineRule="auto"/>
      <w:outlineLvl w:val="9"/>
    </w:pPr>
    <w:rPr>
      <w:lang w:val="en-US"/>
    </w:rPr>
  </w:style>
  <w:style w:type="paragraph" w:styleId="TOC2">
    <w:name w:val="toc 2"/>
    <w:basedOn w:val="Normal"/>
    <w:next w:val="Normal"/>
    <w:autoRedefine/>
    <w:uiPriority w:val="39"/>
    <w:unhideWhenUsed/>
    <w:rsid w:val="001B14BA"/>
    <w:pPr>
      <w:spacing w:after="100"/>
      <w:ind w:left="240"/>
    </w:pPr>
  </w:style>
  <w:style w:type="paragraph" w:styleId="TOC1">
    <w:name w:val="toc 1"/>
    <w:basedOn w:val="Normal"/>
    <w:next w:val="Normal"/>
    <w:autoRedefine/>
    <w:uiPriority w:val="39"/>
    <w:unhideWhenUsed/>
    <w:rsid w:val="006C516E"/>
    <w:pPr>
      <w:spacing w:after="100"/>
    </w:pPr>
  </w:style>
  <w:style w:type="character" w:styleId="Heading3Char" w:customStyle="1">
    <w:name w:val="Heading 3 Char"/>
    <w:basedOn w:val="DefaultParagraphFont"/>
    <w:link w:val="Heading3"/>
    <w:uiPriority w:val="9"/>
    <w:rsid w:val="00953846"/>
    <w:rPr>
      <w:rFonts w:asciiTheme="majorHAnsi" w:hAnsiTheme="majorHAnsi" w:eastAsiaTheme="majorEastAsia" w:cstheme="majorBidi"/>
      <w:color w:val="1F3763" w:themeColor="accent1" w:themeShade="7F"/>
      <w:sz w:val="24"/>
      <w:szCs w:val="24"/>
    </w:rPr>
  </w:style>
  <w:style w:type="paragraph" w:styleId="TOC3">
    <w:name w:val="toc 3"/>
    <w:basedOn w:val="Normal"/>
    <w:next w:val="Normal"/>
    <w:autoRedefine/>
    <w:uiPriority w:val="39"/>
    <w:unhideWhenUsed/>
    <w:rsid w:val="00953846"/>
    <w:pPr>
      <w:spacing w:after="100"/>
      <w:ind w:left="480"/>
    </w:pPr>
  </w:style>
  <w:style w:type="character" w:styleId="CommentReference">
    <w:name w:val="Comment Reference"/>
    <w:basedOn w:val="DefaultParagraphFont"/>
    <w:uiPriority w:val="99"/>
    <w:semiHidden/>
    <w:unhideWhenUsed/>
    <w:rsid w:val="002459FE"/>
    <w:rPr>
      <w:sz w:val="16"/>
      <w:szCs w:val="16"/>
    </w:rPr>
  </w:style>
  <w:style w:type="paragraph" w:styleId="CommentText">
    <w:name w:val="Comment Text"/>
    <w:basedOn w:val="Normal"/>
    <w:link w:val="CommentTextChar"/>
    <w:uiPriority w:val="99"/>
    <w:unhideWhenUsed/>
    <w:rsid w:val="002459FE"/>
    <w:rPr>
      <w:sz w:val="20"/>
      <w:szCs w:val="20"/>
    </w:rPr>
  </w:style>
  <w:style w:type="character" w:styleId="CommentTextChar" w:customStyle="1">
    <w:name w:val="Comment Text Char"/>
    <w:basedOn w:val="DefaultParagraphFont"/>
    <w:link w:val="CommentText"/>
    <w:uiPriority w:val="99"/>
    <w:rsid w:val="002459FE"/>
    <w:rPr>
      <w:rFonts w:ascii="Arial" w:hAnsi="Arial"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2459FE"/>
    <w:rPr>
      <w:b/>
      <w:bCs/>
    </w:rPr>
  </w:style>
  <w:style w:type="character" w:styleId="CommentSubjectChar" w:customStyle="1">
    <w:name w:val="Comment Subject Char"/>
    <w:basedOn w:val="CommentTextChar"/>
    <w:link w:val="CommentSubject"/>
    <w:uiPriority w:val="99"/>
    <w:semiHidden/>
    <w:rsid w:val="002459FE"/>
    <w:rPr>
      <w:rFonts w:ascii="Arial" w:hAnsi="Arial" w:eastAsia="Times New Roman" w:cs="Times New Roman"/>
      <w:b/>
      <w:bCs/>
      <w:sz w:val="20"/>
      <w:szCs w:val="20"/>
    </w:rPr>
  </w:style>
  <w:style w:type="character" w:styleId="Mention">
    <w:name w:val="Mention"/>
    <w:basedOn w:val="DefaultParagraphFont"/>
    <w:uiPriority w:val="99"/>
    <w:unhideWhenUsed/>
    <w:rsid w:val="002459FE"/>
    <w:rPr>
      <w:color w:val="2B579A"/>
      <w:shd w:val="clear" w:color="auto" w:fill="E1DFDD"/>
    </w:rPr>
  </w:style>
  <w:style w:type="character" w:styleId="FootnoteReference">
    <w:name w:val="footnote reference"/>
    <w:basedOn w:val="DefaultParagraphFont"/>
    <w:uiPriority w:val="99"/>
    <w:semiHidden/>
    <w:unhideWhenUsed/>
    <w:rPr>
      <w:vertAlign w:val="superscript"/>
    </w:rPr>
  </w:style>
  <w:style w:type="character" w:styleId="FootnoteTextChar" w:customStyle="1">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 w:type="character" w:styleId="eop" w:customStyle="true">
    <w:uiPriority w:val="1"/>
    <w:name w:val="eop"/>
    <w:basedOn w:val="DefaultParagraphFont"/>
    <w:rsid w:val="60E85895"/>
    <w:rPr>
      <w:rFonts w:ascii="Calibri" w:hAnsi="Calibri" w:eastAsia="ＭＳ 明朝" w:cs="Arial" w:asciiTheme="minorAscii" w:hAnsiTheme="minorAscii" w:eastAsiaTheme="minorEastAsi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338843">
      <w:bodyDiv w:val="1"/>
      <w:marLeft w:val="0"/>
      <w:marRight w:val="0"/>
      <w:marTop w:val="0"/>
      <w:marBottom w:val="0"/>
      <w:divBdr>
        <w:top w:val="none" w:sz="0" w:space="0" w:color="auto"/>
        <w:left w:val="none" w:sz="0" w:space="0" w:color="auto"/>
        <w:bottom w:val="none" w:sz="0" w:space="0" w:color="auto"/>
        <w:right w:val="none" w:sz="0" w:space="0" w:color="auto"/>
      </w:divBdr>
      <w:divsChild>
        <w:div w:id="39475970">
          <w:marLeft w:val="0"/>
          <w:marRight w:val="0"/>
          <w:marTop w:val="0"/>
          <w:marBottom w:val="0"/>
          <w:divBdr>
            <w:top w:val="none" w:sz="0" w:space="0" w:color="auto"/>
            <w:left w:val="none" w:sz="0" w:space="0" w:color="auto"/>
            <w:bottom w:val="none" w:sz="0" w:space="0" w:color="auto"/>
            <w:right w:val="none" w:sz="0" w:space="0" w:color="auto"/>
          </w:divBdr>
        </w:div>
        <w:div w:id="168567630">
          <w:marLeft w:val="0"/>
          <w:marRight w:val="0"/>
          <w:marTop w:val="0"/>
          <w:marBottom w:val="0"/>
          <w:divBdr>
            <w:top w:val="none" w:sz="0" w:space="0" w:color="auto"/>
            <w:left w:val="none" w:sz="0" w:space="0" w:color="auto"/>
            <w:bottom w:val="none" w:sz="0" w:space="0" w:color="auto"/>
            <w:right w:val="none" w:sz="0" w:space="0" w:color="auto"/>
          </w:divBdr>
        </w:div>
        <w:div w:id="234702573">
          <w:marLeft w:val="0"/>
          <w:marRight w:val="0"/>
          <w:marTop w:val="0"/>
          <w:marBottom w:val="0"/>
          <w:divBdr>
            <w:top w:val="none" w:sz="0" w:space="0" w:color="auto"/>
            <w:left w:val="none" w:sz="0" w:space="0" w:color="auto"/>
            <w:bottom w:val="none" w:sz="0" w:space="0" w:color="auto"/>
            <w:right w:val="none" w:sz="0" w:space="0" w:color="auto"/>
          </w:divBdr>
        </w:div>
      </w:divsChild>
    </w:div>
    <w:div w:id="446824940">
      <w:bodyDiv w:val="1"/>
      <w:marLeft w:val="0"/>
      <w:marRight w:val="0"/>
      <w:marTop w:val="0"/>
      <w:marBottom w:val="0"/>
      <w:divBdr>
        <w:top w:val="none" w:sz="0" w:space="0" w:color="auto"/>
        <w:left w:val="none" w:sz="0" w:space="0" w:color="auto"/>
        <w:bottom w:val="none" w:sz="0" w:space="0" w:color="auto"/>
        <w:right w:val="none" w:sz="0" w:space="0" w:color="auto"/>
      </w:divBdr>
      <w:divsChild>
        <w:div w:id="241530377">
          <w:marLeft w:val="0"/>
          <w:marRight w:val="0"/>
          <w:marTop w:val="0"/>
          <w:marBottom w:val="0"/>
          <w:divBdr>
            <w:top w:val="none" w:sz="0" w:space="0" w:color="auto"/>
            <w:left w:val="none" w:sz="0" w:space="0" w:color="auto"/>
            <w:bottom w:val="none" w:sz="0" w:space="0" w:color="auto"/>
            <w:right w:val="none" w:sz="0" w:space="0" w:color="auto"/>
          </w:divBdr>
        </w:div>
        <w:div w:id="314843631">
          <w:marLeft w:val="0"/>
          <w:marRight w:val="0"/>
          <w:marTop w:val="0"/>
          <w:marBottom w:val="0"/>
          <w:divBdr>
            <w:top w:val="none" w:sz="0" w:space="0" w:color="auto"/>
            <w:left w:val="none" w:sz="0" w:space="0" w:color="auto"/>
            <w:bottom w:val="none" w:sz="0" w:space="0" w:color="auto"/>
            <w:right w:val="none" w:sz="0" w:space="0" w:color="auto"/>
          </w:divBdr>
        </w:div>
        <w:div w:id="332800393">
          <w:marLeft w:val="0"/>
          <w:marRight w:val="0"/>
          <w:marTop w:val="0"/>
          <w:marBottom w:val="0"/>
          <w:divBdr>
            <w:top w:val="none" w:sz="0" w:space="0" w:color="auto"/>
            <w:left w:val="none" w:sz="0" w:space="0" w:color="auto"/>
            <w:bottom w:val="none" w:sz="0" w:space="0" w:color="auto"/>
            <w:right w:val="none" w:sz="0" w:space="0" w:color="auto"/>
          </w:divBdr>
        </w:div>
        <w:div w:id="701906105">
          <w:marLeft w:val="0"/>
          <w:marRight w:val="0"/>
          <w:marTop w:val="0"/>
          <w:marBottom w:val="0"/>
          <w:divBdr>
            <w:top w:val="none" w:sz="0" w:space="0" w:color="auto"/>
            <w:left w:val="none" w:sz="0" w:space="0" w:color="auto"/>
            <w:bottom w:val="none" w:sz="0" w:space="0" w:color="auto"/>
            <w:right w:val="none" w:sz="0" w:space="0" w:color="auto"/>
          </w:divBdr>
        </w:div>
        <w:div w:id="1311519319">
          <w:marLeft w:val="0"/>
          <w:marRight w:val="0"/>
          <w:marTop w:val="0"/>
          <w:marBottom w:val="0"/>
          <w:divBdr>
            <w:top w:val="none" w:sz="0" w:space="0" w:color="auto"/>
            <w:left w:val="none" w:sz="0" w:space="0" w:color="auto"/>
            <w:bottom w:val="none" w:sz="0" w:space="0" w:color="auto"/>
            <w:right w:val="none" w:sz="0" w:space="0" w:color="auto"/>
          </w:divBdr>
        </w:div>
        <w:div w:id="1421633958">
          <w:marLeft w:val="0"/>
          <w:marRight w:val="0"/>
          <w:marTop w:val="0"/>
          <w:marBottom w:val="0"/>
          <w:divBdr>
            <w:top w:val="none" w:sz="0" w:space="0" w:color="auto"/>
            <w:left w:val="none" w:sz="0" w:space="0" w:color="auto"/>
            <w:bottom w:val="none" w:sz="0" w:space="0" w:color="auto"/>
            <w:right w:val="none" w:sz="0" w:space="0" w:color="auto"/>
          </w:divBdr>
        </w:div>
        <w:div w:id="1456145368">
          <w:marLeft w:val="0"/>
          <w:marRight w:val="0"/>
          <w:marTop w:val="0"/>
          <w:marBottom w:val="0"/>
          <w:divBdr>
            <w:top w:val="none" w:sz="0" w:space="0" w:color="auto"/>
            <w:left w:val="none" w:sz="0" w:space="0" w:color="auto"/>
            <w:bottom w:val="none" w:sz="0" w:space="0" w:color="auto"/>
            <w:right w:val="none" w:sz="0" w:space="0" w:color="auto"/>
          </w:divBdr>
        </w:div>
        <w:div w:id="1629774060">
          <w:marLeft w:val="0"/>
          <w:marRight w:val="0"/>
          <w:marTop w:val="0"/>
          <w:marBottom w:val="0"/>
          <w:divBdr>
            <w:top w:val="none" w:sz="0" w:space="0" w:color="auto"/>
            <w:left w:val="none" w:sz="0" w:space="0" w:color="auto"/>
            <w:bottom w:val="none" w:sz="0" w:space="0" w:color="auto"/>
            <w:right w:val="none" w:sz="0" w:space="0" w:color="auto"/>
          </w:divBdr>
        </w:div>
        <w:div w:id="1718897118">
          <w:marLeft w:val="0"/>
          <w:marRight w:val="0"/>
          <w:marTop w:val="0"/>
          <w:marBottom w:val="0"/>
          <w:divBdr>
            <w:top w:val="none" w:sz="0" w:space="0" w:color="auto"/>
            <w:left w:val="none" w:sz="0" w:space="0" w:color="auto"/>
            <w:bottom w:val="none" w:sz="0" w:space="0" w:color="auto"/>
            <w:right w:val="none" w:sz="0" w:space="0" w:color="auto"/>
          </w:divBdr>
        </w:div>
        <w:div w:id="1818523208">
          <w:marLeft w:val="0"/>
          <w:marRight w:val="0"/>
          <w:marTop w:val="0"/>
          <w:marBottom w:val="0"/>
          <w:divBdr>
            <w:top w:val="none" w:sz="0" w:space="0" w:color="auto"/>
            <w:left w:val="none" w:sz="0" w:space="0" w:color="auto"/>
            <w:bottom w:val="none" w:sz="0" w:space="0" w:color="auto"/>
            <w:right w:val="none" w:sz="0" w:space="0" w:color="auto"/>
          </w:divBdr>
        </w:div>
        <w:div w:id="1941177829">
          <w:marLeft w:val="0"/>
          <w:marRight w:val="0"/>
          <w:marTop w:val="0"/>
          <w:marBottom w:val="0"/>
          <w:divBdr>
            <w:top w:val="none" w:sz="0" w:space="0" w:color="auto"/>
            <w:left w:val="none" w:sz="0" w:space="0" w:color="auto"/>
            <w:bottom w:val="none" w:sz="0" w:space="0" w:color="auto"/>
            <w:right w:val="none" w:sz="0" w:space="0" w:color="auto"/>
          </w:divBdr>
        </w:div>
      </w:divsChild>
    </w:div>
    <w:div w:id="78531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nationalarchives.gov.uk/doc/open-government-licence/version/3/" TargetMode="External" Id="rId13" /><Relationship Type="http://schemas.microsoft.com/office/2011/relationships/commentsExtended" Target="commentsExtended.xm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view.officeapps.live.com/op/view.aspx?src=https%3A%2F%2Fscience-and-innovation-network.s3.eu-west-2.amazonaws.com%2FBEIS%2BICF%2FUNFCCC%2BREDD%252B%2FUNFCCC%2BREDD%252B%2BAnnual%2BReview.docx&amp;wdOrigin=BROWSELINK" TargetMode="Externa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customXml" Target="../customXml/item5.xml" Id="rId5" /><Relationship Type="http://schemas.openxmlformats.org/officeDocument/2006/relationships/hyperlink" Target="mailto:ODA-Transparency@beis.gov.uk" TargetMode="External" Id="rId15" /><Relationship Type="http://schemas.openxmlformats.org/officeDocument/2006/relationships/header" Target="header2.xml" Id="rId23" /><Relationship Type="http://schemas.microsoft.com/office/2020/10/relationships/intelligence" Target="intelligence2.xml" Id="rId28" /><Relationship Type="http://schemas.openxmlformats.org/officeDocument/2006/relationships/footnotes" Target="footnotes.xml" Id="rId10" /><Relationship Type="http://schemas.microsoft.com/office/2016/09/relationships/commentsIds" Target="commentsIds.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psi@nationalarchives.gsi.gov.uk" TargetMode="External" Id="rId14" /><Relationship Type="http://schemas.openxmlformats.org/officeDocument/2006/relationships/footer" Target="footer1.xml" Id="rId22" /><Relationship Type="http://schemas.openxmlformats.org/officeDocument/2006/relationships/theme" Target="theme/theme1.xml" Id="rId27" /></Relationships>
</file>

<file path=word/_rels/footnotes.xml.rels>&#65279;<?xml version="1.0" encoding="utf-8"?><Relationships xmlns="http://schemas.openxmlformats.org/package/2006/relationships"><Relationship Type="http://schemas.openxmlformats.org/officeDocument/2006/relationships/hyperlink" Target="https://redd.unfccc.int/media/briefing_paper_on_ns_aps.pdf" TargetMode="External" Id="R15c7c76842074a15"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gacyData xmlns="aaacb922-5235-4a66-b188-303b9b46fbd7">{
  "Name": "BEIS Annual Review Template April 2020.docx",
  "Title": "Annual Review Template_April 2020",
  "External": "",
  "Document Notes": "",
  "Security Classification": "OFFICIAL",
  "Handling Instructions": "",
  "Descriptor": "",
  "Government Body": "BEIS",
  "Business Unit": "BEIS:Energy, Transformation and Clean Growth:International (Climate and Energy):International Climate Finance",
  "Retention Label": "Corp PPP Review",
  "Date Opened": "2020-04-17T10:35:13.0000000Z",
  "Date Closed": "",
  "National Caveat": "",
  "Previous Location": "",
  "Previous Id": "",
  "Legacy Document Type": "",
  "Legacy Fileplan Target": "",
  "Legacy Numeric Class": "",
  "Legacy Folder Type": "",
  "Legacy Record Folder Identifier": "",
  "Legacy Copyright": "",
  "Legacy Last Modified Date": "",
  "Legacy Modifier": "",
  "Legacy Folder": "",
  "Legacy Content Type": "",
  "Legacy Expiry Review Date": "",
  "Legacy Last Action Date": "",
  "Legacy Protective Marking": "",
  "Legacy Tags": "",
  "Legacy References From Other Items": "",
  "Legacy Status on Transfer": "",
  "Legacy Date Closed": "",
  "Legacy Record Category Identifier": "",
  "Legacy Disposition as of Date": "",
  "Legacy Home Location": "",
  "Legacy Current Location": "",
  "Legacy Date File Received": "",
  "Legacy Date File Requested": "",
  "Legacy Date File Returned": "",
  "Legacy Minister": "",
  "Legacy MP": "",
  "Legacy Folder Notes": "",
  "Legacy Physical Item Location": "",
  "Legacy Request Type": "",
  "Legacy Descriptor": "",
  "Legacy Folder Document ID": "",
  "Legacy Document ID": "",
  "Legacy References To Other Items": "",
  "Legacy Custodian": "",
  "Legacy Additional Authors": "",
  "Legacy Document Link": "",
  "Legacy Folder Link": "",
  "Legacy Physical Format": false,
  "Content Type": "Document",
  "Previous Retention Policy": "",
  "Legacy Case Reference Number": "",
  "Created": "2020-04-17T10:35:16.0000000Z",
  "Document Modified By": "i:0#.f|membership|william.smithers@beis.gov.uk",
  "Document Created By": "i:0#.f|membership|william.smithers@beis.gov.uk",
  "Document ID Value": "2QFN7KK647Q6-169810503-3609",
  "Modified": "2020-06-12T15:11:14.0000000Z",
  "Original Location": "/sites/beis/201/Portfolio/Project Monitoring and Delivery/Annual Reviews/BEIS Annual Review Template April 2020.docx"
}</LegacyData>
    <_dlc_DocId xmlns="839018be-1fd5-46c8-bb5f-8e5f297ce001">N3MC4NMT5URJ-1164569100-31311</_dlc_DocId>
    <TaxCatchAll xmlns="839018be-1fd5-46c8-bb5f-8e5f297ce001">
      <Value>3</Value>
      <Value>2</Value>
      <Value>1</Value>
    </TaxCatchAll>
    <_dlc_DocIdUrl xmlns="839018be-1fd5-46c8-bb5f-8e5f297ce001">
      <Url>https://beisgov.sharepoint.com/sites/InternationalForests-EXT-OS/_layouts/15/DocIdRedir.aspx?ID=N3MC4NMT5URJ-1164569100-31311</Url>
      <Description>N3MC4NMT5URJ-1164569100-31311</Description>
    </_dlc_DocIdUrl>
    <SharedWithUsers xmlns="839018be-1fd5-46c8-bb5f-8e5f297ce001">
      <UserInfo>
        <DisplayName>zz_Bray, Callum (BEIS)</DisplayName>
        <AccountId>1135</AccountId>
        <AccountType/>
      </UserInfo>
      <UserInfo>
        <DisplayName>zz_Lugt, Ellie (International - Climate and Energy)</DisplayName>
        <AccountId>1134</AccountId>
        <AccountType/>
      </UserInfo>
      <UserInfo>
        <DisplayName>White, James (DSIT)</DisplayName>
        <AccountId>1136</AccountId>
        <AccountType/>
      </UserInfo>
      <UserInfo>
        <DisplayName>zz_Walter, Poppy (NZBI - Domestic)</DisplayName>
        <AccountId>1489</AccountId>
        <AccountType/>
      </UserInfo>
      <UserInfo>
        <DisplayName>zz_Robinson, Giulia (International - Climate and Energy)</DisplayName>
        <AccountId>1436</AccountId>
        <AccountType/>
      </UserInfo>
      <UserInfo>
        <DisplayName>Hughes, Catriona (Business Sectors - Infrastructure &amp; Materials)</DisplayName>
        <AccountId>1191</AccountId>
        <AccountType/>
      </UserInfo>
      <UserInfo>
        <DisplayName>zz_White, Alastair (NZSI - International Net Zero)</DisplayName>
        <AccountId>1268</AccountId>
        <AccountType/>
      </UserInfo>
      <UserInfo>
        <DisplayName>zz_Andrews, Sophie (International - Climate and Energy)</DisplayName>
        <AccountId>1433</AccountId>
        <AccountType/>
      </UserInfo>
      <UserInfo>
        <DisplayName>Patrick, Niall (Energy Security)</DisplayName>
        <AccountId>534</AccountId>
        <AccountType/>
      </UserInfo>
      <UserInfo>
        <DisplayName>zz_Stathakopoulou, Christina (NZSI - International Net Zero)</DisplayName>
        <AccountId>1518</AccountId>
        <AccountType/>
      </UserInfo>
      <UserInfo>
        <DisplayName>zz_Sardeson, Lottie (Intl Climate Finance - Investments)</DisplayName>
        <AccountId>282</AccountId>
        <AccountType/>
      </UserInfo>
      <UserInfo>
        <DisplayName>zz_Donegan, Brendan (Energy Security)</DisplayName>
        <AccountId>539</AccountId>
        <AccountType/>
      </UserInfo>
      <UserInfo>
        <DisplayName>zz_Gibbs, Douglas (Intl Climate Finance - Investments)</DisplayName>
        <AccountId>13</AccountId>
        <AccountType/>
      </UserInfo>
      <UserInfo>
        <DisplayName>zz_Mills, Sarah (Intl Climate Finance - Investments)</DisplayName>
        <AccountId>66</AccountId>
        <AccountType/>
      </UserInfo>
      <UserInfo>
        <DisplayName>Farmer, Will (Energy Security)</DisplayName>
        <AccountId>142</AccountId>
        <AccountType/>
      </UserInfo>
      <UserInfo>
        <DisplayName>Ahmed, Tajbee (Energy Security)</DisplayName>
        <AccountId>219</AccountId>
        <AccountType/>
      </UserInfo>
      <UserInfo>
        <DisplayName>zz_Evans, Sian (Intl Climate Finance - Partnerships)</DisplayName>
        <AccountId>104</AccountId>
        <AccountType/>
      </UserInfo>
      <UserInfo>
        <DisplayName>Davis, Owen (Energy Security)</DisplayName>
        <AccountId>245</AccountId>
        <AccountType/>
      </UserInfo>
      <UserInfo>
        <DisplayName>Paton, Ellen (Energy Security)</DisplayName>
        <AccountId>37</AccountId>
        <AccountType/>
      </UserInfo>
      <UserInfo>
        <DisplayName>zz_Kasliwal, Pritika (Intl Climate Finance - Partnerships)</DisplayName>
        <AccountId>81</AccountId>
        <AccountType/>
      </UserInfo>
      <UserInfo>
        <DisplayName>Hirschhausen, Lara (Energy Security)</DisplayName>
        <AccountId>218</AccountId>
        <AccountType/>
      </UserInfo>
      <UserInfo>
        <DisplayName>zz_Le Quesne, Felicity (NZSI - International Forests Hub)</DisplayName>
        <AccountId>72</AccountId>
        <AccountType/>
      </UserInfo>
      <UserInfo>
        <DisplayName>zz_Ashworth, Francesca (Science, Research &amp; Innovation)</DisplayName>
        <AccountId>2123</AccountId>
        <AccountType/>
      </UserInfo>
      <UserInfo>
        <DisplayName>zz_Tomlinson, Luke (Intl Climate Finance - Investments)</DisplayName>
        <AccountId>123</AccountId>
        <AccountType/>
      </UserInfo>
      <UserInfo>
        <DisplayName>zz_Schuler, Nina (International - Climate and Energy)</DisplayName>
        <AccountId>2097</AccountId>
        <AccountType/>
      </UserInfo>
      <UserInfo>
        <DisplayName>Olubodun, Lekan (NZSI - International Net Zero)</DisplayName>
        <AccountId>162</AccountId>
        <AccountType/>
      </UserInfo>
      <UserInfo>
        <DisplayName>Augustin, Sidney (DSIT)</DisplayName>
        <AccountId>267</AccountId>
        <AccountType/>
      </UserInfo>
      <UserInfo>
        <DisplayName>zz_Liehr, Estefania (Intl Climate Finance - Investments)</DisplayName>
        <AccountId>87</AccountId>
        <AccountType/>
      </UserInfo>
      <UserInfo>
        <DisplayName>veronica.robledo</DisplayName>
        <AccountId>1977</AccountId>
        <AccountType/>
      </UserInfo>
      <UserInfo>
        <DisplayName>lina.penuela@fcdo.gov.uk</DisplayName>
        <AccountId>1971</AccountId>
        <AccountType/>
      </UserInfo>
      <UserInfo>
        <DisplayName>natalia.rodriguez</DisplayName>
        <AccountId>1978</AccountId>
        <AccountType/>
      </UserInfo>
      <UserInfo>
        <DisplayName>Veronica Robledo (Sensitive)</DisplayName>
        <AccountId>607</AccountId>
        <AccountType/>
      </UserInfo>
      <UserInfo>
        <DisplayName>Lina Penuela (Sensitive)</DisplayName>
        <AccountId>608</AccountId>
        <AccountType/>
      </UserInfo>
      <UserInfo>
        <DisplayName>Natalia Rodriguez (Sensitive)</DisplayName>
        <AccountId>606</AccountId>
        <AccountType/>
      </UserInfo>
      <UserInfo>
        <DisplayName>Caravani, Alice (Energy Security)</DisplayName>
        <AccountId>187</AccountId>
        <AccountType/>
      </UserInfo>
      <UserInfo>
        <DisplayName>zz_Unadkat, Kavi (International - Climate and Energy)</DisplayName>
        <AccountId>2318</AccountId>
        <AccountType/>
      </UserInfo>
      <UserInfo>
        <DisplayName>zz_Rose, Ginny (International - Climate and Energy)</DisplayName>
        <AccountId>5308</AccountId>
        <AccountType/>
      </UserInfo>
      <UserInfo>
        <DisplayName>Baillie, Jack (NZSI - International Net Zero)</DisplayName>
        <AccountId>5028</AccountId>
        <AccountType/>
      </UserInfo>
      <UserInfo>
        <DisplayName>Al-Sibassi, Eman (Energy Security)</DisplayName>
        <AccountId>723</AccountId>
        <AccountType/>
      </UserInfo>
      <UserInfo>
        <DisplayName>zz_Enevoldsen, Chloe (NZSI - International Net Zero)</DisplayName>
        <AccountId>5447</AccountId>
        <AccountType/>
      </UserInfo>
      <UserInfo>
        <DisplayName>zz_Carro, Inigo (BEIS)</DisplayName>
        <AccountId>5241</AccountId>
        <AccountType/>
      </UserInfo>
      <UserInfo>
        <DisplayName>zz_Kennedy, Ruth (Intl Climate Finance - Investments)</DisplayName>
        <AccountId>54</AccountId>
        <AccountType/>
      </UserInfo>
      <UserInfo>
        <DisplayName>zz_Pettem, Sarah (Intl Climate Finance - Portfolio)</DisplayName>
        <AccountId>190</AccountId>
        <AccountType/>
      </UserInfo>
      <UserInfo>
        <DisplayName>zz_Hodgetts, George (NZSI - International Net Zero)</DisplayName>
        <AccountId>101</AccountId>
        <AccountType/>
      </UserInfo>
      <UserInfo>
        <DisplayName>zz_Keene, Alexander (Topps - National Security &amp; International)</DisplayName>
        <AccountId>5053</AccountId>
        <AccountType/>
      </UserInfo>
      <UserInfo>
        <DisplayName>Hillson, Isabelle (Energy Security)</DisplayName>
        <AccountId>2927</AccountId>
        <AccountType/>
      </UserInfo>
      <UserInfo>
        <DisplayName>Smithers, William (Energy Security)</DisplayName>
        <AccountId>15</AccountId>
        <AccountType/>
      </UserInfo>
      <UserInfo>
        <DisplayName>Bunte, Svenja (Energy Security)</DisplayName>
        <AccountId>5357</AccountId>
        <AccountType/>
      </UserInfo>
      <UserInfo>
        <DisplayName>Jones3, Philip (Energy Security)</DisplayName>
        <AccountId>8101</AccountId>
        <AccountType/>
      </UserInfo>
      <UserInfo>
        <DisplayName>Sarah Pettem</DisplayName>
        <AccountId>7821</AccountId>
        <AccountType/>
      </UserInfo>
      <UserInfo>
        <DisplayName>Boustead, Rebecca (Energy Security)</DisplayName>
        <AccountId>3176</AccountId>
        <AccountType/>
      </UserInfo>
      <UserInfo>
        <DisplayName>Evans, Rachael (Energy Security)</DisplayName>
        <AccountId>8412</AccountId>
        <AccountType/>
      </UserInfo>
      <UserInfo>
        <DisplayName>LeNagard, Clementine (Energy Security)</DisplayName>
        <AccountId>8741</AccountId>
        <AccountType/>
      </UserInfo>
      <UserInfo>
        <DisplayName>zz_Birkett, Joe (Energy Security)</DisplayName>
        <AccountId>8537</AccountId>
        <AccountType/>
      </UserInfo>
      <UserInfo>
        <DisplayName>Poletti, Monica (Energy Security)</DisplayName>
        <AccountId>8373</AccountId>
        <AccountType/>
      </UserInfo>
      <UserInfo>
        <DisplayName>Flanagan, Thomas (Energy Supply - Energy Affordability)</DisplayName>
        <AccountId>8834</AccountId>
        <AccountType/>
      </UserInfo>
      <UserInfo>
        <DisplayName>Evans, Jacob (Energy Security)</DisplayName>
        <AccountId>8531</AccountId>
        <AccountType/>
      </UserInfo>
      <UserInfo>
        <DisplayName>Wong2, Matthew (Energy Security)</DisplayName>
        <AccountId>8545</AccountId>
        <AccountType/>
      </UserInfo>
      <UserInfo>
        <DisplayName>zz_Haddad, Marie (Energy Security)</DisplayName>
        <AccountId>8530</AccountId>
        <AccountType/>
      </UserInfo>
      <UserInfo>
        <DisplayName>zz_Carroll, Sabrina (Energy Security)</DisplayName>
        <AccountId>8195</AccountId>
        <AccountType/>
      </UserInfo>
      <UserInfo>
        <DisplayName>Norman-Rhodes, Alex (Energy Security)</DisplayName>
        <AccountId>8102</AccountId>
        <AccountType/>
      </UserInfo>
      <UserInfo>
        <DisplayName>Connolly, Michael (Energy Security)</DisplayName>
        <AccountId>8895</AccountId>
        <AccountType/>
      </UserInfo>
      <UserInfo>
        <DisplayName>zz_Salt, Fred (NZSI - International Net Zero )</DisplayName>
        <AccountId>8544</AccountId>
        <AccountType/>
      </UserInfo>
      <UserInfo>
        <DisplayName>Parris, Francesca (Energy Security)</DisplayName>
        <AccountId>3785</AccountId>
        <AccountType/>
      </UserInfo>
      <UserInfo>
        <DisplayName>Sanyal, Sean (Energy Security)</DisplayName>
        <AccountId>8539</AccountId>
        <AccountType/>
      </UserInfo>
      <UserInfo>
        <DisplayName>Bertrand, Jeromine (Energy Security)</DisplayName>
        <AccountId>80</AccountId>
        <AccountType/>
      </UserInfo>
      <UserInfo>
        <DisplayName>Apine, Alina (Energy Security)</DisplayName>
        <AccountId>4968</AccountId>
        <AccountType/>
      </UserInfo>
      <UserInfo>
        <DisplayName>Hampton-Ball, Simon (Energy Security)</DisplayName>
        <AccountId>53</AccountId>
        <AccountType/>
      </UserInfo>
      <UserInfo>
        <DisplayName>zz_Wastie, Tayah (Energy Security)</DisplayName>
        <AccountId>8372</AccountId>
        <AccountType/>
      </UserInfo>
      <UserInfo>
        <DisplayName>zz_Rodriguez, Poppy (Energy Security)</DisplayName>
        <AccountId>9126</AccountId>
        <AccountType/>
      </UserInfo>
      <UserInfo>
        <DisplayName>Livesey, Renee (Energy Security)</DisplayName>
        <AccountId>306</AccountId>
        <AccountType/>
      </UserInfo>
      <UserInfo>
        <DisplayName>Shipley, Chris (Energy Security)</DisplayName>
        <AccountId>68</AccountId>
        <AccountType/>
      </UserInfo>
      <UserInfo>
        <DisplayName>Bennett, Victoria (Energy Security)</DisplayName>
        <AccountId>9902</AccountId>
        <AccountType/>
      </UserInfo>
      <UserInfo>
        <DisplayName>Stringer, Fiona (Energy Security)</DisplayName>
        <AccountId>99</AccountId>
        <AccountType/>
      </UserInfo>
      <UserInfo>
        <DisplayName>Situ, Victoria (Energy Security)</DisplayName>
        <AccountId>183</AccountId>
        <AccountType/>
      </UserInfo>
      <UserInfo>
        <DisplayName>Mohammadpour, Parmida (Energy Security)</DisplayName>
        <AccountId>9464</AccountId>
        <AccountType/>
      </UserInfo>
      <UserInfo>
        <DisplayName>Walker, Joe (Energy Security)</DisplayName>
        <AccountId>10364</AccountId>
        <AccountType/>
      </UserInfo>
      <UserInfo>
        <DisplayName>Raichoora, Ravi (Energy Security)</DisplayName>
        <AccountId>10201</AccountId>
        <AccountType/>
      </UserInfo>
      <UserInfo>
        <DisplayName>Firth, Rosalind (Energy Security)</DisplayName>
        <AccountId>11555</AccountId>
        <AccountType/>
      </UserInfo>
      <UserInfo>
        <DisplayName>Catton, Ryan (Energy Security)</DisplayName>
        <AccountId>10905</AccountId>
        <AccountType/>
      </UserInfo>
      <UserInfo>
        <DisplayName>Biddle, Harry (Topps - Analysis Directorate)</DisplayName>
        <AccountId>10842</AccountId>
        <AccountType/>
      </UserInfo>
    </SharedWithUsers>
    <lcf76f155ced4ddcb4097134ff3c332f xmlns="b3d83fe4-f584-44c1-ada4-cced241b61b0">
      <Terms xmlns="http://schemas.microsoft.com/office/infopath/2007/PartnerControls"/>
    </lcf76f155ced4ddcb4097134ff3c332f>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BEIS</TermName>
          <TermId xmlns="http://schemas.microsoft.com/office/infopath/2007/PartnerControls">b386cac2-c28c-4db4-8fca-43733d0e74ef</TermId>
        </TermInfo>
      </Terms>
    </c6f593ada1854b629148449de059396b>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and Climate</TermName>
          <TermId xmlns="http://schemas.microsoft.com/office/infopath/2007/PartnerControls">67dfd3db-8e6c-4d42-96c1-aed1098cd89b</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International Climate and Energy,</TermName>
          <TermId xmlns="http://schemas.microsoft.com/office/infopath/2007/PartnerControls">8ce3479e-0228-4d4b-8382-a951e8f3cec1</TermId>
        </TermInfo>
      </Terms>
    </h573c97cf80c4aa6b446c5363dc3ac94>
    <Comments_x002f_keyelements xmlns="b3d83fe4-f584-44c1-ada4-cced241b61b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2EDB4F82A4FD31439328CBC569C1149B" ma:contentTypeVersion="21" ma:contentTypeDescription="Create a new document." ma:contentTypeScope="" ma:versionID="a8db199c007e854cc6042756a819d245">
  <xsd:schema xmlns:xsd="http://www.w3.org/2001/XMLSchema" xmlns:xs="http://www.w3.org/2001/XMLSchema" xmlns:p="http://schemas.microsoft.com/office/2006/metadata/properties" xmlns:ns2="0f9fa326-da26-4ea8-b6a9-645e8136fe1d" xmlns:ns3="839018be-1fd5-46c8-bb5f-8e5f297ce001" xmlns:ns4="aaacb922-5235-4a66-b188-303b9b46fbd7" xmlns:ns5="b3d83fe4-f584-44c1-ada4-cced241b61b0" targetNamespace="http://schemas.microsoft.com/office/2006/metadata/properties" ma:root="true" ma:fieldsID="281e53aa03d71f3d6d4a8e6eb6a928a7" ns2:_="" ns3:_="" ns4:_="" ns5:_="">
    <xsd:import namespace="0f9fa326-da26-4ea8-b6a9-645e8136fe1d"/>
    <xsd:import namespace="839018be-1fd5-46c8-bb5f-8e5f297ce001"/>
    <xsd:import namespace="aaacb922-5235-4a66-b188-303b9b46fbd7"/>
    <xsd:import namespace="b3d83fe4-f584-44c1-ada4-cced241b61b0"/>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3:SharedWithUsers" minOccurs="0"/>
                <xsd:element ref="ns3:SharedWithDetails" minOccurs="0"/>
                <xsd:element ref="ns5:MediaServiceMetadata" minOccurs="0"/>
                <xsd:element ref="ns5:MediaServiceFastMetadata" minOccurs="0"/>
                <xsd:element ref="ns5:MediaServiceAutoKeyPoints" minOccurs="0"/>
                <xsd:element ref="ns5:MediaServiceKeyPoints" minOccurs="0"/>
                <xsd:element ref="ns5:lcf76f155ced4ddcb4097134ff3c332f" minOccurs="0"/>
                <xsd:element ref="ns5:MediaServiceOCR" minOccurs="0"/>
                <xsd:element ref="ns5:MediaServiceGenerationTime" minOccurs="0"/>
                <xsd:element ref="ns5:MediaServiceEventHashCode" minOccurs="0"/>
                <xsd:element ref="ns5:MediaServiceDateTaken" minOccurs="0"/>
                <xsd:element ref="ns5:MediaLengthInSeconds" minOccurs="0"/>
                <xsd:element ref="ns5:MediaServiceObjectDetectorVersions" minOccurs="0"/>
                <xsd:element ref="ns5:MediaServiceSearchProperties" minOccurs="0"/>
                <xsd:element ref="ns5:MediaServiceLocation" minOccurs="0"/>
                <xsd:element ref="ns5:Comments_x002f_keyele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BEIS|b386cac2-c28c-4db4-8fca-43733d0e74ef"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and Climate|67dfd3db-8e6c-4d42-96c1-aed1098cd89b"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International Climate and Energy,|8ce3479e-0228-4d4b-8382-a951e8f3cec1"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9018be-1fd5-46c8-bb5f-8e5f297ce00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7848f78-89dd-4aa4-a5d3-4bc706e8013d}" ma:internalName="TaxCatchAll" ma:showField="CatchAllData" ma:web="839018be-1fd5-46c8-bb5f-8e5f297ce0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848f78-89dd-4aa4-a5d3-4bc706e8013d}" ma:internalName="TaxCatchAllLabel" ma:readOnly="true" ma:showField="CatchAllDataLabel" ma:web="839018be-1fd5-46c8-bb5f-8e5f297ce001">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d83fe4-f584-44c1-ada4-cced241b61b0"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Location" ma:index="35" nillable="true" ma:displayName="Location" ma:indexed="true" ma:internalName="MediaServiceLocation" ma:readOnly="true">
      <xsd:simpleType>
        <xsd:restriction base="dms:Text"/>
      </xsd:simpleType>
    </xsd:element>
    <xsd:element name="Comments_x002f_keyelements" ma:index="36" nillable="true" ma:displayName="Comments/key elements" ma:description="Include info on any key points covered in key emails" ma:format="Dropdown" ma:internalName="Comments_x002f_keyele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470627-5072-4164-B9A0-A8C60A90D51C}">
  <ds:schemaRefs>
    <ds:schemaRef ds:uri="http://schemas.openxmlformats.org/officeDocument/2006/bibliography"/>
  </ds:schemaRefs>
</ds:datastoreItem>
</file>

<file path=customXml/itemProps2.xml><?xml version="1.0" encoding="utf-8"?>
<ds:datastoreItem xmlns:ds="http://schemas.openxmlformats.org/officeDocument/2006/customXml" ds:itemID="{28542131-BD40-42FA-BF1D-325659C74395}">
  <ds:schemaRefs>
    <ds:schemaRef ds:uri="http://schemas.microsoft.com/sharepoint/v3/contenttype/forms"/>
  </ds:schemaRefs>
</ds:datastoreItem>
</file>

<file path=customXml/itemProps3.xml><?xml version="1.0" encoding="utf-8"?>
<ds:datastoreItem xmlns:ds="http://schemas.openxmlformats.org/officeDocument/2006/customXml" ds:itemID="{02FCA949-4A17-4A58-8CB4-38E906E85F6A}">
  <ds:schemaRefs>
    <ds:schemaRef ds:uri="http://schemas.microsoft.com/office/2006/metadata/properties"/>
    <ds:schemaRef ds:uri="http://schemas.microsoft.com/office/infopath/2007/PartnerControls"/>
    <ds:schemaRef ds:uri="aaacb922-5235-4a66-b188-303b9b46fbd7"/>
    <ds:schemaRef ds:uri="839018be-1fd5-46c8-bb5f-8e5f297ce001"/>
    <ds:schemaRef ds:uri="b3d83fe4-f584-44c1-ada4-cced241b61b0"/>
    <ds:schemaRef ds:uri="0f9fa326-da26-4ea8-b6a9-645e8136fe1d"/>
  </ds:schemaRefs>
</ds:datastoreItem>
</file>

<file path=customXml/itemProps4.xml><?xml version="1.0" encoding="utf-8"?>
<ds:datastoreItem xmlns:ds="http://schemas.openxmlformats.org/officeDocument/2006/customXml" ds:itemID="{49948BD2-19FB-4A1A-9F04-1E661C4B97AC}">
  <ds:schemaRefs>
    <ds:schemaRef ds:uri="http://schemas.microsoft.com/sharepoint/events"/>
  </ds:schemaRefs>
</ds:datastoreItem>
</file>

<file path=customXml/itemProps5.xml><?xml version="1.0" encoding="utf-8"?>
<ds:datastoreItem xmlns:ds="http://schemas.openxmlformats.org/officeDocument/2006/customXml" ds:itemID="{719121EF-EF46-4E6C-9B3B-A340BEF4D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839018be-1fd5-46c8-bb5f-8e5f297ce001"/>
    <ds:schemaRef ds:uri="aaacb922-5235-4a66-b188-303b9b46fbd7"/>
    <ds:schemaRef ds:uri="b3d83fe4-f584-44c1-ada4-cced241b6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a62f585-b40f-4ab9-bafe-39150f03d124}" enabled="1" method="Standard" siteId="{cbac7005-02c1-43eb-b497-e6492d1b2dd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William (Intl Climate Finance: Portfolio)</dc:creator>
  <cp:keywords/>
  <dc:description/>
  <cp:lastModifiedBy>Sorley, Lorraine (Energy Security)</cp:lastModifiedBy>
  <cp:revision>723</cp:revision>
  <dcterms:created xsi:type="dcterms:W3CDTF">2026-06-11T19:19:00Z</dcterms:created>
  <dcterms:modified xsi:type="dcterms:W3CDTF">2026-08-18T15:56:53Z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2020-07-31T08:26:31Z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cddeefbe-1e4c-49e9-8a2d-000074bea76d</vt:lpwstr>
  </property>
  <property fmtid="{D5CDD505-2E9C-101B-9397-08002B2CF9AE}" pid="8" name="MSIP_Label_ba62f585-b40f-4ab9-bafe-39150f03d124_ContentBits">
    <vt:lpwstr>0</vt:lpwstr>
  </property>
  <property fmtid="{D5CDD505-2E9C-101B-9397-08002B2CF9AE}" pid="9" name="Business Document Type">
    <vt:lpwstr>Annual review</vt:lpwstr>
  </property>
  <property fmtid="{D5CDD505-2E9C-101B-9397-08002B2CF9AE}" pid="10" name="Business Unit">
    <vt:lpwstr>1;#International Climate Finance|25a07eec-082c-4868-be05-2bef48a6767e</vt:lpwstr>
  </property>
  <property fmtid="{D5CDD505-2E9C-101B-9397-08002B2CF9AE}" pid="11" name="MSIP_Label_e4c996da-17fa-4fc5-8989-2758fb4cf86b_ActionId">
    <vt:lpwstr>919708a4-416e-499e-8edc-0000a189eb48</vt:lpwstr>
  </property>
  <property fmtid="{D5CDD505-2E9C-101B-9397-08002B2CF9AE}" pid="12" name="MSIP_Label_e4c996da-17fa-4fc5-8989-2758fb4cf86b_SiteId">
    <vt:lpwstr>cdf709af-1a18-4c74-bd93-6d14a64d73b3</vt:lpwstr>
  </property>
  <property fmtid="{D5CDD505-2E9C-101B-9397-08002B2CF9AE}" pid="13" name="MSIP_Label_e4c996da-17fa-4fc5-8989-2758fb4cf86b_ContentBits">
    <vt:lpwstr>1</vt:lpwstr>
  </property>
  <property fmtid="{D5CDD505-2E9C-101B-9397-08002B2CF9AE}" pid="14" name="ContentTypeId">
    <vt:lpwstr>0x0101004691A8DE0991884F8E90AD6474FC737301002EDB4F82A4FD31439328CBC569C1149B</vt:lpwstr>
  </property>
  <property fmtid="{D5CDD505-2E9C-101B-9397-08002B2CF9AE}" pid="15" name="MSIP_Label_e4c996da-17fa-4fc5-8989-2758fb4cf86b_Enabled">
    <vt:lpwstr>true</vt:lpwstr>
  </property>
  <property fmtid="{D5CDD505-2E9C-101B-9397-08002B2CF9AE}" pid="16" name="MSIP_Label_e4c996da-17fa-4fc5-8989-2758fb4cf86b_Name">
    <vt:lpwstr>OFFICIAL</vt:lpwstr>
  </property>
  <property fmtid="{D5CDD505-2E9C-101B-9397-08002B2CF9AE}" pid="17" name="_dlc_DocIdItemGuid">
    <vt:lpwstr>fcfdc109-9333-44d3-abe6-54b50cab4b8e</vt:lpwstr>
  </property>
  <property fmtid="{D5CDD505-2E9C-101B-9397-08002B2CF9AE}" pid="18" name="MSIP_Label_e4c996da-17fa-4fc5-8989-2758fb4cf86b_SetDate">
    <vt:lpwstr>2020-03-30T16:49:07Z</vt:lpwstr>
  </property>
  <property fmtid="{D5CDD505-2E9C-101B-9397-08002B2CF9AE}" pid="19" name="MSIP_Label_e4c996da-17fa-4fc5-8989-2758fb4cf86b_Method">
    <vt:lpwstr>Standard</vt:lpwstr>
  </property>
  <property fmtid="{D5CDD505-2E9C-101B-9397-08002B2CF9AE}" pid="20" name="MediaServiceImageTags">
    <vt:lpwstr/>
  </property>
  <property fmtid="{D5CDD505-2E9C-101B-9397-08002B2CF9AE}" pid="21" name="KIM_Activity">
    <vt:lpwstr>2;#International Climate and Energy,|8ce3479e-0228-4d4b-8382-a951e8f3cec1</vt:lpwstr>
  </property>
  <property fmtid="{D5CDD505-2E9C-101B-9397-08002B2CF9AE}" pid="22" name="KIM_GovernmentBody">
    <vt:lpwstr>3;#BEIS|b386cac2-c28c-4db4-8fca-43733d0e74ef</vt:lpwstr>
  </property>
  <property fmtid="{D5CDD505-2E9C-101B-9397-08002B2CF9AE}" pid="23" name="KIM_Function">
    <vt:lpwstr>1;#Energy and Climate|67dfd3db-8e6c-4d42-96c1-aed1098cd89b</vt:lpwstr>
  </property>
  <property fmtid="{D5CDD505-2E9C-101B-9397-08002B2CF9AE}" pid="24" name="Business_x0020_Unit">
    <vt:lpwstr>1;#International Climate Finance|25a07eec-082c-4868-be05-2bef48a6767e</vt:lpwstr>
  </property>
  <property fmtid="{D5CDD505-2E9C-101B-9397-08002B2CF9AE}" pid="26" name="docLang">
    <vt:lpwstr>en</vt:lpwstr>
  </property>
</Properties>
</file>